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Gianotti Stefano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03/23/2018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w w:val="85"/>
              </w:rPr>
              <w:t>1,325</w:t>
            </w:r>
            <w:r>
              <w:rPr>
                <w:rFonts w:ascii="Arial" w:cs="Arial" w:eastAsia="Arial" w:hAnsi="Arial"/>
                <w:sz w:val="22"/>
                <w:szCs w:val="22"/>
                <w:color w:val="008000"/>
                <w:w w:val="85"/>
                <w:vertAlign w:val="superscript"/>
              </w:rPr>
              <w:t>(1)</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84.24</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3,155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03/23/2018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w w:val="85"/>
              </w:rPr>
              <w:t>1,325</w:t>
            </w:r>
            <w:r>
              <w:rPr>
                <w:rFonts w:ascii="Arial" w:cs="Arial" w:eastAsia="Arial" w:hAnsi="Arial"/>
                <w:sz w:val="22"/>
                <w:szCs w:val="22"/>
                <w:color w:val="008000"/>
                <w:w w:val="85"/>
                <w:vertAlign w:val="superscript"/>
              </w:rPr>
              <w:t>(2)</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84.24</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1,830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2"/>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0000FF"/>
                <w:w w:val="93"/>
              </w:rPr>
              <w:t>1,325</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03/23/2018</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1,325</w:t>
            </w: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Restricted stock units (RSUs) vested on March 23, 2018. The referenced RSUs are being settled in cash based on the closing price of the ordinary shares of LivaNova PLC (the Company) on March 23, 2018.</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disposed of to the Company to cover applicable taxes and to cash cover the remainder shares.</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or, at the option of the Company, a cash settlement in accordance with the terms of the LivaNova PLC 2015 Incentive Award Plan (the Plan) and the Award Agreement (the Agreement).</w:t>
      </w:r>
    </w:p>
    <w:p>
      <w:pPr>
        <w:spacing w:after="0" w:line="30" w:lineRule="exact"/>
        <w:rPr>
          <w:rFonts w:ascii="Arial" w:cs="Arial" w:eastAsia="Arial" w:hAnsi="Arial"/>
          <w:sz w:val="14"/>
          <w:szCs w:val="14"/>
          <w:color w:val="008000"/>
        </w:rPr>
      </w:pPr>
    </w:p>
    <w:p>
      <w:pPr>
        <w:ind w:left="40" w:right="160" w:firstLine="9"/>
        <w:spacing w:after="0" w:line="285" w:lineRule="auto"/>
        <w:tabs>
          <w:tab w:leader="none" w:pos="17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reporting person was granted RSUs that vest and all forfeiture restrictions thereon shall lapse on December 15, 2018, subject to continued service during the vesting period. On March 23, 2018, the Board of Directors of the Company approved an amendment to the Agreement: in the event a non-employee director incurs a termination of service prior to the vesting date, a prorated portion of the RSUs shall immediately vest upon termination of service. Reporting person, a non-employee director, submitted a termination of service effective March 23, 2018.</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Sarah K. Mohr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03/27/2018</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5983"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2019-12-08T12:32:14Z</dcterms:created>
  <dcterms:modified xsi:type="dcterms:W3CDTF">2019-12-08T12:32:14Z</dcterms:modified>
</cp:coreProperties>
</file>