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On August 9, 2017, LivaNova PLC (the “Company”) issued a press release announcing financial results for the second quarter ended June 30, 2017. The Company will host a business update conference call and webcast today, August 9, 2017, at 8:00 a.m. Central Time (9:00 a.m. Eastern Time, 2:00 p.m. GMT), during which the Company will discuss the financial results. The conference call will be available to interested parties through a live audio webcast commencing at 8:00 a.m. Central Time (9:00 a.m. Eastern Time, 2:00 p.m. GMT) and accessible through the Investor Relations section of the LivaNova corporate website at </w:t>
      </w:r>
      <w:r>
        <w:rPr>
          <w:rFonts w:ascii="Arial" w:cs="Arial" w:eastAsia="Arial" w:hAnsi="Arial"/>
          <w:sz w:val="16"/>
          <w:szCs w:val="16"/>
          <w:u w:val="single" w:color="auto"/>
          <w:color w:val="auto"/>
        </w:rPr>
        <w:t>www.livanova.com</w:t>
      </w:r>
      <w:r>
        <w:rPr>
          <w:rFonts w:ascii="Arial" w:cs="Arial" w:eastAsia="Arial" w:hAnsi="Arial"/>
          <w:sz w:val="16"/>
          <w:szCs w:val="16"/>
          <w:color w:val="auto"/>
        </w:rPr>
        <w:t>. A copy of the Company’s press release is furnished as Exhibit 99.1 on this Current Report on Form 8-K.</w:t>
      </w:r>
    </w:p>
    <w:p>
      <w:pPr>
        <w:spacing w:after="0" w:line="15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387"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LivaNova PLC dated August 9, 2017</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340"/>
          </w:cols>
          <w:pgMar w:left="240" w:top="36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2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5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020" w:type="dxa"/>
            <w:vAlign w:val="bottom"/>
          </w:tcPr>
          <w:p>
            <w:pPr>
              <w:spacing w:after="0"/>
              <w:rPr>
                <w:sz w:val="24"/>
                <w:szCs w:val="24"/>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99"/>
              </w:rPr>
              <w:t>Press Release issued by LivaNova PLC dated August 9, 2017</w:t>
            </w:r>
          </w:p>
        </w:tc>
      </w:tr>
    </w:tbl>
    <w:p>
      <w:pPr>
        <w:spacing w:after="0" w:line="200" w:lineRule="exact"/>
        <w:rPr>
          <w:sz w:val="20"/>
          <w:szCs w:val="20"/>
          <w:color w:val="auto"/>
        </w:rPr>
      </w:pPr>
    </w:p>
    <w:p>
      <w:pPr>
        <w:spacing w:after="0" w:line="29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0179"/>
          </w:cols>
          <w:pgMar w:left="280" w:top="364" w:right="1440" w:bottom="1440" w:gutter="0" w:footer="0" w:header="0"/>
        </w:sectPr>
      </w:pPr>
    </w:p>
    <w:bookmarkStart w:id="4" w:name="page5"/>
    <w:bookmarkEnd w:id="4"/>
    <w:p>
      <w:pPr>
        <w:spacing w:after="0"/>
        <w:rPr>
          <w:sz w:val="20"/>
          <w:szCs w:val="20"/>
          <w:color w:val="auto"/>
        </w:rPr>
      </w:pPr>
      <w:r>
        <w:rPr>
          <w:sz w:val="1"/>
          <w:szCs w:val="1"/>
          <w:color w:val="auto"/>
        </w:rPr>
        <w:drawing>
          <wp:inline distT="0" distB="0" distL="0" distR="0">
            <wp:extent cx="1680845" cy="480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a:ln>
                      <a:noFill/>
                    </a:ln>
                  </pic:spPr>
                </pic:pic>
              </a:graphicData>
            </a:graphic>
          </wp:inline>
        </w:drawing>
      </w:r>
      <w:r>
        <w:rPr>
          <w:rFonts w:ascii="Arial" w:cs="Arial" w:eastAsia="Arial" w:hAnsi="Arial"/>
          <w:sz w:val="20"/>
          <w:szCs w:val="20"/>
          <w:color w:val="FF5C39"/>
        </w:rPr>
        <w:t xml:space="preserve"> NEWS RELEASE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Second Quarter 2017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469" w:lineRule="auto"/>
        <w:rPr>
          <w:sz w:val="20"/>
          <w:szCs w:val="20"/>
          <w:color w:val="auto"/>
        </w:rPr>
      </w:pPr>
      <w:r>
        <w:rPr>
          <w:rFonts w:ascii="Arial" w:cs="Arial" w:eastAsia="Arial" w:hAnsi="Arial"/>
          <w:sz w:val="20"/>
          <w:szCs w:val="20"/>
          <w:b w:val="1"/>
          <w:bCs w:val="1"/>
          <w:color w:val="auto"/>
        </w:rPr>
        <w:t xml:space="preserve">London, August 9, 2017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and innovation company, today reported results for the quarter ended June 30, 2017.</w:t>
      </w:r>
    </w:p>
    <w:p>
      <w:pPr>
        <w:spacing w:after="0" w:line="381" w:lineRule="exact"/>
        <w:rPr>
          <w:sz w:val="20"/>
          <w:szCs w:val="20"/>
          <w:color w:val="auto"/>
        </w:rPr>
      </w:pPr>
    </w:p>
    <w:p>
      <w:pPr>
        <w:jc w:val="both"/>
        <w:ind w:right="20"/>
        <w:spacing w:after="0" w:line="439" w:lineRule="auto"/>
        <w:rPr>
          <w:sz w:val="20"/>
          <w:szCs w:val="20"/>
          <w:color w:val="auto"/>
        </w:rPr>
      </w:pPr>
      <w:r>
        <w:rPr>
          <w:rFonts w:ascii="Arial" w:cs="Arial" w:eastAsia="Arial" w:hAnsi="Arial"/>
          <w:sz w:val="20"/>
          <w:szCs w:val="20"/>
          <w:color w:val="auto"/>
        </w:rPr>
        <w:t>For the second quarter of 2017, worldwide sales were $321.4 million, an increase of 0.1 percent on a reported basis and an increase of 1.4 percent on a constant currency basis, as compared to the same quarter of the previous year. On the basis of U.S. Generally Accepted Accounting Principles (GAAP), second quarter 2017 earnings per share were $0.98. Second quarter 2017 adjusted diluted earnings per share were $1.01.</w:t>
      </w:r>
    </w:p>
    <w:p>
      <w:pPr>
        <w:spacing w:after="0" w:line="200" w:lineRule="exact"/>
        <w:rPr>
          <w:sz w:val="20"/>
          <w:szCs w:val="20"/>
          <w:color w:val="auto"/>
        </w:rPr>
      </w:pPr>
    </w:p>
    <w:p>
      <w:pPr>
        <w:spacing w:after="0" w:line="211" w:lineRule="exact"/>
        <w:rPr>
          <w:sz w:val="20"/>
          <w:szCs w:val="20"/>
          <w:color w:val="auto"/>
        </w:rPr>
      </w:pPr>
    </w:p>
    <w:p>
      <w:pPr>
        <w:jc w:val="both"/>
        <w:spacing w:after="0" w:line="437" w:lineRule="auto"/>
        <w:rPr>
          <w:sz w:val="20"/>
          <w:szCs w:val="20"/>
          <w:color w:val="auto"/>
        </w:rPr>
      </w:pPr>
      <w:r>
        <w:rPr>
          <w:rFonts w:ascii="Arial" w:cs="Arial" w:eastAsia="Arial" w:hAnsi="Arial"/>
          <w:sz w:val="20"/>
          <w:szCs w:val="20"/>
          <w:color w:val="auto"/>
        </w:rPr>
        <w:t>“We made progress in many areas of our business during the second quarter, including strong margin and earnings performance,” said Damien McDonald, Chief Executive Officer. “We hired a new Chief Financial Officer and a new General Counsel, strengthening LivaNova's executive leadership team. In June, the U.S. FDA approved our VNS Therapy® device for use in patients as young as four years of age with partial onset seizures that are refractory to antiepileptic medications. This makes VNS Therapy the first and only device approved by the FDA for drug-resistant epilepsy for this pediatric population. This approval will allow us to reach a new patient pool and have a meaningful impact on their quality of life. We also advanced our efforts to integrate the Caisson acquisition, which is on schedule and going extremely well. These steps further enhance our competitive industry position, delivering both quality patient care and long-term shareholder value."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3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Second Quarter 2017 Results</w:t>
      </w:r>
    </w:p>
    <w:p>
      <w:pPr>
        <w:spacing w:after="0" w:line="200" w:lineRule="exact"/>
        <w:rPr>
          <w:sz w:val="20"/>
          <w:szCs w:val="20"/>
          <w:color w:val="auto"/>
        </w:rPr>
      </w:pPr>
    </w:p>
    <w:p>
      <w:pPr>
        <w:spacing w:after="0" w:line="364" w:lineRule="exact"/>
        <w:rPr>
          <w:sz w:val="20"/>
          <w:szCs w:val="20"/>
          <w:color w:val="auto"/>
        </w:rPr>
      </w:pPr>
    </w:p>
    <w:p>
      <w:pPr>
        <w:jc w:val="both"/>
        <w:ind w:right="20"/>
        <w:spacing w:after="0" w:line="444" w:lineRule="auto"/>
        <w:rPr>
          <w:sz w:val="20"/>
          <w:szCs w:val="20"/>
          <w:color w:val="auto"/>
        </w:rPr>
      </w:pPr>
      <w:r>
        <w:rPr>
          <w:rFonts w:ascii="Arial" w:cs="Arial" w:eastAsia="Arial" w:hAnsi="Arial"/>
          <w:sz w:val="20"/>
          <w:szCs w:val="20"/>
          <w:color w:val="auto"/>
        </w:rPr>
        <w:t>Worldwide sales for the second quarter were $321.4 million, up 1.4 percent on a constant currency basis compared to the second quarter of 2016. The following table highlights worldwide sales for the second quarter of 2017 by Business Franchise:</w:t>
      </w:r>
    </w:p>
    <w:p>
      <w:pPr>
        <w:spacing w:after="0" w:line="348"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51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 in millions</w:t>
            </w:r>
          </w:p>
        </w:tc>
        <w:tc>
          <w:tcPr>
            <w:tcW w:w="3160" w:type="dxa"/>
            <w:vAlign w:val="bottom"/>
            <w:tcBorders>
              <w:top w:val="single" w:sz="8" w:color="auto"/>
              <w:right w:val="single" w:sz="8" w:color="00000A"/>
            </w:tcBorders>
            <w:gridSpan w:val="2"/>
          </w:tcPr>
          <w:p>
            <w:pPr>
              <w:jc w:val="right"/>
              <w:ind w:right="264"/>
              <w:spacing w:after="0"/>
              <w:rPr>
                <w:sz w:val="20"/>
                <w:szCs w:val="20"/>
                <w:color w:val="auto"/>
              </w:rPr>
            </w:pPr>
            <w:r>
              <w:rPr>
                <w:rFonts w:ascii="Arial" w:cs="Arial" w:eastAsia="Arial" w:hAnsi="Arial"/>
                <w:sz w:val="18"/>
                <w:szCs w:val="18"/>
                <w:color w:val="auto"/>
              </w:rPr>
              <w:t>Three months ended June 30,</w:t>
            </w:r>
          </w:p>
        </w:tc>
        <w:tc>
          <w:tcPr>
            <w:tcW w:w="940" w:type="dxa"/>
            <w:vAlign w:val="bottom"/>
            <w:tcBorders>
              <w:top w:val="single" w:sz="8" w:color="auto"/>
            </w:tcBorders>
          </w:tcPr>
          <w:p>
            <w:pPr>
              <w:spacing w:after="0"/>
              <w:rPr>
                <w:sz w:val="22"/>
                <w:szCs w:val="22"/>
                <w:color w:val="auto"/>
              </w:rPr>
            </w:pPr>
          </w:p>
        </w:tc>
        <w:tc>
          <w:tcPr>
            <w:tcW w:w="520" w:type="dxa"/>
            <w:vAlign w:val="bottom"/>
            <w:tcBorders>
              <w:top w:val="single" w:sz="8" w:color="auto"/>
              <w:right w:val="single" w:sz="8" w:color="auto"/>
            </w:tcBorders>
          </w:tcPr>
          <w:p>
            <w:pPr>
              <w:spacing w:after="0"/>
              <w:rPr>
                <w:sz w:val="22"/>
                <w:szCs w:val="22"/>
                <w:color w:val="auto"/>
              </w:rPr>
            </w:pPr>
          </w:p>
        </w:tc>
        <w:tc>
          <w:tcPr>
            <w:tcW w:w="14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Constant</w:t>
            </w:r>
          </w:p>
        </w:tc>
        <w:tc>
          <w:tcPr>
            <w:tcW w:w="0" w:type="dxa"/>
            <w:vAlign w:val="bottom"/>
          </w:tcPr>
          <w:p>
            <w:pPr>
              <w:spacing w:after="0"/>
              <w:rPr>
                <w:sz w:val="1"/>
                <w:szCs w:val="1"/>
                <w:color w:val="auto"/>
              </w:rPr>
            </w:pPr>
          </w:p>
        </w:tc>
      </w:tr>
      <w:tr>
        <w:trPr>
          <w:trHeight w:val="95"/>
        </w:trPr>
        <w:tc>
          <w:tcPr>
            <w:tcW w:w="5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Business Franchise / Product Line:</w:t>
            </w:r>
          </w:p>
        </w:tc>
        <w:tc>
          <w:tcPr>
            <w:tcW w:w="1600" w:type="dxa"/>
            <w:vAlign w:val="bottom"/>
            <w:tcBorders>
              <w:bottom w:val="single" w:sz="8" w:color="00000A"/>
            </w:tcBorders>
          </w:tcPr>
          <w:p>
            <w:pPr>
              <w:spacing w:after="0"/>
              <w:rPr>
                <w:sz w:val="8"/>
                <w:szCs w:val="8"/>
                <w:color w:val="auto"/>
              </w:rPr>
            </w:pPr>
          </w:p>
        </w:tc>
        <w:tc>
          <w:tcPr>
            <w:tcW w:w="1560" w:type="dxa"/>
            <w:vAlign w:val="bottom"/>
            <w:tcBorders>
              <w:bottom w:val="single" w:sz="8" w:color="00000A"/>
              <w:right w:val="single" w:sz="8" w:color="00000A"/>
            </w:tcBorders>
          </w:tcPr>
          <w:p>
            <w:pPr>
              <w:spacing w:after="0"/>
              <w:rPr>
                <w:sz w:val="8"/>
                <w:szCs w:val="8"/>
                <w:color w:val="auto"/>
              </w:rPr>
            </w:pPr>
          </w:p>
        </w:tc>
        <w:tc>
          <w:tcPr>
            <w:tcW w:w="1460" w:type="dxa"/>
            <w:vAlign w:val="bottom"/>
            <w:tcBorders>
              <w:right w:val="single" w:sz="8" w:color="auto"/>
            </w:tcBorders>
            <w:gridSpan w:val="2"/>
            <w:vMerge w:val="restart"/>
          </w:tcPr>
          <w:p>
            <w:pPr>
              <w:ind w:left="320"/>
              <w:spacing w:after="0" w:line="202" w:lineRule="exact"/>
              <w:rPr>
                <w:sz w:val="20"/>
                <w:szCs w:val="20"/>
                <w:color w:val="auto"/>
              </w:rPr>
            </w:pPr>
            <w:r>
              <w:rPr>
                <w:rFonts w:ascii="Arial" w:cs="Arial" w:eastAsia="Arial" w:hAnsi="Arial"/>
                <w:sz w:val="18"/>
                <w:szCs w:val="18"/>
                <w:color w:val="auto"/>
              </w:rPr>
              <w:t>% Change</w:t>
            </w:r>
          </w:p>
        </w:tc>
        <w:tc>
          <w:tcPr>
            <w:tcW w:w="1420" w:type="dxa"/>
            <w:vAlign w:val="bottom"/>
            <w:tcBorders>
              <w:right w:val="single" w:sz="8" w:color="auto"/>
            </w:tcBorders>
            <w:gridSpan w:val="2"/>
            <w:vMerge w:val="restart"/>
          </w:tcPr>
          <w:p>
            <w:pPr>
              <w:jc w:val="center"/>
              <w:spacing w:after="0" w:line="202" w:lineRule="exact"/>
              <w:rPr>
                <w:sz w:val="20"/>
                <w:szCs w:val="20"/>
                <w:color w:val="auto"/>
              </w:rPr>
            </w:pPr>
            <w:r>
              <w:rPr>
                <w:rFonts w:ascii="Arial" w:cs="Arial" w:eastAsia="Arial" w:hAnsi="Arial"/>
                <w:sz w:val="18"/>
                <w:szCs w:val="18"/>
                <w:color w:val="auto"/>
                <w:w w:val="99"/>
              </w:rPr>
              <w:t>Currency %</w:t>
            </w:r>
          </w:p>
        </w:tc>
        <w:tc>
          <w:tcPr>
            <w:tcW w:w="0" w:type="dxa"/>
            <w:vAlign w:val="bottom"/>
          </w:tcPr>
          <w:p>
            <w:pPr>
              <w:spacing w:after="0"/>
              <w:rPr>
                <w:sz w:val="1"/>
                <w:szCs w:val="1"/>
                <w:color w:val="auto"/>
              </w:rPr>
            </w:pPr>
          </w:p>
        </w:tc>
      </w:tr>
      <w:tr>
        <w:trPr>
          <w:trHeight w:val="87"/>
        </w:trPr>
        <w:tc>
          <w:tcPr>
            <w:tcW w:w="51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00000A"/>
            </w:tcBorders>
            <w:vMerge w:val="restart"/>
          </w:tcPr>
          <w:p>
            <w:pPr>
              <w:jc w:val="right"/>
              <w:ind w:right="485"/>
              <w:spacing w:after="0"/>
              <w:rPr>
                <w:sz w:val="20"/>
                <w:szCs w:val="20"/>
                <w:color w:val="auto"/>
              </w:rPr>
            </w:pPr>
            <w:r>
              <w:rPr>
                <w:rFonts w:ascii="Arial" w:cs="Arial" w:eastAsia="Arial" w:hAnsi="Arial"/>
                <w:sz w:val="18"/>
                <w:szCs w:val="18"/>
                <w:color w:val="auto"/>
              </w:rPr>
              <w:t>2017</w:t>
            </w:r>
          </w:p>
        </w:tc>
        <w:tc>
          <w:tcPr>
            <w:tcW w:w="1560" w:type="dxa"/>
            <w:vAlign w:val="bottom"/>
            <w:tcBorders>
              <w:right w:val="single" w:sz="8" w:color="00000A"/>
            </w:tcBorders>
            <w:vMerge w:val="restart"/>
          </w:tcPr>
          <w:p>
            <w:pPr>
              <w:jc w:val="right"/>
              <w:ind w:right="464"/>
              <w:spacing w:after="0"/>
              <w:rPr>
                <w:sz w:val="20"/>
                <w:szCs w:val="20"/>
                <w:color w:val="auto"/>
              </w:rPr>
            </w:pPr>
            <w:r>
              <w:rPr>
                <w:rFonts w:ascii="Arial" w:cs="Arial" w:eastAsia="Arial" w:hAnsi="Arial"/>
                <w:sz w:val="18"/>
                <w:szCs w:val="18"/>
                <w:color w:val="auto"/>
              </w:rPr>
              <w:t>2016</w:t>
            </w:r>
          </w:p>
        </w:tc>
        <w:tc>
          <w:tcPr>
            <w:tcW w:w="1460" w:type="dxa"/>
            <w:vAlign w:val="bottom"/>
            <w:tcBorders>
              <w:right w:val="single" w:sz="8" w:color="auto"/>
            </w:tcBorders>
            <w:gridSpan w:val="2"/>
            <w:vMerge w:val="continue"/>
          </w:tcPr>
          <w:p>
            <w:pPr>
              <w:spacing w:after="0"/>
              <w:rPr>
                <w:sz w:val="7"/>
                <w:szCs w:val="7"/>
                <w:color w:val="auto"/>
              </w:rPr>
            </w:pPr>
          </w:p>
        </w:tc>
        <w:tc>
          <w:tcPr>
            <w:tcW w:w="1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180" w:type="dxa"/>
            <w:vAlign w:val="bottom"/>
            <w:tcBorders>
              <w:left w:val="single" w:sz="8" w:color="auto"/>
              <w:right w:val="single" w:sz="8" w:color="auto"/>
            </w:tcBorders>
            <w:vMerge w:val="continue"/>
          </w:tcPr>
          <w:p>
            <w:pPr>
              <w:spacing w:after="0"/>
              <w:rPr>
                <w:sz w:val="11"/>
                <w:szCs w:val="11"/>
                <w:color w:val="auto"/>
              </w:rPr>
            </w:pPr>
          </w:p>
        </w:tc>
        <w:tc>
          <w:tcPr>
            <w:tcW w:w="1600" w:type="dxa"/>
            <w:vAlign w:val="bottom"/>
            <w:tcBorders>
              <w:right w:val="single" w:sz="8" w:color="00000A"/>
            </w:tcBorders>
            <w:vMerge w:val="continue"/>
          </w:tcPr>
          <w:p>
            <w:pPr>
              <w:spacing w:after="0"/>
              <w:rPr>
                <w:sz w:val="11"/>
                <w:szCs w:val="11"/>
                <w:color w:val="auto"/>
              </w:rPr>
            </w:pPr>
          </w:p>
        </w:tc>
        <w:tc>
          <w:tcPr>
            <w:tcW w:w="1560" w:type="dxa"/>
            <w:vAlign w:val="bottom"/>
            <w:tcBorders>
              <w:right w:val="single" w:sz="8" w:color="00000A"/>
            </w:tcBorders>
            <w:vMerge w:val="continue"/>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29"/>
        </w:trPr>
        <w:tc>
          <w:tcPr>
            <w:tcW w:w="518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00000A"/>
            </w:tcBorders>
            <w:vMerge w:val="continue"/>
          </w:tcPr>
          <w:p>
            <w:pPr>
              <w:spacing w:after="0"/>
              <w:rPr>
                <w:sz w:val="11"/>
                <w:szCs w:val="11"/>
                <w:color w:val="auto"/>
              </w:rPr>
            </w:pPr>
          </w:p>
        </w:tc>
        <w:tc>
          <w:tcPr>
            <w:tcW w:w="1560" w:type="dxa"/>
            <w:vAlign w:val="bottom"/>
            <w:tcBorders>
              <w:right w:val="single" w:sz="8" w:color="00000A"/>
            </w:tcBorders>
            <w:vMerge w:val="continue"/>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Cardiopulmonary</w:t>
            </w:r>
          </w:p>
        </w:tc>
        <w:tc>
          <w:tcPr>
            <w:tcW w:w="1600" w:type="dxa"/>
            <w:vAlign w:val="bottom"/>
            <w:tcBorders>
              <w:top w:val="single" w:sz="8" w:color="auto"/>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$124.1</w:t>
            </w:r>
          </w:p>
        </w:tc>
        <w:tc>
          <w:tcPr>
            <w:tcW w:w="1560" w:type="dxa"/>
            <w:vAlign w:val="bottom"/>
            <w:tcBorders>
              <w:top w:val="single" w:sz="8" w:color="auto"/>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$124.0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0.1</w:t>
            </w:r>
          </w:p>
        </w:tc>
        <w:tc>
          <w:tcPr>
            <w:tcW w:w="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1.4</w:t>
            </w:r>
          </w:p>
        </w:tc>
        <w:tc>
          <w:tcPr>
            <w:tcW w:w="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1"/>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auto"/>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Heart Valves</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34.4</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18"/>
                <w:szCs w:val="18"/>
                <w:i w:val="1"/>
                <w:iCs w:val="1"/>
                <w:color w:val="auto"/>
              </w:rPr>
              <w:t>37.1</w:t>
            </w: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(7.1</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1"/>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00000A"/>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Cardiac Surgery</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20"/>
                <w:szCs w:val="20"/>
                <w:color w:val="auto"/>
              </w:rPr>
              <w:t>158.6</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161.1</w:t>
            </w: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(0.2</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00000A"/>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Cardiac Rhythm Management</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20"/>
                <w:szCs w:val="20"/>
                <w:color w:val="auto"/>
              </w:rPr>
              <w:t>65.5</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69.6</w:t>
            </w:r>
          </w:p>
        </w:tc>
        <w:tc>
          <w:tcPr>
            <w:tcW w:w="940" w:type="dxa"/>
            <w:vAlign w:val="bottom"/>
          </w:tcPr>
          <w:p>
            <w:pPr>
              <w:jc w:val="right"/>
              <w:spacing w:after="0"/>
              <w:rPr>
                <w:sz w:val="20"/>
                <w:szCs w:val="20"/>
                <w:color w:val="auto"/>
              </w:rPr>
            </w:pPr>
            <w:r>
              <w:rPr>
                <w:rFonts w:ascii="Arial" w:cs="Arial" w:eastAsia="Arial" w:hAnsi="Arial"/>
                <w:sz w:val="20"/>
                <w:szCs w:val="20"/>
                <w:color w:val="auto"/>
              </w:rPr>
              <w:t>(5.8</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(3.6</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00000A"/>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Neuromodulation</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20"/>
                <w:szCs w:val="20"/>
                <w:color w:val="auto"/>
              </w:rPr>
              <w:t>97.0</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90.0</w:t>
            </w:r>
          </w:p>
        </w:tc>
        <w:tc>
          <w:tcPr>
            <w:tcW w:w="940" w:type="dxa"/>
            <w:vAlign w:val="bottom"/>
          </w:tcPr>
          <w:p>
            <w:pPr>
              <w:jc w:val="right"/>
              <w:spacing w:after="0"/>
              <w:rPr>
                <w:sz w:val="20"/>
                <w:szCs w:val="20"/>
                <w:color w:val="auto"/>
              </w:rPr>
            </w:pPr>
            <w:r>
              <w:rPr>
                <w:rFonts w:ascii="Arial" w:cs="Arial" w:eastAsia="Arial" w:hAnsi="Arial"/>
                <w:sz w:val="20"/>
                <w:szCs w:val="20"/>
                <w:color w:val="auto"/>
              </w:rPr>
              <w:t>7.7</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8.3</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00000A"/>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20"/>
                <w:szCs w:val="20"/>
                <w:color w:val="auto"/>
              </w:rPr>
              <w:t>0.2</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0.4</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51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00000A"/>
              <w:right w:val="single" w:sz="8" w:color="00000A"/>
            </w:tcBorders>
          </w:tcPr>
          <w:p>
            <w:pPr>
              <w:spacing w:after="0"/>
              <w:rPr>
                <w:sz w:val="3"/>
                <w:szCs w:val="3"/>
                <w:color w:val="auto"/>
              </w:rPr>
            </w:pPr>
          </w:p>
        </w:tc>
        <w:tc>
          <w:tcPr>
            <w:tcW w:w="1560" w:type="dxa"/>
            <w:vAlign w:val="bottom"/>
            <w:tcBorders>
              <w:bottom w:val="single" w:sz="8" w:color="00000A"/>
              <w:right w:val="single" w:sz="8" w:color="00000A"/>
            </w:tcBorders>
          </w:tcPr>
          <w:p>
            <w:pPr>
              <w:spacing w:after="0"/>
              <w:rPr>
                <w:sz w:val="3"/>
                <w:szCs w:val="3"/>
                <w:color w:val="auto"/>
              </w:rPr>
            </w:pPr>
          </w:p>
        </w:tc>
        <w:tc>
          <w:tcPr>
            <w:tcW w:w="940" w:type="dxa"/>
            <w:vAlign w:val="bottom"/>
            <w:tcBorders>
              <w:bottom w:val="single" w:sz="8" w:color="00000A"/>
            </w:tcBorders>
          </w:tcPr>
          <w:p>
            <w:pPr>
              <w:spacing w:after="0"/>
              <w:rPr>
                <w:sz w:val="3"/>
                <w:szCs w:val="3"/>
                <w:color w:val="auto"/>
              </w:rPr>
            </w:pPr>
          </w:p>
        </w:tc>
        <w:tc>
          <w:tcPr>
            <w:tcW w:w="520" w:type="dxa"/>
            <w:vAlign w:val="bottom"/>
            <w:tcBorders>
              <w:bottom w:val="single" w:sz="8" w:color="00000A"/>
              <w:right w:val="single" w:sz="8" w:color="00000A"/>
            </w:tcBorders>
          </w:tcPr>
          <w:p>
            <w:pPr>
              <w:spacing w:after="0"/>
              <w:rPr>
                <w:sz w:val="3"/>
                <w:szCs w:val="3"/>
                <w:color w:val="auto"/>
              </w:rPr>
            </w:pPr>
          </w:p>
        </w:tc>
        <w:tc>
          <w:tcPr>
            <w:tcW w:w="920" w:type="dxa"/>
            <w:vAlign w:val="bottom"/>
            <w:tcBorders>
              <w:bottom w:val="single" w:sz="8" w:color="00000A"/>
            </w:tcBorders>
          </w:tcPr>
          <w:p>
            <w:pPr>
              <w:spacing w:after="0"/>
              <w:rPr>
                <w:sz w:val="3"/>
                <w:szCs w:val="3"/>
                <w:color w:val="auto"/>
              </w:rPr>
            </w:pPr>
          </w:p>
        </w:tc>
        <w:tc>
          <w:tcPr>
            <w:tcW w:w="500" w:type="dxa"/>
            <w:vAlign w:val="bottom"/>
            <w:tcBorders>
              <w:bottom w:val="single" w:sz="8" w:color="00000A"/>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Net Sales</w:t>
            </w:r>
          </w:p>
        </w:tc>
        <w:tc>
          <w:tcPr>
            <w:tcW w:w="1600" w:type="dxa"/>
            <w:vAlign w:val="bottom"/>
            <w:tcBorders>
              <w:right w:val="single" w:sz="8" w:color="00000A"/>
            </w:tcBorders>
          </w:tcPr>
          <w:p>
            <w:pPr>
              <w:jc w:val="right"/>
              <w:ind w:right="45"/>
              <w:spacing w:after="0"/>
              <w:rPr>
                <w:sz w:val="20"/>
                <w:szCs w:val="20"/>
                <w:color w:val="auto"/>
              </w:rPr>
            </w:pPr>
            <w:r>
              <w:rPr>
                <w:rFonts w:ascii="Arial" w:cs="Arial" w:eastAsia="Arial" w:hAnsi="Arial"/>
                <w:sz w:val="20"/>
                <w:szCs w:val="20"/>
                <w:color w:val="auto"/>
              </w:rPr>
              <w:t>$321.4</w:t>
            </w:r>
          </w:p>
        </w:tc>
        <w:tc>
          <w:tcPr>
            <w:tcW w:w="1560" w:type="dxa"/>
            <w:vAlign w:val="bottom"/>
            <w:tcBorders>
              <w:right w:val="single" w:sz="8" w:color="00000A"/>
            </w:tcBorders>
          </w:tcPr>
          <w:p>
            <w:pPr>
              <w:jc w:val="right"/>
              <w:ind w:right="44"/>
              <w:spacing w:after="0"/>
              <w:rPr>
                <w:sz w:val="20"/>
                <w:szCs w:val="20"/>
                <w:color w:val="auto"/>
              </w:rPr>
            </w:pPr>
            <w:r>
              <w:rPr>
                <w:rFonts w:ascii="Arial" w:cs="Arial" w:eastAsia="Arial" w:hAnsi="Arial"/>
                <w:sz w:val="20"/>
                <w:szCs w:val="20"/>
                <w:color w:val="auto"/>
              </w:rPr>
              <w:t>$321.0</w:t>
            </w:r>
          </w:p>
        </w:tc>
        <w:tc>
          <w:tcPr>
            <w:tcW w:w="940" w:type="dxa"/>
            <w:vAlign w:val="bottom"/>
          </w:tcPr>
          <w:p>
            <w:pPr>
              <w:jc w:val="right"/>
              <w:spacing w:after="0"/>
              <w:rPr>
                <w:sz w:val="20"/>
                <w:szCs w:val="20"/>
                <w:color w:val="auto"/>
              </w:rPr>
            </w:pPr>
            <w:r>
              <w:rPr>
                <w:rFonts w:ascii="Arial" w:cs="Arial" w:eastAsia="Arial" w:hAnsi="Arial"/>
                <w:sz w:val="20"/>
                <w:szCs w:val="20"/>
                <w:color w:val="auto"/>
              </w:rPr>
              <w:t>0.1</w:t>
            </w:r>
          </w:p>
        </w:tc>
        <w:tc>
          <w:tcPr>
            <w:tcW w:w="52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5180" w:type="dxa"/>
            <w:vAlign w:val="bottom"/>
            <w:tcBorders>
              <w:left w:val="single" w:sz="8" w:color="auto"/>
              <w:right w:val="single" w:sz="8" w:color="auto"/>
            </w:tcBorders>
            <w:shd w:val="clear" w:color="auto" w:fill="000000"/>
          </w:tcPr>
          <w:p>
            <w:pPr>
              <w:spacing w:after="0"/>
              <w:rPr>
                <w:sz w:val="2"/>
                <w:szCs w:val="2"/>
                <w:color w:val="auto"/>
              </w:rPr>
            </w:pPr>
          </w:p>
        </w:tc>
        <w:tc>
          <w:tcPr>
            <w:tcW w:w="1600" w:type="dxa"/>
            <w:vAlign w:val="bottom"/>
            <w:tcBorders>
              <w:right w:val="single" w:sz="8" w:color="auto"/>
            </w:tcBorders>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Numbers may not add up precisely due to rounding. Constant currency % change is considered a non-GAAP metric.</w:t>
      </w:r>
    </w:p>
    <w:p>
      <w:pPr>
        <w:spacing w:after="0" w:line="200" w:lineRule="exact"/>
        <w:rPr>
          <w:sz w:val="20"/>
          <w:szCs w:val="20"/>
          <w:color w:val="auto"/>
        </w:rPr>
      </w:pPr>
    </w:p>
    <w:p>
      <w:pPr>
        <w:spacing w:after="0" w:line="259"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213" w:lineRule="exact"/>
        <w:rPr>
          <w:sz w:val="20"/>
          <w:szCs w:val="20"/>
          <w:color w:val="auto"/>
        </w:rPr>
      </w:pPr>
    </w:p>
    <w:p>
      <w:pPr>
        <w:jc w:val="both"/>
        <w:ind w:right="20"/>
        <w:spacing w:after="0" w:line="444" w:lineRule="auto"/>
        <w:rPr>
          <w:sz w:val="20"/>
          <w:szCs w:val="20"/>
          <w:color w:val="auto"/>
        </w:rPr>
      </w:pPr>
      <w:r>
        <w:rPr>
          <w:rFonts w:ascii="Arial" w:cs="Arial" w:eastAsia="Arial" w:hAnsi="Arial"/>
          <w:sz w:val="20"/>
          <w:szCs w:val="20"/>
          <w:color w:val="auto"/>
        </w:rPr>
        <w:t>Cardiac Surgery sales, which include cardiopulmonary products and heart valves, were $159 million, representing a 0.2 percent decrease versus the comparable period in 2016.</w:t>
      </w:r>
    </w:p>
    <w:p>
      <w:pPr>
        <w:spacing w:after="0" w:line="200" w:lineRule="exact"/>
        <w:rPr>
          <w:sz w:val="20"/>
          <w:szCs w:val="20"/>
          <w:color w:val="auto"/>
        </w:rPr>
      </w:pPr>
    </w:p>
    <w:p>
      <w:pPr>
        <w:spacing w:after="0" w:line="205"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Sales in cardiopulmonary products were $124 million, representing a 1.4 percent increase versus the second quarter of 2016. This was primarily due to strength in our heart-lung machines as we were able to upgrade a significant number of customers from older machines to our current S5 device.</w:t>
      </w:r>
    </w:p>
    <w:p>
      <w:pPr>
        <w:spacing w:after="0" w:line="200" w:lineRule="exact"/>
        <w:rPr>
          <w:sz w:val="20"/>
          <w:szCs w:val="20"/>
          <w:color w:val="auto"/>
        </w:rPr>
      </w:pPr>
    </w:p>
    <w:p>
      <w:pPr>
        <w:spacing w:after="0" w:line="210"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Heart valve sales, including tissue and mechanical heart valves, were $34 million, a decrease of 5.7 percent compared to the same period the previous year. Growth in tissue valves, driven by demand for the Perceval®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sutureless tissue valve in the U.S., was more than offset by softness in Europe and declines in mechanical heart valves globally.</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Rhythm Management (CRM)</w:t>
      </w:r>
    </w:p>
    <w:p>
      <w:pPr>
        <w:spacing w:after="0" w:line="213" w:lineRule="exact"/>
        <w:rPr>
          <w:sz w:val="20"/>
          <w:szCs w:val="20"/>
          <w:color w:val="auto"/>
        </w:rPr>
      </w:pPr>
    </w:p>
    <w:p>
      <w:pPr>
        <w:jc w:val="both"/>
        <w:spacing w:after="0" w:line="387" w:lineRule="auto"/>
        <w:rPr>
          <w:sz w:val="20"/>
          <w:szCs w:val="20"/>
          <w:color w:val="auto"/>
        </w:rPr>
      </w:pPr>
      <w:r>
        <w:rPr>
          <w:rFonts w:ascii="Arial" w:cs="Arial" w:eastAsia="Arial" w:hAnsi="Arial"/>
          <w:sz w:val="20"/>
          <w:szCs w:val="20"/>
          <w:color w:val="auto"/>
        </w:rPr>
        <w:t>CRM sales for the period totaled $66 million, a decrease of 3.6 percent as compared to the second quarter of 2016. Implantable Cardiac Defibrillators (ICDs) declined in the quarter due to a difficult year-over-year comparison, as the first half of 2016 marked the initial launch roll-out of the PLATINIUM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ICD. This was partially offset by growth for PLATINIUM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Cardiac Resynchronization Therapy devices (CRT-Ds) in Europe and continued demand for KORA 250</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pacemakers in Japan.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213"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Neuromodulation sales were $97 million in the second quarter, representing an 8.3 percent increase versus the second quarter of 2016. The AspireSR generator continued to perform well across all geographies, with strong demand and new patient growth.</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213" w:lineRule="exact"/>
        <w:rPr>
          <w:sz w:val="20"/>
          <w:szCs w:val="20"/>
          <w:color w:val="auto"/>
        </w:rPr>
      </w:pPr>
    </w:p>
    <w:p>
      <w:pPr>
        <w:jc w:val="both"/>
        <w:spacing w:after="0" w:line="440" w:lineRule="auto"/>
        <w:rPr>
          <w:sz w:val="20"/>
          <w:szCs w:val="20"/>
          <w:color w:val="auto"/>
        </w:rPr>
      </w:pPr>
      <w:r>
        <w:rPr>
          <w:rFonts w:ascii="Arial" w:cs="Arial" w:eastAsia="Arial" w:hAnsi="Arial"/>
          <w:sz w:val="20"/>
          <w:szCs w:val="20"/>
          <w:color w:val="auto"/>
        </w:rPr>
        <w:t>On a U.S. GAAP basis, second quarter 2017 income from operations was $31 million. Adjusted income from operations for the second quarter of 2017 was $70 million, an increase of 11.9 percent as compared to the second quarter of 2016, primarily driven by favorable product mix and lower operating expenses.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2017 Guidance</w:t>
      </w:r>
    </w:p>
    <w:p>
      <w:pPr>
        <w:spacing w:after="0" w:line="213"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On May 2, 2017 LivaNova announced the acquisition of Caisson Interventional, LLC (Caisson), in support of LivaNova’s strategic growth initiatives. As a result, certain guidance for full-year 2017 was revised at that time.</w:t>
      </w:r>
    </w:p>
    <w:p>
      <w:pPr>
        <w:spacing w:after="0" w:line="200" w:lineRule="exact"/>
        <w:rPr>
          <w:sz w:val="20"/>
          <w:szCs w:val="20"/>
          <w:color w:val="auto"/>
        </w:rPr>
      </w:pPr>
    </w:p>
    <w:p>
      <w:pPr>
        <w:spacing w:after="0" w:line="205" w:lineRule="exact"/>
        <w:rPr>
          <w:sz w:val="20"/>
          <w:szCs w:val="20"/>
          <w:color w:val="auto"/>
        </w:rPr>
      </w:pPr>
    </w:p>
    <w:p>
      <w:pPr>
        <w:jc w:val="both"/>
        <w:spacing w:after="0" w:line="439" w:lineRule="auto"/>
        <w:rPr>
          <w:sz w:val="20"/>
          <w:szCs w:val="20"/>
          <w:color w:val="auto"/>
        </w:rPr>
      </w:pPr>
      <w:r>
        <w:rPr>
          <w:rFonts w:ascii="Arial" w:cs="Arial" w:eastAsia="Arial" w:hAnsi="Arial"/>
          <w:sz w:val="20"/>
          <w:szCs w:val="20"/>
          <w:color w:val="auto"/>
        </w:rPr>
        <w:t>LivaNova reiterates that worldwide net sales for full-year 2017 will remain between 1 and 3 percent growth on a constant-currency basis, and adjusted diluted earnings per share for 2017 will remain in the range of $3.10 to $3.30. The Company reiterates that adjusted cash flow from operations, excluding integration, restructuring and 3T remediation payments, will remain in the range of $170 to $190 million in 2017.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7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213" w:lineRule="exact"/>
        <w:rPr>
          <w:sz w:val="20"/>
          <w:szCs w:val="20"/>
          <w:color w:val="auto"/>
        </w:rPr>
      </w:pPr>
    </w:p>
    <w:p>
      <w:pPr>
        <w:jc w:val="both"/>
        <w:spacing w:after="0" w:line="439" w:lineRule="auto"/>
        <w:rPr>
          <w:sz w:val="20"/>
          <w:szCs w:val="20"/>
          <w:color w:val="auto"/>
        </w:rPr>
      </w:pPr>
      <w:r>
        <w:rPr>
          <w:rFonts w:ascii="Arial" w:cs="Arial" w:eastAsia="Arial" w:hAnsi="Arial"/>
          <w:sz w:val="20"/>
          <w:szCs w:val="20"/>
          <w:color w:val="auto"/>
        </w:rPr>
        <w:t xml:space="preserve">The Company will host a live audio webcast for interested parties commencing at 8 a.m. Central time (9 a.m. Eastern time, 2 p.m. UK time) on Wednesday, August 9th that will be accessible through the Investor Relations section of the LivaNova corporate website at </w:t>
      </w:r>
      <w:r>
        <w:rPr>
          <w:rFonts w:ascii="Arial" w:cs="Arial" w:eastAsia="Arial" w:hAnsi="Arial"/>
          <w:sz w:val="20"/>
          <w:szCs w:val="20"/>
          <w:u w:val="single" w:color="auto"/>
          <w:color w:val="1443BF"/>
        </w:rPr>
        <w:t>www.LivaNova.com</w:t>
      </w:r>
      <w:r>
        <w:rPr>
          <w:rFonts w:ascii="Arial" w:cs="Arial" w:eastAsia="Arial" w:hAnsi="Arial"/>
          <w:sz w:val="20"/>
          <w:szCs w:val="20"/>
          <w:b w:val="1"/>
          <w:bCs w:val="1"/>
          <w:color w:val="006EBF"/>
        </w:rPr>
        <w:t>.</w:t>
      </w:r>
      <w:r>
        <w:rPr>
          <w:rFonts w:ascii="Arial" w:cs="Arial" w:eastAsia="Arial" w:hAnsi="Arial"/>
          <w:sz w:val="20"/>
          <w:szCs w:val="20"/>
          <w:color w:val="auto"/>
        </w:rPr>
        <w:t xml:space="preserve"> To listen to the conference call live by telephone, dial (844) 239-5285 (if dialing from within the U.S.) or (512) 961-6524 (if dialing from outside the U.S.). The conference ID is 43632735.</w:t>
      </w:r>
    </w:p>
    <w:p>
      <w:pPr>
        <w:spacing w:after="0" w:line="200" w:lineRule="exact"/>
        <w:rPr>
          <w:sz w:val="20"/>
          <w:szCs w:val="20"/>
          <w:color w:val="auto"/>
        </w:rPr>
      </w:pPr>
    </w:p>
    <w:p>
      <w:pPr>
        <w:spacing w:after="0" w:line="211" w:lineRule="exact"/>
        <w:rPr>
          <w:sz w:val="20"/>
          <w:szCs w:val="20"/>
          <w:color w:val="auto"/>
        </w:rPr>
      </w:pPr>
    </w:p>
    <w:p>
      <w:pPr>
        <w:jc w:val="both"/>
        <w:spacing w:after="0" w:line="444"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89"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75" w:lineRule="exact"/>
        <w:rPr>
          <w:sz w:val="20"/>
          <w:szCs w:val="20"/>
          <w:color w:val="auto"/>
        </w:rPr>
      </w:pPr>
    </w:p>
    <w:p>
      <w:pPr>
        <w:jc w:val="both"/>
        <w:spacing w:after="0" w:line="424"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747" w:right="239" w:bottom="1440" w:gutter="0" w:footer="0" w:header="0"/>
        </w:sectPr>
      </w:pPr>
    </w:p>
    <w:bookmarkStart w:id="8" w:name="page9"/>
    <w:bookmarkEnd w:id="8"/>
    <w:p>
      <w:pPr>
        <w:jc w:val="both"/>
        <w:spacing w:after="0" w:line="42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75" w:lineRule="exact"/>
        <w:rPr>
          <w:sz w:val="20"/>
          <w:szCs w:val="20"/>
          <w:color w:val="auto"/>
        </w:rPr>
      </w:pPr>
    </w:p>
    <w:p>
      <w:pPr>
        <w:jc w:val="both"/>
        <w:spacing w:after="0" w:line="423"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press release,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w:t>
      </w:r>
    </w:p>
    <w:p>
      <w:pPr>
        <w:spacing w:after="0" w:line="213" w:lineRule="exact"/>
        <w:rPr>
          <w:sz w:val="20"/>
          <w:szCs w:val="20"/>
          <w:color w:val="auto"/>
        </w:rPr>
      </w:pPr>
    </w:p>
    <w:p>
      <w:pPr>
        <w:jc w:val="both"/>
        <w:ind w:right="20"/>
        <w:spacing w:after="0" w:line="430"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906" w:right="239" w:bottom="1440" w:gutter="0" w:footer="0" w:header="0"/>
        </w:sectPr>
      </w:pPr>
    </w:p>
    <w:bookmarkStart w:id="9" w:name="page10"/>
    <w:bookmarkEnd w:id="9"/>
    <w:p>
      <w:pPr>
        <w:jc w:val="both"/>
        <w:spacing w:after="0" w:line="425" w:lineRule="auto"/>
        <w:rPr>
          <w:sz w:val="20"/>
          <w:szCs w:val="20"/>
          <w:color w:val="auto"/>
        </w:rPr>
      </w:pPr>
      <w:r>
        <w:rPr>
          <w:rFonts w:ascii="Arial" w:cs="Arial" w:eastAsia="Arial" w:hAnsi="Arial"/>
          <w:sz w:val="20"/>
          <w:szCs w:val="20"/>
          <w:color w:val="auto"/>
        </w:rPr>
        <w:t>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color w:val="auto"/>
        </w:rPr>
        <w:t>,</w:t>
      </w:r>
      <w:r>
        <w:rPr>
          <w:rFonts w:ascii="Arial" w:cs="Arial" w:eastAsia="Arial" w:hAnsi="Arial"/>
          <w:sz w:val="20"/>
          <w:szCs w:val="20"/>
          <w:b w:val="1"/>
          <w:bCs w:val="1"/>
          <w:color w:val="auto"/>
        </w:rPr>
        <w:t xml:space="preserve"> or contact: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Investor Relations and Media</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Karen King</w:t>
      </w:r>
    </w:p>
    <w:p>
      <w:pPr>
        <w:ind w:left="260"/>
        <w:spacing w:after="0" w:line="236" w:lineRule="auto"/>
        <w:rPr>
          <w:sz w:val="20"/>
          <w:szCs w:val="20"/>
          <w:color w:val="auto"/>
        </w:rPr>
      </w:pPr>
      <w:r>
        <w:rPr>
          <w:rFonts w:ascii="Arial" w:cs="Arial" w:eastAsia="Arial" w:hAnsi="Arial"/>
          <w:sz w:val="20"/>
          <w:szCs w:val="20"/>
          <w:color w:val="auto"/>
        </w:rPr>
        <w:t>Vice President, Investor Relations &amp; Corporate Communications</w:t>
      </w:r>
    </w:p>
    <w:p>
      <w:pPr>
        <w:ind w:left="260"/>
        <w:spacing w:after="0" w:line="225" w:lineRule="auto"/>
        <w:rPr>
          <w:sz w:val="20"/>
          <w:szCs w:val="20"/>
          <w:color w:val="auto"/>
        </w:rPr>
      </w:pPr>
      <w:r>
        <w:rPr>
          <w:rFonts w:ascii="Arial" w:cs="Arial" w:eastAsia="Arial" w:hAnsi="Arial"/>
          <w:sz w:val="20"/>
          <w:szCs w:val="20"/>
          <w:color w:val="auto"/>
        </w:rPr>
        <w:t>Phone: +1 (281) 228-7262</w:t>
      </w:r>
    </w:p>
    <w:p>
      <w:pPr>
        <w:ind w:left="260"/>
        <w:spacing w:after="0" w:line="226" w:lineRule="auto"/>
        <w:rPr>
          <w:sz w:val="20"/>
          <w:szCs w:val="20"/>
          <w:color w:val="auto"/>
        </w:rPr>
      </w:pPr>
      <w:r>
        <w:rPr>
          <w:rFonts w:ascii="Arial" w:cs="Arial" w:eastAsia="Arial" w:hAnsi="Arial"/>
          <w:sz w:val="20"/>
          <w:szCs w:val="20"/>
          <w:color w:val="auto"/>
        </w:rPr>
        <w:t>Fax: +1 (281) 218-9332</w:t>
      </w:r>
    </w:p>
    <w:p>
      <w:pPr>
        <w:ind w:left="26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906" w:right="239" w:bottom="1440" w:gutter="0" w:footer="0" w:header="0"/>
        </w:sectPr>
      </w:pPr>
    </w:p>
    <w:bookmarkStart w:id="10" w:name="page11"/>
    <w:bookmarkEnd w:id="10"/>
    <w:p>
      <w:pPr>
        <w:ind w:left="120"/>
        <w:spacing w:after="0"/>
        <w:rPr>
          <w:sz w:val="20"/>
          <w:szCs w:val="20"/>
          <w:color w:val="auto"/>
        </w:rPr>
      </w:pPr>
      <w:r>
        <w:rPr>
          <w:rFonts w:ascii="Arial" w:cs="Arial" w:eastAsia="Arial" w:hAnsi="Arial"/>
          <w:sz w:val="18"/>
          <w:szCs w:val="18"/>
          <w:b w:val="1"/>
          <w:bCs w:val="1"/>
          <w:color w:val="auto"/>
        </w:rPr>
        <w:t>LIVANOVA PLC</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SALES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303530</wp:posOffset>
            </wp:positionV>
            <wp:extent cx="3584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45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 Change at Actual</w:t>
            </w: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Constant Currency</w:t>
            </w: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Currency Rates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7"/>
              </w:rPr>
              <w:t>Rates</w:t>
            </w:r>
          </w:p>
        </w:tc>
        <w:tc>
          <w:tcPr>
            <w:tcW w:w="0" w:type="dxa"/>
            <w:vAlign w:val="bottom"/>
          </w:tcPr>
          <w:p>
            <w:pPr>
              <w:spacing w:after="0"/>
              <w:rPr>
                <w:sz w:val="1"/>
                <w:szCs w:val="1"/>
                <w:color w:val="auto"/>
              </w:rPr>
            </w:pPr>
          </w:p>
        </w:tc>
      </w:tr>
      <w:tr>
        <w:trPr>
          <w:trHeight w:val="4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Cardio Pulmonary</w:t>
            </w:r>
          </w:p>
        </w:tc>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$39.2</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34.9</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49.9</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6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0.1 %</w:t>
            </w:r>
          </w:p>
        </w:tc>
        <w:tc>
          <w:tcPr>
            <w:tcW w:w="120" w:type="dxa"/>
            <w:vAlign w:val="bottom"/>
          </w:tcPr>
          <w:p>
            <w:pPr>
              <w:spacing w:after="0"/>
              <w:rPr>
                <w:sz w:val="3"/>
                <w:szCs w:val="3"/>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124.0</w:t>
            </w:r>
          </w:p>
        </w:tc>
        <w:tc>
          <w:tcPr>
            <w:tcW w:w="2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(7.1 %)</w:t>
            </w:r>
          </w:p>
        </w:tc>
        <w:tc>
          <w:tcPr>
            <w:tcW w:w="120" w:type="dxa"/>
            <w:vAlign w:val="bottom"/>
          </w:tcPr>
          <w:p>
            <w:pPr>
              <w:spacing w:after="0"/>
              <w:rPr>
                <w:sz w:val="3"/>
                <w:szCs w:val="3"/>
                <w:color w:val="auto"/>
              </w:rPr>
            </w:pPr>
          </w:p>
        </w:tc>
        <w:tc>
          <w:tcPr>
            <w:tcW w:w="1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(5.7 %)</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2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46.3</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47.4</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67.4</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3"/>
                <w:szCs w:val="3"/>
                <w:color w:val="auto"/>
              </w:rPr>
            </w:pPr>
          </w:p>
        </w:tc>
        <w:tc>
          <w:tcPr>
            <w:tcW w:w="1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(0.2 %)</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161.1</w:t>
            </w:r>
          </w:p>
        </w:tc>
        <w:tc>
          <w:tcPr>
            <w:tcW w:w="2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CRM</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54.4</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(5.8 %)</w:t>
            </w:r>
          </w:p>
        </w:tc>
        <w:tc>
          <w:tcPr>
            <w:tcW w:w="120" w:type="dxa"/>
            <w:vAlign w:val="bottom"/>
          </w:tcPr>
          <w:p>
            <w:pPr>
              <w:spacing w:after="0"/>
              <w:rPr>
                <w:sz w:val="3"/>
                <w:szCs w:val="3"/>
                <w:color w:val="auto"/>
              </w:rPr>
            </w:pPr>
          </w:p>
        </w:tc>
        <w:tc>
          <w:tcPr>
            <w:tcW w:w="1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69.6</w:t>
            </w:r>
          </w:p>
        </w:tc>
        <w:tc>
          <w:tcPr>
            <w:tcW w:w="2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75.8</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24.7 %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6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7.7 %</w:t>
            </w:r>
          </w:p>
        </w:tc>
        <w:tc>
          <w:tcPr>
            <w:tcW w:w="120" w:type="dxa"/>
            <w:vAlign w:val="bottom"/>
          </w:tcPr>
          <w:p>
            <w:pPr>
              <w:spacing w:after="0"/>
              <w:rPr>
                <w:sz w:val="3"/>
                <w:szCs w:val="3"/>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8.3 %</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90.0</w:t>
            </w:r>
          </w:p>
        </w:tc>
        <w:tc>
          <w:tcPr>
            <w:tcW w:w="2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Other</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N/A</w:t>
            </w:r>
          </w:p>
        </w:tc>
        <w:tc>
          <w:tcPr>
            <w:tcW w:w="19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3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spacing w:after="0"/>
              <w:rPr>
                <w:sz w:val="20"/>
                <w:szCs w:val="20"/>
                <w:color w:val="auto"/>
              </w:rPr>
            </w:pPr>
            <w:r>
              <w:rPr>
                <w:rFonts w:ascii="Arial" w:cs="Arial" w:eastAsia="Arial" w:hAnsi="Arial"/>
                <w:sz w:val="18"/>
                <w:szCs w:val="18"/>
                <w:color w:val="auto"/>
              </w:rPr>
              <w:t>124.4</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Europe</w:t>
            </w:r>
          </w:p>
        </w:tc>
        <w:tc>
          <w:tcPr>
            <w:tcW w:w="1400" w:type="dxa"/>
            <w:vAlign w:val="bottom"/>
          </w:tcPr>
          <w:p>
            <w:pPr>
              <w:jc w:val="right"/>
              <w:spacing w:after="0"/>
              <w:rPr>
                <w:sz w:val="20"/>
                <w:szCs w:val="20"/>
                <w:color w:val="auto"/>
              </w:rPr>
            </w:pPr>
            <w:r>
              <w:rPr>
                <w:rFonts w:ascii="Arial" w:cs="Arial" w:eastAsia="Arial" w:hAnsi="Arial"/>
                <w:sz w:val="18"/>
                <w:szCs w:val="18"/>
                <w:color w:val="auto"/>
              </w:rPr>
              <w:t>111.2</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4"/>
                <w:szCs w:val="24"/>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1400" w:type="dxa"/>
            <w:vAlign w:val="bottom"/>
          </w:tcPr>
          <w:p>
            <w:pPr>
              <w:jc w:val="right"/>
              <w:spacing w:after="0"/>
              <w:rPr>
                <w:sz w:val="20"/>
                <w:szCs w:val="20"/>
                <w:color w:val="auto"/>
              </w:rPr>
            </w:pPr>
            <w:r>
              <w:rPr>
                <w:rFonts w:ascii="Arial" w:cs="Arial" w:eastAsia="Arial" w:hAnsi="Arial"/>
                <w:sz w:val="18"/>
                <w:szCs w:val="18"/>
                <w:color w:val="auto"/>
              </w:rPr>
              <w:t>85.4</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$321.0</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0.1 %</w:t>
            </w:r>
          </w:p>
        </w:tc>
        <w:tc>
          <w:tcPr>
            <w:tcW w:w="120" w:type="dxa"/>
            <w:vAlign w:val="bottom"/>
          </w:tcPr>
          <w:p>
            <w:pPr>
              <w:spacing w:after="0"/>
              <w:rPr>
                <w:sz w:val="21"/>
                <w:szCs w:val="21"/>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9019"/>
          </w:cols>
          <w:pgMar w:left="1440" w:top="738" w:right="1440" w:bottom="1023"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738" w:right="1440" w:bottom="1023"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LIVANOVA PLC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 MONTH SALES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 30,</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 Change at Actual</w:t>
            </w:r>
          </w:p>
        </w:tc>
        <w:tc>
          <w:tcPr>
            <w:tcW w:w="1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Constant Currency</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Currency Rates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rPr>
              <w:t>Rates</w:t>
            </w: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Cardio Pulmonary</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$71.9</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$73.7</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64.6</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66.4</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95.0</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94.8</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3"/>
                <w:szCs w:val="3"/>
                <w:color w:val="auto"/>
              </w:rPr>
            </w:pPr>
          </w:p>
        </w:tc>
        <w:tc>
          <w:tcPr>
            <w:tcW w:w="1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(0.5 %)</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231.4</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234.9</w:t>
            </w:r>
          </w:p>
        </w:tc>
        <w:tc>
          <w:tcPr>
            <w:tcW w:w="2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13.5</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23.9</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32.2</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3"/>
                <w:szCs w:val="3"/>
                <w:color w:val="auto"/>
              </w:rPr>
            </w:pPr>
          </w:p>
        </w:tc>
        <w:tc>
          <w:tcPr>
            <w:tcW w:w="1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66.3</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69.6</w:t>
            </w:r>
          </w:p>
        </w:tc>
        <w:tc>
          <w:tcPr>
            <w:tcW w:w="2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84.2</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87.2</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85.6</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90.2</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128.0</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127.0</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(2.2 %)</w:t>
            </w:r>
          </w:p>
        </w:tc>
        <w:tc>
          <w:tcPr>
            <w:tcW w:w="100" w:type="dxa"/>
            <w:vAlign w:val="bottom"/>
          </w:tcPr>
          <w:p>
            <w:pPr>
              <w:spacing w:after="0"/>
              <w:rPr>
                <w:sz w:val="3"/>
                <w:szCs w:val="3"/>
                <w:color w:val="auto"/>
              </w:rPr>
            </w:pPr>
          </w:p>
        </w:tc>
        <w:tc>
          <w:tcPr>
            <w:tcW w:w="1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297.8</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304.5</w:t>
            </w:r>
          </w:p>
        </w:tc>
        <w:tc>
          <w:tcPr>
            <w:tcW w:w="2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CRM</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5.3</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98.3</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104.4</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21.6</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(5.7 %)</w:t>
            </w:r>
          </w:p>
        </w:tc>
        <w:tc>
          <w:tcPr>
            <w:tcW w:w="100" w:type="dxa"/>
            <w:vAlign w:val="bottom"/>
          </w:tcPr>
          <w:p>
            <w:pPr>
              <w:spacing w:after="0"/>
              <w:rPr>
                <w:sz w:val="3"/>
                <w:szCs w:val="3"/>
                <w:color w:val="auto"/>
              </w:rPr>
            </w:pPr>
          </w:p>
        </w:tc>
        <w:tc>
          <w:tcPr>
            <w:tcW w:w="19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(3.3 %)</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123.8</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131.3</w:t>
            </w:r>
          </w:p>
        </w:tc>
        <w:tc>
          <w:tcPr>
            <w:tcW w:w="2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155.1</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146.0</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15.7</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9.6</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7.5 %</w:t>
            </w:r>
          </w:p>
        </w:tc>
        <w:tc>
          <w:tcPr>
            <w:tcW w:w="100" w:type="dxa"/>
            <w:vAlign w:val="bottom"/>
          </w:tcPr>
          <w:p>
            <w:pPr>
              <w:spacing w:after="0"/>
              <w:rPr>
                <w:sz w:val="3"/>
                <w:szCs w:val="3"/>
                <w:color w:val="auto"/>
              </w:rPr>
            </w:pPr>
          </w:p>
        </w:tc>
        <w:tc>
          <w:tcPr>
            <w:tcW w:w="1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184.2</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171.4</w:t>
            </w:r>
          </w:p>
        </w:tc>
        <w:tc>
          <w:tcPr>
            <w:tcW w:w="2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N/A</w:t>
            </w:r>
          </w:p>
        </w:tc>
        <w:tc>
          <w:tcPr>
            <w:tcW w:w="1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360" w:type="dxa"/>
            <w:vAlign w:val="bottom"/>
          </w:tcPr>
          <w:p>
            <w:pPr>
              <w:jc w:val="right"/>
              <w:spacing w:after="0"/>
              <w:rPr>
                <w:sz w:val="20"/>
                <w:szCs w:val="20"/>
                <w:color w:val="auto"/>
              </w:rPr>
            </w:pPr>
            <w:r>
              <w:rPr>
                <w:rFonts w:ascii="Arial" w:cs="Arial" w:eastAsia="Arial" w:hAnsi="Arial"/>
                <w:sz w:val="18"/>
                <w:szCs w:val="18"/>
                <w:color w:val="auto"/>
              </w:rPr>
              <w:t>243.9</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238.5</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201.4</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210.5</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4"/>
                <w:szCs w:val="24"/>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84"/>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161.2</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159.0</w:t>
            </w:r>
          </w:p>
        </w:tc>
        <w:tc>
          <w:tcPr>
            <w:tcW w:w="2000" w:type="dxa"/>
            <w:vAlign w:val="bottom"/>
            <w:gridSpan w:val="2"/>
          </w:tcPr>
          <w:p>
            <w:pPr>
              <w:jc w:val="right"/>
              <w:ind w:right="17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41"/>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$606.5</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$608.0</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(0.3 %)</w:t>
            </w:r>
          </w:p>
        </w:tc>
        <w:tc>
          <w:tcPr>
            <w:tcW w:w="100" w:type="dxa"/>
            <w:vAlign w:val="bottom"/>
          </w:tcPr>
          <w:p>
            <w:pPr>
              <w:spacing w:after="0"/>
              <w:rPr>
                <w:sz w:val="21"/>
                <w:szCs w:val="21"/>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ectPr>
          <w:pgSz w:w="11900" w:h="16838" w:orient="portrait"/>
          <w:cols w:equalWidth="0" w:num="1">
            <w:col w:w="11080"/>
          </w:cols>
          <w:pgMar w:left="460" w:top="733" w:right="359" w:bottom="1131"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80"/>
          </w:cols>
          <w:pgMar w:left="460" w:top="733" w:right="359" w:bottom="1131" w:gutter="0" w:footer="0" w:header="0"/>
          <w:type w:val="continuous"/>
        </w:sectPr>
      </w:pPr>
    </w:p>
    <w:bookmarkStart w:id="12" w:name="page13"/>
    <w:bookmarkEnd w:id="12"/>
    <w:p>
      <w:pPr>
        <w:ind w:left="360"/>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left="360" w:right="4940"/>
        <w:spacing w:after="0" w:line="37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24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17"/>
        </w:trPr>
        <w:tc>
          <w:tcPr>
            <w:tcW w:w="6180" w:type="dxa"/>
            <w:vAlign w:val="bottom"/>
            <w:gridSpan w:val="2"/>
          </w:tcPr>
          <w:p>
            <w:pPr>
              <w:ind w:left="580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406"/>
        </w:trPr>
        <w:tc>
          <w:tcPr>
            <w:tcW w:w="618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00" w:type="dxa"/>
            <w:vAlign w:val="bottom"/>
          </w:tcPr>
          <w:p>
            <w:pPr>
              <w:jc w:val="right"/>
              <w:spacing w:after="0"/>
              <w:rPr>
                <w:sz w:val="20"/>
                <w:szCs w:val="20"/>
                <w:color w:val="auto"/>
              </w:rPr>
            </w:pPr>
            <w:r>
              <w:rPr>
                <w:rFonts w:ascii="Arial" w:cs="Arial" w:eastAsia="Arial" w:hAnsi="Arial"/>
                <w:sz w:val="16"/>
                <w:szCs w:val="16"/>
                <w:color w:val="auto"/>
              </w:rPr>
              <w:t>$321.4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Cost of sales</w:t>
            </w:r>
          </w:p>
        </w:tc>
        <w:tc>
          <w:tcPr>
            <w:tcW w:w="600" w:type="dxa"/>
            <w:vAlign w:val="bottom"/>
          </w:tcPr>
          <w:p>
            <w:pPr>
              <w:jc w:val="right"/>
              <w:spacing w:after="0"/>
              <w:rPr>
                <w:sz w:val="20"/>
                <w:szCs w:val="20"/>
                <w:color w:val="auto"/>
              </w:rPr>
            </w:pPr>
            <w:r>
              <w:rPr>
                <w:rFonts w:ascii="Arial" w:cs="Arial" w:eastAsia="Arial" w:hAnsi="Arial"/>
                <w:sz w:val="16"/>
                <w:szCs w:val="16"/>
                <w:color w:val="auto"/>
              </w:rPr>
              <w:t>108.9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Product remediation</w:t>
            </w: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00" w:type="dxa"/>
            <w:vAlign w:val="bottom"/>
          </w:tcPr>
          <w:p>
            <w:pPr>
              <w:jc w:val="right"/>
              <w:spacing w:after="0"/>
              <w:rPr>
                <w:sz w:val="20"/>
                <w:szCs w:val="20"/>
                <w:color w:val="auto"/>
              </w:rPr>
            </w:pPr>
            <w:r>
              <w:rPr>
                <w:rFonts w:ascii="Arial" w:cs="Arial" w:eastAsia="Arial" w:hAnsi="Arial"/>
                <w:sz w:val="16"/>
                <w:szCs w:val="16"/>
                <w:color w:val="auto"/>
              </w:rPr>
              <w:t>210.8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189.6</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11.2 %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79"/>
        </w:trPr>
        <w:tc>
          <w:tcPr>
            <w:tcW w:w="61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6"/>
                <w:szCs w:val="16"/>
                <w:color w:val="auto"/>
              </w:rPr>
              <w:t>120.4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Merger and integration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Restructuring expense</w:t>
            </w: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Amortization of intangibles</w:t>
            </w:r>
          </w:p>
        </w:tc>
        <w:tc>
          <w:tcPr>
            <w:tcW w:w="60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00" w:type="dxa"/>
            <w:vAlign w:val="bottom"/>
          </w:tcPr>
          <w:p>
            <w:pPr>
              <w:jc w:val="right"/>
              <w:spacing w:after="0"/>
              <w:rPr>
                <w:sz w:val="20"/>
                <w:szCs w:val="20"/>
                <w:color w:val="auto"/>
              </w:rPr>
            </w:pPr>
            <w:r>
              <w:rPr>
                <w:rFonts w:ascii="Arial" w:cs="Arial" w:eastAsia="Arial" w:hAnsi="Arial"/>
                <w:sz w:val="16"/>
                <w:szCs w:val="16"/>
                <w:color w:val="auto"/>
              </w:rPr>
              <w:t>179.7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167.6</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7.2 %</w:t>
            </w:r>
          </w:p>
        </w:tc>
      </w:tr>
      <w:tr>
        <w:trPr>
          <w:trHeight w:val="47"/>
        </w:trPr>
        <w:tc>
          <w:tcPr>
            <w:tcW w:w="61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gridSpan w:val="3"/>
          </w:tcPr>
          <w:p>
            <w:pPr>
              <w:spacing w:after="0"/>
              <w:rPr>
                <w:sz w:val="4"/>
                <w:szCs w:val="4"/>
                <w:color w:val="auto"/>
              </w:rPr>
            </w:pPr>
          </w:p>
        </w:tc>
      </w:tr>
      <w:tr>
        <w:trPr>
          <w:trHeight w:val="183"/>
        </w:trPr>
        <w:tc>
          <w:tcPr>
            <w:tcW w:w="4980" w:type="dxa"/>
            <w:vAlign w:val="bottom"/>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42.0 %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52"/>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Interest expense, net</w:t>
            </w: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Gain on acquisition of Caisson</w:t>
            </w:r>
          </w:p>
        </w:tc>
        <w:tc>
          <w:tcPr>
            <w:tcW w:w="60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Foreign exchange and other - gain (loss)</w:t>
            </w: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216.7 %</w:t>
            </w: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79"/>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Losses from equity method investments</w:t>
            </w:r>
          </w:p>
        </w:tc>
        <w:tc>
          <w:tcPr>
            <w:tcW w:w="600" w:type="dxa"/>
            <w:vAlign w:val="bottom"/>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Income tax expense (benefit)</w:t>
            </w: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7"/>
        </w:trPr>
        <w:tc>
          <w:tcPr>
            <w:tcW w:w="49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31"/>
        </w:trPr>
        <w:tc>
          <w:tcPr>
            <w:tcW w:w="61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00" w:type="dxa"/>
            <w:vAlign w:val="bottom"/>
          </w:tcPr>
          <w:p>
            <w:pPr>
              <w:jc w:val="right"/>
              <w:spacing w:after="0"/>
              <w:rPr>
                <w:sz w:val="20"/>
                <w:szCs w:val="20"/>
                <w:color w:val="auto"/>
              </w:rPr>
            </w:pPr>
            <w:r>
              <w:rPr>
                <w:rFonts w:ascii="Arial" w:cs="Arial" w:eastAsia="Arial" w:hAnsi="Arial"/>
                <w:sz w:val="16"/>
                <w:szCs w:val="16"/>
                <w:color w:val="auto"/>
              </w:rPr>
              <w:t>$47.5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427.8 %</w:t>
            </w:r>
          </w:p>
        </w:tc>
      </w:tr>
      <w:tr>
        <w:trPr>
          <w:trHeight w:val="33"/>
        </w:trPr>
        <w:tc>
          <w:tcPr>
            <w:tcW w:w="49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66"/>
        </w:trPr>
        <w:tc>
          <w:tcPr>
            <w:tcW w:w="6180" w:type="dxa"/>
            <w:vAlign w:val="bottom"/>
            <w:gridSpan w:val="2"/>
          </w:tcPr>
          <w:p>
            <w:pPr>
              <w:spacing w:after="0"/>
              <w:rPr>
                <w:sz w:val="20"/>
                <w:szCs w:val="20"/>
                <w:color w:val="auto"/>
              </w:rPr>
            </w:pPr>
            <w:r>
              <w:rPr>
                <w:rFonts w:ascii="Arial" w:cs="Arial" w:eastAsia="Arial" w:hAnsi="Arial"/>
                <w:sz w:val="16"/>
                <w:szCs w:val="16"/>
                <w:color w:val="auto"/>
              </w:rPr>
              <w:t>Earnings Per Common Share: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600" w:type="dxa"/>
            <w:vAlign w:val="bottom"/>
          </w:tcPr>
          <w:p>
            <w:pPr>
              <w:jc w:val="right"/>
              <w:spacing w:after="0"/>
              <w:rPr>
                <w:sz w:val="20"/>
                <w:szCs w:val="20"/>
                <w:color w:val="auto"/>
              </w:rPr>
            </w:pPr>
            <w:r>
              <w:rPr>
                <w:rFonts w:ascii="Arial" w:cs="Arial" w:eastAsia="Arial" w:hAnsi="Arial"/>
                <w:sz w:val="16"/>
                <w:szCs w:val="16"/>
                <w:color w:val="auto"/>
              </w:rPr>
              <w:t>$0.99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600" w:type="dxa"/>
            <w:vAlign w:val="bottom"/>
          </w:tcPr>
          <w:p>
            <w:pPr>
              <w:jc w:val="right"/>
              <w:spacing w:after="0"/>
              <w:rPr>
                <w:sz w:val="20"/>
                <w:szCs w:val="20"/>
                <w:color w:val="auto"/>
              </w:rPr>
            </w:pPr>
            <w:r>
              <w:rPr>
                <w:rFonts w:ascii="Arial" w:cs="Arial" w:eastAsia="Arial" w:hAnsi="Arial"/>
                <w:sz w:val="16"/>
                <w:szCs w:val="16"/>
                <w:color w:val="auto"/>
              </w:rPr>
              <w:t>$0.98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60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61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600" w:type="dxa"/>
            <w:vAlign w:val="bottom"/>
          </w:tcPr>
          <w:p>
            <w:pPr>
              <w:jc w:val="right"/>
              <w:spacing w:after="0"/>
              <w:rPr>
                <w:sz w:val="20"/>
                <w:szCs w:val="20"/>
                <w:color w:val="auto"/>
              </w:rPr>
            </w:pPr>
            <w:r>
              <w:rPr>
                <w:rFonts w:ascii="Arial" w:cs="Arial" w:eastAsia="Arial" w:hAnsi="Arial"/>
                <w:sz w:val="16"/>
                <w:szCs w:val="16"/>
                <w:color w:val="auto"/>
              </w:rPr>
              <w:t>48.3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509"/>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$214.0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$209.0</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2.4 %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116.3</w:t>
            </w:r>
          </w:p>
        </w:tc>
        <w:tc>
          <w:tcPr>
            <w:tcW w:w="1840" w:type="dxa"/>
            <w:vAlign w:val="bottom"/>
            <w:gridSpan w:val="3"/>
          </w:tcPr>
          <w:p>
            <w:pPr>
              <w:jc w:val="right"/>
              <w:ind w:right="119"/>
              <w:spacing w:after="0"/>
              <w:rPr>
                <w:sz w:val="20"/>
                <w:szCs w:val="20"/>
                <w:color w:val="auto"/>
              </w:rPr>
            </w:pPr>
            <w:r>
              <w:rPr>
                <w:rFonts w:ascii="Arial" w:cs="Arial" w:eastAsia="Arial" w:hAnsi="Arial"/>
                <w:sz w:val="16"/>
                <w:szCs w:val="16"/>
                <w:color w:val="auto"/>
              </w:rPr>
              <w:t>(3.8 %)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5.7 %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70.3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62.8</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11.9 %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48.8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43.0</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13.5 %</w:t>
            </w:r>
          </w:p>
        </w:tc>
      </w:tr>
      <w:tr>
        <w:trPr>
          <w:trHeight w:val="297"/>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$0.87</w:t>
            </w:r>
          </w:p>
        </w:tc>
        <w:tc>
          <w:tcPr>
            <w:tcW w:w="1840" w:type="dxa"/>
            <w:vAlign w:val="bottom"/>
            <w:gridSpan w:val="3"/>
          </w:tcPr>
          <w:p>
            <w:pPr>
              <w:jc w:val="right"/>
              <w:ind w:right="179"/>
              <w:spacing w:after="0"/>
              <w:rPr>
                <w:sz w:val="20"/>
                <w:szCs w:val="20"/>
                <w:color w:val="auto"/>
              </w:rPr>
            </w:pPr>
            <w:r>
              <w:rPr>
                <w:rFonts w:ascii="Arial" w:cs="Arial" w:eastAsia="Arial" w:hAnsi="Arial"/>
                <w:sz w:val="16"/>
                <w:szCs w:val="16"/>
                <w:color w:val="auto"/>
              </w:rPr>
              <w:t>16.1 %</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60" w:type="dxa"/>
            <w:vAlign w:val="bottom"/>
          </w:tcPr>
          <w:p>
            <w:pPr>
              <w:spacing w:after="0"/>
              <w:rPr>
                <w:sz w:val="23"/>
                <w:szCs w:val="23"/>
                <w:color w:val="auto"/>
              </w:rPr>
            </w:pPr>
          </w:p>
        </w:tc>
        <w:tc>
          <w:tcPr>
            <w:tcW w:w="3340" w:type="dxa"/>
            <w:vAlign w:val="bottom"/>
            <w:gridSpan w:val="4"/>
          </w:tcPr>
          <w:p>
            <w:pPr>
              <w:jc w:val="right"/>
              <w:ind w:right="100"/>
              <w:spacing w:after="0"/>
              <w:rPr>
                <w:sz w:val="20"/>
                <w:szCs w:val="20"/>
                <w:color w:val="auto"/>
              </w:rPr>
            </w:pPr>
            <w:r>
              <w:rPr>
                <w:rFonts w:ascii="Arial" w:cs="Arial" w:eastAsia="Arial" w:hAnsi="Arial"/>
                <w:sz w:val="16"/>
                <w:szCs w:val="16"/>
                <w:color w:val="auto"/>
              </w:rPr>
              <w:t>GAAP Three Months Ended June 30,</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60" w:type="dxa"/>
            <w:vAlign w:val="bottom"/>
            <w:gridSpan w:val="4"/>
          </w:tcPr>
          <w:p>
            <w:pPr>
              <w:jc w:val="right"/>
              <w:ind w:right="35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June 30,</w:t>
            </w:r>
          </w:p>
        </w:tc>
      </w:tr>
      <w:tr>
        <w:trPr>
          <w:trHeight w:val="195"/>
        </w:trPr>
        <w:tc>
          <w:tcPr>
            <w:tcW w:w="4520" w:type="dxa"/>
            <w:vAlign w:val="bottom"/>
            <w:gridSpan w:val="2"/>
          </w:tcPr>
          <w:p>
            <w:pPr>
              <w:ind w:left="4060"/>
              <w:spacing w:after="0"/>
              <w:rPr>
                <w:sz w:val="20"/>
                <w:szCs w:val="20"/>
                <w:color w:val="auto"/>
              </w:rPr>
            </w:pPr>
            <w:r>
              <w:rPr>
                <w:rFonts w:ascii="Arial" w:cs="Arial" w:eastAsia="Arial" w:hAnsi="Arial"/>
                <w:sz w:val="16"/>
                <w:szCs w:val="16"/>
                <w:color w:val="auto"/>
              </w:rPr>
              <w:t>2017</w:t>
            </w:r>
          </w:p>
        </w:tc>
        <w:tc>
          <w:tcPr>
            <w:tcW w:w="2080" w:type="dxa"/>
            <w:vAlign w:val="bottom"/>
            <w:gridSpan w:val="3"/>
          </w:tcPr>
          <w:p>
            <w:pPr>
              <w:jc w:val="right"/>
              <w:ind w:right="100"/>
              <w:spacing w:after="0"/>
              <w:rPr>
                <w:sz w:val="20"/>
                <w:szCs w:val="20"/>
                <w:color w:val="auto"/>
              </w:rPr>
            </w:pPr>
            <w:r>
              <w:rPr>
                <w:rFonts w:ascii="Arial" w:cs="Arial" w:eastAsia="Arial" w:hAnsi="Arial"/>
                <w:sz w:val="16"/>
                <w:szCs w:val="16"/>
                <w:color w:val="auto"/>
              </w:rPr>
              <w:t>2016</w:t>
            </w:r>
          </w:p>
        </w:tc>
        <w:tc>
          <w:tcPr>
            <w:tcW w:w="2060" w:type="dxa"/>
            <w:vAlign w:val="bottom"/>
            <w:gridSpan w:val="3"/>
          </w:tcPr>
          <w:p>
            <w:pPr>
              <w:jc w:val="right"/>
              <w:ind w:right="19"/>
              <w:spacing w:after="0"/>
              <w:rPr>
                <w:sz w:val="20"/>
                <w:szCs w:val="20"/>
                <w:color w:val="auto"/>
              </w:rPr>
            </w:pPr>
            <w:r>
              <w:rPr>
                <w:rFonts w:ascii="Arial" w:cs="Arial" w:eastAsia="Arial" w:hAnsi="Arial"/>
                <w:sz w:val="16"/>
                <w:szCs w:val="16"/>
                <w:color w:val="auto"/>
              </w:rPr>
              <w:t>2017</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right"/>
              <w:ind w:right="679"/>
              <w:spacing w:after="0"/>
              <w:rPr>
                <w:sz w:val="20"/>
                <w:szCs w:val="20"/>
                <w:color w:val="auto"/>
              </w:rPr>
            </w:pPr>
            <w:r>
              <w:rPr>
                <w:rFonts w:ascii="Arial" w:cs="Arial" w:eastAsia="Arial" w:hAnsi="Arial"/>
                <w:sz w:val="16"/>
                <w:szCs w:val="16"/>
                <w:color w:val="auto"/>
              </w:rPr>
              <w:t>2016</w:t>
            </w:r>
          </w:p>
        </w:tc>
      </w:tr>
      <w:tr>
        <w:trPr>
          <w:trHeight w:val="47"/>
        </w:trPr>
        <w:tc>
          <w:tcPr>
            <w:tcW w:w="32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80" w:type="dxa"/>
            <w:vAlign w:val="bottom"/>
          </w:tcPr>
          <w:p>
            <w:pPr>
              <w:jc w:val="right"/>
              <w:spacing w:after="0"/>
              <w:rPr>
                <w:sz w:val="20"/>
                <w:szCs w:val="20"/>
                <w:color w:val="auto"/>
              </w:rPr>
            </w:pPr>
            <w:r>
              <w:rPr>
                <w:rFonts w:ascii="Arial" w:cs="Arial" w:eastAsia="Arial" w:hAnsi="Arial"/>
                <w:sz w:val="16"/>
                <w:szCs w:val="16"/>
                <w:color w:val="auto"/>
              </w:rPr>
              <w:t>65.6 %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59.0 %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66.6 %</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65.1 %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80" w:type="dxa"/>
            <w:vAlign w:val="bottom"/>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36.2 %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R&amp;D</w:t>
            </w:r>
          </w:p>
        </w:tc>
        <w:tc>
          <w:tcPr>
            <w:tcW w:w="680" w:type="dxa"/>
            <w:vAlign w:val="bottom"/>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19.5 %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70"/>
        </w:trPr>
        <w:tc>
          <w:tcPr>
            <w:tcW w:w="452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40.3 %</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25.9 %</w:t>
            </w:r>
          </w:p>
        </w:tc>
      </w:tr>
    </w:tbl>
    <w:p>
      <w:pPr>
        <w:spacing w:after="0" w:line="267" w:lineRule="exact"/>
        <w:rPr>
          <w:sz w:val="20"/>
          <w:szCs w:val="20"/>
          <w:color w:val="auto"/>
        </w:rPr>
      </w:pPr>
    </w:p>
    <w:p>
      <w:pPr>
        <w:ind w:left="460" w:right="280" w:hanging="363"/>
        <w:spacing w:after="0" w:line="25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60" w:hanging="303"/>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1340"/>
          </w:cols>
          <w:pgMar w:left="320" w:top="733" w:right="239" w:bottom="154"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59" w:right="1440" w:bottom="1440" w:gutter="0" w:footer="0" w:header="0"/>
        </w:sectPr>
      </w:pPr>
    </w:p>
    <w:bookmarkStart w:id="14" w:name="page15"/>
    <w:bookmarkEnd w:id="14"/>
    <w:p>
      <w:pPr>
        <w:ind w:left="100"/>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left="100" w:right="4540"/>
        <w:spacing w:after="0" w:line="37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2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r>
      <w:tr>
        <w:trPr>
          <w:trHeight w:val="217"/>
        </w:trPr>
        <w:tc>
          <w:tcPr>
            <w:tcW w:w="6280" w:type="dxa"/>
            <w:vAlign w:val="bottom"/>
            <w:gridSpan w:val="2"/>
          </w:tcPr>
          <w:p>
            <w:pPr>
              <w:ind w:left="582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406"/>
        </w:trPr>
        <w:tc>
          <w:tcPr>
            <w:tcW w:w="628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520" w:type="dxa"/>
            <w:vAlign w:val="bottom"/>
          </w:tcPr>
          <w:p>
            <w:pPr>
              <w:jc w:val="right"/>
              <w:spacing w:after="0"/>
              <w:rPr>
                <w:sz w:val="20"/>
                <w:szCs w:val="20"/>
                <w:color w:val="auto"/>
              </w:rPr>
            </w:pPr>
            <w:r>
              <w:rPr>
                <w:rFonts w:ascii="Arial" w:cs="Arial" w:eastAsia="Arial" w:hAnsi="Arial"/>
                <w:sz w:val="16"/>
                <w:szCs w:val="16"/>
                <w:color w:val="auto"/>
              </w:rPr>
              <w:t>606.5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608.0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Cost of sales</w:t>
            </w:r>
          </w:p>
        </w:tc>
        <w:tc>
          <w:tcPr>
            <w:tcW w:w="520" w:type="dxa"/>
            <w:vAlign w:val="bottom"/>
          </w:tcPr>
          <w:p>
            <w:pPr>
              <w:jc w:val="right"/>
              <w:spacing w:after="0"/>
              <w:rPr>
                <w:sz w:val="20"/>
                <w:szCs w:val="20"/>
                <w:color w:val="auto"/>
              </w:rPr>
            </w:pPr>
            <w:r>
              <w:rPr>
                <w:rFonts w:ascii="Arial" w:cs="Arial" w:eastAsia="Arial" w:hAnsi="Arial"/>
                <w:sz w:val="16"/>
                <w:szCs w:val="16"/>
                <w:color w:val="auto"/>
              </w:rPr>
              <w:t>210.4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Product remediation</w:t>
            </w: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520" w:type="dxa"/>
            <w:vAlign w:val="bottom"/>
          </w:tcPr>
          <w:p>
            <w:pPr>
              <w:jc w:val="right"/>
              <w:spacing w:after="0"/>
              <w:rPr>
                <w:sz w:val="20"/>
                <w:szCs w:val="20"/>
                <w:color w:val="auto"/>
              </w:rPr>
            </w:pPr>
            <w:r>
              <w:rPr>
                <w:rFonts w:ascii="Arial" w:cs="Arial" w:eastAsia="Arial" w:hAnsi="Arial"/>
                <w:sz w:val="16"/>
                <w:szCs w:val="16"/>
                <w:color w:val="auto"/>
              </w:rPr>
              <w:t>395.2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379"/>
        </w:trPr>
        <w:tc>
          <w:tcPr>
            <w:tcW w:w="6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Selling, general and administrative</w:t>
            </w:r>
          </w:p>
        </w:tc>
        <w:tc>
          <w:tcPr>
            <w:tcW w:w="520" w:type="dxa"/>
            <w:vAlign w:val="bottom"/>
          </w:tcPr>
          <w:p>
            <w:pPr>
              <w:jc w:val="right"/>
              <w:spacing w:after="0"/>
              <w:rPr>
                <w:sz w:val="20"/>
                <w:szCs w:val="20"/>
                <w:color w:val="auto"/>
              </w:rPr>
            </w:pPr>
            <w:r>
              <w:rPr>
                <w:rFonts w:ascii="Arial" w:cs="Arial" w:eastAsia="Arial" w:hAnsi="Arial"/>
                <w:sz w:val="16"/>
                <w:szCs w:val="16"/>
                <w:color w:val="auto"/>
              </w:rPr>
              <w:t>232.8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236.5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6"/>
                <w:szCs w:val="16"/>
                <w:color w:val="auto"/>
              </w:rPr>
              <w:t>72.7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Merger and integration expense</w:t>
            </w: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Restructuring expense</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Amortization of intangibles</w:t>
            </w:r>
          </w:p>
        </w:tc>
        <w:tc>
          <w:tcPr>
            <w:tcW w:w="52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520" w:type="dxa"/>
            <w:vAlign w:val="bottom"/>
          </w:tcPr>
          <w:p>
            <w:pPr>
              <w:jc w:val="right"/>
              <w:spacing w:after="0"/>
              <w:rPr>
                <w:sz w:val="20"/>
                <w:szCs w:val="20"/>
                <w:color w:val="auto"/>
              </w:rPr>
            </w:pPr>
            <w:r>
              <w:rPr>
                <w:rFonts w:ascii="Arial" w:cs="Arial" w:eastAsia="Arial" w:hAnsi="Arial"/>
                <w:sz w:val="16"/>
                <w:szCs w:val="16"/>
                <w:color w:val="auto"/>
              </w:rPr>
              <w:t>345.5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47"/>
        </w:trPr>
        <w:tc>
          <w:tcPr>
            <w:tcW w:w="6280" w:type="dxa"/>
            <w:vAlign w:val="bottom"/>
            <w:gridSpan w:val="2"/>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183"/>
        </w:trPr>
        <w:tc>
          <w:tcPr>
            <w:tcW w:w="5040" w:type="dxa"/>
            <w:vAlign w:val="bottom"/>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520" w:type="dxa"/>
            <w:vAlign w:val="bottom"/>
          </w:tcPr>
          <w:p>
            <w:pPr>
              <w:jc w:val="right"/>
              <w:spacing w:after="0"/>
              <w:rPr>
                <w:sz w:val="20"/>
                <w:szCs w:val="20"/>
                <w:color w:val="auto"/>
              </w:rPr>
            </w:pPr>
            <w:r>
              <w:rPr>
                <w:rFonts w:ascii="Arial" w:cs="Arial" w:eastAsia="Arial" w:hAnsi="Arial"/>
                <w:sz w:val="16"/>
                <w:szCs w:val="16"/>
                <w:color w:val="auto"/>
              </w:rPr>
              <w:t>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450.0</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352"/>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Gain on acquisition of Caisson</w:t>
            </w:r>
          </w:p>
        </w:tc>
        <w:tc>
          <w:tcPr>
            <w:tcW w:w="52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Foreign exchange and other - gain (loss)</w:t>
            </w: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520" w:type="dxa"/>
            <w:vAlign w:val="bottom"/>
          </w:tcPr>
          <w:p>
            <w:pPr>
              <w:jc w:val="right"/>
              <w:spacing w:after="0"/>
              <w:rPr>
                <w:sz w:val="20"/>
                <w:szCs w:val="20"/>
                <w:color w:val="auto"/>
              </w:rPr>
            </w:pPr>
            <w:r>
              <w:rPr>
                <w:rFonts w:ascii="Arial" w:cs="Arial" w:eastAsia="Arial" w:hAnsi="Arial"/>
                <w:sz w:val="16"/>
                <w:szCs w:val="16"/>
                <w:color w:val="auto"/>
              </w:rPr>
              <w:t>86.2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578.9</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379"/>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Losses from equity method investments</w:t>
            </w: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Income tax expense</w:t>
            </w: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7"/>
        </w:trPr>
        <w:tc>
          <w:tcPr>
            <w:tcW w:w="50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52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287.3</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66"/>
        </w:trPr>
        <w:tc>
          <w:tcPr>
            <w:tcW w:w="6280" w:type="dxa"/>
            <w:vAlign w:val="bottom"/>
            <w:gridSpan w:val="2"/>
          </w:tcPr>
          <w:p>
            <w:pPr>
              <w:spacing w:after="0"/>
              <w:rPr>
                <w:sz w:val="20"/>
                <w:szCs w:val="20"/>
                <w:color w:val="auto"/>
              </w:rPr>
            </w:pPr>
            <w:r>
              <w:rPr>
                <w:rFonts w:ascii="Arial" w:cs="Arial" w:eastAsia="Arial" w:hAnsi="Arial"/>
                <w:sz w:val="16"/>
                <w:szCs w:val="16"/>
                <w:color w:val="auto"/>
              </w:rPr>
              <w:t>Earnings (Loss) Per Common Share:</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Basic</w:t>
            </w:r>
          </w:p>
        </w:tc>
        <w:tc>
          <w:tcPr>
            <w:tcW w:w="52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6280" w:type="dxa"/>
            <w:vAlign w:val="bottom"/>
            <w:gridSpan w:val="2"/>
          </w:tcPr>
          <w:p>
            <w:pPr>
              <w:ind w:left="640"/>
              <w:spacing w:after="0"/>
              <w:rPr>
                <w:sz w:val="20"/>
                <w:szCs w:val="20"/>
                <w:color w:val="auto"/>
              </w:rPr>
            </w:pPr>
            <w:r>
              <w:rPr>
                <w:rFonts w:ascii="Arial" w:cs="Arial" w:eastAsia="Arial" w:hAnsi="Arial"/>
                <w:sz w:val="16"/>
                <w:szCs w:val="16"/>
                <w:color w:val="auto"/>
              </w:rPr>
              <w:t>Diluted</w:t>
            </w:r>
          </w:p>
        </w:tc>
        <w:tc>
          <w:tcPr>
            <w:tcW w:w="520" w:type="dxa"/>
            <w:vAlign w:val="bottom"/>
          </w:tcPr>
          <w:p>
            <w:pPr>
              <w:jc w:val="right"/>
              <w:spacing w:after="0"/>
              <w:rPr>
                <w:sz w:val="20"/>
                <w:szCs w:val="20"/>
                <w:color w:val="auto"/>
              </w:rPr>
            </w:pPr>
            <w:r>
              <w:rPr>
                <w:rFonts w:ascii="Arial" w:cs="Arial" w:eastAsia="Arial" w:hAnsi="Arial"/>
                <w:sz w:val="16"/>
                <w:szCs w:val="16"/>
                <w:color w:val="auto"/>
              </w:rPr>
              <w:t>48.2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09"/>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399.0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7"/>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218.7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7"/>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61.2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7"/>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Operations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119.1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7"/>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83.0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97"/>
        </w:trPr>
        <w:tc>
          <w:tcPr>
            <w:tcW w:w="628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w:t>
            </w:r>
          </w:p>
        </w:tc>
        <w:tc>
          <w:tcPr>
            <w:tcW w:w="460" w:type="dxa"/>
            <w:vAlign w:val="bottom"/>
          </w:tcPr>
          <w:p>
            <w:pPr>
              <w:ind w:left="60"/>
              <w:spacing w:after="0"/>
              <w:rPr>
                <w:sz w:val="20"/>
                <w:szCs w:val="20"/>
                <w:color w:val="auto"/>
              </w:rPr>
            </w:pPr>
            <w:r>
              <w:rPr>
                <w:rFonts w:ascii="Arial" w:cs="Arial" w:eastAsia="Arial" w:hAnsi="Arial"/>
                <w:sz w:val="16"/>
                <w:szCs w:val="16"/>
                <w:color w:val="auto"/>
              </w:rPr>
              <w:t>%</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980" w:type="dxa"/>
            <w:vAlign w:val="bottom"/>
          </w:tcPr>
          <w:p>
            <w:pPr>
              <w:spacing w:after="0"/>
              <w:rPr>
                <w:sz w:val="23"/>
                <w:szCs w:val="23"/>
                <w:color w:val="auto"/>
              </w:rPr>
            </w:pPr>
          </w:p>
        </w:tc>
        <w:tc>
          <w:tcPr>
            <w:tcW w:w="3420" w:type="dxa"/>
            <w:vAlign w:val="bottom"/>
            <w:gridSpan w:val="5"/>
          </w:tcPr>
          <w:p>
            <w:pPr>
              <w:jc w:val="right"/>
              <w:ind w:right="199"/>
              <w:spacing w:after="0"/>
              <w:rPr>
                <w:sz w:val="20"/>
                <w:szCs w:val="20"/>
                <w:color w:val="auto"/>
              </w:rPr>
            </w:pPr>
            <w:r>
              <w:rPr>
                <w:rFonts w:ascii="Arial" w:cs="Arial" w:eastAsia="Arial" w:hAnsi="Arial"/>
                <w:sz w:val="16"/>
                <w:szCs w:val="16"/>
                <w:color w:val="auto"/>
              </w:rPr>
              <w:t>GAAP Six Months Ended June 30,</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60" w:type="dxa"/>
            <w:vAlign w:val="bottom"/>
            <w:gridSpan w:val="4"/>
          </w:tcPr>
          <w:p>
            <w:pPr>
              <w:jc w:val="right"/>
              <w:ind w:right="5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Six Months Ended June 30,</w:t>
            </w:r>
          </w:p>
        </w:tc>
        <w:tc>
          <w:tcPr>
            <w:tcW w:w="240" w:type="dxa"/>
            <w:vAlign w:val="bottom"/>
          </w:tcPr>
          <w:p>
            <w:pPr>
              <w:spacing w:after="0"/>
              <w:rPr>
                <w:sz w:val="23"/>
                <w:szCs w:val="23"/>
                <w:color w:val="auto"/>
              </w:rPr>
            </w:pPr>
          </w:p>
        </w:tc>
      </w:tr>
      <w:tr>
        <w:trPr>
          <w:trHeight w:val="195"/>
        </w:trPr>
        <w:tc>
          <w:tcPr>
            <w:tcW w:w="4140" w:type="dxa"/>
            <w:vAlign w:val="bottom"/>
            <w:gridSpan w:val="2"/>
          </w:tcPr>
          <w:p>
            <w:pPr>
              <w:ind w:left="3720"/>
              <w:spacing w:after="0"/>
              <w:rPr>
                <w:sz w:val="20"/>
                <w:szCs w:val="20"/>
                <w:color w:val="auto"/>
              </w:rPr>
            </w:pPr>
            <w:r>
              <w:rPr>
                <w:rFonts w:ascii="Arial" w:cs="Arial" w:eastAsia="Arial" w:hAnsi="Arial"/>
                <w:sz w:val="16"/>
                <w:szCs w:val="16"/>
                <w:color w:val="auto"/>
                <w:w w:val="99"/>
              </w:rPr>
              <w:t>2,017</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2,016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6"/>
                <w:szCs w:val="16"/>
                <w:color w:val="auto"/>
              </w:rPr>
            </w:pPr>
          </w:p>
        </w:tc>
      </w:tr>
      <w:tr>
        <w:trPr>
          <w:trHeight w:val="47"/>
        </w:trPr>
        <w:tc>
          <w:tcPr>
            <w:tcW w:w="29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17"/>
        </w:trPr>
        <w:tc>
          <w:tcPr>
            <w:tcW w:w="41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spacing w:after="0"/>
              <w:rPr>
                <w:sz w:val="20"/>
                <w:szCs w:val="20"/>
                <w:color w:val="auto"/>
              </w:rPr>
            </w:pPr>
            <w:r>
              <w:rPr>
                <w:rFonts w:ascii="Arial" w:cs="Arial" w:eastAsia="Arial" w:hAnsi="Arial"/>
                <w:sz w:val="16"/>
                <w:szCs w:val="16"/>
                <w:color w:val="auto"/>
              </w:rPr>
              <w:t>65.2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57.9</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SG&amp;A</w:t>
            </w:r>
          </w:p>
        </w:tc>
        <w:tc>
          <w:tcPr>
            <w:tcW w:w="400" w:type="dxa"/>
            <w:vAlign w:val="bottom"/>
          </w:tcPr>
          <w:p>
            <w:pPr>
              <w:jc w:val="right"/>
              <w:spacing w:after="0"/>
              <w:rPr>
                <w:sz w:val="20"/>
                <w:szCs w:val="20"/>
                <w:color w:val="auto"/>
              </w:rPr>
            </w:pPr>
            <w:r>
              <w:rPr>
                <w:rFonts w:ascii="Arial" w:cs="Arial" w:eastAsia="Arial" w:hAnsi="Arial"/>
                <w:sz w:val="16"/>
                <w:szCs w:val="16"/>
                <w:color w:val="auto"/>
              </w:rPr>
              <w:t>38.4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38.9</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R&amp;D</w:t>
            </w:r>
          </w:p>
        </w:tc>
        <w:tc>
          <w:tcPr>
            <w:tcW w:w="40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400" w:type="dxa"/>
            <w:vAlign w:val="bottom"/>
          </w:tcPr>
          <w:p>
            <w:pPr>
              <w:jc w:val="right"/>
              <w:spacing w:after="0"/>
              <w:rPr>
                <w:sz w:val="20"/>
                <w:szCs w:val="20"/>
                <w:color w:val="auto"/>
              </w:rPr>
            </w:pPr>
            <w:r>
              <w:rPr>
                <w:rFonts w:ascii="Arial" w:cs="Arial" w:eastAsia="Arial" w:hAnsi="Arial"/>
                <w:sz w:val="16"/>
                <w:szCs w:val="16"/>
                <w:color w:val="auto"/>
              </w:rPr>
              <w:t>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400" w:type="dxa"/>
            <w:vAlign w:val="bottom"/>
          </w:tcPr>
          <w:p>
            <w:pPr>
              <w:jc w:val="right"/>
              <w:spacing w:after="0"/>
              <w:rPr>
                <w:sz w:val="20"/>
                <w:szCs w:val="20"/>
                <w:color w:val="auto"/>
              </w:rPr>
            </w:pPr>
            <w:r>
              <w:rPr>
                <w:rFonts w:ascii="Arial" w:cs="Arial" w:eastAsia="Arial" w:hAnsi="Arial"/>
                <w:sz w:val="16"/>
                <w:szCs w:val="16"/>
                <w:color w:val="auto"/>
              </w:rPr>
              <w:t>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40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(39.8</w:t>
            </w:r>
          </w:p>
        </w:tc>
        <w:tc>
          <w:tcPr>
            <w:tcW w:w="48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67" w:lineRule="exact"/>
        <w:rPr>
          <w:sz w:val="20"/>
          <w:szCs w:val="20"/>
          <w:color w:val="auto"/>
        </w:rPr>
      </w:pPr>
    </w:p>
    <w:p>
      <w:pPr>
        <w:ind w:left="440" w:right="280" w:hanging="434"/>
        <w:spacing w:after="0" w:line="258" w:lineRule="auto"/>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4"/>
          <w:szCs w:val="14"/>
          <w:color w:val="auto"/>
        </w:rPr>
        <w:t>*  Numbers may not add up precisely due to rounding.</w:t>
      </w:r>
    </w:p>
    <w:p>
      <w:pPr>
        <w:sectPr>
          <w:pgSz w:w="11900" w:h="16838" w:orient="portrait"/>
          <w:cols w:equalWidth="0" w:num="1">
            <w:col w:w="10700"/>
          </w:cols>
          <w:pgMar w:left="640" w:top="733" w:right="559" w:bottom="37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9019"/>
          </w:cols>
          <w:pgMar w:left="1440" w:top="159" w:right="1440" w:bottom="1440" w:gutter="0" w:footer="0" w:header="0"/>
        </w:sectPr>
      </w:pPr>
    </w:p>
    <w:bookmarkStart w:id="16" w:name="page17"/>
    <w:bookmarkEnd w:id="16"/>
    <w:p>
      <w:pPr>
        <w:ind w:left="80" w:right="374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644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Income from</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80"/>
              <w:spacing w:after="0"/>
              <w:rPr>
                <w:sz w:val="20"/>
                <w:szCs w:val="20"/>
                <w:color w:val="auto"/>
              </w:rPr>
            </w:pPr>
            <w:r>
              <w:rPr>
                <w:rFonts w:ascii="Arial" w:cs="Arial" w:eastAsia="Arial" w:hAnsi="Arial"/>
                <w:sz w:val="16"/>
                <w:szCs w:val="16"/>
                <w:b w:val="1"/>
                <w:bCs w:val="1"/>
                <w:color w:val="auto"/>
              </w:rPr>
              <w:t>Three Months Ended June 30, 2017</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Operations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210.8</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31.1</w:t>
            </w:r>
          </w:p>
        </w:tc>
        <w:tc>
          <w:tcPr>
            <w:tcW w:w="112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2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Merger and integration expenses (A)</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Restructuring expenses (B)</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Depreciation and amortization (C)</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13.2</w:t>
            </w: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Product remediation (D)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Caisson acquisition (E)</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1120" w:type="dxa"/>
            <w:vAlign w:val="bottom"/>
          </w:tcPr>
          <w:p>
            <w:pPr>
              <w:jc w:val="right"/>
              <w:spacing w:after="0"/>
              <w:rPr>
                <w:sz w:val="20"/>
                <w:szCs w:val="20"/>
                <w:color w:val="auto"/>
              </w:rPr>
            </w:pPr>
            <w:r>
              <w:rPr>
                <w:rFonts w:ascii="Arial" w:cs="Arial" w:eastAsia="Arial" w:hAnsi="Arial"/>
                <w:sz w:val="16"/>
                <w:szCs w:val="16"/>
                <w:color w:val="auto"/>
              </w:rPr>
              <w:t>(30.1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Highlife impairment (F)</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Other Income / (expenses) &amp; litigations (G)</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Equity compensation (H)</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4.7</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Certain tax adjustments (I)</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0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02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214.0</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70.3</w:t>
            </w:r>
          </w:p>
        </w:tc>
        <w:tc>
          <w:tcPr>
            <w:tcW w:w="1120" w:type="dxa"/>
            <w:vAlign w:val="bottom"/>
          </w:tcPr>
          <w:p>
            <w:pPr>
              <w:jc w:val="right"/>
              <w:spacing w:after="0"/>
              <w:rPr>
                <w:sz w:val="20"/>
                <w:szCs w:val="20"/>
                <w:color w:val="auto"/>
              </w:rPr>
            </w:pPr>
            <w:r>
              <w:rPr>
                <w:rFonts w:ascii="Arial" w:cs="Arial" w:eastAsia="Arial" w:hAnsi="Arial"/>
                <w:sz w:val="16"/>
                <w:szCs w:val="16"/>
                <w:color w:val="auto"/>
              </w:rPr>
              <w:t>48.8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financial measures</w:t>
      </w:r>
    </w:p>
    <w:p>
      <w:pPr>
        <w:spacing w:after="0" w:line="109" w:lineRule="exact"/>
        <w:rPr>
          <w:sz w:val="20"/>
          <w:szCs w:val="20"/>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500" w:right="5500" w:hanging="423"/>
        <w:spacing w:after="0" w:line="183" w:lineRule="auto"/>
        <w:tabs>
          <w:tab w:leader="none" w:pos="500" w:val="left"/>
        </w:tabs>
        <w:numPr>
          <w:ilvl w:val="0"/>
          <w:numId w:val="5"/>
        </w:numPr>
        <w:rPr>
          <w:rFonts w:ascii="Arial" w:cs="Arial" w:eastAsia="Arial" w:hAnsi="Arial"/>
          <w:sz w:val="25"/>
          <w:szCs w:val="25"/>
          <w:color w:val="auto"/>
          <w:vertAlign w:val="subscript"/>
        </w:rPr>
      </w:pPr>
      <w:r>
        <w:rPr>
          <w:rFonts w:ascii="Arial" w:cs="Arial" w:eastAsia="Arial" w:hAnsi="Arial"/>
          <w:sz w:val="13"/>
          <w:szCs w:val="13"/>
          <w:color w:val="auto"/>
        </w:rPr>
        <w:t>Impact of Caisson related acquisition costs, including $10.9m related to R&amp;D and $1.0m related to merger and integration costs</w:t>
      </w:r>
    </w:p>
    <w:p>
      <w:pPr>
        <w:spacing w:after="0" w:line="71" w:lineRule="exact"/>
        <w:rPr>
          <w:rFonts w:ascii="Arial" w:cs="Arial" w:eastAsia="Arial" w:hAnsi="Arial"/>
          <w:sz w:val="25"/>
          <w:szCs w:val="25"/>
          <w:color w:val="auto"/>
          <w:vertAlign w:val="subscript"/>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Impairment of investments and net receivables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Legal expense related to 3T Heater-Cooler defense and other matters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$4.4m related to SG&amp;A, $0.3m related to R&amp;D, and less than $0.1m related to COGS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449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Income from</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80"/>
              <w:spacing w:after="0"/>
              <w:rPr>
                <w:sz w:val="20"/>
                <w:szCs w:val="20"/>
                <w:color w:val="auto"/>
              </w:rPr>
            </w:pPr>
            <w:r>
              <w:rPr>
                <w:rFonts w:ascii="Arial" w:cs="Arial" w:eastAsia="Arial" w:hAnsi="Arial"/>
                <w:sz w:val="16"/>
                <w:szCs w:val="16"/>
                <w:b w:val="1"/>
                <w:bCs w:val="1"/>
                <w:color w:val="auto"/>
              </w:rPr>
              <w:t>Three Months Ended June 30, 2016</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Operations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80"/>
              <w:spacing w:after="0"/>
              <w:rPr>
                <w:sz w:val="20"/>
                <w:szCs w:val="20"/>
                <w:color w:val="auto"/>
              </w:rPr>
            </w:pPr>
            <w:r>
              <w:rPr>
                <w:rFonts w:ascii="Arial" w:cs="Arial" w:eastAsia="Arial" w:hAnsi="Arial"/>
                <w:sz w:val="16"/>
                <w:szCs w:val="16"/>
                <w:color w:val="auto"/>
              </w:rPr>
              <w:t>GAAP Financial Measures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189.6</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21.9</w:t>
            </w: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020" w:type="dxa"/>
            <w:vAlign w:val="bottom"/>
            <w:vMerge w:val="restart"/>
          </w:tcPr>
          <w:p>
            <w:pPr>
              <w:ind w:left="80"/>
              <w:spacing w:after="0"/>
              <w:rPr>
                <w:sz w:val="20"/>
                <w:szCs w:val="20"/>
                <w:color w:val="auto"/>
              </w:rPr>
            </w:pPr>
            <w:r>
              <w:rPr>
                <w:rFonts w:ascii="Arial" w:cs="Arial" w:eastAsia="Arial" w:hAnsi="Arial"/>
                <w:sz w:val="16"/>
                <w:szCs w:val="16"/>
                <w:color w:val="auto"/>
              </w:rPr>
              <w:t>Specified Items</w:t>
            </w: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Merger and integration expenses (A)</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6.2</w:t>
            </w: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Restructuring expenses (B)</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Depreciation and amortization (C)</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Product remediation (D)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0.8</w:t>
            </w: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Other Income / (expenses) &amp; litigations (E)</w:t>
            </w:r>
          </w:p>
        </w:tc>
        <w:tc>
          <w:tcPr>
            <w:tcW w:w="1260" w:type="dxa"/>
            <w:vAlign w:val="bottom"/>
          </w:tcPr>
          <w:p>
            <w:pPr>
              <w:spacing w:after="0"/>
              <w:rPr>
                <w:sz w:val="23"/>
                <w:szCs w:val="23"/>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0.7</w:t>
            </w: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Impact of inventory step-up (F)</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13.7</w:t>
            </w: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Equity compensation (G)</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Certain tax adjustments (H)</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50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020" w:type="dxa"/>
            <w:vAlign w:val="bottom"/>
          </w:tcPr>
          <w:p>
            <w:pPr>
              <w:ind w:left="80"/>
              <w:spacing w:after="0"/>
              <w:rPr>
                <w:sz w:val="20"/>
                <w:szCs w:val="20"/>
                <w:color w:val="auto"/>
              </w:rPr>
            </w:pPr>
            <w:r>
              <w:rPr>
                <w:rFonts w:ascii="Arial" w:cs="Arial" w:eastAsia="Arial" w:hAnsi="Arial"/>
                <w:sz w:val="16"/>
                <w:szCs w:val="16"/>
                <w:color w:val="auto"/>
              </w:rPr>
              <w:t>Adjusted financial measures</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209.0</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62.8</w:t>
            </w:r>
          </w:p>
        </w:tc>
        <w:tc>
          <w:tcPr>
            <w:tcW w:w="1120" w:type="dxa"/>
            <w:vAlign w:val="bottom"/>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GAAP results for the three months ended June 30, 2016 include:</w:t>
      </w:r>
    </w:p>
    <w:p>
      <w:pPr>
        <w:spacing w:after="0" w:line="109" w:lineRule="exact"/>
        <w:rPr>
          <w:sz w:val="20"/>
          <w:szCs w:val="20"/>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Restructuring expenses related to our legacy companies</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500" w:right="580" w:hanging="423"/>
        <w:spacing w:after="0" w:line="258"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 $4.7m reimbursement of damages related to 2012 earthquake in Mirandola (Italy), a $ 5.0 million write-off of receivables from Greek distributors and other minor litigations</w:t>
      </w:r>
    </w:p>
    <w:p>
      <w:pPr>
        <w:spacing w:after="0" w:line="59" w:lineRule="exact"/>
        <w:rPr>
          <w:rFonts w:ascii="Arial" w:cs="Arial" w:eastAsia="Arial" w:hAnsi="Arial"/>
          <w:sz w:val="14"/>
          <w:szCs w:val="14"/>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amortization of inventory step-up associated with final purchase price accounting</w:t>
      </w:r>
    </w:p>
    <w:p>
      <w:pPr>
        <w:spacing w:after="0" w:line="82" w:lineRule="exact"/>
        <w:rPr>
          <w:rFonts w:ascii="Arial" w:cs="Arial" w:eastAsia="Arial" w:hAnsi="Arial"/>
          <w:sz w:val="14"/>
          <w:szCs w:val="14"/>
          <w:color w:val="auto"/>
        </w:rPr>
      </w:pPr>
    </w:p>
    <w:p>
      <w:pPr>
        <w:ind w:left="500" w:hanging="423"/>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$3.6m related to SG&amp;A, $0.3m related to R&amp;D, and less than $0.3m related to COGS</w:t>
      </w:r>
    </w:p>
    <w:p>
      <w:pPr>
        <w:spacing w:after="0" w:line="82" w:lineRule="exact"/>
        <w:rPr>
          <w:rFonts w:ascii="Arial" w:cs="Arial" w:eastAsia="Arial" w:hAnsi="Arial"/>
          <w:sz w:val="14"/>
          <w:szCs w:val="14"/>
          <w:color w:val="auto"/>
        </w:rPr>
      </w:pPr>
    </w:p>
    <w:p>
      <w:pPr>
        <w:ind w:left="320" w:right="4220" w:hanging="243"/>
        <w:spacing w:after="0" w:line="429" w:lineRule="auto"/>
        <w:tabs>
          <w:tab w:leader="none" w:pos="498"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Primarily relates to discrete tax items and the tax impact of intercompany transactions </w:t>
      </w:r>
      <w:r>
        <w:rPr>
          <w:rFonts w:ascii="Arial" w:cs="Arial" w:eastAsia="Arial" w:hAnsi="Arial"/>
          <w:sz w:val="18"/>
          <w:szCs w:val="18"/>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10160"/>
          </w:cols>
          <w:pgMar w:left="880" w:top="743" w:right="859" w:bottom="983"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160"/>
          </w:cols>
          <w:pgMar w:left="880" w:top="743" w:right="859" w:bottom="983" w:gutter="0" w:footer="0" w:header="0"/>
          <w:type w:val="continuous"/>
        </w:sectPr>
      </w:pPr>
    </w:p>
    <w:bookmarkStart w:id="17" w:name="page18"/>
    <w:bookmarkEnd w:id="17"/>
    <w:p>
      <w:pPr>
        <w:ind w:left="60" w:right="4620"/>
        <w:spacing w:after="0" w:line="392"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Income from</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60"/>
              <w:spacing w:after="0"/>
              <w:rPr>
                <w:sz w:val="20"/>
                <w:szCs w:val="20"/>
                <w:color w:val="auto"/>
              </w:rPr>
            </w:pPr>
            <w:r>
              <w:rPr>
                <w:rFonts w:ascii="Arial" w:cs="Arial" w:eastAsia="Arial" w:hAnsi="Arial"/>
                <w:sz w:val="16"/>
                <w:szCs w:val="16"/>
                <w:b w:val="1"/>
                <w:bCs w:val="1"/>
                <w:color w:val="auto"/>
              </w:rPr>
              <w:t>Six Months Ended June 30, 2017</w:t>
            </w: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Sales</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Operations</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60"/>
              <w:spacing w:after="0"/>
              <w:rPr>
                <w:sz w:val="20"/>
                <w:szCs w:val="20"/>
                <w:color w:val="auto"/>
              </w:rPr>
            </w:pPr>
            <w:r>
              <w:rPr>
                <w:rFonts w:ascii="Arial" w:cs="Arial" w:eastAsia="Arial" w:hAnsi="Arial"/>
                <w:sz w:val="16"/>
                <w:szCs w:val="16"/>
                <w:color w:val="auto"/>
              </w:rPr>
              <w:t>GAAP Financial Measures</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606.5</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395.2</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49.7</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58.8</w:t>
            </w:r>
          </w:p>
        </w:tc>
        <w:tc>
          <w:tcPr>
            <w:tcW w:w="36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00" w:type="dxa"/>
            <w:vAlign w:val="bottom"/>
            <w:vMerge w:val="restart"/>
          </w:tcPr>
          <w:p>
            <w:pPr>
              <w:ind w:left="60"/>
              <w:spacing w:after="0"/>
              <w:rPr>
                <w:sz w:val="20"/>
                <w:szCs w:val="20"/>
                <w:color w:val="auto"/>
              </w:rPr>
            </w:pPr>
            <w:r>
              <w:rPr>
                <w:rFonts w:ascii="Arial" w:cs="Arial" w:eastAsia="Arial" w:hAnsi="Arial"/>
                <w:sz w:val="16"/>
                <w:szCs w:val="16"/>
                <w:color w:val="auto"/>
              </w:rPr>
              <w:t>Specified Items</w:t>
            </w: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Merger and integration expenses (A)</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4.8</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Restructuring expenses (B)</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11.3</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9.1</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Depreciations and amortization (C)</w:t>
            </w:r>
          </w:p>
        </w:tc>
        <w:tc>
          <w:tcPr>
            <w:tcW w:w="1320" w:type="dxa"/>
            <w:vAlign w:val="bottom"/>
          </w:tcPr>
          <w:p>
            <w:pPr>
              <w:spacing w:after="0"/>
              <w:rPr>
                <w:sz w:val="23"/>
                <w:szCs w:val="23"/>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26.4</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0.41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Product remediation (D)</w:t>
            </w:r>
          </w:p>
        </w:tc>
        <w:tc>
          <w:tcPr>
            <w:tcW w:w="1320" w:type="dxa"/>
            <w:vAlign w:val="bottom"/>
          </w:tcPr>
          <w:p>
            <w:pPr>
              <w:spacing w:after="0"/>
              <w:rPr>
                <w:sz w:val="23"/>
                <w:szCs w:val="23"/>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0.9</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0.9</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Caisson acquisition (E)</w:t>
            </w:r>
          </w:p>
        </w:tc>
        <w:tc>
          <w:tcPr>
            <w:tcW w:w="1320" w:type="dxa"/>
            <w:vAlign w:val="bottom"/>
          </w:tcPr>
          <w:p>
            <w:pPr>
              <w:spacing w:after="0"/>
              <w:rPr>
                <w:sz w:val="23"/>
                <w:szCs w:val="23"/>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0.2</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12.1</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(30.1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Highlife impairment (F)</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0.27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Other income / (expenses) &amp; litigations (G)</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5.5</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Equity compensation (H)</w:t>
            </w:r>
          </w:p>
        </w:tc>
        <w:tc>
          <w:tcPr>
            <w:tcW w:w="1320" w:type="dxa"/>
            <w:vAlign w:val="bottom"/>
          </w:tcPr>
          <w:p>
            <w:pPr>
              <w:spacing w:after="0"/>
              <w:rPr>
                <w:sz w:val="23"/>
                <w:szCs w:val="23"/>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8.6</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7.1</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Certain tax adjustments (I)</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0.4</w:t>
            </w:r>
          </w:p>
        </w:tc>
        <w:tc>
          <w:tcPr>
            <w:tcW w:w="360" w:type="dxa"/>
            <w:vAlign w:val="bottom"/>
          </w:tcPr>
          <w:p>
            <w:pPr>
              <w:spacing w:after="0"/>
              <w:rPr>
                <w:sz w:val="23"/>
                <w:szCs w:val="23"/>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00" w:type="dxa"/>
            <w:vAlign w:val="bottom"/>
          </w:tcPr>
          <w:p>
            <w:pPr>
              <w:ind w:left="60"/>
              <w:spacing w:after="0"/>
              <w:rPr>
                <w:sz w:val="20"/>
                <w:szCs w:val="20"/>
                <w:color w:val="auto"/>
              </w:rPr>
            </w:pPr>
            <w:r>
              <w:rPr>
                <w:rFonts w:ascii="Arial" w:cs="Arial" w:eastAsia="Arial" w:hAnsi="Arial"/>
                <w:sz w:val="16"/>
                <w:szCs w:val="16"/>
                <w:color w:val="auto"/>
              </w:rPr>
              <w:t>Adjusted financial measures</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606.5</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399.0</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119.1</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82.9</w:t>
            </w:r>
          </w:p>
        </w:tc>
        <w:tc>
          <w:tcPr>
            <w:tcW w:w="36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GAAP results for the six months ended June 30, 2017 include:</w:t>
      </w:r>
    </w:p>
    <w:p>
      <w:pPr>
        <w:spacing w:after="0" w:line="109" w:lineRule="exact"/>
        <w:rPr>
          <w:sz w:val="20"/>
          <w:szCs w:val="20"/>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 and the shutdown of our CP plant in China</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Impact of Caisson related acquisition costs, including $10.9m related to R&amp;D and $1.0m related to merger and integration costs</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Impairment of investments and net receivables</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Legal expense related to 3T Heater-Cooler defense and other matters</w:t>
      </w:r>
    </w:p>
    <w:p>
      <w:pPr>
        <w:spacing w:after="0" w:line="11" w:lineRule="exact"/>
        <w:rPr>
          <w:rFonts w:ascii="Arial" w:cs="Arial" w:eastAsia="Arial" w:hAnsi="Arial"/>
          <w:sz w:val="14"/>
          <w:szCs w:val="14"/>
          <w:color w:val="auto"/>
        </w:rPr>
      </w:pPr>
    </w:p>
    <w:p>
      <w:pPr>
        <w:ind w:left="480" w:hanging="415"/>
        <w:spacing w:after="0" w:line="193" w:lineRule="auto"/>
        <w:tabs>
          <w:tab w:leader="none" w:pos="480" w:val="left"/>
        </w:tabs>
        <w:numPr>
          <w:ilvl w:val="0"/>
          <w:numId w:val="7"/>
        </w:numPr>
        <w:rPr>
          <w:rFonts w:ascii="Arial" w:cs="Arial" w:eastAsia="Arial" w:hAnsi="Arial"/>
          <w:sz w:val="32"/>
          <w:szCs w:val="32"/>
          <w:color w:val="auto"/>
          <w:vertAlign w:val="superscript"/>
        </w:rPr>
      </w:pPr>
      <w:r>
        <w:rPr>
          <w:rFonts w:ascii="Arial" w:cs="Arial" w:eastAsia="Arial" w:hAnsi="Arial"/>
          <w:sz w:val="14"/>
          <w:szCs w:val="14"/>
          <w:color w:val="auto"/>
        </w:rPr>
        <w:t>Includes $8.1m related to SG&amp;A, $0.4m related to R&amp;D, and $0.1m related to COGS</w:t>
      </w:r>
    </w:p>
    <w:p>
      <w:pPr>
        <w:spacing w:after="0" w:line="58" w:lineRule="exact"/>
        <w:rPr>
          <w:rFonts w:ascii="Arial" w:cs="Arial" w:eastAsia="Arial" w:hAnsi="Arial"/>
          <w:sz w:val="32"/>
          <w:szCs w:val="32"/>
          <w:color w:val="auto"/>
          <w:vertAlign w:val="superscript"/>
        </w:rPr>
      </w:pPr>
    </w:p>
    <w:p>
      <w:pPr>
        <w:ind w:left="480" w:hanging="415"/>
        <w:spacing w:after="0" w:line="224"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4"/>
          <w:szCs w:val="14"/>
          <w:color w:val="auto"/>
        </w:rPr>
        <w:t>Primarily relates to discrete tax items and the tax impact of intercompany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Income from</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60"/>
              <w:spacing w:after="0"/>
              <w:rPr>
                <w:sz w:val="20"/>
                <w:szCs w:val="20"/>
                <w:color w:val="auto"/>
              </w:rPr>
            </w:pPr>
            <w:r>
              <w:rPr>
                <w:rFonts w:ascii="Arial" w:cs="Arial" w:eastAsia="Arial" w:hAnsi="Arial"/>
                <w:sz w:val="16"/>
                <w:szCs w:val="16"/>
                <w:b w:val="1"/>
                <w:bCs w:val="1"/>
                <w:color w:val="auto"/>
              </w:rPr>
              <w:t>Six Months Ended June 30, 2016</w:t>
            </w: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Sales</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rPr>
              <w:t>Operations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Net Income</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Diluted EPS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60"/>
              <w:spacing w:after="0"/>
              <w:rPr>
                <w:sz w:val="20"/>
                <w:szCs w:val="20"/>
                <w:color w:val="auto"/>
              </w:rPr>
            </w:pPr>
            <w:r>
              <w:rPr>
                <w:rFonts w:ascii="Arial" w:cs="Arial" w:eastAsia="Arial" w:hAnsi="Arial"/>
                <w:sz w:val="16"/>
                <w:szCs w:val="16"/>
                <w:color w:val="auto"/>
              </w:rPr>
              <w:t>GAAP Financial Measures</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608.0</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352.2</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($14.2  )</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($31.4</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4100" w:type="dxa"/>
            <w:vAlign w:val="bottom"/>
            <w:vMerge w:val="restart"/>
          </w:tcPr>
          <w:p>
            <w:pPr>
              <w:ind w:left="60"/>
              <w:spacing w:after="0"/>
              <w:rPr>
                <w:sz w:val="20"/>
                <w:szCs w:val="20"/>
                <w:color w:val="auto"/>
              </w:rPr>
            </w:pPr>
            <w:r>
              <w:rPr>
                <w:rFonts w:ascii="Arial" w:cs="Arial" w:eastAsia="Arial" w:hAnsi="Arial"/>
                <w:sz w:val="16"/>
                <w:szCs w:val="16"/>
                <w:color w:val="auto"/>
              </w:rPr>
              <w:t>Specified Items</w:t>
            </w: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Merger and integration expenses (A)</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13.0</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11.1</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0.23</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Restructuring expenses (B)</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32.8</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30.5</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0.62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Depreciation and amortization (C)</w:t>
            </w:r>
          </w:p>
        </w:tc>
        <w:tc>
          <w:tcPr>
            <w:tcW w:w="126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4.6</w:t>
            </w: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26.8</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19.6</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Product remediation (D)</w:t>
            </w:r>
          </w:p>
        </w:tc>
        <w:tc>
          <w:tcPr>
            <w:tcW w:w="126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1.6</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Other income / (expenses) &amp; litigations (E)</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1.0</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(0.4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(0.010</w:t>
            </w:r>
          </w:p>
        </w:tc>
        <w:tc>
          <w:tcPr>
            <w:tcW w:w="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Impact of inventory step-up (F)</w:t>
            </w:r>
          </w:p>
        </w:tc>
        <w:tc>
          <w:tcPr>
            <w:tcW w:w="126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35.0</w:t>
            </w: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35.0</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24.0</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0.49</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Equity compensation (G)</w:t>
            </w:r>
          </w:p>
        </w:tc>
        <w:tc>
          <w:tcPr>
            <w:tcW w:w="126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0.7</w:t>
            </w: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10.3</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8.9</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Certain tax adjustments (H)</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400" w:type="dxa"/>
            <w:vAlign w:val="bottom"/>
          </w:tcPr>
          <w:p>
            <w:pPr>
              <w:spacing w:after="0"/>
              <w:rPr>
                <w:sz w:val="23"/>
                <w:szCs w:val="23"/>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0.13</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00" w:type="dxa"/>
            <w:vAlign w:val="bottom"/>
          </w:tcPr>
          <w:p>
            <w:pPr>
              <w:ind w:left="60"/>
              <w:spacing w:after="0"/>
              <w:rPr>
                <w:sz w:val="20"/>
                <w:szCs w:val="20"/>
                <w:color w:val="auto"/>
              </w:rPr>
            </w:pPr>
            <w:r>
              <w:rPr>
                <w:rFonts w:ascii="Arial" w:cs="Arial" w:eastAsia="Arial" w:hAnsi="Arial"/>
                <w:sz w:val="16"/>
                <w:szCs w:val="16"/>
                <w:color w:val="auto"/>
              </w:rPr>
              <w:t>Adjusted financial measures</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608.0</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394.1</w:t>
            </w:r>
          </w:p>
        </w:tc>
        <w:tc>
          <w:tcPr>
            <w:tcW w:w="1420" w:type="dxa"/>
            <w:vAlign w:val="bottom"/>
          </w:tcPr>
          <w:p>
            <w:pPr>
              <w:jc w:val="right"/>
              <w:ind w:right="319"/>
              <w:spacing w:after="0"/>
              <w:rPr>
                <w:sz w:val="20"/>
                <w:szCs w:val="20"/>
                <w:color w:val="auto"/>
              </w:rPr>
            </w:pPr>
            <w:r>
              <w:rPr>
                <w:rFonts w:ascii="Arial" w:cs="Arial" w:eastAsia="Arial" w:hAnsi="Arial"/>
                <w:sz w:val="16"/>
                <w:szCs w:val="16"/>
                <w:color w:val="auto"/>
              </w:rPr>
              <w:t>106.3</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69.5</w:t>
            </w:r>
          </w:p>
        </w:tc>
        <w:tc>
          <w:tcPr>
            <w:tcW w:w="4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GAAP results for the six months ended June 30, 2016 include:</w:t>
      </w:r>
    </w:p>
    <w:p>
      <w:pPr>
        <w:spacing w:after="0" w:line="109" w:lineRule="exact"/>
        <w:rPr>
          <w:sz w:val="20"/>
          <w:szCs w:val="20"/>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expenses related to our legacy companies</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82" w:lineRule="exact"/>
        <w:rPr>
          <w:rFonts w:ascii="Arial" w:cs="Arial" w:eastAsia="Arial" w:hAnsi="Arial"/>
          <w:sz w:val="14"/>
          <w:szCs w:val="14"/>
          <w:color w:val="auto"/>
        </w:rPr>
      </w:pPr>
    </w:p>
    <w:p>
      <w:pPr>
        <w:ind w:left="480" w:right="60" w:hanging="415"/>
        <w:spacing w:after="0" w:line="258"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 $4.7m reimbursement of damages related to 2012 earthquake in Mirandola (Italy), a $ 5.0 million write-off of receivables from Greek distributors and other minor litigations</w:t>
      </w:r>
    </w:p>
    <w:p>
      <w:pPr>
        <w:spacing w:after="0" w:line="59" w:lineRule="exact"/>
        <w:rPr>
          <w:rFonts w:ascii="Arial" w:cs="Arial" w:eastAsia="Arial" w:hAnsi="Arial"/>
          <w:sz w:val="14"/>
          <w:szCs w:val="14"/>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amortization of inventory step-up associated with final purchase price accounting</w:t>
      </w:r>
    </w:p>
    <w:p>
      <w:pPr>
        <w:spacing w:after="0" w:line="82" w:lineRule="exact"/>
        <w:rPr>
          <w:rFonts w:ascii="Arial" w:cs="Arial" w:eastAsia="Arial" w:hAnsi="Arial"/>
          <w:sz w:val="14"/>
          <w:szCs w:val="14"/>
          <w:color w:val="auto"/>
        </w:rPr>
      </w:pPr>
    </w:p>
    <w:p>
      <w:pPr>
        <w:ind w:left="480" w:hanging="41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$9.0 m related to SG&amp;A, $0.6m related to R&amp;D, and less than $0.7m related to COGS</w:t>
      </w:r>
    </w:p>
    <w:p>
      <w:pPr>
        <w:spacing w:after="0" w:line="82" w:lineRule="exact"/>
        <w:rPr>
          <w:rFonts w:ascii="Arial" w:cs="Arial" w:eastAsia="Arial" w:hAnsi="Arial"/>
          <w:sz w:val="14"/>
          <w:szCs w:val="14"/>
          <w:color w:val="auto"/>
        </w:rPr>
      </w:pPr>
    </w:p>
    <w:p>
      <w:pPr>
        <w:ind w:left="320" w:right="5080" w:hanging="255"/>
        <w:spacing w:after="0" w:line="661" w:lineRule="auto"/>
        <w:tabs>
          <w:tab w:leader="none" w:pos="484"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 * Numbers may not add up precisely due to rounding.</w:t>
      </w:r>
    </w:p>
    <w:p>
      <w:pPr>
        <w:sectPr>
          <w:pgSz w:w="11900" w:h="16838" w:orient="portrait"/>
          <w:cols w:equalWidth="0" w:num="1">
            <w:col w:w="11020"/>
          </w:cols>
          <w:pgMar w:left="460" w:top="743" w:right="419" w:bottom="1014" w:gutter="0" w:footer="0" w:header="0"/>
        </w:sect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020"/>
          </w:cols>
          <w:pgMar w:left="460" w:top="743" w:right="419" w:bottom="1014" w:gutter="0" w:footer="0" w:header="0"/>
          <w:type w:val="continuous"/>
        </w:sectPr>
      </w:pPr>
    </w:p>
    <w:bookmarkStart w:id="18" w:name="page19"/>
    <w:bookmarkEnd w:id="18"/>
    <w:p>
      <w:pPr>
        <w:ind w:left="80"/>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22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June 30, 2017</w:t>
            </w:r>
          </w:p>
        </w:tc>
        <w:tc>
          <w:tcPr>
            <w:tcW w:w="21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b w:val="1"/>
                <w:bCs w:val="1"/>
                <w:color w:val="auto"/>
              </w:rPr>
              <w:t>ASSETS</w:t>
            </w:r>
          </w:p>
        </w:tc>
        <w:tc>
          <w:tcPr>
            <w:tcW w:w="2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(Unaudited)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692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671.4</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620.1</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763.5</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713.2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92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$2,553.7</w:t>
            </w:r>
          </w:p>
        </w:tc>
        <w:tc>
          <w:tcPr>
            <w:tcW w:w="120" w:type="dxa"/>
            <w:vAlign w:val="bottom"/>
          </w:tcPr>
          <w:p>
            <w:pPr>
              <w:spacing w:after="0"/>
              <w:rPr>
                <w:sz w:val="20"/>
                <w:szCs w:val="20"/>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33"/>
        </w:trPr>
        <w:tc>
          <w:tcPr>
            <w:tcW w:w="69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vMerge w:val="continue"/>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9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Accrued employee compensation and related benefits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342.4</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316.8</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ind w:left="14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Long-term employee compensation and related benefits liability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0"/>
        </w:trPr>
        <w:tc>
          <w:tcPr>
            <w:tcW w:w="69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3"/>
                <w:szCs w:val="23"/>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$690.2</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$635.7</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1,843.5</w:t>
            </w:r>
          </w:p>
        </w:tc>
        <w:tc>
          <w:tcPr>
            <w:tcW w:w="120" w:type="dxa"/>
            <w:vAlign w:val="bottom"/>
          </w:tcPr>
          <w:p>
            <w:pPr>
              <w:spacing w:after="0"/>
              <w:rPr>
                <w:sz w:val="18"/>
                <w:szCs w:val="18"/>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color w:val="auto"/>
              </w:rPr>
              <w:t>1,706.9</w:t>
            </w:r>
          </w:p>
        </w:tc>
        <w:tc>
          <w:tcPr>
            <w:tcW w:w="0" w:type="dxa"/>
            <w:vAlign w:val="bottom"/>
          </w:tcPr>
          <w:p>
            <w:pPr>
              <w:spacing w:after="0"/>
              <w:rPr>
                <w:sz w:val="1"/>
                <w:szCs w:val="1"/>
                <w:color w:val="auto"/>
              </w:rPr>
            </w:pPr>
          </w:p>
        </w:tc>
      </w:tr>
      <w:tr>
        <w:trPr>
          <w:trHeight w:val="47"/>
        </w:trPr>
        <w:tc>
          <w:tcPr>
            <w:tcW w:w="69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9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Pr>
          <w:p>
            <w:pPr>
              <w:jc w:val="right"/>
              <w:ind w:right="139"/>
              <w:spacing w:after="0"/>
              <w:rPr>
                <w:sz w:val="20"/>
                <w:szCs w:val="20"/>
                <w:color w:val="auto"/>
              </w:rPr>
            </w:pPr>
            <w:r>
              <w:rPr>
                <w:rFonts w:ascii="Arial" w:cs="Arial" w:eastAsia="Arial" w:hAnsi="Arial"/>
                <w:sz w:val="16"/>
                <w:szCs w:val="16"/>
                <w:b w:val="1"/>
                <w:bCs w:val="1"/>
                <w:color w:val="auto"/>
              </w:rPr>
              <w:t>$2,553.7</w:t>
            </w:r>
          </w:p>
        </w:tc>
        <w:tc>
          <w:tcPr>
            <w:tcW w:w="120" w:type="dxa"/>
            <w:vAlign w:val="bottom"/>
          </w:tcPr>
          <w:p>
            <w:pPr>
              <w:spacing w:after="0"/>
              <w:rPr>
                <w:sz w:val="20"/>
                <w:szCs w:val="20"/>
                <w:color w:val="auto"/>
              </w:rPr>
            </w:pPr>
          </w:p>
        </w:tc>
        <w:tc>
          <w:tcPr>
            <w:tcW w:w="2140" w:type="dxa"/>
            <w:vAlign w:val="bottom"/>
          </w:tcPr>
          <w:p>
            <w:pPr>
              <w:jc w:val="right"/>
              <w:ind w:right="13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743"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67" w:lineRule="exact"/>
        <w:rPr>
          <w:sz w:val="20"/>
          <w:szCs w:val="20"/>
          <w:color w:val="auto"/>
        </w:rPr>
      </w:pPr>
    </w:p>
    <w:p>
      <w:pPr>
        <w:ind w:right="2900"/>
        <w:spacing w:after="0" w:line="315" w:lineRule="auto"/>
        <w:rPr>
          <w:sz w:val="20"/>
          <w:szCs w:val="20"/>
          <w:color w:val="auto"/>
        </w:rPr>
      </w:pPr>
      <w:r>
        <w:rPr>
          <w:rFonts w:ascii="Arial" w:cs="Arial" w:eastAsia="Arial" w:hAnsi="Arial"/>
          <w:sz w:val="20"/>
          <w:szCs w:val="20"/>
          <w:b w:val="1"/>
          <w:bCs w:val="1"/>
          <w:color w:val="auto"/>
        </w:rPr>
        <w:t>CONDENSED CONSOLIDATED STATEMENT OF CASH FLOW - UNAUDITED (U.S. dollars in millions)</w:t>
      </w:r>
    </w:p>
    <w:tbl>
      <w:tblPr>
        <w:tblLayout w:type="fixed"/>
        <w:tblInd w:w="0" w:type="dxa"/>
        <w:tblCellMar>
          <w:top w:w="0" w:type="dxa"/>
          <w:left w:w="0" w:type="dxa"/>
          <w:bottom w:w="0" w:type="dxa"/>
          <w:right w:w="0" w:type="dxa"/>
        </w:tblCellMar>
      </w:tblPr>
      <w:tr>
        <w:trPr>
          <w:trHeight w:val="215"/>
        </w:trPr>
        <w:tc>
          <w:tcPr>
            <w:tcW w:w="6840" w:type="dxa"/>
            <w:vAlign w:val="bottom"/>
          </w:tcPr>
          <w:p>
            <w:pPr>
              <w:spacing w:after="0"/>
              <w:rPr>
                <w:sz w:val="18"/>
                <w:szCs w:val="18"/>
                <w:color w:val="auto"/>
              </w:rPr>
            </w:pPr>
          </w:p>
        </w:tc>
        <w:tc>
          <w:tcPr>
            <w:tcW w:w="29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18"/>
                <w:szCs w:val="18"/>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Net Income (loss)</w:t>
            </w:r>
          </w:p>
        </w:tc>
        <w:tc>
          <w:tcPr>
            <w:tcW w:w="136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Non-cash items included in net income (loss):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Depreciation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Amortization</w:t>
            </w:r>
          </w:p>
        </w:tc>
        <w:tc>
          <w:tcPr>
            <w:tcW w:w="1360" w:type="dxa"/>
            <w:vAlign w:val="bottom"/>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Amortization of income taxes from inter-company transfers</w:t>
            </w:r>
          </w:p>
        </w:tc>
        <w:tc>
          <w:tcPr>
            <w:tcW w:w="136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Deferred income tax benefit</w:t>
            </w:r>
          </w:p>
        </w:tc>
        <w:tc>
          <w:tcPr>
            <w:tcW w:w="136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Losses from equity method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Gain on acquisition of Caisson Interventional, LLC</w:t>
            </w:r>
          </w:p>
        </w:tc>
        <w:tc>
          <w:tcPr>
            <w:tcW w:w="1360" w:type="dxa"/>
            <w:vAlign w:val="bottom"/>
          </w:tcPr>
          <w:p>
            <w:pPr>
              <w:jc w:val="right"/>
              <w:spacing w:after="0"/>
              <w:rPr>
                <w:sz w:val="20"/>
                <w:szCs w:val="20"/>
                <w:color w:val="auto"/>
              </w:rPr>
            </w:pPr>
            <w:r>
              <w:rPr>
                <w:rFonts w:ascii="Arial" w:cs="Arial" w:eastAsia="Arial" w:hAnsi="Arial"/>
                <w:sz w:val="16"/>
                <w:szCs w:val="16"/>
                <w:color w:val="auto"/>
              </w:rPr>
              <w:t>(39.4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Impairment of property, plant and equipment</w:t>
            </w: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Accounts receivable, net</w:t>
            </w: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Inventories</w:t>
            </w: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 current and non-current assets</w:t>
            </w:r>
          </w:p>
        </w:tc>
        <w:tc>
          <w:tcPr>
            <w:tcW w:w="136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Restructuring reserve</w:t>
            </w: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Accounts payable and accrued current and non-current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8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Purchases of Property, plan and equipment and 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Acquisition of Caisson Interventional, LLC, net of cash acquired</w:t>
            </w:r>
          </w:p>
        </w:tc>
        <w:tc>
          <w:tcPr>
            <w:tcW w:w="1360" w:type="dxa"/>
            <w:vAlign w:val="bottom"/>
          </w:tcPr>
          <w:p>
            <w:pPr>
              <w:jc w:val="right"/>
              <w:spacing w:after="0"/>
              <w:rPr>
                <w:sz w:val="20"/>
                <w:szCs w:val="20"/>
                <w:color w:val="auto"/>
              </w:rPr>
            </w:pPr>
            <w:r>
              <w:rPr>
                <w:rFonts w:ascii="Arial" w:cs="Arial" w:eastAsia="Arial" w:hAnsi="Arial"/>
                <w:sz w:val="16"/>
                <w:szCs w:val="16"/>
                <w:color w:val="auto"/>
              </w:rPr>
              <w:t>(14.2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sale of cost method investment</w:t>
            </w: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asset sales</w:t>
            </w: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Purchase of short-term investments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Maturities of short-term investments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Change in short term borrowing, net</w:t>
            </w:r>
          </w:p>
        </w:tc>
        <w:tc>
          <w:tcPr>
            <w:tcW w:w="136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short term borrowing (maturities greater than 90 days)</w:t>
            </w: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Repayment of long-term debt obligations</w:t>
            </w: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Loans to cost method and equity method investees</w:t>
            </w: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Proceeds from exercise of stock options and SARs</w:t>
            </w: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Repayment of trade receivable advances</w:t>
            </w: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40" w:type="dxa"/>
            <w:vAlign w:val="bottom"/>
          </w:tcPr>
          <w:p>
            <w:pPr>
              <w:ind w:left="40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(46.2</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68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840" w:type="dxa"/>
            <w:vAlign w:val="bottom"/>
          </w:tcPr>
          <w:p>
            <w:pPr>
              <w:ind w:left="4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8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39.8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9960"/>
          </w:cols>
          <w:pgMar w:left="1020" w:top="733" w:right="9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14</w:t>
      </w:r>
    </w:p>
    <w:sectPr>
      <w:pgSz w:w="11900" w:h="16838" w:orient="portrait"/>
      <w:cols w:equalWidth="0" w:num="1">
        <w:col w:w="9960"/>
      </w:cols>
      <w:pgMar w:left="1020" w:top="733"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
      <w:numFmt w:val="bullet"/>
      <w:start w:val="1"/>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1"/>
    </w:lvl>
    <w:lvl w:ilvl="1">
      <w:lvlJc w:val="left"/>
      <w:lvlText w:val="*"/>
      <w:numFmt w:val="bullet"/>
      <w:start w:val="1"/>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2019-12-08T02:53:21Z</dcterms:created>
  <dcterms:modified xsi:type="dcterms:W3CDTF">2019-12-08T02:53:21Z</dcterms:modified>
</cp:coreProperties>
</file>