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40" w:type="dxa"/>
            <w:vAlign w:val="bottom"/>
          </w:tcPr>
          <w:p>
            <w:pPr>
              <w:ind w:left="40"/>
              <w:spacing w:after="0"/>
              <w:rPr>
                <w:sz w:val="20"/>
                <w:szCs w:val="20"/>
                <w:color w:val="auto"/>
              </w:rPr>
            </w:pPr>
            <w:r>
              <w:rPr>
                <w:rFonts w:ascii="Arial" w:cs="Arial" w:eastAsia="Arial" w:hAnsi="Arial"/>
                <w:sz w:val="22"/>
                <w:szCs w:val="22"/>
                <w:color w:val="auto"/>
              </w:rPr>
              <w:t>0001686894</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001-37599</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w w:val="92"/>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40" w:type="dxa"/>
            <w:vAlign w:val="bottom"/>
          </w:tcPr>
          <w:p>
            <w:pPr>
              <w:spacing w:after="0"/>
              <w:rPr>
                <w:sz w:val="21"/>
                <w:szCs w:val="21"/>
                <w:color w:val="auto"/>
              </w:rPr>
            </w:pPr>
          </w:p>
        </w:tc>
        <w:tc>
          <w:tcPr>
            <w:tcW w:w="3440" w:type="dxa"/>
            <w:vAlign w:val="bottom"/>
          </w:tcPr>
          <w:p>
            <w:pPr>
              <w:ind w:left="700"/>
              <w:spacing w:after="0" w:line="243" w:lineRule="exact"/>
              <w:rPr>
                <w:sz w:val="20"/>
                <w:szCs w:val="20"/>
                <w:color w:val="auto"/>
              </w:rPr>
            </w:pPr>
            <w:r>
              <w:rPr>
                <w:rFonts w:ascii="Arial" w:cs="Arial" w:eastAsia="Arial" w:hAnsi="Arial"/>
                <w:sz w:val="22"/>
                <w:szCs w:val="22"/>
                <w:color w:val="auto"/>
              </w:rPr>
              <w:t>LONDON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4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4402033250662</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440" w:type="dxa"/>
            <w:vAlign w:val="bottom"/>
          </w:tcPr>
          <w:p>
            <w:pPr>
              <w:ind w:left="700"/>
              <w:spacing w:after="0"/>
              <w:rPr>
                <w:sz w:val="20"/>
                <w:szCs w:val="20"/>
                <w:color w:val="auto"/>
              </w:rPr>
            </w:pPr>
            <w:r>
              <w:rPr>
                <w:rFonts w:ascii="Arial" w:cs="Arial" w:eastAsia="Arial" w:hAnsi="Arial"/>
                <w:sz w:val="22"/>
                <w:szCs w:val="22"/>
                <w:color w:val="auto"/>
              </w:rPr>
              <w:t>McDonald Damien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Ordinary shares</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20000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990000.00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53768134</w:t>
            </w:r>
          </w:p>
        </w:tc>
        <w:tc>
          <w:tcPr>
            <w:tcW w:w="1280" w:type="dxa"/>
            <w:vAlign w:val="bottom"/>
          </w:tcPr>
          <w:p>
            <w:pPr>
              <w:ind w:left="40"/>
              <w:spacing w:after="0"/>
              <w:rPr>
                <w:sz w:val="20"/>
                <w:szCs w:val="20"/>
                <w:color w:val="auto"/>
              </w:rPr>
            </w:pPr>
            <w:r>
              <w:rPr>
                <w:rFonts w:ascii="Arial" w:cs="Arial" w:eastAsia="Arial" w:hAnsi="Arial"/>
                <w:sz w:val="22"/>
                <w:szCs w:val="22"/>
                <w:color w:val="auto"/>
              </w:rPr>
              <w:t>06/23/2023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1580" w:type="dxa"/>
            <w:vAlign w:val="bottom"/>
          </w:tcPr>
          <w:p>
            <w:pPr>
              <w:ind w:left="600"/>
              <w:spacing w:after="0"/>
              <w:rPr>
                <w:sz w:val="20"/>
                <w:szCs w:val="20"/>
                <w:color w:val="auto"/>
              </w:rPr>
            </w:pPr>
            <w:r>
              <w:rPr>
                <w:rFonts w:ascii="Arial" w:cs="Arial" w:eastAsia="Arial" w:hAnsi="Arial"/>
                <w:sz w:val="22"/>
                <w:szCs w:val="22"/>
                <w:b w:val="1"/>
                <w:bCs w:val="1"/>
                <w:color w:val="auto"/>
              </w:rPr>
              <w:t>Whom</w:t>
            </w:r>
          </w:p>
        </w:tc>
        <w:tc>
          <w:tcPr>
            <w:tcW w:w="2400" w:type="dxa"/>
            <w:vAlign w:val="bottom"/>
          </w:tcPr>
          <w:p>
            <w:pPr>
              <w:ind w:left="280"/>
              <w:spacing w:after="0"/>
              <w:rPr>
                <w:sz w:val="20"/>
                <w:szCs w:val="20"/>
                <w:color w:val="auto"/>
              </w:rPr>
            </w:pPr>
            <w:r>
              <w:rPr>
                <w:rFonts w:ascii="Arial" w:cs="Arial" w:eastAsia="Arial" w:hAnsi="Arial"/>
                <w:sz w:val="22"/>
                <w:szCs w:val="22"/>
                <w:b w:val="1"/>
                <w:bCs w:val="1"/>
                <w:color w:val="auto"/>
              </w:rPr>
              <w:t>a</w:t>
            </w:r>
          </w:p>
        </w:tc>
        <w:tc>
          <w:tcPr>
            <w:tcW w:w="3100" w:type="dxa"/>
            <w:vAlign w:val="bottom"/>
          </w:tcPr>
          <w:p>
            <w:pPr>
              <w:spacing w:after="0"/>
              <w:rPr>
                <w:sz w:val="21"/>
                <w:szCs w:val="21"/>
                <w:color w:val="auto"/>
              </w:rPr>
            </w:pPr>
          </w:p>
        </w:tc>
      </w:tr>
      <w:tr>
        <w:trPr>
          <w:trHeight w:val="280"/>
        </w:trPr>
        <w:tc>
          <w:tcPr>
            <w:tcW w:w="4040" w:type="dxa"/>
            <w:vAlign w:val="bottom"/>
          </w:tcPr>
          <w:p>
            <w:pPr>
              <w:spacing w:after="0"/>
              <w:rPr>
                <w:sz w:val="24"/>
                <w:szCs w:val="24"/>
                <w:color w:val="auto"/>
              </w:rPr>
            </w:pPr>
          </w:p>
        </w:tc>
        <w:tc>
          <w:tcPr>
            <w:tcW w:w="1580" w:type="dxa"/>
            <w:vAlign w:val="bottom"/>
          </w:tcPr>
          <w:p>
            <w:pPr>
              <w:ind w:left="480"/>
              <w:spacing w:after="0"/>
              <w:rPr>
                <w:sz w:val="20"/>
                <w:szCs w:val="20"/>
                <w:color w:val="auto"/>
              </w:rPr>
            </w:pPr>
            <w:r>
              <w:rPr>
                <w:rFonts w:ascii="Arial" w:cs="Arial" w:eastAsia="Arial" w:hAnsi="Arial"/>
                <w:sz w:val="22"/>
                <w:szCs w:val="22"/>
                <w:b w:val="1"/>
                <w:bCs w:val="1"/>
                <w:color w:val="auto"/>
              </w:rPr>
              <w:t>Acquired</w:t>
            </w:r>
          </w:p>
        </w:tc>
        <w:tc>
          <w:tcPr>
            <w:tcW w:w="2400" w:type="dxa"/>
            <w:vAlign w:val="bottom"/>
          </w:tcPr>
          <w:p>
            <w:pPr>
              <w:ind w:left="100"/>
              <w:spacing w:after="0"/>
              <w:rPr>
                <w:sz w:val="20"/>
                <w:szCs w:val="20"/>
                <w:color w:val="auto"/>
              </w:rPr>
            </w:pPr>
            <w:r>
              <w:rPr>
                <w:rFonts w:ascii="Arial" w:cs="Arial" w:eastAsia="Arial" w:hAnsi="Arial"/>
                <w:sz w:val="22"/>
                <w:szCs w:val="22"/>
                <w:b w:val="1"/>
                <w:bCs w:val="1"/>
                <w:color w:val="auto"/>
              </w:rPr>
              <w:t>Gift?</w:t>
            </w:r>
          </w:p>
        </w:tc>
        <w:tc>
          <w:tcPr>
            <w:tcW w:w="3100" w:type="dxa"/>
            <w:vAlign w:val="bottom"/>
          </w:tcPr>
          <w:p>
            <w:pPr>
              <w:spacing w:after="0"/>
              <w:rPr>
                <w:sz w:val="24"/>
                <w:szCs w:val="24"/>
                <w:color w:val="auto"/>
              </w:rPr>
            </w:pPr>
          </w:p>
        </w:tc>
      </w:tr>
      <w:tr>
        <w:trPr>
          <w:trHeight w:val="266"/>
        </w:trPr>
        <w:tc>
          <w:tcPr>
            <w:tcW w:w="4040" w:type="dxa"/>
            <w:vAlign w:val="bottom"/>
          </w:tcPr>
          <w:p>
            <w:pPr>
              <w:ind w:left="2520"/>
              <w:spacing w:after="0"/>
              <w:rPr>
                <w:sz w:val="20"/>
                <w:szCs w:val="20"/>
                <w:color w:val="auto"/>
              </w:rPr>
            </w:pPr>
            <w:r>
              <w:rPr>
                <w:rFonts w:ascii="Arial" w:cs="Arial" w:eastAsia="Arial" w:hAnsi="Arial"/>
                <w:sz w:val="22"/>
                <w:szCs w:val="22"/>
                <w:color w:val="auto"/>
              </w:rPr>
              <w:t>Vesting of</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90"/>
              </w:rPr>
              <w:t>Granted as part of</w:t>
            </w: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w w:val="94"/>
              </w:rPr>
              <w:t>Ordinary shares 03/01/2019 restricted stock</w:t>
            </w:r>
          </w:p>
        </w:tc>
        <w:tc>
          <w:tcPr>
            <w:tcW w:w="1580" w:type="dxa"/>
            <w:vAlign w:val="bottom"/>
          </w:tcPr>
          <w:p>
            <w:pPr>
              <w:ind w:left="180"/>
              <w:spacing w:after="0" w:line="243" w:lineRule="exact"/>
              <w:rPr>
                <w:sz w:val="20"/>
                <w:szCs w:val="20"/>
                <w:color w:val="auto"/>
              </w:rPr>
            </w:pPr>
            <w:r>
              <w:rPr>
                <w:rFonts w:ascii="Arial" w:cs="Arial" w:eastAsia="Arial" w:hAnsi="Arial"/>
                <w:sz w:val="22"/>
                <w:szCs w:val="22"/>
                <w:color w:val="auto"/>
                <w:w w:val="98"/>
              </w:rPr>
              <w:t>LivaNova PLC</w:t>
            </w:r>
          </w:p>
        </w:tc>
        <w:tc>
          <w:tcPr>
            <w:tcW w:w="2400" w:type="dxa"/>
            <w:vAlign w:val="bottom"/>
          </w:tcPr>
          <w:p>
            <w:pPr>
              <w:ind w:left="1540"/>
              <w:spacing w:after="0" w:line="243" w:lineRule="exact"/>
              <w:rPr>
                <w:sz w:val="20"/>
                <w:szCs w:val="20"/>
                <w:color w:val="auto"/>
              </w:rPr>
            </w:pPr>
            <w:r>
              <w:rPr>
                <w:rFonts w:ascii="Arial" w:cs="Arial" w:eastAsia="Arial" w:hAnsi="Arial"/>
                <w:sz w:val="22"/>
                <w:szCs w:val="22"/>
                <w:color w:val="auto"/>
              </w:rPr>
              <w:t>808</w:t>
            </w:r>
          </w:p>
        </w:tc>
        <w:tc>
          <w:tcPr>
            <w:tcW w:w="3100" w:type="dxa"/>
            <w:vAlign w:val="bottom"/>
          </w:tcPr>
          <w:p>
            <w:pPr>
              <w:ind w:left="440"/>
              <w:spacing w:after="0" w:line="243" w:lineRule="exact"/>
              <w:rPr>
                <w:sz w:val="20"/>
                <w:szCs w:val="20"/>
                <w:color w:val="auto"/>
              </w:rPr>
            </w:pPr>
            <w:r>
              <w:rPr>
                <w:rFonts w:ascii="Arial" w:cs="Arial" w:eastAsia="Arial" w:hAnsi="Arial"/>
                <w:sz w:val="22"/>
                <w:szCs w:val="22"/>
                <w:color w:val="auto"/>
              </w:rPr>
              <w:t>03/01/2019 issuer equity</w:t>
            </w:r>
          </w:p>
        </w:tc>
      </w:tr>
      <w:tr>
        <w:trPr>
          <w:trHeight w:val="274"/>
        </w:trPr>
        <w:tc>
          <w:tcPr>
            <w:tcW w:w="4040" w:type="dxa"/>
            <w:vAlign w:val="bottom"/>
          </w:tcPr>
          <w:p>
            <w:pPr>
              <w:ind w:left="2520"/>
              <w:spacing w:after="0"/>
              <w:rPr>
                <w:sz w:val="20"/>
                <w:szCs w:val="20"/>
                <w:color w:val="auto"/>
              </w:rPr>
            </w:pPr>
            <w:r>
              <w:rPr>
                <w:rFonts w:ascii="Arial" w:cs="Arial" w:eastAsia="Arial" w:hAnsi="Arial"/>
                <w:sz w:val="22"/>
                <w:szCs w:val="22"/>
                <w:color w:val="auto"/>
              </w:rPr>
              <w:t>unit award</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86"/>
              </w:rPr>
              <w:t>compensation plan</w:t>
            </w:r>
          </w:p>
        </w:tc>
      </w:tr>
      <w:tr>
        <w:trPr>
          <w:trHeight w:val="266"/>
        </w:trPr>
        <w:tc>
          <w:tcPr>
            <w:tcW w:w="4040" w:type="dxa"/>
            <w:vAlign w:val="bottom"/>
          </w:tcPr>
          <w:p>
            <w:pPr>
              <w:ind w:left="2520"/>
              <w:spacing w:after="0"/>
              <w:rPr>
                <w:sz w:val="20"/>
                <w:szCs w:val="20"/>
                <w:color w:val="auto"/>
              </w:rPr>
            </w:pPr>
            <w:r>
              <w:rPr>
                <w:rFonts w:ascii="Arial" w:cs="Arial" w:eastAsia="Arial" w:hAnsi="Arial"/>
                <w:sz w:val="22"/>
                <w:szCs w:val="22"/>
                <w:color w:val="auto"/>
              </w:rPr>
              <w:t>Vesting of</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90"/>
              </w:rPr>
              <w:t>Granted as part of</w:t>
            </w: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w w:val="94"/>
              </w:rPr>
              <w:t>Ordinary shares 03/15/2019 restricted stock</w:t>
            </w:r>
          </w:p>
        </w:tc>
        <w:tc>
          <w:tcPr>
            <w:tcW w:w="1580" w:type="dxa"/>
            <w:vAlign w:val="bottom"/>
          </w:tcPr>
          <w:p>
            <w:pPr>
              <w:ind w:left="180"/>
              <w:spacing w:after="0" w:line="243" w:lineRule="exact"/>
              <w:rPr>
                <w:sz w:val="20"/>
                <w:szCs w:val="20"/>
                <w:color w:val="auto"/>
              </w:rPr>
            </w:pPr>
            <w:r>
              <w:rPr>
                <w:rFonts w:ascii="Arial" w:cs="Arial" w:eastAsia="Arial" w:hAnsi="Arial"/>
                <w:sz w:val="22"/>
                <w:szCs w:val="22"/>
                <w:color w:val="auto"/>
                <w:w w:val="98"/>
              </w:rPr>
              <w:t>LivaNova PLC</w:t>
            </w:r>
          </w:p>
        </w:tc>
        <w:tc>
          <w:tcPr>
            <w:tcW w:w="2400" w:type="dxa"/>
            <w:vAlign w:val="bottom"/>
          </w:tcPr>
          <w:p>
            <w:pPr>
              <w:ind w:left="1540"/>
              <w:spacing w:after="0" w:line="243" w:lineRule="exact"/>
              <w:rPr>
                <w:sz w:val="20"/>
                <w:szCs w:val="20"/>
                <w:color w:val="auto"/>
              </w:rPr>
            </w:pPr>
            <w:r>
              <w:rPr>
                <w:rFonts w:ascii="Arial" w:cs="Arial" w:eastAsia="Arial" w:hAnsi="Arial"/>
                <w:sz w:val="22"/>
                <w:szCs w:val="22"/>
                <w:color w:val="auto"/>
              </w:rPr>
              <w:t>2117</w:t>
            </w:r>
          </w:p>
        </w:tc>
        <w:tc>
          <w:tcPr>
            <w:tcW w:w="3100" w:type="dxa"/>
            <w:vAlign w:val="bottom"/>
          </w:tcPr>
          <w:p>
            <w:pPr>
              <w:ind w:left="440"/>
              <w:spacing w:after="0" w:line="243" w:lineRule="exact"/>
              <w:rPr>
                <w:sz w:val="20"/>
                <w:szCs w:val="20"/>
                <w:color w:val="auto"/>
              </w:rPr>
            </w:pPr>
            <w:r>
              <w:rPr>
                <w:rFonts w:ascii="Arial" w:cs="Arial" w:eastAsia="Arial" w:hAnsi="Arial"/>
                <w:sz w:val="22"/>
                <w:szCs w:val="22"/>
                <w:color w:val="auto"/>
              </w:rPr>
              <w:t>03/15/2019 issuer equity</w:t>
            </w:r>
          </w:p>
        </w:tc>
      </w:tr>
      <w:tr>
        <w:trPr>
          <w:trHeight w:val="274"/>
        </w:trPr>
        <w:tc>
          <w:tcPr>
            <w:tcW w:w="4040" w:type="dxa"/>
            <w:vAlign w:val="bottom"/>
          </w:tcPr>
          <w:p>
            <w:pPr>
              <w:ind w:left="2520"/>
              <w:spacing w:after="0"/>
              <w:rPr>
                <w:sz w:val="20"/>
                <w:szCs w:val="20"/>
                <w:color w:val="auto"/>
              </w:rPr>
            </w:pPr>
            <w:r>
              <w:rPr>
                <w:rFonts w:ascii="Arial" w:cs="Arial" w:eastAsia="Arial" w:hAnsi="Arial"/>
                <w:sz w:val="22"/>
                <w:szCs w:val="22"/>
                <w:color w:val="auto"/>
              </w:rPr>
              <w:t>unit award</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86"/>
              </w:rPr>
              <w:t>compensation plan</w:t>
            </w:r>
          </w:p>
        </w:tc>
      </w:tr>
      <w:tr>
        <w:trPr>
          <w:trHeight w:val="266"/>
        </w:trPr>
        <w:tc>
          <w:tcPr>
            <w:tcW w:w="4040" w:type="dxa"/>
            <w:vAlign w:val="bottom"/>
          </w:tcPr>
          <w:p>
            <w:pPr>
              <w:ind w:left="2520"/>
              <w:spacing w:after="0"/>
              <w:rPr>
                <w:sz w:val="20"/>
                <w:szCs w:val="20"/>
                <w:color w:val="auto"/>
              </w:rPr>
            </w:pPr>
            <w:r>
              <w:rPr>
                <w:rFonts w:ascii="Arial" w:cs="Arial" w:eastAsia="Arial" w:hAnsi="Arial"/>
                <w:sz w:val="22"/>
                <w:szCs w:val="22"/>
                <w:color w:val="auto"/>
              </w:rPr>
              <w:t>Vesting of</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90"/>
              </w:rPr>
              <w:t>Granted as part of</w:t>
            </w: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w w:val="94"/>
              </w:rPr>
              <w:t>Ordinary shares 05/05/2019 restricted stock</w:t>
            </w:r>
          </w:p>
        </w:tc>
        <w:tc>
          <w:tcPr>
            <w:tcW w:w="1580" w:type="dxa"/>
            <w:vAlign w:val="bottom"/>
          </w:tcPr>
          <w:p>
            <w:pPr>
              <w:ind w:left="180"/>
              <w:spacing w:after="0" w:line="243" w:lineRule="exact"/>
              <w:rPr>
                <w:sz w:val="20"/>
                <w:szCs w:val="20"/>
                <w:color w:val="auto"/>
              </w:rPr>
            </w:pPr>
            <w:r>
              <w:rPr>
                <w:rFonts w:ascii="Arial" w:cs="Arial" w:eastAsia="Arial" w:hAnsi="Arial"/>
                <w:sz w:val="22"/>
                <w:szCs w:val="22"/>
                <w:color w:val="auto"/>
                <w:w w:val="98"/>
              </w:rPr>
              <w:t>LivaNova PLC</w:t>
            </w:r>
          </w:p>
        </w:tc>
        <w:tc>
          <w:tcPr>
            <w:tcW w:w="2400" w:type="dxa"/>
            <w:vAlign w:val="bottom"/>
          </w:tcPr>
          <w:p>
            <w:pPr>
              <w:ind w:left="1540"/>
              <w:spacing w:after="0" w:line="243" w:lineRule="exact"/>
              <w:rPr>
                <w:sz w:val="20"/>
                <w:szCs w:val="20"/>
                <w:color w:val="auto"/>
              </w:rPr>
            </w:pPr>
            <w:r>
              <w:rPr>
                <w:rFonts w:ascii="Arial" w:cs="Arial" w:eastAsia="Arial" w:hAnsi="Arial"/>
                <w:sz w:val="22"/>
                <w:szCs w:val="22"/>
                <w:color w:val="auto"/>
              </w:rPr>
              <w:t>2959</w:t>
            </w:r>
          </w:p>
        </w:tc>
        <w:tc>
          <w:tcPr>
            <w:tcW w:w="3100" w:type="dxa"/>
            <w:vAlign w:val="bottom"/>
          </w:tcPr>
          <w:p>
            <w:pPr>
              <w:ind w:left="440"/>
              <w:spacing w:after="0" w:line="243" w:lineRule="exact"/>
              <w:rPr>
                <w:sz w:val="20"/>
                <w:szCs w:val="20"/>
                <w:color w:val="auto"/>
              </w:rPr>
            </w:pPr>
            <w:r>
              <w:rPr>
                <w:rFonts w:ascii="Arial" w:cs="Arial" w:eastAsia="Arial" w:hAnsi="Arial"/>
                <w:sz w:val="22"/>
                <w:szCs w:val="22"/>
                <w:color w:val="auto"/>
              </w:rPr>
              <w:t>05/05/2019 issuer equity</w:t>
            </w:r>
          </w:p>
        </w:tc>
      </w:tr>
      <w:tr>
        <w:trPr>
          <w:trHeight w:val="274"/>
        </w:trPr>
        <w:tc>
          <w:tcPr>
            <w:tcW w:w="4040" w:type="dxa"/>
            <w:vAlign w:val="bottom"/>
          </w:tcPr>
          <w:p>
            <w:pPr>
              <w:ind w:left="2520"/>
              <w:spacing w:after="0"/>
              <w:rPr>
                <w:sz w:val="20"/>
                <w:szCs w:val="20"/>
                <w:color w:val="auto"/>
              </w:rPr>
            </w:pPr>
            <w:r>
              <w:rPr>
                <w:rFonts w:ascii="Arial" w:cs="Arial" w:eastAsia="Arial" w:hAnsi="Arial"/>
                <w:sz w:val="22"/>
                <w:szCs w:val="22"/>
                <w:color w:val="auto"/>
              </w:rPr>
              <w:t>unit award</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86"/>
              </w:rPr>
              <w:t>compensation plan</w:t>
            </w:r>
          </w:p>
        </w:tc>
      </w:tr>
      <w:tr>
        <w:trPr>
          <w:trHeight w:val="266"/>
        </w:trPr>
        <w:tc>
          <w:tcPr>
            <w:tcW w:w="4040" w:type="dxa"/>
            <w:vAlign w:val="bottom"/>
          </w:tcPr>
          <w:p>
            <w:pPr>
              <w:ind w:left="2520"/>
              <w:spacing w:after="0"/>
              <w:rPr>
                <w:sz w:val="20"/>
                <w:szCs w:val="20"/>
                <w:color w:val="auto"/>
              </w:rPr>
            </w:pPr>
            <w:r>
              <w:rPr>
                <w:rFonts w:ascii="Arial" w:cs="Arial" w:eastAsia="Arial" w:hAnsi="Arial"/>
                <w:sz w:val="22"/>
                <w:szCs w:val="22"/>
                <w:color w:val="auto"/>
              </w:rPr>
              <w:t>Vesting of</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90"/>
              </w:rPr>
              <w:t>Granted as part of</w:t>
            </w: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w w:val="94"/>
              </w:rPr>
              <w:t>Ordinary shares 11/04/2019 restricted stock</w:t>
            </w:r>
          </w:p>
        </w:tc>
        <w:tc>
          <w:tcPr>
            <w:tcW w:w="1580" w:type="dxa"/>
            <w:vAlign w:val="bottom"/>
          </w:tcPr>
          <w:p>
            <w:pPr>
              <w:ind w:left="180"/>
              <w:spacing w:after="0" w:line="243" w:lineRule="exact"/>
              <w:rPr>
                <w:sz w:val="20"/>
                <w:szCs w:val="20"/>
                <w:color w:val="auto"/>
              </w:rPr>
            </w:pPr>
            <w:r>
              <w:rPr>
                <w:rFonts w:ascii="Arial" w:cs="Arial" w:eastAsia="Arial" w:hAnsi="Arial"/>
                <w:sz w:val="22"/>
                <w:szCs w:val="22"/>
                <w:color w:val="auto"/>
                <w:w w:val="98"/>
              </w:rPr>
              <w:t>LivaNova PLC</w:t>
            </w:r>
          </w:p>
        </w:tc>
        <w:tc>
          <w:tcPr>
            <w:tcW w:w="2400" w:type="dxa"/>
            <w:vAlign w:val="bottom"/>
          </w:tcPr>
          <w:p>
            <w:pPr>
              <w:ind w:left="1540"/>
              <w:spacing w:after="0" w:line="243" w:lineRule="exact"/>
              <w:rPr>
                <w:sz w:val="20"/>
                <w:szCs w:val="20"/>
                <w:color w:val="auto"/>
              </w:rPr>
            </w:pPr>
            <w:r>
              <w:rPr>
                <w:rFonts w:ascii="Arial" w:cs="Arial" w:eastAsia="Arial" w:hAnsi="Arial"/>
                <w:sz w:val="22"/>
                <w:szCs w:val="22"/>
                <w:color w:val="auto"/>
              </w:rPr>
              <w:t>8242</w:t>
            </w:r>
          </w:p>
        </w:tc>
        <w:tc>
          <w:tcPr>
            <w:tcW w:w="3100" w:type="dxa"/>
            <w:vAlign w:val="bottom"/>
          </w:tcPr>
          <w:p>
            <w:pPr>
              <w:ind w:left="440"/>
              <w:spacing w:after="0" w:line="243" w:lineRule="exact"/>
              <w:rPr>
                <w:sz w:val="20"/>
                <w:szCs w:val="20"/>
                <w:color w:val="auto"/>
              </w:rPr>
            </w:pPr>
            <w:r>
              <w:rPr>
                <w:rFonts w:ascii="Arial" w:cs="Arial" w:eastAsia="Arial" w:hAnsi="Arial"/>
                <w:sz w:val="22"/>
                <w:szCs w:val="22"/>
                <w:color w:val="auto"/>
              </w:rPr>
              <w:t>11/04/2019 issuer equity</w:t>
            </w:r>
          </w:p>
        </w:tc>
      </w:tr>
      <w:tr>
        <w:trPr>
          <w:trHeight w:val="274"/>
        </w:trPr>
        <w:tc>
          <w:tcPr>
            <w:tcW w:w="4040" w:type="dxa"/>
            <w:vAlign w:val="bottom"/>
          </w:tcPr>
          <w:p>
            <w:pPr>
              <w:ind w:left="2520"/>
              <w:spacing w:after="0"/>
              <w:rPr>
                <w:sz w:val="20"/>
                <w:szCs w:val="20"/>
                <w:color w:val="auto"/>
              </w:rPr>
            </w:pPr>
            <w:r>
              <w:rPr>
                <w:rFonts w:ascii="Arial" w:cs="Arial" w:eastAsia="Arial" w:hAnsi="Arial"/>
                <w:sz w:val="22"/>
                <w:szCs w:val="22"/>
                <w:color w:val="auto"/>
              </w:rPr>
              <w:t>unit award</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86"/>
              </w:rPr>
              <w:t>compensation plan</w:t>
            </w:r>
          </w:p>
        </w:tc>
      </w:tr>
      <w:tr>
        <w:trPr>
          <w:trHeight w:val="266"/>
        </w:trPr>
        <w:tc>
          <w:tcPr>
            <w:tcW w:w="4040" w:type="dxa"/>
            <w:vAlign w:val="bottom"/>
          </w:tcPr>
          <w:p>
            <w:pPr>
              <w:ind w:left="2520"/>
              <w:spacing w:after="0"/>
              <w:rPr>
                <w:sz w:val="20"/>
                <w:szCs w:val="20"/>
                <w:color w:val="auto"/>
              </w:rPr>
            </w:pPr>
            <w:r>
              <w:rPr>
                <w:rFonts w:ascii="Arial" w:cs="Arial" w:eastAsia="Arial" w:hAnsi="Arial"/>
                <w:sz w:val="22"/>
                <w:szCs w:val="22"/>
                <w:color w:val="auto"/>
              </w:rPr>
              <w:t>Vesting of</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90"/>
              </w:rPr>
              <w:t>Granted as part of</w:t>
            </w: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w w:val="94"/>
              </w:rPr>
              <w:t>Ordinary shares 03/01/2020 restricted stock</w:t>
            </w:r>
          </w:p>
        </w:tc>
        <w:tc>
          <w:tcPr>
            <w:tcW w:w="1580" w:type="dxa"/>
            <w:vAlign w:val="bottom"/>
          </w:tcPr>
          <w:p>
            <w:pPr>
              <w:ind w:left="180"/>
              <w:spacing w:after="0" w:line="243" w:lineRule="exact"/>
              <w:rPr>
                <w:sz w:val="20"/>
                <w:szCs w:val="20"/>
                <w:color w:val="auto"/>
              </w:rPr>
            </w:pPr>
            <w:r>
              <w:rPr>
                <w:rFonts w:ascii="Arial" w:cs="Arial" w:eastAsia="Arial" w:hAnsi="Arial"/>
                <w:sz w:val="22"/>
                <w:szCs w:val="22"/>
                <w:color w:val="auto"/>
                <w:w w:val="98"/>
              </w:rPr>
              <w:t>LivaNova PLC</w:t>
            </w:r>
          </w:p>
        </w:tc>
        <w:tc>
          <w:tcPr>
            <w:tcW w:w="2400" w:type="dxa"/>
            <w:vAlign w:val="bottom"/>
          </w:tcPr>
          <w:p>
            <w:pPr>
              <w:ind w:left="1540"/>
              <w:spacing w:after="0" w:line="243" w:lineRule="exact"/>
              <w:rPr>
                <w:sz w:val="20"/>
                <w:szCs w:val="20"/>
                <w:color w:val="auto"/>
              </w:rPr>
            </w:pPr>
            <w:r>
              <w:rPr>
                <w:rFonts w:ascii="Arial" w:cs="Arial" w:eastAsia="Arial" w:hAnsi="Arial"/>
                <w:sz w:val="22"/>
                <w:szCs w:val="22"/>
                <w:color w:val="auto"/>
              </w:rPr>
              <w:t>5874</w:t>
            </w:r>
          </w:p>
        </w:tc>
        <w:tc>
          <w:tcPr>
            <w:tcW w:w="3100" w:type="dxa"/>
            <w:vAlign w:val="bottom"/>
          </w:tcPr>
          <w:p>
            <w:pPr>
              <w:ind w:left="440"/>
              <w:spacing w:after="0" w:line="243" w:lineRule="exact"/>
              <w:rPr>
                <w:sz w:val="20"/>
                <w:szCs w:val="20"/>
                <w:color w:val="auto"/>
              </w:rPr>
            </w:pPr>
            <w:r>
              <w:rPr>
                <w:rFonts w:ascii="Arial" w:cs="Arial" w:eastAsia="Arial" w:hAnsi="Arial"/>
                <w:sz w:val="22"/>
                <w:szCs w:val="22"/>
                <w:color w:val="auto"/>
              </w:rPr>
              <w:t>03/01/2020 issuer equity</w:t>
            </w:r>
          </w:p>
        </w:tc>
      </w:tr>
      <w:tr>
        <w:trPr>
          <w:trHeight w:val="274"/>
        </w:trPr>
        <w:tc>
          <w:tcPr>
            <w:tcW w:w="4040" w:type="dxa"/>
            <w:vAlign w:val="bottom"/>
          </w:tcPr>
          <w:p>
            <w:pPr>
              <w:ind w:left="2520"/>
              <w:spacing w:after="0"/>
              <w:rPr>
                <w:sz w:val="20"/>
                <w:szCs w:val="20"/>
                <w:color w:val="auto"/>
              </w:rPr>
            </w:pPr>
            <w:r>
              <w:rPr>
                <w:rFonts w:ascii="Arial" w:cs="Arial" w:eastAsia="Arial" w:hAnsi="Arial"/>
                <w:sz w:val="22"/>
                <w:szCs w:val="22"/>
                <w:color w:val="auto"/>
              </w:rPr>
              <w:t>unit award</w:t>
            </w: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Arial" w:cs="Arial" w:eastAsia="Arial" w:hAnsi="Arial"/>
                <w:sz w:val="22"/>
                <w:szCs w:val="22"/>
                <w:color w:val="auto"/>
                <w:w w:val="8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-1788795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-1291590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-794385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Damien McDonald</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 EASTBOURNE TERRACE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Ordinary shares</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06/15/2023 2220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107647.80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LONDON  X0  W2 6LG</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Damien McDonald</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 EASTBOURNE TERRACE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Ordinary shares</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03/30/2023 2220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94461.00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LONDON  X0  W2 6LG</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Damien McDonald</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 EASTBOURNE TERRACE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Ordinary shares</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06/20/2023 8847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452319.44</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LONDON  X0  W2 6LG</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Remarks</w:t>
            </w:r>
          </w:p>
        </w:tc>
        <w:tc>
          <w:tcPr>
            <w:tcW w:w="2780" w:type="dxa"/>
            <w:vAlign w:val="bottom"/>
          </w:tcPr>
          <w:p>
            <w:pPr>
              <w:spacing w:after="0"/>
              <w:rPr>
                <w:sz w:val="23"/>
                <w:szCs w:val="23"/>
                <w:color w:val="auto"/>
              </w:rPr>
            </w:pPr>
          </w:p>
        </w:tc>
      </w:tr>
      <w:tr>
        <w:trPr>
          <w:trHeight w:val="297"/>
        </w:trPr>
        <w:tc>
          <w:tcPr>
            <w:tcW w:w="3120" w:type="dxa"/>
            <w:vAlign w:val="bottom"/>
          </w:tcPr>
          <w:p>
            <w:pPr>
              <w:spacing w:after="0"/>
              <w:rPr>
                <w:sz w:val="20"/>
                <w:szCs w:val="20"/>
                <w:color w:val="auto"/>
              </w:rPr>
            </w:pPr>
            <w:r>
              <w:rPr>
                <w:rFonts w:ascii="Arial" w:cs="Arial" w:eastAsia="Arial" w:hAnsi="Arial"/>
                <w:sz w:val="22"/>
                <w:szCs w:val="22"/>
                <w:color w:val="auto"/>
              </w:rPr>
              <w:t>Date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06/23/2023</w:t>
            </w:r>
          </w:p>
        </w:tc>
      </w:tr>
      <w:tr>
        <w:trPr>
          <w:trHeight w:val="297"/>
        </w:trPr>
        <w:tc>
          <w:tcPr>
            <w:tcW w:w="31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Damien McDonald</w:t>
      </w:r>
    </w:p>
    <w:p>
      <w:pPr>
        <w:sectPr>
          <w:pgSz w:w="11900" w:h="16838" w:orient="portrait"/>
          <w:cols w:equalWidth="0" w:num="1">
            <w:col w:w="11240"/>
          </w:cols>
          <w:pgMar w:left="320" w:top="102" w:right="339" w:bottom="965"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9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2023-06-23T15:10:49Z</dcterms:created>
  <dcterms:modified xsi:type="dcterms:W3CDTF">2023-06-23T15:10:49Z</dcterms:modified>
</cp:coreProperties>
</file>