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January 5, 2024, the Board of Directors of LivaNova PLC (the “Company”) approved a restructuring plan (the “Plan”) to enhance the Company’s focus on its core Cardiopulmonary and Neuromodulation Business Units. As part of the Plan, the Company will wind down the Advanced Circulatory Support (“ACS”) Business Unit, which is anticipated to be substantially complete by the end of 2024.</w:t>
      </w:r>
    </w:p>
    <w:p>
      <w:pPr>
        <w:spacing w:after="0" w:line="19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During the first quarter of 2024, the Company will transition all ACS standalone cannulae and accessories, including ProtekDuo™, transseptal (TandemHeart™), arterial and venous cannulae, along with corresponding insertion kits, into its Cardiopulmonary Business Unit. Operations for other ACS products, including LifeSPARC™ and Hemolung™ Systems, will be discontinued by the end of 2024. During the first quarter of 2024, the Company will reorganize its operating and reporting structure as it continues to implement the Plan. At this time, it is anticipated that the Company will have two reportable segments: Cardiopulmonary and Neuromodulation, corresponding to its primary Business Units.</w:t>
      </w:r>
    </w:p>
    <w:p>
      <w:pPr>
        <w:spacing w:after="0" w:line="20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In connection with the Plan, the Company expects to incur pre-tax restructuring charges in the range of approximately $15 million to $20 million. The anticipated charges are comprised of approximately $10 million to $12 million in severance expenses and retention bonuses and approximately $5 million to $8 million in other expenses, including lease termination, facilities remediation and asset disposal expenses. The Company expects the majority of the severance expenses to be recognized in the first half of 2024, and retention bonuses will be earned over the period of service, which is expected to be over the full year of 2024. All future cash payments related to all restructuring charges are expected to be paid out during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estimates described in Item 2.05 of this Current Report on Form 8-K are subject to change.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2.06</w:t>
      </w:r>
      <w:r>
        <w:rPr>
          <w:sz w:val="20"/>
          <w:szCs w:val="20"/>
          <w:color w:val="auto"/>
        </w:rPr>
        <w:tab/>
      </w:r>
      <w:r>
        <w:rPr>
          <w:rFonts w:ascii="Times New Roman" w:cs="Times New Roman" w:eastAsia="Times New Roman" w:hAnsi="Times New Roman"/>
          <w:sz w:val="17"/>
          <w:szCs w:val="17"/>
          <w:b w:val="1"/>
          <w:bCs w:val="1"/>
          <w:color w:val="auto"/>
        </w:rPr>
        <w:t>Material Impairments.</w:t>
      </w:r>
    </w:p>
    <w:p>
      <w:pPr>
        <w:spacing w:after="0" w:line="24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In accordance with accounting standards relating to the impairment of long-lived assets, the Company reviews if circumstances warrant an evaluation of the carrying amounts of its property and equipment and finite-lived intangible assets to determine whether such carrying amounts continue to be recoverable. In connection with the Plan described in Item 2.05 above, the Company determined that it was more likely than not that the carrying amounts associated with the ACS Business Unit, including the long-lived assets, may not be recoverable. This was determined to be a triggering event occurring in the fourth quarter of 2023 based on certain factors, including the results of an updated long-term financial outlook for the ACS Business Unit requiring an impairment assessment. Based on the assessment, the Company expects to incur a pre-tax non-cash impairment charge of up to approximately $110 million in the fourth quarter of 2023, primarily related to its finite-lived intangible assets.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estimates described in Item 2.06 of this Current Report on Form 8-K may change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Section 27A of the Securities Act and Section 21E of the Exchange Act.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Current Report on Form 8-K are based on information presently available to the Company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You should carefully consider the risks and uncertainties that affect the Company, including those described in the “Risk Factors” section of the Company’s Annual Reports on Form 10-K, Quarterly Reports on Form 10-Q, Current Reports on Form 8-K and other documents filed from time to time with the SEC by the Company. We caution you not to place undue reliance on any forward-looking statements, which are made only as of the date of this Current Report on Form 8-K. The Company does not undertake or assume any obligation to update publicly any of the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2024-01-08T07:43:18Z</dcterms:created>
  <dcterms:modified xsi:type="dcterms:W3CDTF">2024-01-08T07:43:18Z</dcterms:modified>
</cp:coreProperties>
</file>