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60" w:type="dxa"/>
            <w:vAlign w:val="bottom"/>
          </w:tcPr>
          <w:p>
            <w:pPr>
              <w:jc w:val="center"/>
              <w:ind w:right="17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-652145</wp:posOffset>
            </wp:positionV>
            <wp:extent cx="59690" cy="665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5480"/>
                    </a:xfrm>
                    <a:prstGeom prst="rect">
                      <a:avLst/>
                    </a:prstGeom>
                    <a:noFill/>
                  </pic:spPr>
                </pic:pic>
              </a:graphicData>
            </a:graphic>
          </wp:anchor>
        </w:drawing>
        <w:drawing>
          <wp:anchor simplePos="0" relativeHeight="251657728" behindDoc="1" locked="0" layoutInCell="0" allowOverlap="1">
            <wp:simplePos x="0" y="0"/>
            <wp:positionH relativeFrom="column">
              <wp:posOffset>4150360</wp:posOffset>
            </wp:positionH>
            <wp:positionV relativeFrom="paragraph">
              <wp:posOffset>-652145</wp:posOffset>
            </wp:positionV>
            <wp:extent cx="59690" cy="665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548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-1696085</wp:posOffset>
            </wp:positionH>
            <wp:positionV relativeFrom="paragraph">
              <wp:posOffset>20955</wp:posOffset>
            </wp:positionV>
            <wp:extent cx="7322820" cy="4711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711700"/>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60" w:space="300"/>
            <w:col w:w="886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Huston Thad Allen</w:t>
        </w:r>
      </w:hyperlink>
    </w:p>
    <w:p>
      <w:pPr>
        <w:spacing w:after="0" w:line="314"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7"/>
          <w:szCs w:val="17"/>
          <w:color w:val="0000FF"/>
        </w:rPr>
        <w:t>05/23/2017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6" w:right="640" w:firstLine="6"/>
        <w:spacing w:after="0" w:line="256"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14"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34"/>
        <w:spacing w:after="0"/>
        <w:rPr>
          <w:sz w:val="20"/>
          <w:szCs w:val="20"/>
          <w:color w:val="auto"/>
        </w:rPr>
      </w:pPr>
      <w:r>
        <w:rPr>
          <w:rFonts w:ascii="Arial" w:cs="Arial" w:eastAsia="Arial" w:hAnsi="Arial"/>
          <w:sz w:val="17"/>
          <w:szCs w:val="17"/>
          <w:color w:val="0000FF"/>
        </w:rPr>
        <w:t>Chief Financial Officer</w:t>
      </w:r>
    </w:p>
    <w:p>
      <w:pPr>
        <w:spacing w:after="0" w:line="334" w:lineRule="exact"/>
        <w:rPr>
          <w:sz w:val="24"/>
          <w:szCs w:val="24"/>
          <w:color w:val="auto"/>
        </w:rPr>
      </w:pPr>
    </w:p>
    <w:p>
      <w:pPr>
        <w:sectPr>
          <w:pgSz w:w="11900" w:h="16838" w:orient="portrait"/>
          <w:cols w:equalWidth="0" w:num="3">
            <w:col w:w="3340" w:space="720"/>
            <w:col w:w="3266" w:space="720"/>
            <w:col w:w="3474"/>
          </w:cols>
          <w:pgMar w:left="240" w:top="226"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41"/>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LONDON</w:t>
            </w:r>
          </w:p>
        </w:tc>
        <w:tc>
          <w:tcPr>
            <w:tcW w:w="1120" w:type="dxa"/>
            <w:vAlign w:val="bottom"/>
          </w:tcPr>
          <w:p>
            <w:pPr>
              <w:ind w:left="280"/>
              <w:spacing w:after="0"/>
              <w:rPr>
                <w:sz w:val="20"/>
                <w:szCs w:val="20"/>
                <w:color w:val="auto"/>
              </w:rPr>
            </w:pPr>
            <w:r>
              <w:rPr>
                <w:rFonts w:ascii="Arial" w:cs="Arial" w:eastAsia="Arial" w:hAnsi="Arial"/>
                <w:sz w:val="17"/>
                <w:szCs w:val="17"/>
                <w:color w:val="0000FF"/>
              </w:rPr>
              <w:t>X0</w:t>
            </w:r>
          </w:p>
        </w:tc>
        <w:tc>
          <w:tcPr>
            <w:tcW w:w="1660" w:type="dxa"/>
            <w:vAlign w:val="bottom"/>
          </w:tcPr>
          <w:p>
            <w:pPr>
              <w:ind w:left="420"/>
              <w:spacing w:after="0"/>
              <w:rPr>
                <w:sz w:val="20"/>
                <w:szCs w:val="20"/>
                <w:color w:val="auto"/>
              </w:rPr>
            </w:pPr>
            <w:r>
              <w:rPr>
                <w:rFonts w:ascii="Arial" w:cs="Arial" w:eastAsia="Arial" w:hAnsi="Arial"/>
                <w:sz w:val="17"/>
                <w:szCs w:val="17"/>
                <w:color w:val="0000FF"/>
              </w:rPr>
              <w:t>W2 6LG</w:t>
            </w:r>
          </w:p>
        </w:tc>
      </w:tr>
      <w:tr>
        <w:trPr>
          <w:trHeight w:val="157"/>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80"/>
              <w:spacing w:after="0"/>
              <w:rPr>
                <w:sz w:val="20"/>
                <w:szCs w:val="20"/>
                <w:color w:val="auto"/>
              </w:rPr>
            </w:pPr>
            <w:r>
              <w:rPr>
                <w:rFonts w:ascii="Arial" w:cs="Arial" w:eastAsia="Arial" w:hAnsi="Arial"/>
                <w:sz w:val="13"/>
                <w:szCs w:val="13"/>
                <w:color w:val="auto"/>
              </w:rPr>
              <w:t>(State)</w:t>
            </w:r>
          </w:p>
        </w:tc>
        <w:tc>
          <w:tcPr>
            <w:tcW w:w="166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6"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4"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900" w:space="160"/>
            <w:col w:w="746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72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Ordinary</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39,627</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Stock</w:t>
            </w:r>
          </w:p>
        </w:tc>
        <w:tc>
          <w:tcPr>
            <w:tcW w:w="820" w:type="dxa"/>
            <w:vAlign w:val="bottom"/>
            <w:vMerge w:val="continue"/>
          </w:tcPr>
          <w:p>
            <w:pPr>
              <w:spacing w:after="0"/>
              <w:rPr>
                <w:sz w:val="11"/>
                <w:szCs w:val="11"/>
                <w:color w:val="auto"/>
              </w:rPr>
            </w:pPr>
          </w:p>
        </w:tc>
        <w:tc>
          <w:tcPr>
            <w:tcW w:w="1120" w:type="dxa"/>
            <w:vAlign w:val="bottom"/>
          </w:tcPr>
          <w:p>
            <w:pPr>
              <w:jc w:val="right"/>
              <w:ind w:right="198"/>
              <w:spacing w:after="0" w:line="132" w:lineRule="exact"/>
              <w:rPr>
                <w:sz w:val="20"/>
                <w:szCs w:val="20"/>
                <w:color w:val="auto"/>
              </w:rPr>
            </w:pPr>
            <w:r>
              <w:rPr>
                <w:rFonts w:ascii="Arial" w:cs="Arial" w:eastAsia="Arial" w:hAnsi="Arial"/>
                <w:sz w:val="13"/>
                <w:szCs w:val="13"/>
                <w:color w:val="0000FF"/>
              </w:rPr>
              <w:t>05/23/2017</w:t>
            </w:r>
          </w:p>
        </w:tc>
        <w:tc>
          <w:tcPr>
            <w:tcW w:w="1140" w:type="dxa"/>
            <w:vAlign w:val="bottom"/>
          </w:tcPr>
          <w:p>
            <w:pPr>
              <w:spacing w:after="0"/>
              <w:rPr>
                <w:sz w:val="11"/>
                <w:szCs w:val="11"/>
                <w:color w:val="auto"/>
              </w:rPr>
            </w:pPr>
          </w:p>
        </w:tc>
        <w:tc>
          <w:tcPr>
            <w:tcW w:w="820" w:type="dxa"/>
            <w:vAlign w:val="bottom"/>
          </w:tcPr>
          <w:p>
            <w:pPr>
              <w:ind w:left="160"/>
              <w:spacing w:after="0" w:line="132" w:lineRule="exact"/>
              <w:rPr>
                <w:sz w:val="20"/>
                <w:szCs w:val="20"/>
                <w:color w:val="auto"/>
              </w:rPr>
            </w:pPr>
            <w:r>
              <w:rPr>
                <w:rFonts w:ascii="Arial" w:cs="Arial" w:eastAsia="Arial" w:hAnsi="Arial"/>
                <w:sz w:val="13"/>
                <w:szCs w:val="13"/>
                <w:color w:val="0000FF"/>
              </w:rPr>
              <w:t>A</w:t>
            </w:r>
          </w:p>
        </w:tc>
        <w:tc>
          <w:tcPr>
            <w:tcW w:w="520" w:type="dxa"/>
            <w:vAlign w:val="bottom"/>
          </w:tcPr>
          <w:p>
            <w:pPr>
              <w:ind w:left="80"/>
              <w:spacing w:after="0" w:line="132" w:lineRule="exact"/>
              <w:rPr>
                <w:sz w:val="20"/>
                <w:szCs w:val="20"/>
                <w:color w:val="auto"/>
              </w:rPr>
            </w:pPr>
            <w:r>
              <w:rPr>
                <w:rFonts w:ascii="Arial" w:cs="Arial" w:eastAsia="Arial" w:hAnsi="Arial"/>
                <w:sz w:val="13"/>
                <w:szCs w:val="13"/>
                <w:color w:val="0000FF"/>
              </w:rPr>
              <w:t>39,627</w:t>
            </w:r>
          </w:p>
        </w:tc>
        <w:tc>
          <w:tcPr>
            <w:tcW w:w="3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720" w:type="dxa"/>
            <w:vAlign w:val="bottom"/>
          </w:tcPr>
          <w:p>
            <w:pPr>
              <w:ind w:left="30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20"/>
              <w:spacing w:after="0" w:line="132" w:lineRule="exact"/>
              <w:rPr>
                <w:sz w:val="20"/>
                <w:szCs w:val="20"/>
                <w:color w:val="auto"/>
              </w:rPr>
            </w:pPr>
            <w:r>
              <w:rPr>
                <w:rFonts w:ascii="Arial" w:cs="Arial" w:eastAsia="Arial" w:hAnsi="Arial"/>
                <w:sz w:val="13"/>
                <w:szCs w:val="13"/>
                <w:color w:val="0000FF"/>
              </w:rPr>
              <w:t>65,140</w:t>
            </w:r>
          </w:p>
        </w:tc>
        <w:tc>
          <w:tcPr>
            <w:tcW w:w="76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ind w:left="140"/>
              <w:spacing w:after="0" w:line="148" w:lineRule="exact"/>
              <w:rPr>
                <w:sz w:val="20"/>
                <w:szCs w:val="20"/>
                <w:color w:val="auto"/>
              </w:rPr>
            </w:pPr>
            <w:r>
              <w:rPr>
                <w:rFonts w:ascii="Arial" w:cs="Arial" w:eastAsia="Arial" w:hAnsi="Arial"/>
                <w:sz w:val="13"/>
                <w:szCs w:val="13"/>
                <w:color w:val="0000FF"/>
              </w:rPr>
              <w:t>Shares</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60" w:firstLine="8"/>
        <w:spacing w:after="0" w:line="273"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one ordinary share (Ordinary Share) of LivaNova PLC (the Company), GBP 1.00 par value, in accordance with the terms of the LivaNova PLC 2015 Incentive Award Plan (the Plan).</w:t>
      </w:r>
    </w:p>
    <w:p>
      <w:pPr>
        <w:spacing w:after="0" w:line="9" w:lineRule="exact"/>
        <w:rPr>
          <w:rFonts w:ascii="Arial" w:cs="Arial" w:eastAsia="Arial" w:hAnsi="Arial"/>
          <w:sz w:val="13"/>
          <w:szCs w:val="13"/>
          <w:color w:val="008000"/>
        </w:rPr>
      </w:pPr>
    </w:p>
    <w:p>
      <w:pPr>
        <w:ind w:left="40" w:right="460" w:firstLine="8"/>
        <w:spacing w:after="0" w:line="273"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was granted RSUs subject to a four-year vesting schedule, vesting 25% on each of the next four anniversaries of May 23, 2017. The RSUs are subject to forfeiture prior to vesting in accordance with the terms of the LivaNova PLC 2015 Incentive Award Plan.</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8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3"/>
              </w:rPr>
              <w:t>/s/ Sarah K. Mohr as POA</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05/24/2017</w:t>
            </w:r>
          </w:p>
        </w:tc>
      </w:tr>
      <w:tr>
        <w:trPr>
          <w:trHeight w:val="235"/>
        </w:trPr>
        <w:tc>
          <w:tcPr>
            <w:tcW w:w="21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2"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06052"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2019-12-04T02:36:52Z</dcterms:created>
  <dcterms:modified xsi:type="dcterms:W3CDTF">2019-12-04T02:36:52Z</dcterms:modified>
</cp:coreProperties>
</file>