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421005</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Date of Report (Date of earliest event reported): February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166370</wp:posOffset>
            </wp:positionV>
            <wp:extent cx="1428750" cy="448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8750" cy="448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LivaNova PLC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140" w:lineRule="exact"/>
        <w:rPr>
          <w:sz w:val="24"/>
          <w:szCs w:val="24"/>
          <w:color w:val="auto"/>
        </w:rPr>
      </w:pPr>
    </w:p>
    <w:tbl>
      <w:tblPr>
        <w:tblLayout w:type="fixed"/>
        <w:tblInd w:w="1340" w:type="dxa"/>
        <w:tblCellMar>
          <w:top w:w="0" w:type="dxa"/>
          <w:left w:w="0" w:type="dxa"/>
          <w:bottom w:w="0" w:type="dxa"/>
          <w:right w:w="0" w:type="dxa"/>
        </w:tblCellMar>
      </w:tblPr>
      <w:tr>
        <w:trPr>
          <w:trHeight w:val="227"/>
        </w:trPr>
        <w:tc>
          <w:tcPr>
            <w:tcW w:w="2120" w:type="dxa"/>
            <w:vAlign w:val="bottom"/>
          </w:tcPr>
          <w:p>
            <w:pPr>
              <w:jc w:val="center"/>
              <w:ind w:right="113"/>
              <w:spacing w:after="0"/>
              <w:rPr>
                <w:sz w:val="20"/>
                <w:szCs w:val="20"/>
                <w:color w:val="auto"/>
              </w:rPr>
            </w:pPr>
            <w:r>
              <w:rPr>
                <w:rFonts w:ascii="Arial" w:cs="Arial" w:eastAsia="Arial" w:hAnsi="Arial"/>
                <w:sz w:val="17"/>
                <w:szCs w:val="17"/>
                <w:b w:val="1"/>
                <w:bCs w:val="1"/>
                <w:color w:val="auto"/>
                <w:w w:val="92"/>
              </w:rPr>
              <w:t>England and Wales</w:t>
            </w:r>
          </w:p>
        </w:tc>
        <w:tc>
          <w:tcPr>
            <w:tcW w:w="4460" w:type="dxa"/>
            <w:vAlign w:val="bottom"/>
          </w:tcPr>
          <w:p>
            <w:pPr>
              <w:jc w:val="center"/>
              <w:ind w:right="73"/>
              <w:spacing w:after="0"/>
              <w:rPr>
                <w:sz w:val="20"/>
                <w:szCs w:val="20"/>
                <w:color w:val="auto"/>
              </w:rPr>
            </w:pPr>
            <w:r>
              <w:rPr>
                <w:rFonts w:ascii="Arial" w:cs="Arial" w:eastAsia="Arial" w:hAnsi="Arial"/>
                <w:sz w:val="17"/>
                <w:szCs w:val="17"/>
                <w:b w:val="1"/>
                <w:bCs w:val="1"/>
                <w:color w:val="auto"/>
                <w:w w:val="90"/>
              </w:rPr>
              <w:t>001-37599</w:t>
            </w:r>
          </w:p>
        </w:tc>
        <w:tc>
          <w:tcPr>
            <w:tcW w:w="1660" w:type="dxa"/>
            <w:vAlign w:val="bottom"/>
          </w:tcPr>
          <w:p>
            <w:pPr>
              <w:jc w:val="center"/>
              <w:ind w:left="293"/>
              <w:spacing w:after="0"/>
              <w:rPr>
                <w:sz w:val="20"/>
                <w:szCs w:val="20"/>
                <w:color w:val="auto"/>
              </w:rPr>
            </w:pPr>
            <w:r>
              <w:rPr>
                <w:rFonts w:ascii="Arial" w:cs="Arial" w:eastAsia="Arial" w:hAnsi="Arial"/>
                <w:sz w:val="17"/>
                <w:szCs w:val="17"/>
                <w:b w:val="1"/>
                <w:bCs w:val="1"/>
                <w:color w:val="auto"/>
                <w:w w:val="92"/>
              </w:rPr>
              <w:t>98-1268150</w:t>
            </w:r>
          </w:p>
        </w:tc>
      </w:tr>
      <w:tr>
        <w:trPr>
          <w:trHeight w:val="250"/>
        </w:trPr>
        <w:tc>
          <w:tcPr>
            <w:tcW w:w="2120" w:type="dxa"/>
            <w:vAlign w:val="bottom"/>
          </w:tcPr>
          <w:p>
            <w:pPr>
              <w:jc w:val="center"/>
              <w:ind w:right="133"/>
              <w:spacing w:after="0"/>
              <w:rPr>
                <w:sz w:val="20"/>
                <w:szCs w:val="20"/>
                <w:color w:val="auto"/>
              </w:rPr>
            </w:pPr>
            <w:r>
              <w:rPr>
                <w:rFonts w:ascii="Arial" w:cs="Arial" w:eastAsia="Arial" w:hAnsi="Arial"/>
                <w:sz w:val="17"/>
                <w:szCs w:val="17"/>
                <w:color w:val="auto"/>
                <w:w w:val="93"/>
              </w:rPr>
              <w:t>(State or Other Jurisdiction</w:t>
            </w:r>
          </w:p>
        </w:tc>
        <w:tc>
          <w:tcPr>
            <w:tcW w:w="4460" w:type="dxa"/>
            <w:vAlign w:val="bottom"/>
          </w:tcPr>
          <w:p>
            <w:pPr>
              <w:ind w:left="1660"/>
              <w:spacing w:after="0"/>
              <w:rPr>
                <w:sz w:val="20"/>
                <w:szCs w:val="20"/>
                <w:color w:val="auto"/>
              </w:rPr>
            </w:pPr>
            <w:r>
              <w:rPr>
                <w:rFonts w:ascii="Arial" w:cs="Arial" w:eastAsia="Arial" w:hAnsi="Arial"/>
                <w:sz w:val="17"/>
                <w:szCs w:val="17"/>
                <w:color w:val="auto"/>
              </w:rPr>
              <w:t>(Commission</w:t>
            </w:r>
          </w:p>
        </w:tc>
        <w:tc>
          <w:tcPr>
            <w:tcW w:w="1660" w:type="dxa"/>
            <w:vAlign w:val="bottom"/>
          </w:tcPr>
          <w:p>
            <w:pPr>
              <w:jc w:val="center"/>
              <w:ind w:left="233"/>
              <w:spacing w:after="0"/>
              <w:rPr>
                <w:sz w:val="20"/>
                <w:szCs w:val="20"/>
                <w:color w:val="auto"/>
              </w:rPr>
            </w:pPr>
            <w:r>
              <w:rPr>
                <w:rFonts w:ascii="Arial" w:cs="Arial" w:eastAsia="Arial" w:hAnsi="Arial"/>
                <w:sz w:val="17"/>
                <w:szCs w:val="17"/>
                <w:color w:val="auto"/>
                <w:w w:val="95"/>
              </w:rPr>
              <w:t>(IRS Employer</w:t>
            </w:r>
          </w:p>
        </w:tc>
      </w:tr>
      <w:tr>
        <w:trPr>
          <w:trHeight w:val="221"/>
        </w:trPr>
        <w:tc>
          <w:tcPr>
            <w:tcW w:w="2120" w:type="dxa"/>
            <w:vAlign w:val="bottom"/>
          </w:tcPr>
          <w:p>
            <w:pPr>
              <w:jc w:val="center"/>
              <w:ind w:right="73"/>
              <w:spacing w:after="0"/>
              <w:rPr>
                <w:sz w:val="20"/>
                <w:szCs w:val="20"/>
                <w:color w:val="auto"/>
              </w:rPr>
            </w:pPr>
            <w:r>
              <w:rPr>
                <w:rFonts w:ascii="Arial" w:cs="Arial" w:eastAsia="Arial" w:hAnsi="Arial"/>
                <w:sz w:val="17"/>
                <w:szCs w:val="17"/>
                <w:color w:val="auto"/>
                <w:w w:val="96"/>
              </w:rPr>
              <w:t>of Incorporation)</w:t>
            </w:r>
          </w:p>
        </w:tc>
        <w:tc>
          <w:tcPr>
            <w:tcW w:w="4460" w:type="dxa"/>
            <w:vAlign w:val="bottom"/>
          </w:tcPr>
          <w:p>
            <w:pPr>
              <w:jc w:val="center"/>
              <w:ind w:right="73"/>
              <w:spacing w:after="0"/>
              <w:rPr>
                <w:sz w:val="20"/>
                <w:szCs w:val="20"/>
                <w:color w:val="auto"/>
              </w:rPr>
            </w:pPr>
            <w:r>
              <w:rPr>
                <w:rFonts w:ascii="Arial" w:cs="Arial" w:eastAsia="Arial" w:hAnsi="Arial"/>
                <w:sz w:val="17"/>
                <w:szCs w:val="17"/>
                <w:color w:val="auto"/>
                <w:w w:val="95"/>
              </w:rPr>
              <w:t>File Number)</w:t>
            </w:r>
          </w:p>
        </w:tc>
        <w:tc>
          <w:tcPr>
            <w:tcW w:w="1660" w:type="dxa"/>
            <w:vAlign w:val="bottom"/>
          </w:tcPr>
          <w:p>
            <w:pPr>
              <w:jc w:val="center"/>
              <w:ind w:left="293"/>
              <w:spacing w:after="0"/>
              <w:rPr>
                <w:sz w:val="20"/>
                <w:szCs w:val="20"/>
                <w:color w:val="auto"/>
              </w:rPr>
            </w:pPr>
            <w:r>
              <w:rPr>
                <w:rFonts w:ascii="Arial" w:cs="Arial" w:eastAsia="Arial" w:hAnsi="Arial"/>
                <w:sz w:val="17"/>
                <w:szCs w:val="17"/>
                <w:color w:val="auto"/>
                <w:w w:val="96"/>
              </w:rPr>
              <w:t>Identification No.)</w:t>
            </w:r>
          </w:p>
        </w:tc>
      </w:tr>
      <w:tr>
        <w:trPr>
          <w:trHeight w:val="545"/>
        </w:trPr>
        <w:tc>
          <w:tcPr>
            <w:tcW w:w="2120" w:type="dxa"/>
            <w:vAlign w:val="bottom"/>
          </w:tcPr>
          <w:p>
            <w:pPr>
              <w:spacing w:after="0"/>
              <w:rPr>
                <w:sz w:val="24"/>
                <w:szCs w:val="24"/>
                <w:color w:val="auto"/>
              </w:rPr>
            </w:pPr>
          </w:p>
        </w:tc>
        <w:tc>
          <w:tcPr>
            <w:tcW w:w="4460" w:type="dxa"/>
            <w:vAlign w:val="bottom"/>
          </w:tcPr>
          <w:p>
            <w:pPr>
              <w:jc w:val="center"/>
              <w:ind w:right="33"/>
              <w:spacing w:after="0"/>
              <w:rPr>
                <w:sz w:val="20"/>
                <w:szCs w:val="20"/>
                <w:color w:val="auto"/>
              </w:rPr>
            </w:pPr>
            <w:r>
              <w:rPr>
                <w:rFonts w:ascii="Arial" w:cs="Arial" w:eastAsia="Arial" w:hAnsi="Arial"/>
                <w:sz w:val="17"/>
                <w:szCs w:val="17"/>
                <w:b w:val="1"/>
                <w:bCs w:val="1"/>
                <w:color w:val="auto"/>
                <w:w w:val="92"/>
              </w:rPr>
              <w:t>20 Eastbourne Terrace</w:t>
            </w:r>
          </w:p>
        </w:tc>
        <w:tc>
          <w:tcPr>
            <w:tcW w:w="1660" w:type="dxa"/>
            <w:vAlign w:val="bottom"/>
          </w:tcPr>
          <w:p>
            <w:pPr>
              <w:spacing w:after="0"/>
              <w:rPr>
                <w:sz w:val="24"/>
                <w:szCs w:val="24"/>
                <w:color w:val="auto"/>
              </w:rPr>
            </w:pPr>
          </w:p>
        </w:tc>
      </w:tr>
      <w:tr>
        <w:trPr>
          <w:trHeight w:val="209"/>
        </w:trPr>
        <w:tc>
          <w:tcPr>
            <w:tcW w:w="2120" w:type="dxa"/>
            <w:vAlign w:val="bottom"/>
          </w:tcPr>
          <w:p>
            <w:pPr>
              <w:spacing w:after="0"/>
              <w:rPr>
                <w:sz w:val="18"/>
                <w:szCs w:val="18"/>
                <w:color w:val="auto"/>
              </w:rPr>
            </w:pPr>
          </w:p>
        </w:tc>
        <w:tc>
          <w:tcPr>
            <w:tcW w:w="4460" w:type="dxa"/>
            <w:vAlign w:val="bottom"/>
          </w:tcPr>
          <w:p>
            <w:pPr>
              <w:jc w:val="center"/>
              <w:ind w:right="53"/>
              <w:spacing w:after="0"/>
              <w:rPr>
                <w:sz w:val="20"/>
                <w:szCs w:val="20"/>
                <w:color w:val="auto"/>
              </w:rPr>
            </w:pPr>
            <w:r>
              <w:rPr>
                <w:rFonts w:ascii="Arial" w:cs="Arial" w:eastAsia="Arial" w:hAnsi="Arial"/>
                <w:sz w:val="17"/>
                <w:szCs w:val="17"/>
                <w:b w:val="1"/>
                <w:bCs w:val="1"/>
                <w:color w:val="auto"/>
                <w:w w:val="97"/>
              </w:rPr>
              <w:t>London, W2 6LG</w:t>
            </w:r>
          </w:p>
        </w:tc>
        <w:tc>
          <w:tcPr>
            <w:tcW w:w="1660" w:type="dxa"/>
            <w:vAlign w:val="bottom"/>
          </w:tcPr>
          <w:p>
            <w:pPr>
              <w:spacing w:after="0"/>
              <w:rPr>
                <w:sz w:val="18"/>
                <w:szCs w:val="18"/>
                <w:color w:val="auto"/>
              </w:rPr>
            </w:pPr>
          </w:p>
        </w:tc>
      </w:tr>
      <w:tr>
        <w:trPr>
          <w:trHeight w:val="215"/>
        </w:trPr>
        <w:tc>
          <w:tcPr>
            <w:tcW w:w="2120" w:type="dxa"/>
            <w:vAlign w:val="bottom"/>
          </w:tcPr>
          <w:p>
            <w:pPr>
              <w:spacing w:after="0"/>
              <w:rPr>
                <w:sz w:val="18"/>
                <w:szCs w:val="18"/>
                <w:color w:val="auto"/>
              </w:rPr>
            </w:pPr>
          </w:p>
        </w:tc>
        <w:tc>
          <w:tcPr>
            <w:tcW w:w="4460" w:type="dxa"/>
            <w:vAlign w:val="bottom"/>
          </w:tcPr>
          <w:p>
            <w:pPr>
              <w:jc w:val="center"/>
              <w:ind w:right="53"/>
              <w:spacing w:after="0"/>
              <w:rPr>
                <w:sz w:val="20"/>
                <w:szCs w:val="20"/>
                <w:color w:val="auto"/>
              </w:rPr>
            </w:pPr>
            <w:r>
              <w:rPr>
                <w:rFonts w:ascii="Arial" w:cs="Arial" w:eastAsia="Arial" w:hAnsi="Arial"/>
                <w:sz w:val="17"/>
                <w:szCs w:val="17"/>
                <w:b w:val="1"/>
                <w:bCs w:val="1"/>
                <w:color w:val="auto"/>
                <w:w w:val="94"/>
              </w:rPr>
              <w:t>United Kingdom</w:t>
            </w:r>
          </w:p>
        </w:tc>
        <w:tc>
          <w:tcPr>
            <w:tcW w:w="1660" w:type="dxa"/>
            <w:vAlign w:val="bottom"/>
          </w:tcPr>
          <w:p>
            <w:pPr>
              <w:spacing w:after="0"/>
              <w:rPr>
                <w:sz w:val="18"/>
                <w:szCs w:val="18"/>
                <w:color w:val="auto"/>
              </w:rPr>
            </w:pPr>
          </w:p>
        </w:tc>
      </w:tr>
      <w:tr>
        <w:trPr>
          <w:trHeight w:val="221"/>
        </w:trPr>
        <w:tc>
          <w:tcPr>
            <w:tcW w:w="2120" w:type="dxa"/>
            <w:vAlign w:val="bottom"/>
          </w:tcPr>
          <w:p>
            <w:pPr>
              <w:spacing w:after="0"/>
              <w:rPr>
                <w:sz w:val="19"/>
                <w:szCs w:val="19"/>
                <w:color w:val="auto"/>
              </w:rPr>
            </w:pPr>
          </w:p>
        </w:tc>
        <w:tc>
          <w:tcPr>
            <w:tcW w:w="4460" w:type="dxa"/>
            <w:vAlign w:val="bottom"/>
          </w:tcPr>
          <w:p>
            <w:pPr>
              <w:jc w:val="center"/>
              <w:ind w:right="53"/>
              <w:spacing w:after="0"/>
              <w:rPr>
                <w:sz w:val="20"/>
                <w:szCs w:val="20"/>
                <w:color w:val="auto"/>
              </w:rPr>
            </w:pPr>
            <w:r>
              <w:rPr>
                <w:rFonts w:ascii="Arial" w:cs="Arial" w:eastAsia="Arial" w:hAnsi="Arial"/>
                <w:sz w:val="17"/>
                <w:szCs w:val="17"/>
                <w:color w:val="auto"/>
                <w:w w:val="95"/>
              </w:rPr>
              <w:t>(Address of Principal Executive Offices)</w:t>
            </w:r>
          </w:p>
        </w:tc>
        <w:tc>
          <w:tcPr>
            <w:tcW w:w="1660" w:type="dxa"/>
            <w:vAlign w:val="bottom"/>
          </w:tcPr>
          <w:p>
            <w:pPr>
              <w:spacing w:after="0"/>
              <w:rPr>
                <w:sz w:val="19"/>
                <w:szCs w:val="19"/>
                <w:color w:val="auto"/>
              </w:rPr>
            </w:pPr>
          </w:p>
        </w:tc>
      </w:tr>
      <w:tr>
        <w:trPr>
          <w:trHeight w:val="433"/>
        </w:trPr>
        <w:tc>
          <w:tcPr>
            <w:tcW w:w="2120" w:type="dxa"/>
            <w:vAlign w:val="bottom"/>
          </w:tcPr>
          <w:p>
            <w:pPr>
              <w:spacing w:after="0"/>
              <w:rPr>
                <w:sz w:val="24"/>
                <w:szCs w:val="24"/>
                <w:color w:val="auto"/>
              </w:rPr>
            </w:pPr>
          </w:p>
        </w:tc>
        <w:tc>
          <w:tcPr>
            <w:tcW w:w="4460" w:type="dxa"/>
            <w:vAlign w:val="bottom"/>
          </w:tcPr>
          <w:p>
            <w:pPr>
              <w:jc w:val="center"/>
              <w:ind w:right="53"/>
              <w:spacing w:after="0"/>
              <w:rPr>
                <w:sz w:val="20"/>
                <w:szCs w:val="20"/>
                <w:color w:val="auto"/>
              </w:rPr>
            </w:pPr>
            <w:r>
              <w:rPr>
                <w:rFonts w:ascii="Arial" w:cs="Arial" w:eastAsia="Arial" w:hAnsi="Arial"/>
                <w:sz w:val="17"/>
                <w:szCs w:val="17"/>
                <w:b w:val="1"/>
                <w:bCs w:val="1"/>
                <w:color w:val="auto"/>
                <w:w w:val="93"/>
              </w:rPr>
              <w:t>+44 20 33250660</w:t>
            </w:r>
          </w:p>
        </w:tc>
        <w:tc>
          <w:tcPr>
            <w:tcW w:w="1660" w:type="dxa"/>
            <w:vAlign w:val="bottom"/>
          </w:tcPr>
          <w:p>
            <w:pPr>
              <w:spacing w:after="0"/>
              <w:rPr>
                <w:sz w:val="24"/>
                <w:szCs w:val="24"/>
                <w:color w:val="auto"/>
              </w:rPr>
            </w:pPr>
          </w:p>
        </w:tc>
      </w:tr>
      <w:tr>
        <w:trPr>
          <w:trHeight w:val="221"/>
        </w:trPr>
        <w:tc>
          <w:tcPr>
            <w:tcW w:w="2120" w:type="dxa"/>
            <w:vAlign w:val="bottom"/>
          </w:tcPr>
          <w:p>
            <w:pPr>
              <w:spacing w:after="0"/>
              <w:rPr>
                <w:sz w:val="19"/>
                <w:szCs w:val="19"/>
                <w:color w:val="auto"/>
              </w:rPr>
            </w:pPr>
          </w:p>
        </w:tc>
        <w:tc>
          <w:tcPr>
            <w:tcW w:w="4460" w:type="dxa"/>
            <w:vAlign w:val="bottom"/>
          </w:tcPr>
          <w:p>
            <w:pPr>
              <w:jc w:val="center"/>
              <w:ind w:right="53"/>
              <w:spacing w:after="0"/>
              <w:rPr>
                <w:sz w:val="20"/>
                <w:szCs w:val="20"/>
                <w:color w:val="auto"/>
              </w:rPr>
            </w:pPr>
            <w:r>
              <w:rPr>
                <w:rFonts w:ascii="Arial" w:cs="Arial" w:eastAsia="Arial" w:hAnsi="Arial"/>
                <w:sz w:val="17"/>
                <w:szCs w:val="17"/>
                <w:color w:val="auto"/>
                <w:w w:val="93"/>
              </w:rPr>
              <w:t>(Registrant’s Telephone Number, Including Area Code)</w:t>
            </w:r>
          </w:p>
        </w:tc>
        <w:tc>
          <w:tcPr>
            <w:tcW w:w="1660" w:type="dxa"/>
            <w:vAlign w:val="bottom"/>
          </w:tcPr>
          <w:p>
            <w:pPr>
              <w:spacing w:after="0"/>
              <w:rPr>
                <w:sz w:val="19"/>
                <w:szCs w:val="19"/>
                <w:color w:val="auto"/>
              </w:rPr>
            </w:pPr>
          </w:p>
        </w:tc>
      </w:tr>
    </w:tbl>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37" w:lineRule="exact"/>
        <w:rPr>
          <w:sz w:val="24"/>
          <w:szCs w:val="24"/>
          <w:color w:val="auto"/>
        </w:rPr>
      </w:pPr>
    </w:p>
    <w:p>
      <w:pPr>
        <w:ind w:right="720"/>
        <w:spacing w:after="0" w:line="288" w:lineRule="auto"/>
        <w:rPr>
          <w:sz w:val="20"/>
          <w:szCs w:val="20"/>
          <w:color w:val="auto"/>
        </w:rPr>
      </w:pPr>
      <w:r>
        <w:rPr>
          <w:rFonts w:ascii="Arial" w:cs="Arial" w:eastAsia="Arial" w:hAnsi="Arial"/>
          <w:sz w:val="17"/>
          <w:szCs w:val="17"/>
          <w:color w:val="auto"/>
        </w:rPr>
        <w:t>Check the appropriate box below if the Form 8-K is intended to simultaneously satisfy the filing obligation of the registrant under any of the following provisions (see General Instructions A.2. below):</w:t>
      </w:r>
    </w:p>
    <w:p>
      <w:pPr>
        <w:spacing w:after="0" w:line="224"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Written communications pursuant to Rule 425 under the Securities Act (17 CFR 230.425)</w:t>
      </w:r>
    </w:p>
    <w:p>
      <w:pPr>
        <w:spacing w:after="0" w:line="267" w:lineRule="exact"/>
        <w:rPr>
          <w:rFonts w:ascii="MS PGothic" w:cs="MS PGothic" w:eastAsia="MS PGothic" w:hAnsi="MS PGothic"/>
          <w:sz w:val="21"/>
          <w:szCs w:val="21"/>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pursuant to Rule 14a-12 under the Exchange Act (17 CFR 240.14a-12)</w:t>
      </w:r>
    </w:p>
    <w:p>
      <w:pPr>
        <w:spacing w:after="0" w:line="267" w:lineRule="exact"/>
        <w:rPr>
          <w:rFonts w:ascii="MS PGothic" w:cs="MS PGothic" w:eastAsia="MS PGothic" w:hAnsi="MS PGothic"/>
          <w:sz w:val="21"/>
          <w:szCs w:val="21"/>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14d-2(b) under the Exchange Act (17 CFR 240.14d-2(b))</w:t>
      </w:r>
    </w:p>
    <w:p>
      <w:pPr>
        <w:spacing w:after="0" w:line="267" w:lineRule="exact"/>
        <w:rPr>
          <w:rFonts w:ascii="MS PGothic" w:cs="MS PGothic" w:eastAsia="MS PGothic" w:hAnsi="MS PGothic"/>
          <w:sz w:val="21"/>
          <w:szCs w:val="21"/>
          <w:color w:val="auto"/>
        </w:rPr>
      </w:pPr>
    </w:p>
    <w:p>
      <w:pPr>
        <w:ind w:right="3220" w:firstLine="5"/>
        <w:spacing w:after="0" w:line="403" w:lineRule="auto"/>
        <w:tabs>
          <w:tab w:leader="none" w:pos="227"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6"/>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Name on each exchange on which registered</w:t>
            </w:r>
          </w:p>
        </w:tc>
      </w:tr>
      <w:tr>
        <w:trPr>
          <w:trHeight w:val="216"/>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Ordinary Shares - £1.00 par value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NASDAQ Global Market</w:t>
            </w:r>
          </w:p>
        </w:tc>
      </w:tr>
    </w:tbl>
    <w:p>
      <w:pPr>
        <w:spacing w:after="0" w:line="302" w:lineRule="exact"/>
        <w:rPr>
          <w:sz w:val="24"/>
          <w:szCs w:val="24"/>
          <w:color w:val="auto"/>
        </w:rPr>
      </w:pPr>
    </w:p>
    <w:p>
      <w:pPr>
        <w:spacing w:after="0" w:line="28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ind w:left="7800"/>
        <w:spacing w:after="0" w:line="201" w:lineRule="exact"/>
        <w:tabs>
          <w:tab w:leader="none" w:pos="1070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24" w:lineRule="exact"/>
        <w:rPr>
          <w:sz w:val="24"/>
          <w:szCs w:val="24"/>
          <w:color w:val="auto"/>
        </w:rPr>
      </w:pPr>
    </w:p>
    <w:p>
      <w:pPr>
        <w:spacing w:after="0" w:line="28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62" w:right="339" w:bottom="1440" w:gutter="0" w:footer="0" w:header="0"/>
        </w:sectPr>
      </w:pPr>
    </w:p>
    <w:p>
      <w:pPr>
        <w:spacing w:after="0" w:line="19" w:lineRule="exact"/>
        <w:rPr>
          <w:sz w:val="24"/>
          <w:szCs w:val="24"/>
          <w:color w:val="auto"/>
        </w:rPr>
      </w:pPr>
    </w:p>
    <w:p>
      <w:pPr>
        <w:ind w:left="1072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194310</wp:posOffset>
            </wp:positionV>
            <wp:extent cx="71367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229" w:lineRule="exact"/>
        <w:rPr>
          <w:sz w:val="20"/>
          <w:szCs w:val="20"/>
          <w:color w:val="auto"/>
        </w:rPr>
      </w:pPr>
    </w:p>
    <w:p>
      <w:pPr>
        <w:ind w:right="180" w:firstLine="628"/>
        <w:spacing w:after="0" w:line="236" w:lineRule="auto"/>
        <w:rPr>
          <w:sz w:val="20"/>
          <w:szCs w:val="20"/>
          <w:color w:val="auto"/>
        </w:rPr>
      </w:pPr>
      <w:r>
        <w:rPr>
          <w:rFonts w:ascii="Arial" w:cs="Arial" w:eastAsia="Arial" w:hAnsi="Arial"/>
          <w:sz w:val="17"/>
          <w:szCs w:val="17"/>
          <w:color w:val="auto"/>
        </w:rPr>
        <w:t xml:space="preserve">On February 23, 2022, LivaNova PLC (the “Company”) issued a press release announcing financial results for the fourth quarter and full-year ended December 31, 2021. The Company will host a business update conference call and webcast today, February 23, 2022, at 1 p.m. London time (8 a.m. Eastern Time), during which the Company will discuss the financial results. The conference call will be accessible through the LivaNova website at </w:t>
      </w:r>
      <w:r>
        <w:rPr>
          <w:rFonts w:ascii="Arial" w:cs="Arial" w:eastAsia="Arial" w:hAnsi="Arial"/>
          <w:sz w:val="17"/>
          <w:szCs w:val="17"/>
          <w:u w:val="single" w:color="auto"/>
          <w:color w:val="0070C0"/>
        </w:rPr>
        <w:t>www.livanova.com/events</w:t>
      </w:r>
      <w:r>
        <w:rPr>
          <w:rFonts w:ascii="Arial" w:cs="Arial" w:eastAsia="Arial" w:hAnsi="Arial"/>
          <w:sz w:val="17"/>
          <w:szCs w:val="17"/>
          <w:color w:val="0070C0"/>
        </w:rPr>
        <w:t>.</w:t>
      </w:r>
    </w:p>
    <w:p>
      <w:pPr>
        <w:spacing w:after="0" w:line="199" w:lineRule="exact"/>
        <w:rPr>
          <w:sz w:val="20"/>
          <w:szCs w:val="20"/>
          <w:color w:val="auto"/>
        </w:rPr>
      </w:pPr>
    </w:p>
    <w:p>
      <w:pPr>
        <w:ind w:firstLine="628"/>
        <w:spacing w:after="0" w:line="236" w:lineRule="auto"/>
        <w:rPr>
          <w:sz w:val="20"/>
          <w:szCs w:val="20"/>
          <w:color w:val="auto"/>
        </w:rPr>
      </w:pPr>
      <w:r>
        <w:rPr>
          <w:rFonts w:ascii="Arial" w:cs="Arial" w:eastAsia="Arial" w:hAnsi="Arial"/>
          <w:sz w:val="17"/>
          <w:szCs w:val="17"/>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2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On February 21, 2022, the Company received a decision from the Court of Appeal of Milan (“CoA”) to grant the Company a suspension with respect to the payment of damages in the amount of approximately €453.6 million (approximately U.S. $514.4 million) until a decision has been reached on the appeal to the Court of Cassation (the Italian Supreme Court). The damages award stems from a civil action where the CoA declared LivaNova (formed through a merger with Sorin) jointly liable with SNIA (a former parent company of Sorin) for environmental liabilities incurred by SNIA’s other subsidiaries. LivaNova has appealed both the liability and the damages decision to the Italian Supreme Court.</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stay was granted with the condition that the Company provide a first demand bank surety of €270.0 million (approximately U.S. $306.2 million) within 30 calendar days. The Company believes that it can satisfy the condition of the surety.</w:t>
      </w:r>
    </w:p>
    <w:p>
      <w:pPr>
        <w:spacing w:after="0" w:line="185"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LivaNova reaffirms that it is not responsible for any of the facts and events resulting in the pollution alleged in connection with these proceedings as it had no direct relationship with the companies that managed the three polluted sites – Brescia, Colleferro and Torviscosa – and at no time has it managed or operated sites at any of these locations. As it has throughout, LivaNova continues to vigorously pursue all available remedies in this matter and awaits the outcome of its appeal to the Italian Supreme Court.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5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6"/>
          <w:szCs w:val="16"/>
          <w:color w:val="auto"/>
        </w:rPr>
        <w:t>Exhibits.</w:t>
      </w:r>
    </w:p>
    <w:p>
      <w:pPr>
        <w:spacing w:after="0" w:line="47"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7"/>
          <w:szCs w:val="17"/>
          <w:b w:val="1"/>
          <w:bCs w:val="1"/>
          <w:u w:val="single" w:color="auto"/>
          <w:color w:val="auto"/>
        </w:rPr>
        <w:t>Exhibit</w:t>
      </w:r>
      <w:r>
        <w:rPr>
          <w:sz w:val="20"/>
          <w:szCs w:val="20"/>
          <w:color w:val="auto"/>
        </w:rPr>
        <w:tab/>
      </w:r>
      <w:r>
        <w:rPr>
          <w:rFonts w:ascii="Arial" w:cs="Arial" w:eastAsia="Arial" w:hAnsi="Arial"/>
          <w:sz w:val="17"/>
          <w:szCs w:val="17"/>
          <w:b w:val="1"/>
          <w:bCs w:val="1"/>
          <w:u w:val="single" w:color="auto"/>
          <w:color w:val="auto"/>
        </w:rPr>
        <w:t>Description</w:t>
      </w:r>
    </w:p>
    <w:p>
      <w:pPr>
        <w:spacing w:after="0" w:line="282" w:lineRule="exact"/>
        <w:rPr>
          <w:sz w:val="20"/>
          <w:szCs w:val="20"/>
          <w:color w:val="auto"/>
        </w:rPr>
      </w:pPr>
    </w:p>
    <w:p>
      <w:pPr>
        <w:ind w:left="20"/>
        <w:spacing w:after="0"/>
        <w:tabs>
          <w:tab w:leader="none" w:pos="1520" w:val="left"/>
        </w:tabs>
        <w:rPr>
          <w:rFonts w:ascii="Arial" w:cs="Arial" w:eastAsia="Arial" w:hAnsi="Arial"/>
          <w:sz w:val="15"/>
          <w:szCs w:val="15"/>
          <w:u w:val="single" w:color="auto"/>
          <w:color w:val="0000FF"/>
        </w:rPr>
      </w:pPr>
      <w:r>
        <w:rPr>
          <w:rFonts w:ascii="Arial" w:cs="Arial" w:eastAsia="Arial" w:hAnsi="Arial"/>
          <w:sz w:val="17"/>
          <w:szCs w:val="17"/>
          <w:color w:val="auto"/>
        </w:rPr>
        <w:t>99.1</w:t>
      </w:r>
      <w:r>
        <w:rPr>
          <w:sz w:val="20"/>
          <w:szCs w:val="20"/>
          <w:color w:val="auto"/>
        </w:rPr>
        <w:tab/>
      </w:r>
      <w:hyperlink w:anchor="page4">
        <w:r>
          <w:rPr>
            <w:rFonts w:ascii="Arial" w:cs="Arial" w:eastAsia="Arial" w:hAnsi="Arial"/>
            <w:sz w:val="15"/>
            <w:szCs w:val="15"/>
            <w:u w:val="single" w:color="auto"/>
            <w:color w:val="0000FF"/>
          </w:rPr>
          <w:t>Press Release of LivaNova PLC dated February 23, 2022</w:t>
        </w:r>
      </w:hyperlink>
    </w:p>
    <w:p>
      <w:pPr>
        <w:spacing w:after="0" w:line="27" w:lineRule="exact"/>
        <w:rPr>
          <w:sz w:val="20"/>
          <w:szCs w:val="20"/>
          <w:color w:val="auto"/>
        </w:rPr>
      </w:pPr>
    </w:p>
    <w:p>
      <w:pPr>
        <w:ind w:left="1540" w:hanging="1518"/>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5"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194945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7"/>
          <w:szCs w:val="17"/>
          <w:b w:val="1"/>
          <w:bCs w:val="1"/>
          <w:color w:val="auto"/>
        </w:rPr>
        <w:t>SIGNATURE</w:t>
      </w:r>
    </w:p>
    <w:p>
      <w:pPr>
        <w:spacing w:after="0" w:line="255"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LivaNova PLC</w:t>
      </w:r>
    </w:p>
    <w:p>
      <w:pPr>
        <w:spacing w:after="0" w:line="200" w:lineRule="exact"/>
        <w:rPr>
          <w:sz w:val="20"/>
          <w:szCs w:val="20"/>
          <w:color w:val="auto"/>
        </w:rPr>
      </w:pPr>
    </w:p>
    <w:p>
      <w:pPr>
        <w:spacing w:after="0" w:line="324" w:lineRule="exact"/>
        <w:rPr>
          <w:sz w:val="20"/>
          <w:szCs w:val="20"/>
          <w:color w:val="auto"/>
        </w:rPr>
      </w:pPr>
    </w:p>
    <w:p>
      <w:pPr>
        <w:jc w:val="right"/>
        <w:ind w:right="3180"/>
        <w:spacing w:after="0"/>
        <w:tabs>
          <w:tab w:leader="none" w:pos="4940" w:val="left"/>
        </w:tabs>
        <w:rPr>
          <w:sz w:val="20"/>
          <w:szCs w:val="20"/>
          <w:color w:val="auto"/>
        </w:rPr>
      </w:pPr>
      <w:r>
        <w:rPr>
          <w:rFonts w:ascii="Arial" w:cs="Arial" w:eastAsia="Arial" w:hAnsi="Arial"/>
          <w:sz w:val="17"/>
          <w:szCs w:val="17"/>
          <w:color w:val="auto"/>
        </w:rPr>
        <w:t>Date: February 23, 2022</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6" w:lineRule="exact"/>
        <w:rPr>
          <w:sz w:val="20"/>
          <w:szCs w:val="20"/>
          <w:color w:val="auto"/>
        </w:rPr>
      </w:pPr>
    </w:p>
    <w:p>
      <w:pPr>
        <w:jc w:val="right"/>
        <w:ind w:right="3140"/>
        <w:spacing w:after="0"/>
        <w:rPr>
          <w:sz w:val="20"/>
          <w:szCs w:val="20"/>
          <w:color w:val="auto"/>
        </w:rPr>
      </w:pPr>
      <w:r>
        <w:rPr>
          <w:rFonts w:ascii="Arial" w:cs="Arial" w:eastAsia="Arial" w:hAnsi="Arial"/>
          <w:sz w:val="17"/>
          <w:szCs w:val="17"/>
          <w:color w:val="auto"/>
        </w:rPr>
        <w:t>Name: Keyna Skeffington</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320" w:top="985"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628140" cy="465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140" cy="46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9"/>
          <w:szCs w:val="19"/>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7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8"/>
          <w:szCs w:val="28"/>
          <w:color w:val="6D2077"/>
        </w:rPr>
        <w:t>LivaNova Reports Fourth-Quarter and Full-Year 2021 Results</w:t>
      </w:r>
    </w:p>
    <w:p>
      <w:pPr>
        <w:spacing w:after="0" w:line="374" w:lineRule="exact"/>
        <w:rPr>
          <w:sz w:val="20"/>
          <w:szCs w:val="20"/>
          <w:color w:val="auto"/>
        </w:rPr>
      </w:pPr>
    </w:p>
    <w:p>
      <w:pPr>
        <w:jc w:val="both"/>
        <w:spacing w:after="0" w:line="397" w:lineRule="auto"/>
        <w:rPr>
          <w:sz w:val="20"/>
          <w:szCs w:val="20"/>
          <w:color w:val="auto"/>
        </w:rPr>
      </w:pPr>
      <w:r>
        <w:rPr>
          <w:rFonts w:ascii="Arial" w:cs="Arial" w:eastAsia="Arial" w:hAnsi="Arial"/>
          <w:sz w:val="19"/>
          <w:szCs w:val="19"/>
          <w:color w:val="auto"/>
        </w:rPr>
        <w:t xml:space="preserve">London, February 23, 2022 </w:t>
      </w:r>
      <w:r>
        <w:rPr>
          <w:rFonts w:ascii="Arial" w:cs="Arial" w:eastAsia="Arial" w:hAnsi="Arial"/>
          <w:sz w:val="19"/>
          <w:szCs w:val="19"/>
          <w:b w:val="1"/>
          <w:bCs w:val="1"/>
          <w:color w:val="auto"/>
        </w:rPr>
        <w:t>–</w:t>
      </w:r>
      <w:r>
        <w:rPr>
          <w:rFonts w:ascii="Arial" w:cs="Arial" w:eastAsia="Arial" w:hAnsi="Arial"/>
          <w:sz w:val="19"/>
          <w:szCs w:val="19"/>
          <w:color w:val="auto"/>
        </w:rPr>
        <w:t xml:space="preserve"> LivaNova PLC (Nasdaq: LIVN), a market-leading medical technology and innovation company, today reported results for the quarter and full year ended December 31, 2021.</w:t>
      </w:r>
    </w:p>
    <w:p>
      <w:pPr>
        <w:spacing w:after="0" w:line="165"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For the fourth quarter of 2021, worldwide sales from continuing operations were $270.1 million, an increase of 0.2 percent on a reported basis and 1.8 percent on a constant-currency</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basis, as compared to the same quarter of the previous year. Excluding sales from the Heart Valves business, which was divested effective June 1, 2021, worldwide sales from continuing operations increased by 10.1 percent on a reported basis and 11.8 percent on a constant-currency</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basis for the fourth quarter of 2021 compared to the fourth quarter of 2020. On the basis of U.S. Generally Accepted Accounting Principles (GAAP), fourth quarter 2021 diluted loss per share from continuing operations was $0.10. Fourth quarter 2021 adjusted diluted earnings per share from continuing operations was $0.57.</w:t>
      </w:r>
    </w:p>
    <w:p>
      <w:pPr>
        <w:spacing w:after="0" w:line="200" w:lineRule="exact"/>
        <w:rPr>
          <w:sz w:val="20"/>
          <w:szCs w:val="20"/>
          <w:color w:val="auto"/>
        </w:rPr>
      </w:pPr>
    </w:p>
    <w:p>
      <w:pPr>
        <w:spacing w:after="0" w:line="338"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"Our execution during the fourth quarter delivered results that met or exceeded the high end of full-year guidance," said Damien McDonald, Chief Executive Officer of LivaNova. "Neuromodulation sales grew across all regions benefiting from replacement procedures, and Cardiopulmonary sales improved year over year, driven by oxygenator sales. We maintain our commitment to realize operational efficiencies and maximize cash flow generation as evidenced by exceeding the high end of guidance for adjusted free cash flow. While we enter 2022 with ongoing COVID-related market headwinds, we remain focused on delivering sales and earnings growth, achieving our pipeline milestones, and improving profitability and cash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1226185</wp:posOffset>
            </wp:positionV>
            <wp:extent cx="166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
        <w:spacing w:after="0" w:line="206" w:lineRule="auto"/>
        <w:tabs>
          <w:tab w:leader="none" w:pos="78"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68" w:right="339" w:bottom="1440" w:gutter="0" w:footer="0" w:header="0"/>
        </w:sectPr>
      </w:pPr>
    </w:p>
    <w:bookmarkStart w:id="4" w:name="page5"/>
    <w:bookmarkEnd w:id="4"/>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Segment Reporting Change</w:t>
      </w:r>
    </w:p>
    <w:p>
      <w:pPr>
        <w:spacing w:after="0" w:line="355" w:lineRule="exact"/>
        <w:rPr>
          <w:sz w:val="20"/>
          <w:szCs w:val="20"/>
          <w:color w:val="auto"/>
        </w:rPr>
      </w:pPr>
    </w:p>
    <w:p>
      <w:pPr>
        <w:jc w:val="both"/>
        <w:spacing w:after="0" w:line="376" w:lineRule="auto"/>
        <w:rPr>
          <w:sz w:val="20"/>
          <w:szCs w:val="20"/>
          <w:color w:val="auto"/>
        </w:rPr>
      </w:pPr>
      <w:r>
        <w:rPr>
          <w:rFonts w:ascii="Arial" w:cs="Arial" w:eastAsia="Arial" w:hAnsi="Arial"/>
          <w:sz w:val="19"/>
          <w:szCs w:val="19"/>
          <w:color w:val="auto"/>
        </w:rPr>
        <w:t>Effective in the fourth quarter of 2021, LivaNova changed its segment reporting from two to three reportable segments: Cardiopulmonary, Neuromodulation and Advanced Circulatory Support (ACS). The change to segregate the Cardiovascular segment into Cardiopulmonary and ACS reflects the way in which the Company internally manages, evaluates performance and allocates resources. This new structure drives further accountability in execution and provides greater transparency to the growth and margin profiles. The segment financial information presented herein reflects these changes for all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Fourth Quarter 2021 Results</w:t>
      </w:r>
      <w:r>
        <w:rPr>
          <w:rFonts w:ascii="Arial" w:cs="Arial" w:eastAsia="Arial" w:hAnsi="Arial"/>
          <w:sz w:val="24"/>
          <w:szCs w:val="24"/>
          <w:b w:val="1"/>
          <w:bCs w:val="1"/>
          <w:color w:val="auto"/>
          <w:vertAlign w:val="superscript"/>
        </w:rPr>
        <w:t>2</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worldwide sales for the fourth quarter of 2021 by segment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20" w:type="dxa"/>
            <w:vAlign w:val="bottom"/>
            <w:gridSpan w:val="4"/>
          </w:tcPr>
          <w:p>
            <w:pPr>
              <w:jc w:val="center"/>
              <w:ind w:left="493"/>
              <w:spacing w:after="0"/>
              <w:rPr>
                <w:sz w:val="20"/>
                <w:szCs w:val="20"/>
                <w:color w:val="auto"/>
              </w:rPr>
            </w:pPr>
            <w:r>
              <w:rPr>
                <w:rFonts w:ascii="Arial" w:cs="Arial" w:eastAsia="Arial" w:hAnsi="Arial"/>
                <w:sz w:val="17"/>
                <w:szCs w:val="17"/>
                <w:b w:val="1"/>
                <w:bCs w:val="1"/>
                <w:color w:val="auto"/>
              </w:rPr>
              <w:t>Three Months Ended</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ind w:left="420"/>
              <w:spacing w:after="0"/>
              <w:rPr>
                <w:sz w:val="20"/>
                <w:szCs w:val="20"/>
                <w:color w:val="auto"/>
              </w:rPr>
            </w:pPr>
            <w:r>
              <w:rPr>
                <w:rFonts w:ascii="Arial" w:cs="Arial" w:eastAsia="Arial" w:hAnsi="Arial"/>
                <w:sz w:val="19"/>
                <w:szCs w:val="19"/>
                <w:b w:val="1"/>
                <w:bCs w:val="1"/>
                <w:color w:val="auto"/>
              </w:rPr>
              <w:t>Constant-</w:t>
            </w:r>
          </w:p>
        </w:tc>
      </w:tr>
      <w:tr>
        <w:trPr>
          <w:trHeight w:val="157"/>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center"/>
              <w:ind w:right="600"/>
              <w:spacing w:after="0" w:line="137" w:lineRule="exact"/>
              <w:rPr>
                <w:sz w:val="20"/>
                <w:szCs w:val="20"/>
                <w:color w:val="auto"/>
              </w:rPr>
            </w:pPr>
            <w:r>
              <w:rPr>
                <w:rFonts w:ascii="Arial" w:cs="Arial" w:eastAsia="Arial" w:hAnsi="Arial"/>
                <w:sz w:val="15"/>
                <w:szCs w:val="15"/>
                <w:b w:val="1"/>
                <w:bCs w:val="1"/>
                <w:color w:val="auto"/>
              </w:rPr>
              <w:t>December 31,</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ind w:left="420"/>
              <w:spacing w:after="0" w:line="157" w:lineRule="exact"/>
              <w:rPr>
                <w:sz w:val="20"/>
                <w:szCs w:val="20"/>
                <w:color w:val="auto"/>
              </w:rPr>
            </w:pPr>
            <w:r>
              <w:rPr>
                <w:rFonts w:ascii="Arial" w:cs="Arial" w:eastAsia="Arial" w:hAnsi="Arial"/>
                <w:sz w:val="18"/>
                <w:szCs w:val="18"/>
                <w:b w:val="1"/>
                <w:bCs w:val="1"/>
                <w:color w:val="auto"/>
              </w:rPr>
              <w:t>Currency</w:t>
            </w:r>
          </w:p>
        </w:tc>
      </w:tr>
      <w:tr>
        <w:trPr>
          <w:trHeight w:val="242"/>
        </w:trPr>
        <w:tc>
          <w:tcPr>
            <w:tcW w:w="4960" w:type="dxa"/>
            <w:vAlign w:val="bottom"/>
            <w:gridSpan w:val="3"/>
          </w:tcPr>
          <w:p>
            <w:pPr>
              <w:ind w:left="4460"/>
              <w:spacing w:after="0"/>
              <w:rPr>
                <w:sz w:val="20"/>
                <w:szCs w:val="20"/>
                <w:color w:val="auto"/>
              </w:rPr>
            </w:pPr>
            <w:r>
              <w:rPr>
                <w:rFonts w:ascii="Arial" w:cs="Arial" w:eastAsia="Arial" w:hAnsi="Arial"/>
                <w:sz w:val="17"/>
                <w:szCs w:val="17"/>
                <w:b w:val="1"/>
                <w:bCs w:val="1"/>
                <w:color w:val="auto"/>
              </w:rPr>
              <w:t>2021</w:t>
            </w:r>
          </w:p>
        </w:tc>
        <w:tc>
          <w:tcPr>
            <w:tcW w:w="19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2020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19"/>
                <w:szCs w:val="19"/>
                <w:b w:val="1"/>
                <w:bCs w:val="1"/>
                <w:color w:val="auto"/>
              </w:rPr>
              <w:t>% Change</w:t>
            </w:r>
          </w:p>
        </w:tc>
        <w:tc>
          <w:tcPr>
            <w:tcW w:w="1740" w:type="dxa"/>
            <w:vAlign w:val="bottom"/>
          </w:tcPr>
          <w:p>
            <w:pPr>
              <w:ind w:left="400"/>
              <w:spacing w:after="0"/>
              <w:rPr>
                <w:sz w:val="20"/>
                <w:szCs w:val="20"/>
                <w:color w:val="auto"/>
              </w:rPr>
            </w:pPr>
            <w:r>
              <w:rPr>
                <w:rFonts w:ascii="Arial" w:cs="Arial" w:eastAsia="Arial" w:hAnsi="Arial"/>
                <w:sz w:val="19"/>
                <w:szCs w:val="19"/>
                <w:b w:val="1"/>
                <w:bCs w:val="1"/>
                <w:color w:val="auto"/>
              </w:rPr>
              <w:t>% Change</w:t>
            </w:r>
          </w:p>
        </w:tc>
      </w:tr>
      <w:tr>
        <w:trPr>
          <w:trHeight w:val="215"/>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Cardiopulmonary</w:t>
            </w:r>
          </w:p>
        </w:tc>
        <w:tc>
          <w:tcPr>
            <w:tcW w:w="1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$122.1</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9.0 %</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12.0 %</w:t>
            </w:r>
          </w:p>
        </w:tc>
      </w:tr>
      <w:tr>
        <w:trPr>
          <w:trHeight w:val="222"/>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Neuromodulation</w:t>
            </w:r>
          </w:p>
        </w:tc>
        <w:tc>
          <w:tcPr>
            <w:tcW w:w="640" w:type="dxa"/>
            <w:vAlign w:val="bottom"/>
          </w:tcPr>
          <w:p>
            <w:pPr>
              <w:jc w:val="right"/>
              <w:spacing w:after="0"/>
              <w:rPr>
                <w:sz w:val="20"/>
                <w:szCs w:val="20"/>
                <w:color w:val="auto"/>
              </w:rPr>
            </w:pPr>
            <w:r>
              <w:rPr>
                <w:rFonts w:ascii="Arial" w:cs="Arial" w:eastAsia="Arial" w:hAnsi="Arial"/>
                <w:sz w:val="17"/>
                <w:szCs w:val="17"/>
                <w:color w:val="auto"/>
              </w:rPr>
              <w:t>121.6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11.3 %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11.9 %</w:t>
            </w:r>
          </w:p>
        </w:tc>
      </w:tr>
      <w:tr>
        <w:trPr>
          <w:trHeight w:val="222"/>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Advanced Circulatory Support</w:t>
            </w:r>
          </w:p>
        </w:tc>
        <w:tc>
          <w:tcPr>
            <w:tcW w:w="64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4.0 %</w:t>
            </w:r>
          </w:p>
        </w:tc>
      </w:tr>
      <w:tr>
        <w:trPr>
          <w:trHeight w:val="223"/>
        </w:trPr>
        <w:tc>
          <w:tcPr>
            <w:tcW w:w="36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r>
      <w:tr>
        <w:trPr>
          <w:trHeight w:val="215"/>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Total Net Sales</w:t>
            </w:r>
          </w:p>
        </w:tc>
        <w:tc>
          <w:tcPr>
            <w:tcW w:w="640" w:type="dxa"/>
            <w:vAlign w:val="bottom"/>
          </w:tcPr>
          <w:p>
            <w:pPr>
              <w:jc w:val="right"/>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269.6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23"/>
        </w:trPr>
        <w:tc>
          <w:tcPr>
            <w:tcW w:w="36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Less: Heart Valves</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r>
      <w:tr>
        <w:trPr>
          <w:trHeight w:val="216"/>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Total Net Sales, Excluding Heart Valves</w:t>
            </w:r>
          </w:p>
        </w:tc>
        <w:tc>
          <w:tcPr>
            <w:tcW w:w="640" w:type="dxa"/>
            <w:vAlign w:val="bottom"/>
          </w:tcPr>
          <w:p>
            <w:pPr>
              <w:jc w:val="right"/>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$245.3</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10.1 %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11.8 %</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240" w:hanging="235"/>
        <w:spacing w:after="0" w:line="254" w:lineRule="auto"/>
        <w:tabs>
          <w:tab w:leader="none" w:pos="19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Note: Numbers may not add precisely due to rounding. Constant-currency percent change and Total Net Sales, Excluding Heart Valves are non-GAAP metrics. For an explanation of these and other non-GAAP metrics used in this release, please see the section entitled "Use of Non-GAAP Financial Measures." For</w:t>
      </w:r>
    </w:p>
    <w:p>
      <w:pPr>
        <w:ind w:left="240"/>
        <w:spacing w:after="0" w:line="220" w:lineRule="auto"/>
        <w:rPr>
          <w:sz w:val="20"/>
          <w:szCs w:val="20"/>
          <w:color w:val="auto"/>
        </w:rPr>
      </w:pPr>
      <w:r>
        <w:rPr>
          <w:rFonts w:ascii="Arial" w:cs="Arial" w:eastAsia="Arial" w:hAnsi="Arial"/>
          <w:sz w:val="16"/>
          <w:szCs w:val="16"/>
          <w:color w:val="auto"/>
        </w:rPr>
        <w:t>reconciliations of certain non-GAAP metrics, please see the tables that accompany the press release.</w:t>
      </w:r>
    </w:p>
    <w:p>
      <w:pPr>
        <w:ind w:left="340" w:hanging="335"/>
        <w:spacing w:after="0" w:line="199" w:lineRule="auto"/>
        <w:tabs>
          <w:tab w:leader="none" w:pos="34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Includes the results of the Heart Valves business, which was divested effective June 1, 2021.</w:t>
      </w:r>
    </w:p>
    <w:p>
      <w:pPr>
        <w:spacing w:after="0" w:line="382" w:lineRule="exact"/>
        <w:rPr>
          <w:sz w:val="20"/>
          <w:szCs w:val="20"/>
          <w:color w:val="auto"/>
        </w:rPr>
      </w:pPr>
    </w:p>
    <w:p>
      <w:pPr>
        <w:spacing w:after="0" w:line="371" w:lineRule="auto"/>
        <w:rPr>
          <w:sz w:val="20"/>
          <w:szCs w:val="20"/>
          <w:color w:val="auto"/>
        </w:rPr>
      </w:pPr>
      <w:r>
        <w:rPr>
          <w:rFonts w:ascii="Arial" w:cs="Arial" w:eastAsia="Arial" w:hAnsi="Arial"/>
          <w:sz w:val="19"/>
          <w:szCs w:val="19"/>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944245</wp:posOffset>
            </wp:positionV>
            <wp:extent cx="1661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5"/>
        <w:spacing w:after="0" w:line="212" w:lineRule="auto"/>
        <w:tabs>
          <w:tab w:leader="none" w:pos="83"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During the fourth quarter of 2021, the Company identified and rectified an error related to foreign currency exchange rates utilized to calculate inventory and cost of sales for the years ended December 31, 2017 through 2020 and the nine months ended September 30, 2021. Accordingly, prior period results on a GAAP and non-GAAP basis were revised. See the section entitled "Supplemental Unaudited Revised Financial Information and Non-GAAP Measures."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99" w:lineRule="exact"/>
        <w:rPr>
          <w:sz w:val="20"/>
          <w:szCs w:val="20"/>
          <w:color w:val="auto"/>
        </w:rPr>
      </w:pPr>
    </w:p>
    <w:p>
      <w:pPr>
        <w:jc w:val="both"/>
        <w:spacing w:after="0" w:line="412" w:lineRule="auto"/>
        <w:rPr>
          <w:sz w:val="20"/>
          <w:szCs w:val="20"/>
          <w:color w:val="auto"/>
        </w:rPr>
      </w:pPr>
      <w:r>
        <w:rPr>
          <w:rFonts w:ascii="Arial" w:cs="Arial" w:eastAsia="Arial" w:hAnsi="Arial"/>
          <w:sz w:val="19"/>
          <w:szCs w:val="19"/>
          <w:b w:val="1"/>
          <w:bCs w:val="1"/>
          <w:color w:val="auto"/>
        </w:rPr>
        <w:t xml:space="preserve">Cardiopulmonary </w:t>
      </w:r>
      <w:r>
        <w:rPr>
          <w:rFonts w:ascii="Arial" w:cs="Arial" w:eastAsia="Arial" w:hAnsi="Arial"/>
          <w:sz w:val="19"/>
          <w:szCs w:val="19"/>
          <w:color w:val="auto"/>
        </w:rPr>
        <w:t>sales increased 12.0 percent versus the fourth quarter of 2020 with growth across all regions. This growth was</w:t>
      </w:r>
      <w:r>
        <w:rPr>
          <w:rFonts w:ascii="Arial" w:cs="Arial" w:eastAsia="Arial" w:hAnsi="Arial"/>
          <w:sz w:val="19"/>
          <w:szCs w:val="19"/>
          <w:b w:val="1"/>
          <w:bCs w:val="1"/>
          <w:color w:val="auto"/>
        </w:rPr>
        <w:t xml:space="preserve"> </w:t>
      </w:r>
      <w:r>
        <w:rPr>
          <w:rFonts w:ascii="Arial" w:cs="Arial" w:eastAsia="Arial" w:hAnsi="Arial"/>
          <w:sz w:val="19"/>
          <w:szCs w:val="19"/>
          <w:color w:val="auto"/>
        </w:rPr>
        <w:t>primarily driven by oxygenator sales due to an increase in procedure volumes.</w:t>
      </w:r>
    </w:p>
    <w:p>
      <w:pPr>
        <w:spacing w:after="0" w:line="126" w:lineRule="exact"/>
        <w:rPr>
          <w:sz w:val="20"/>
          <w:szCs w:val="20"/>
          <w:color w:val="auto"/>
        </w:rPr>
      </w:pPr>
    </w:p>
    <w:p>
      <w:pPr>
        <w:jc w:val="both"/>
        <w:spacing w:after="0" w:line="397" w:lineRule="auto"/>
        <w:rPr>
          <w:sz w:val="20"/>
          <w:szCs w:val="20"/>
          <w:color w:val="auto"/>
        </w:rPr>
      </w:pPr>
      <w:r>
        <w:rPr>
          <w:rFonts w:ascii="Arial" w:cs="Arial" w:eastAsia="Arial" w:hAnsi="Arial"/>
          <w:sz w:val="19"/>
          <w:szCs w:val="19"/>
          <w:b w:val="1"/>
          <w:bCs w:val="1"/>
          <w:color w:val="auto"/>
        </w:rPr>
        <w:t xml:space="preserve">Neuromodulation </w:t>
      </w:r>
      <w:r>
        <w:rPr>
          <w:rFonts w:ascii="Arial" w:cs="Arial" w:eastAsia="Arial" w:hAnsi="Arial"/>
          <w:sz w:val="19"/>
          <w:szCs w:val="19"/>
          <w:color w:val="auto"/>
        </w:rPr>
        <w:t>sales increased 11.9 percent versus the fourth quarter of 2020. This increase was driven by replacement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implants as well as improving market dynamics across all regions.</w:t>
      </w:r>
    </w:p>
    <w:p>
      <w:pPr>
        <w:spacing w:after="0" w:line="141" w:lineRule="exact"/>
        <w:rPr>
          <w:sz w:val="20"/>
          <w:szCs w:val="20"/>
          <w:color w:val="auto"/>
        </w:rPr>
      </w:pPr>
    </w:p>
    <w:p>
      <w:pPr>
        <w:jc w:val="both"/>
        <w:spacing w:after="0" w:line="387" w:lineRule="auto"/>
        <w:rPr>
          <w:sz w:val="20"/>
          <w:szCs w:val="20"/>
          <w:color w:val="auto"/>
        </w:rPr>
      </w:pPr>
      <w:r>
        <w:rPr>
          <w:rFonts w:ascii="Arial" w:cs="Arial" w:eastAsia="Arial" w:hAnsi="Arial"/>
          <w:sz w:val="19"/>
          <w:szCs w:val="19"/>
          <w:b w:val="1"/>
          <w:bCs w:val="1"/>
          <w:color w:val="auto"/>
        </w:rPr>
        <w:t xml:space="preserve">ACS </w:t>
      </w:r>
      <w:r>
        <w:rPr>
          <w:rFonts w:ascii="Arial" w:cs="Arial" w:eastAsia="Arial" w:hAnsi="Arial"/>
          <w:sz w:val="19"/>
          <w:szCs w:val="19"/>
          <w:color w:val="auto"/>
        </w:rPr>
        <w:t>sales increased 4.0 percent compared to the fourth quarter of 2020 primarily due to increased disposable sales driven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continued adoption of LifeSPARC</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in the U.S.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342"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On a U.S. GAAP basis, fourth quarter 2021 operating income from continuing operations was $24.8 million. Adjusted operating income from continuing operations for the fourth quarter of 2021 was $40.2 million, a decrease of 15.1 percent as compared to the fourth quarter of 2020. Improvements in gross profit were offset by higher adjusted selling, general and administrative (SG&amp;A) expenses.</w:t>
      </w:r>
    </w:p>
    <w:p>
      <w:pPr>
        <w:spacing w:after="0" w:line="196"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On a U.S. GAAP basis, fourth quarter 2021 effective tax rate was a negative 121.2 percent, as compared to 6.2 percent in the fourth quarter of 2020. The effective tax rate for the fourth quarter of 2021 was impacted by changes in the valuation allowance and in the geographic income mix. The adjusted effective tax rate in the quarter was 13.9 percent, as compared to a negative 1.2 percent in the fourth quarter of 2020, related to changes in the valuation allowance and geographic income mix.</w:t>
      </w:r>
    </w:p>
    <w:p>
      <w:pPr>
        <w:spacing w:after="0" w:line="196"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On a U.S. GAAP basis, fourth quarter 2021 diluted loss per share from continuing operations was $0.10. Fourth quarter 2021 adjusted diluted earnings per share from continuing operations was $0.57, as compared to $0.70 per share in the fourth quarter of 2020. Adjusted diluted weighted average shares outstanding for the fourth quarter of 2021 were 54.2 million, as compared to 48.9 million for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Full-Year 2021 Results</w:t>
      </w:r>
      <w:r>
        <w:rPr>
          <w:rFonts w:ascii="Arial" w:cs="Arial" w:eastAsia="Arial" w:hAnsi="Arial"/>
          <w:sz w:val="24"/>
          <w:szCs w:val="24"/>
          <w:b w:val="1"/>
          <w:bCs w:val="1"/>
          <w:color w:val="auto"/>
          <w:vertAlign w:val="superscript"/>
        </w:rPr>
        <w:t>3</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worldwide sales for the full year 2021 by segment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20" w:type="dxa"/>
            <w:vAlign w:val="bottom"/>
            <w:gridSpan w:val="4"/>
          </w:tcPr>
          <w:p>
            <w:pPr>
              <w:jc w:val="center"/>
              <w:ind w:left="513"/>
              <w:spacing w:after="0"/>
              <w:rPr>
                <w:sz w:val="20"/>
                <w:szCs w:val="20"/>
                <w:color w:val="auto"/>
              </w:rPr>
            </w:pPr>
            <w:r>
              <w:rPr>
                <w:rFonts w:ascii="Arial" w:cs="Arial" w:eastAsia="Arial" w:hAnsi="Arial"/>
                <w:sz w:val="17"/>
                <w:szCs w:val="17"/>
                <w:b w:val="1"/>
                <w:bCs w:val="1"/>
                <w:color w:val="auto"/>
              </w:rPr>
              <w:t>Twelve Months Ended</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ind w:left="420"/>
              <w:spacing w:after="0"/>
              <w:rPr>
                <w:sz w:val="20"/>
                <w:szCs w:val="20"/>
                <w:color w:val="auto"/>
              </w:rPr>
            </w:pPr>
            <w:r>
              <w:rPr>
                <w:rFonts w:ascii="Arial" w:cs="Arial" w:eastAsia="Arial" w:hAnsi="Arial"/>
                <w:sz w:val="19"/>
                <w:szCs w:val="19"/>
                <w:b w:val="1"/>
                <w:bCs w:val="1"/>
                <w:color w:val="auto"/>
              </w:rPr>
              <w:t>Constant-</w:t>
            </w:r>
          </w:p>
        </w:tc>
      </w:tr>
      <w:tr>
        <w:trPr>
          <w:trHeight w:val="157"/>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center"/>
              <w:ind w:right="540"/>
              <w:spacing w:after="0" w:line="137" w:lineRule="exact"/>
              <w:rPr>
                <w:sz w:val="20"/>
                <w:szCs w:val="20"/>
                <w:color w:val="auto"/>
              </w:rPr>
            </w:pPr>
            <w:r>
              <w:rPr>
                <w:rFonts w:ascii="Arial" w:cs="Arial" w:eastAsia="Arial" w:hAnsi="Arial"/>
                <w:sz w:val="15"/>
                <w:szCs w:val="15"/>
                <w:b w:val="1"/>
                <w:bCs w:val="1"/>
                <w:color w:val="auto"/>
              </w:rPr>
              <w:t>December 31,</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ind w:left="420"/>
              <w:spacing w:after="0" w:line="157" w:lineRule="exact"/>
              <w:rPr>
                <w:sz w:val="20"/>
                <w:szCs w:val="20"/>
                <w:color w:val="auto"/>
              </w:rPr>
            </w:pPr>
            <w:r>
              <w:rPr>
                <w:rFonts w:ascii="Arial" w:cs="Arial" w:eastAsia="Arial" w:hAnsi="Arial"/>
                <w:sz w:val="18"/>
                <w:szCs w:val="18"/>
                <w:b w:val="1"/>
                <w:bCs w:val="1"/>
                <w:color w:val="auto"/>
              </w:rPr>
              <w:t>Currency</w:t>
            </w:r>
          </w:p>
        </w:tc>
      </w:tr>
      <w:tr>
        <w:trPr>
          <w:trHeight w:val="242"/>
        </w:trPr>
        <w:tc>
          <w:tcPr>
            <w:tcW w:w="4900" w:type="dxa"/>
            <w:vAlign w:val="bottom"/>
            <w:gridSpan w:val="3"/>
          </w:tcPr>
          <w:p>
            <w:pPr>
              <w:ind w:left="4460"/>
              <w:spacing w:after="0"/>
              <w:rPr>
                <w:sz w:val="20"/>
                <w:szCs w:val="20"/>
                <w:color w:val="auto"/>
              </w:rPr>
            </w:pPr>
            <w:r>
              <w:rPr>
                <w:rFonts w:ascii="Arial" w:cs="Arial" w:eastAsia="Arial" w:hAnsi="Arial"/>
                <w:sz w:val="17"/>
                <w:szCs w:val="17"/>
                <w:b w:val="1"/>
                <w:bCs w:val="1"/>
                <w:color w:val="auto"/>
              </w:rPr>
              <w:t>2021</w:t>
            </w:r>
          </w:p>
        </w:tc>
        <w:tc>
          <w:tcPr>
            <w:tcW w:w="20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2020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19"/>
                <w:szCs w:val="19"/>
                <w:b w:val="1"/>
                <w:bCs w:val="1"/>
                <w:color w:val="auto"/>
              </w:rPr>
              <w:t>% Change</w:t>
            </w:r>
          </w:p>
        </w:tc>
        <w:tc>
          <w:tcPr>
            <w:tcW w:w="1740" w:type="dxa"/>
            <w:vAlign w:val="bottom"/>
          </w:tcPr>
          <w:p>
            <w:pPr>
              <w:ind w:left="400"/>
              <w:spacing w:after="0"/>
              <w:rPr>
                <w:sz w:val="20"/>
                <w:szCs w:val="20"/>
                <w:color w:val="auto"/>
              </w:rPr>
            </w:pPr>
            <w:r>
              <w:rPr>
                <w:rFonts w:ascii="Arial" w:cs="Arial" w:eastAsia="Arial" w:hAnsi="Arial"/>
                <w:sz w:val="19"/>
                <w:szCs w:val="19"/>
                <w:b w:val="1"/>
                <w:bCs w:val="1"/>
                <w:color w:val="auto"/>
              </w:rPr>
              <w:t>% Change</w:t>
            </w:r>
          </w:p>
        </w:tc>
      </w:tr>
      <w:tr>
        <w:trPr>
          <w:trHeight w:val="215"/>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Cardiopulmonary</w:t>
            </w:r>
          </w:p>
        </w:tc>
        <w:tc>
          <w:tcPr>
            <w:tcW w:w="1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$483.0</w:t>
            </w: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$446.7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8.1 %</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6.8 %</w:t>
            </w:r>
          </w:p>
        </w:tc>
      </w:tr>
      <w:tr>
        <w:trPr>
          <w:trHeight w:val="222"/>
        </w:trPr>
        <w:tc>
          <w:tcPr>
            <w:tcW w:w="4900" w:type="dxa"/>
            <w:vAlign w:val="bottom"/>
            <w:gridSpan w:val="3"/>
          </w:tcPr>
          <w:p>
            <w:pPr>
              <w:ind w:left="20"/>
              <w:spacing w:after="0"/>
              <w:rPr>
                <w:sz w:val="20"/>
                <w:szCs w:val="20"/>
                <w:color w:val="auto"/>
              </w:rPr>
            </w:pPr>
            <w:r>
              <w:rPr>
                <w:rFonts w:ascii="Arial" w:cs="Arial" w:eastAsia="Arial" w:hAnsi="Arial"/>
                <w:sz w:val="17"/>
                <w:szCs w:val="17"/>
                <w:color w:val="auto"/>
              </w:rPr>
              <w:t>Neuromodulation</w:t>
            </w:r>
          </w:p>
        </w:tc>
        <w:tc>
          <w:tcPr>
            <w:tcW w:w="700" w:type="dxa"/>
            <w:vAlign w:val="bottom"/>
          </w:tcPr>
          <w:p>
            <w:pPr>
              <w:jc w:val="right"/>
              <w:spacing w:after="0"/>
              <w:rPr>
                <w:sz w:val="20"/>
                <w:szCs w:val="20"/>
                <w:color w:val="auto"/>
              </w:rPr>
            </w:pPr>
            <w:r>
              <w:rPr>
                <w:rFonts w:ascii="Arial" w:cs="Arial" w:eastAsia="Arial" w:hAnsi="Arial"/>
                <w:sz w:val="17"/>
                <w:szCs w:val="17"/>
                <w:color w:val="auto"/>
              </w:rPr>
              <w:t>456.2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354.4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28.7 %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27.9 %</w:t>
            </w:r>
          </w:p>
        </w:tc>
      </w:tr>
      <w:tr>
        <w:trPr>
          <w:trHeight w:val="222"/>
        </w:trPr>
        <w:tc>
          <w:tcPr>
            <w:tcW w:w="4900" w:type="dxa"/>
            <w:vAlign w:val="bottom"/>
            <w:gridSpan w:val="3"/>
          </w:tcPr>
          <w:p>
            <w:pPr>
              <w:ind w:left="20"/>
              <w:spacing w:after="0"/>
              <w:rPr>
                <w:sz w:val="20"/>
                <w:szCs w:val="20"/>
                <w:color w:val="auto"/>
              </w:rPr>
            </w:pPr>
            <w:r>
              <w:rPr>
                <w:rFonts w:ascii="Arial" w:cs="Arial" w:eastAsia="Arial" w:hAnsi="Arial"/>
                <w:sz w:val="17"/>
                <w:szCs w:val="17"/>
                <w:color w:val="auto"/>
              </w:rPr>
              <w:t>Advanced Circulatory Support</w:t>
            </w:r>
          </w:p>
        </w:tc>
        <w:tc>
          <w:tcPr>
            <w:tcW w:w="700" w:type="dxa"/>
            <w:vAlign w:val="bottom"/>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31.0 %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30.9 %</w:t>
            </w:r>
          </w:p>
        </w:tc>
      </w:tr>
      <w:tr>
        <w:trPr>
          <w:trHeight w:val="223"/>
        </w:trPr>
        <w:tc>
          <w:tcPr>
            <w:tcW w:w="36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w:t>
            </w: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7"/>
                <w:szCs w:val="17"/>
                <w:color w:val="auto"/>
              </w:rPr>
              <w:t>Total Net Sales</w:t>
            </w:r>
          </w:p>
        </w:tc>
        <w:tc>
          <w:tcPr>
            <w:tcW w:w="700" w:type="dxa"/>
            <w:vAlign w:val="bottom"/>
          </w:tcPr>
          <w:p>
            <w:pPr>
              <w:jc w:val="right"/>
              <w:spacing w:after="0"/>
              <w:rPr>
                <w:sz w:val="20"/>
                <w:szCs w:val="20"/>
                <w:color w:val="auto"/>
              </w:rPr>
            </w:pPr>
            <w:r>
              <w:rPr>
                <w:rFonts w:ascii="Arial" w:cs="Arial" w:eastAsia="Arial" w:hAnsi="Arial"/>
                <w:sz w:val="17"/>
                <w:szCs w:val="17"/>
                <w:color w:val="auto"/>
              </w:rPr>
              <w:t>1,035.4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934.2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10.8 %</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9.7 %</w:t>
            </w:r>
          </w:p>
        </w:tc>
      </w:tr>
      <w:tr>
        <w:trPr>
          <w:trHeight w:val="223"/>
        </w:trPr>
        <w:tc>
          <w:tcPr>
            <w:tcW w:w="36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Less: Heart Valves</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r>
      <w:tr>
        <w:trPr>
          <w:trHeight w:val="216"/>
        </w:trPr>
        <w:tc>
          <w:tcPr>
            <w:tcW w:w="4900" w:type="dxa"/>
            <w:vAlign w:val="bottom"/>
            <w:gridSpan w:val="3"/>
          </w:tcPr>
          <w:p>
            <w:pPr>
              <w:ind w:left="20"/>
              <w:spacing w:after="0"/>
              <w:rPr>
                <w:sz w:val="20"/>
                <w:szCs w:val="20"/>
                <w:color w:val="auto"/>
              </w:rPr>
            </w:pPr>
            <w:r>
              <w:rPr>
                <w:rFonts w:ascii="Arial" w:cs="Arial" w:eastAsia="Arial" w:hAnsi="Arial"/>
                <w:sz w:val="17"/>
                <w:szCs w:val="17"/>
                <w:color w:val="auto"/>
              </w:rPr>
              <w:t>Total Net Sales, Excluding Heart Valves</w:t>
            </w:r>
          </w:p>
        </w:tc>
        <w:tc>
          <w:tcPr>
            <w:tcW w:w="700" w:type="dxa"/>
            <w:vAlign w:val="bottom"/>
          </w:tcPr>
          <w:p>
            <w:pPr>
              <w:jc w:val="right"/>
              <w:spacing w:after="0"/>
              <w:rPr>
                <w:sz w:val="20"/>
                <w:szCs w:val="20"/>
                <w:color w:val="auto"/>
              </w:rPr>
            </w:pPr>
            <w:r>
              <w:rPr>
                <w:rFonts w:ascii="Arial" w:cs="Arial" w:eastAsia="Arial" w:hAnsi="Arial"/>
                <w:sz w:val="17"/>
                <w:szCs w:val="17"/>
                <w:color w:val="auto"/>
              </w:rPr>
              <w:t>$999.2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$846.2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18.1 %</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17.1 %</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left="240" w:hanging="235"/>
        <w:spacing w:after="0" w:line="214" w:lineRule="auto"/>
        <w:tabs>
          <w:tab w:leader="none" w:pos="21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Note: Numbers may not add precisely due to rounding. Constant-currency percent change and Total Net Sales, Excluding Heart Valves are non-GAAP metrics. For an explanation of these and other non-GAAP metrics used in this release, please see the section entitled "Use of Non-GAAP Financial Measures." For reconciliations of certain non-GAAP metrics, please see the tables that accompany the press release.</w:t>
      </w:r>
    </w:p>
    <w:p>
      <w:pPr>
        <w:ind w:left="340" w:hanging="335"/>
        <w:spacing w:after="0" w:line="213" w:lineRule="auto"/>
        <w:tabs>
          <w:tab w:leader="none" w:pos="34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Includes the results of the Heart Valves business, which was divested effective June 1, 2021.</w:t>
      </w:r>
    </w:p>
    <w:p>
      <w:pPr>
        <w:spacing w:after="0" w:line="383" w:lineRule="exact"/>
        <w:rPr>
          <w:sz w:val="20"/>
          <w:szCs w:val="20"/>
          <w:color w:val="auto"/>
        </w:rPr>
      </w:pPr>
    </w:p>
    <w:p>
      <w:pPr>
        <w:jc w:val="both"/>
        <w:spacing w:after="0" w:line="371" w:lineRule="auto"/>
        <w:rPr>
          <w:sz w:val="20"/>
          <w:szCs w:val="20"/>
          <w:color w:val="auto"/>
        </w:rPr>
      </w:pPr>
      <w:r>
        <w:rPr>
          <w:rFonts w:ascii="Arial" w:cs="Arial" w:eastAsia="Arial" w:hAnsi="Arial"/>
          <w:sz w:val="19"/>
          <w:szCs w:val="19"/>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64" w:lineRule="exact"/>
        <w:rPr>
          <w:sz w:val="20"/>
          <w:szCs w:val="20"/>
          <w:color w:val="auto"/>
        </w:rPr>
      </w:pPr>
    </w:p>
    <w:p>
      <w:pPr>
        <w:jc w:val="both"/>
        <w:spacing w:after="0" w:line="378" w:lineRule="auto"/>
        <w:rPr>
          <w:sz w:val="20"/>
          <w:szCs w:val="20"/>
          <w:color w:val="auto"/>
        </w:rPr>
      </w:pPr>
      <w:r>
        <w:rPr>
          <w:rFonts w:ascii="Arial" w:cs="Arial" w:eastAsia="Arial" w:hAnsi="Arial"/>
          <w:sz w:val="19"/>
          <w:szCs w:val="19"/>
          <w:b w:val="1"/>
          <w:bCs w:val="1"/>
          <w:color w:val="auto"/>
        </w:rPr>
        <w:t xml:space="preserve">Cardiopulmonary </w:t>
      </w:r>
      <w:r>
        <w:rPr>
          <w:rFonts w:ascii="Arial" w:cs="Arial" w:eastAsia="Arial" w:hAnsi="Arial"/>
          <w:sz w:val="19"/>
          <w:szCs w:val="19"/>
          <w:color w:val="auto"/>
        </w:rPr>
        <w:t>sales increased 6.8 percent versus full-year 2020. For 2021, the sales increase was primarily due to growth in</w:t>
      </w:r>
      <w:r>
        <w:rPr>
          <w:rFonts w:ascii="Arial" w:cs="Arial" w:eastAsia="Arial" w:hAnsi="Arial"/>
          <w:sz w:val="19"/>
          <w:szCs w:val="19"/>
          <w:b w:val="1"/>
          <w:bCs w:val="1"/>
          <w:color w:val="auto"/>
        </w:rPr>
        <w:t xml:space="preserve"> </w:t>
      </w:r>
      <w:r>
        <w:rPr>
          <w:rFonts w:ascii="Arial" w:cs="Arial" w:eastAsia="Arial" w:hAnsi="Arial"/>
          <w:sz w:val="19"/>
          <w:szCs w:val="19"/>
          <w:color w:val="auto"/>
        </w:rPr>
        <w:t>oxygenator sales across all regions and growth in heart-lung machine sales in the U.S. region, offset by a reduction in capital equipment purchases in the Rest of World region.</w:t>
      </w:r>
    </w:p>
    <w:p>
      <w:pPr>
        <w:spacing w:after="0" w:line="171" w:lineRule="exact"/>
        <w:rPr>
          <w:sz w:val="20"/>
          <w:szCs w:val="20"/>
          <w:color w:val="auto"/>
        </w:rPr>
      </w:pPr>
    </w:p>
    <w:p>
      <w:pPr>
        <w:jc w:val="both"/>
        <w:spacing w:after="0" w:line="412" w:lineRule="auto"/>
        <w:rPr>
          <w:sz w:val="20"/>
          <w:szCs w:val="20"/>
          <w:color w:val="auto"/>
        </w:rPr>
      </w:pPr>
      <w:r>
        <w:rPr>
          <w:rFonts w:ascii="Arial" w:cs="Arial" w:eastAsia="Arial" w:hAnsi="Arial"/>
          <w:sz w:val="19"/>
          <w:szCs w:val="19"/>
          <w:b w:val="1"/>
          <w:bCs w:val="1"/>
          <w:color w:val="auto"/>
        </w:rPr>
        <w:t xml:space="preserve">Neuromodulation </w:t>
      </w:r>
      <w:r>
        <w:rPr>
          <w:rFonts w:ascii="Arial" w:cs="Arial" w:eastAsia="Arial" w:hAnsi="Arial"/>
          <w:sz w:val="19"/>
          <w:szCs w:val="19"/>
          <w:color w:val="auto"/>
        </w:rPr>
        <w:t>sales increased 27.9 percent versus 2020. This increase was driven by replacement implants as well as</w:t>
      </w:r>
      <w:r>
        <w:rPr>
          <w:rFonts w:ascii="Arial" w:cs="Arial" w:eastAsia="Arial" w:hAnsi="Arial"/>
          <w:sz w:val="19"/>
          <w:szCs w:val="19"/>
          <w:b w:val="1"/>
          <w:bCs w:val="1"/>
          <w:color w:val="auto"/>
        </w:rPr>
        <w:t xml:space="preserve"> </w:t>
      </w:r>
      <w:r>
        <w:rPr>
          <w:rFonts w:ascii="Arial" w:cs="Arial" w:eastAsia="Arial" w:hAnsi="Arial"/>
          <w:sz w:val="19"/>
          <w:szCs w:val="19"/>
          <w:color w:val="auto"/>
        </w:rPr>
        <w:t>improving market dynamics across all regions resulting from increased hospital access and patient willingness to return to clinics.</w:t>
      </w:r>
    </w:p>
    <w:p>
      <w:pPr>
        <w:spacing w:after="0" w:line="140" w:lineRule="exact"/>
        <w:rPr>
          <w:sz w:val="20"/>
          <w:szCs w:val="20"/>
          <w:color w:val="auto"/>
        </w:rPr>
      </w:pPr>
    </w:p>
    <w:p>
      <w:pPr>
        <w:jc w:val="both"/>
        <w:spacing w:after="0" w:line="412" w:lineRule="auto"/>
        <w:rPr>
          <w:sz w:val="20"/>
          <w:szCs w:val="20"/>
          <w:color w:val="auto"/>
        </w:rPr>
      </w:pPr>
      <w:r>
        <w:rPr>
          <w:rFonts w:ascii="Arial" w:cs="Arial" w:eastAsia="Arial" w:hAnsi="Arial"/>
          <w:sz w:val="19"/>
          <w:szCs w:val="19"/>
          <w:b w:val="1"/>
          <w:bCs w:val="1"/>
          <w:color w:val="auto"/>
        </w:rPr>
        <w:t xml:space="preserve">ACS </w:t>
      </w:r>
      <w:r>
        <w:rPr>
          <w:rFonts w:ascii="Arial" w:cs="Arial" w:eastAsia="Arial" w:hAnsi="Arial"/>
          <w:sz w:val="19"/>
          <w:szCs w:val="19"/>
          <w:color w:val="auto"/>
        </w:rPr>
        <w:t>sales increased 30.9 percent compared to 2020 primarily due to increased disposable sales driven by the continued adoption</w:t>
      </w:r>
      <w:r>
        <w:rPr>
          <w:rFonts w:ascii="Arial" w:cs="Arial" w:eastAsia="Arial" w:hAnsi="Arial"/>
          <w:sz w:val="19"/>
          <w:szCs w:val="19"/>
          <w:b w:val="1"/>
          <w:bCs w:val="1"/>
          <w:color w:val="auto"/>
        </w:rPr>
        <w:t xml:space="preserve"> </w:t>
      </w:r>
      <w:r>
        <w:rPr>
          <w:rFonts w:ascii="Arial" w:cs="Arial" w:eastAsia="Arial" w:hAnsi="Arial"/>
          <w:sz w:val="19"/>
          <w:szCs w:val="19"/>
          <w:color w:val="auto"/>
        </w:rPr>
        <w:t>of LifeSPARC in the U.S and new account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629285</wp:posOffset>
            </wp:positionV>
            <wp:extent cx="1661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5"/>
        <w:spacing w:after="0" w:line="226" w:lineRule="auto"/>
        <w:tabs>
          <w:tab w:leader="none" w:pos="83"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During the fourth quarter of 2021, the Company identified and rectified an error related to foreign currency exchange rates utilized to calculate inventory and cost of sales for the years ended December 31, 2017 through 2020 and the nine months ended September 30, 2021. Accordingly, prior period results on a GAAP and non-GAAP basis were revised. See the section entitled "Supplemental Unaudited Revised Financial Information and Non-GAAP Measures."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342" w:lineRule="exact"/>
        <w:rPr>
          <w:sz w:val="20"/>
          <w:szCs w:val="20"/>
          <w:color w:val="auto"/>
        </w:rPr>
      </w:pPr>
    </w:p>
    <w:p>
      <w:pPr>
        <w:jc w:val="both"/>
        <w:spacing w:after="0" w:line="365" w:lineRule="auto"/>
        <w:rPr>
          <w:sz w:val="20"/>
          <w:szCs w:val="20"/>
          <w:color w:val="auto"/>
        </w:rPr>
      </w:pPr>
      <w:r>
        <w:rPr>
          <w:rFonts w:ascii="Arial" w:cs="Arial" w:eastAsia="Arial" w:hAnsi="Arial"/>
          <w:sz w:val="19"/>
          <w:szCs w:val="19"/>
          <w:color w:val="auto"/>
        </w:rPr>
        <w:t>On a U.S. GAAP basis, full-year 2021 operating loss from continuing operations was $0.8 million. Adjusted operating income from continuing operations for full-year 2021 was $154.8 million, an increase of 65.6 percent as compared to full-year 2020. This increase was primarily driven by revenue growth and gross profit improvements, partially offset by an increase in expenses.</w:t>
      </w:r>
    </w:p>
    <w:p>
      <w:pPr>
        <w:spacing w:after="0" w:line="194" w:lineRule="exact"/>
        <w:rPr>
          <w:sz w:val="20"/>
          <w:szCs w:val="20"/>
          <w:color w:val="auto"/>
        </w:rPr>
      </w:pPr>
    </w:p>
    <w:p>
      <w:pPr>
        <w:jc w:val="both"/>
        <w:spacing w:after="0" w:line="365" w:lineRule="auto"/>
        <w:rPr>
          <w:sz w:val="20"/>
          <w:szCs w:val="20"/>
          <w:color w:val="auto"/>
        </w:rPr>
      </w:pPr>
      <w:r>
        <w:rPr>
          <w:rFonts w:ascii="Arial" w:cs="Arial" w:eastAsia="Arial" w:hAnsi="Arial"/>
          <w:sz w:val="19"/>
          <w:szCs w:val="19"/>
          <w:color w:val="auto"/>
        </w:rPr>
        <w:t>On a U.S. GAAP basis, full-year 2021 effective tax rate was a negative 9.0 percent, as compared to 0.3 percent in 2020. The adjusted effective tax rate for full-year 2021 was 12.0 percent, as compared to 1.4 percent in 2020, related to changes in the geographic income mix and valuation allowance.</w:t>
      </w:r>
    </w:p>
    <w:p>
      <w:pPr>
        <w:spacing w:after="0" w:line="194" w:lineRule="exact"/>
        <w:rPr>
          <w:sz w:val="20"/>
          <w:szCs w:val="20"/>
          <w:color w:val="auto"/>
        </w:rPr>
      </w:pPr>
    </w:p>
    <w:p>
      <w:pPr>
        <w:jc w:val="both"/>
        <w:spacing w:after="0" w:line="365" w:lineRule="auto"/>
        <w:rPr>
          <w:sz w:val="20"/>
          <w:szCs w:val="20"/>
          <w:color w:val="auto"/>
        </w:rPr>
      </w:pPr>
      <w:r>
        <w:rPr>
          <w:rFonts w:ascii="Arial" w:cs="Arial" w:eastAsia="Arial" w:hAnsi="Arial"/>
          <w:sz w:val="19"/>
          <w:szCs w:val="19"/>
          <w:color w:val="auto"/>
        </w:rPr>
        <w:t>On a U.S. GAAP basis, full-year 2021 diluted loss per share from continuing operations was $2.68. Full-year 2021 adjusted diluted earnings per share from continuing operations was $2.07, as compared to $1.21 per share for full-year 2020. Adjusted diluted weighted average shares outstanding for full year 2021 were 51.5 million, as compared to 48.8 million for full year 2020.</w:t>
      </w:r>
    </w:p>
    <w:p>
      <w:pPr>
        <w:spacing w:after="0" w:line="194" w:lineRule="exact"/>
        <w:rPr>
          <w:sz w:val="20"/>
          <w:szCs w:val="20"/>
          <w:color w:val="auto"/>
        </w:rPr>
      </w:pPr>
    </w:p>
    <w:p>
      <w:pPr>
        <w:jc w:val="both"/>
        <w:spacing w:after="0" w:line="371" w:lineRule="auto"/>
        <w:rPr>
          <w:sz w:val="20"/>
          <w:szCs w:val="20"/>
          <w:color w:val="auto"/>
        </w:rPr>
      </w:pPr>
      <w:r>
        <w:rPr>
          <w:rFonts w:ascii="Arial" w:cs="Arial" w:eastAsia="Arial" w:hAnsi="Arial"/>
          <w:sz w:val="19"/>
          <w:szCs w:val="19"/>
          <w:color w:val="auto"/>
        </w:rPr>
        <w:t>Full-year 2021 net cash provided by operating activities was $102.5 million. Full-year 2021 adjusted free cash flow was $84.0 million. Cash and cash equivalents totaled $208.0 million at December 31, 2021. Total debt was $239.5 million.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SNIA Litigation Update</w:t>
      </w:r>
    </w:p>
    <w:p>
      <w:pPr>
        <w:spacing w:after="0" w:line="342"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On February 21, 2022, the Court of Appeal of Milan notified the Company that it granted the Company a suspension with respect to the payment of damages in the amount of €453.6 million (approximately U.S. $514.4 million) until a decision has been reached on the appeal to the Court of Cassation (the Italian Supreme Court). This suspension is subject to providing a first demand bank surety of €270.0 million (approximately U.S. $306.2 million) within 30 calendar days. The Company believes that it can satisfy the condition of the surety.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2022 Guidance</w:t>
      </w:r>
    </w:p>
    <w:p>
      <w:pPr>
        <w:spacing w:after="0" w:line="342"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LivaNova expects worldwide net sales for full-year 2022 to grow between 3 and 5 percent on a constant-currency basis after excluding the impact of the Heart Valves divestiture. Adjusted diluted earnings per share from continuing operations for 2022 are expected to be in the range of $2.50 to $2.80, assuming a share count of 54 million for full-year 2022. In 2022, the Company estimates that adjusted free cash flow will be in the range of $90 to $110 million.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u w:val="single" w:color="auto"/>
          <w:color w:val="auto"/>
        </w:rPr>
        <w:t>Webcast and Conference Call Instructions</w:t>
      </w:r>
    </w:p>
    <w:p>
      <w:pPr>
        <w:spacing w:after="0" w:line="185"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 xml:space="preserve">The Company will host a live audiocast for interested parties commencing at 1 p.m. London time (8 a.m. Eastern Time) on Wednesday, February 23, 2022 that will be accessible at </w:t>
      </w:r>
      <w:r>
        <w:rPr>
          <w:rFonts w:ascii="Arial" w:cs="Arial" w:eastAsia="Arial" w:hAnsi="Arial"/>
          <w:sz w:val="19"/>
          <w:szCs w:val="19"/>
          <w:u w:val="single" w:color="auto"/>
          <w:color w:val="0E32E1"/>
        </w:rPr>
        <w:t>www.livanova.com/events</w:t>
      </w:r>
      <w:r>
        <w:rPr>
          <w:rFonts w:ascii="Arial" w:cs="Arial" w:eastAsia="Arial" w:hAnsi="Arial"/>
          <w:sz w:val="19"/>
          <w:szCs w:val="19"/>
          <w:color w:val="auto"/>
        </w:rPr>
        <w:t xml:space="preserve">. Listeners should log on approximately 10 minutes in advance to ensure proper setup to receive the audiocast. To listen to the conference call by telephone, dial +1 844 200 6205 (if dialing from within the U.S.) or +1 929 526 1599 (if dialing from outside the U.S.). The conference call access code is 167922. Within 24 hours of the audiocast, a replay will be available at </w:t>
      </w:r>
      <w:r>
        <w:rPr>
          <w:rFonts w:ascii="Arial" w:cs="Arial" w:eastAsia="Arial" w:hAnsi="Arial"/>
          <w:sz w:val="19"/>
          <w:szCs w:val="19"/>
          <w:u w:val="single" w:color="auto"/>
          <w:color w:val="0E32E1"/>
        </w:rPr>
        <w:t>www.livanova.com/events</w:t>
      </w:r>
      <w:r>
        <w:rPr>
          <w:rFonts w:ascii="Arial" w:cs="Arial" w:eastAsia="Arial" w:hAnsi="Arial"/>
          <w:sz w:val="19"/>
          <w:szCs w:val="19"/>
          <w:color w:val="auto"/>
        </w:rPr>
        <w:t>, where it will be archived and accessible for approximately 90 days.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6D2077"/>
        </w:rPr>
        <w:t>About LivaNova</w:t>
      </w:r>
    </w:p>
    <w:p>
      <w:pPr>
        <w:spacing w:after="0" w:line="318"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t>
      </w:r>
      <w:r>
        <w:rPr>
          <w:rFonts w:ascii="Arial" w:cs="Arial" w:eastAsia="Arial" w:hAnsi="Arial"/>
          <w:sz w:val="19"/>
          <w:szCs w:val="19"/>
          <w:u w:val="single" w:color="auto"/>
          <w:color w:val="0E32E1"/>
        </w:rPr>
        <w:t>www.livanova.com</w:t>
      </w:r>
      <w:r>
        <w:rPr>
          <w:rFonts w:ascii="Arial" w:cs="Arial" w:eastAsia="Arial" w:hAnsi="Arial"/>
          <w:sz w:val="19"/>
          <w:szCs w:val="19"/>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6D2077"/>
        </w:rPr>
        <w:t>Use of Non-GAAP Financial Measures</w:t>
      </w:r>
    </w:p>
    <w:p>
      <w:pPr>
        <w:spacing w:after="0" w:line="318"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00"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68" w:right="339" w:bottom="1440" w:gutter="0" w:footer="0" w:header="0"/>
        </w:sectPr>
      </w:pPr>
    </w:p>
    <w:bookmarkStart w:id="9" w:name="page10"/>
    <w:bookmarkEnd w:id="9"/>
    <w:p>
      <w:pPr>
        <w:spacing w:after="0" w:line="110"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sales, non-GAAP adjusted tax rates and adjusted diluted earnings per share are net sales,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w:t>
      </w:r>
    </w:p>
    <w:p>
      <w:pPr>
        <w:spacing w:after="0" w:line="200"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continuing operations, adjusted segment operating income,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6D2077"/>
        </w:rPr>
        <w:t>Safe Harbor Statement</w:t>
      </w:r>
    </w:p>
    <w:p>
      <w:pPr>
        <w:spacing w:after="0" w:line="318" w:lineRule="exact"/>
        <w:rPr>
          <w:sz w:val="20"/>
          <w:szCs w:val="20"/>
          <w:color w:val="auto"/>
        </w:rPr>
      </w:pPr>
    </w:p>
    <w:p>
      <w:pPr>
        <w:jc w:val="both"/>
        <w:spacing w:after="0" w:line="365" w:lineRule="auto"/>
        <w:rPr>
          <w:sz w:val="20"/>
          <w:szCs w:val="20"/>
          <w:color w:val="auto"/>
        </w:rPr>
      </w:pPr>
      <w:r>
        <w:rPr>
          <w:rFonts w:ascii="Arial" w:cs="Arial" w:eastAsia="Arial" w:hAnsi="Arial"/>
          <w:sz w:val="19"/>
          <w:szCs w:val="19"/>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10" w:lineRule="exact"/>
        <w:rPr>
          <w:sz w:val="20"/>
          <w:szCs w:val="20"/>
          <w:color w:val="auto"/>
        </w:rPr>
      </w:pPr>
    </w:p>
    <w:p>
      <w:pPr>
        <w:jc w:val="both"/>
        <w:spacing w:after="0" w:line="359" w:lineRule="auto"/>
        <w:rPr>
          <w:sz w:val="20"/>
          <w:szCs w:val="20"/>
          <w:color w:val="auto"/>
        </w:rPr>
      </w:pPr>
      <w:r>
        <w:rPr>
          <w:rFonts w:ascii="Arial" w:cs="Arial" w:eastAsia="Arial" w:hAnsi="Arial"/>
          <w:sz w:val="19"/>
          <w:szCs w:val="19"/>
          <w:color w:val="auto"/>
        </w:rPr>
        <w:t>statements include, but are not limited to, LivaNova’s plans, objectives, strategies, appointments,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depreciation and amortization,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severity and duration of the COVID-19 pandemic, its variants and the related impact on our business, financial condition and results of operations; (ii) reductions in customer spending, a slowdown in customer payments and changes in customer demand for products and services; (iii) unanticipated changes relating to competitive factors in the industries in which LivaNova operates; (iv) the ability to hire and retain key personnel; (v) the ability to attract new customers and retain existing customers in the manner anticipated; (vi) changes in legislation or governmental regulations affecting LivaNova; (vii) international, national or local economic, social or political conditions that could adversely affect LivaNova, its partners or its customers; (viii) conditions in the credit markets; (ix) business and other financial risks inherent to the industries in which LivaNova operates; (x) risks associated with assumptions made in connection with critical accounting estimates and legal proceedings; (xi) LivaNova’s international operations, which are subject to the risks of currency fluctuations and foreign exchange controls; (xii) the potential for international unrest, economic downturn or effects of currencies, tax assessments, tax adjustments, anticipated tax rates, labor shortages, supplier disruptions, raw material costs or availability, benefit or retirement plan costs, or other regulatory compliance costs; (xiii) the inability of LivaNova to meet expectations regarding the timing, completion and accounting of tax treatments; and (xiv) organizational and governance structure. The foregoing list of factors is not exhaustive. You should carefully consider the foregoing factors and the other risks and uncertainties that affect the Company’s business, including those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10" w:lineRule="exact"/>
        <w:rPr>
          <w:sz w:val="20"/>
          <w:szCs w:val="20"/>
          <w:color w:val="auto"/>
        </w:rPr>
      </w:pPr>
    </w:p>
    <w:p>
      <w:pPr>
        <w:jc w:val="both"/>
        <w:spacing w:after="0" w:line="371" w:lineRule="auto"/>
        <w:rPr>
          <w:sz w:val="20"/>
          <w:szCs w:val="20"/>
          <w:color w:val="auto"/>
        </w:rPr>
      </w:pPr>
      <w:r>
        <w:rPr>
          <w:rFonts w:ascii="Arial" w:cs="Arial" w:eastAsia="Arial" w:hAnsi="Arial"/>
          <w:sz w:val="19"/>
          <w:szCs w:val="19"/>
          <w:color w:val="auto"/>
        </w:rPr>
        <w:t>the “Risk Factors” section of Annual Reports on Form 10-K, Quarterly Reports on Form 10-Q, Current Reports on Form 8-K and other documents filed from time to time with the United States Securities and Exchange Commission by LivaNova.</w:t>
      </w:r>
    </w:p>
    <w:p>
      <w:pPr>
        <w:spacing w:after="0" w:line="188"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Lindsey Little</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Senior Director, Investor Relations</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9"/>
          <w:szCs w:val="19"/>
          <w:color w:val="auto"/>
        </w:rPr>
        <w:t>Phone: +1 281 895 2382</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9"/>
          <w:szCs w:val="19"/>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7"/>
                <w:szCs w:val="17"/>
                <w:b w:val="1"/>
                <w:bCs w:val="1"/>
                <w:color w:val="auto"/>
              </w:rPr>
              <w:t>NET SALES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2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4"/>
            <w:vMerge w:val="restart"/>
          </w:tcPr>
          <w:p>
            <w:pPr>
              <w:ind w:left="480"/>
              <w:spacing w:after="0"/>
              <w:rPr>
                <w:sz w:val="20"/>
                <w:szCs w:val="20"/>
                <w:color w:val="auto"/>
              </w:rPr>
            </w:pPr>
            <w:r>
              <w:rPr>
                <w:rFonts w:ascii="Arial" w:cs="Arial" w:eastAsia="Arial" w:hAnsi="Arial"/>
                <w:sz w:val="17"/>
                <w:szCs w:val="17"/>
                <w:b w:val="1"/>
                <w:bCs w:val="1"/>
                <w:color w:val="auto"/>
              </w:rPr>
              <w:t>Three Months Ended December 31,</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 Change at Actual</w:t>
            </w:r>
          </w:p>
        </w:tc>
        <w:tc>
          <w:tcPr>
            <w:tcW w:w="190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rPr>
              <w:t>% Change at</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1320" w:type="dxa"/>
            <w:vAlign w:val="bottom"/>
            <w:vMerge w:val="restart"/>
          </w:tcPr>
          <w:p>
            <w:pPr>
              <w:jc w:val="right"/>
              <w:ind w:right="3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0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rPr>
              <w:t>Constant-Currency</w:t>
            </w:r>
          </w:p>
        </w:tc>
        <w:tc>
          <w:tcPr>
            <w:tcW w:w="0" w:type="dxa"/>
            <w:vAlign w:val="bottom"/>
          </w:tcPr>
          <w:p>
            <w:pPr>
              <w:spacing w:after="0"/>
              <w:rPr>
                <w:sz w:val="1"/>
                <w:szCs w:val="1"/>
                <w:color w:val="auto"/>
              </w:rPr>
            </w:pPr>
          </w:p>
        </w:tc>
      </w:tr>
      <w:tr>
        <w:trPr>
          <w:trHeight w:val="222"/>
        </w:trPr>
        <w:tc>
          <w:tcPr>
            <w:tcW w:w="4520" w:type="dxa"/>
            <w:vAlign w:val="bottom"/>
            <w:vMerge w:val="restart"/>
          </w:tcPr>
          <w:p>
            <w:pPr>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Currency Rates</w:t>
            </w:r>
          </w:p>
        </w:tc>
        <w:tc>
          <w:tcPr>
            <w:tcW w:w="1900" w:type="dxa"/>
            <w:vAlign w:val="bottom"/>
          </w:tcPr>
          <w:p>
            <w:pPr>
              <w:jc w:val="center"/>
              <w:spacing w:after="0" w:line="223" w:lineRule="exact"/>
              <w:rPr>
                <w:sz w:val="20"/>
                <w:szCs w:val="20"/>
                <w:color w:val="auto"/>
              </w:rPr>
            </w:pPr>
            <w:r>
              <w:rPr>
                <w:rFonts w:ascii="Arial" w:cs="Arial" w:eastAsia="Arial" w:hAnsi="Arial"/>
                <w:sz w:val="17"/>
                <w:szCs w:val="17"/>
                <w:b w:val="1"/>
                <w:bCs w:val="1"/>
                <w:color w:val="auto"/>
                <w:w w:val="96"/>
              </w:rPr>
              <w:t>Rates</w:t>
            </w:r>
            <w:r>
              <w:rPr>
                <w:rFonts w:ascii="Arial" w:cs="Arial" w:eastAsia="Arial" w:hAnsi="Arial"/>
                <w:sz w:val="22"/>
                <w:szCs w:val="22"/>
                <w:b w:val="1"/>
                <w:bCs w:val="1"/>
                <w:color w:val="auto"/>
                <w:w w:val="96"/>
                <w:vertAlign w:val="superscript"/>
              </w:rPr>
              <w:t>(1)</w:t>
            </w:r>
          </w:p>
        </w:tc>
        <w:tc>
          <w:tcPr>
            <w:tcW w:w="0" w:type="dxa"/>
            <w:vAlign w:val="bottom"/>
          </w:tcPr>
          <w:p>
            <w:pPr>
              <w:spacing w:after="0"/>
              <w:rPr>
                <w:sz w:val="1"/>
                <w:szCs w:val="1"/>
                <w:color w:val="auto"/>
              </w:rPr>
            </w:pPr>
          </w:p>
        </w:tc>
      </w:tr>
      <w:tr>
        <w:trPr>
          <w:trHeight w:val="202"/>
        </w:trPr>
        <w:tc>
          <w:tcPr>
            <w:tcW w:w="452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12.3 %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12.3 %</w:t>
            </w: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36.0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7.9 %</w:t>
            </w:r>
          </w:p>
        </w:tc>
        <w:tc>
          <w:tcPr>
            <w:tcW w:w="0" w:type="dxa"/>
            <w:vAlign w:val="bottom"/>
          </w:tcPr>
          <w:p>
            <w:pPr>
              <w:spacing w:after="0"/>
              <w:rPr>
                <w:sz w:val="1"/>
                <w:szCs w:val="1"/>
                <w:color w:val="auto"/>
              </w:rPr>
            </w:pPr>
          </w:p>
        </w:tc>
      </w:tr>
      <w:tr>
        <w:trPr>
          <w:trHeight w:val="223"/>
        </w:trPr>
        <w:tc>
          <w:tcPr>
            <w:tcW w:w="452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10.2 %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14.5 %</w:t>
            </w:r>
          </w:p>
        </w:tc>
        <w:tc>
          <w:tcPr>
            <w:tcW w:w="0" w:type="dxa"/>
            <w:vAlign w:val="bottom"/>
          </w:tcPr>
          <w:p>
            <w:pPr>
              <w:spacing w:after="0"/>
              <w:rPr>
                <w:sz w:val="1"/>
                <w:szCs w:val="1"/>
                <w:color w:val="auto"/>
              </w:rPr>
            </w:pPr>
          </w:p>
        </w:tc>
      </w:tr>
      <w:tr>
        <w:trPr>
          <w:trHeight w:val="215"/>
        </w:trPr>
        <w:tc>
          <w:tcPr>
            <w:tcW w:w="4520" w:type="dxa"/>
            <w:vAlign w:val="bottom"/>
          </w:tcPr>
          <w:p>
            <w:pPr>
              <w:ind w:left="2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9.0 %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85.2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12.3 %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12.3 %</w:t>
            </w: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9.4 %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23"/>
        </w:trPr>
        <w:tc>
          <w:tcPr>
            <w:tcW w:w="452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6.3 %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15"/>
        </w:trPr>
        <w:tc>
          <w:tcPr>
            <w:tcW w:w="4520" w:type="dxa"/>
            <w:vAlign w:val="bottom"/>
          </w:tcPr>
          <w:p>
            <w:pPr>
              <w:ind w:left="2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11.3 %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11.9 %</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222"/>
        </w:trPr>
        <w:tc>
          <w:tcPr>
            <w:tcW w:w="4520" w:type="dxa"/>
            <w:vAlign w:val="bottom"/>
          </w:tcPr>
          <w:p>
            <w:pPr>
              <w:ind w:left="22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87.0 %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5"/>
        </w:trPr>
        <w:tc>
          <w:tcPr>
            <w:tcW w:w="4520" w:type="dxa"/>
            <w:vAlign w:val="bottom"/>
          </w:tcPr>
          <w:p>
            <w:pPr>
              <w:ind w:left="3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7"/>
                <w:szCs w:val="17"/>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Europe</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3"/>
        </w:trPr>
        <w:tc>
          <w:tcPr>
            <w:tcW w:w="452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(87.3)%</w:t>
            </w:r>
          </w:p>
        </w:tc>
        <w:tc>
          <w:tcPr>
            <w:tcW w:w="0" w:type="dxa"/>
            <w:vAlign w:val="bottom"/>
          </w:tcPr>
          <w:p>
            <w:pPr>
              <w:spacing w:after="0"/>
              <w:rPr>
                <w:sz w:val="1"/>
                <w:szCs w:val="1"/>
                <w:color w:val="auto"/>
              </w:rPr>
            </w:pPr>
          </w:p>
        </w:tc>
      </w:tr>
      <w:tr>
        <w:trPr>
          <w:trHeight w:val="215"/>
        </w:trPr>
        <w:tc>
          <w:tcPr>
            <w:tcW w:w="4520" w:type="dxa"/>
            <w:vAlign w:val="bottom"/>
          </w:tcPr>
          <w:p>
            <w:pPr>
              <w:ind w:left="2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149.8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138.0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8.6 %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8.6 %</w:t>
            </w: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48.9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3"/>
        </w:trPr>
        <w:tc>
          <w:tcPr>
            <w:tcW w:w="452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400" w:right="20" w:hanging="398"/>
        <w:spacing w:after="0" w:line="225"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1" w:lineRule="exact"/>
        <w:rPr>
          <w:sz w:val="20"/>
          <w:szCs w:val="20"/>
          <w:color w:val="auto"/>
        </w:rPr>
      </w:pPr>
    </w:p>
    <w:p>
      <w:pPr>
        <w:ind w:left="400" w:hanging="398"/>
        <w:spacing w:after="0"/>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40" w:top="14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7"/>
                <w:szCs w:val="17"/>
                <w:b w:val="1"/>
                <w:bCs w:val="1"/>
                <w:color w:val="auto"/>
              </w:rPr>
              <w:t>NET SALES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2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ind w:left="420"/>
              <w:spacing w:after="0"/>
              <w:rPr>
                <w:sz w:val="20"/>
                <w:szCs w:val="20"/>
                <w:color w:val="auto"/>
              </w:rPr>
            </w:pPr>
            <w:r>
              <w:rPr>
                <w:rFonts w:ascii="Arial" w:cs="Arial" w:eastAsia="Arial" w:hAnsi="Arial"/>
                <w:sz w:val="17"/>
                <w:szCs w:val="17"/>
                <w:b w:val="1"/>
                <w:bCs w:val="1"/>
                <w:color w:val="auto"/>
              </w:rPr>
              <w:t>Twelve Months Ended December 31,</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5"/>
            <w:vMerge w:val="continue"/>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vMerge w:val="restart"/>
          </w:tcPr>
          <w:p>
            <w:pPr>
              <w:jc w:val="center"/>
              <w:ind w:right="200"/>
              <w:spacing w:after="0"/>
              <w:rPr>
                <w:sz w:val="20"/>
                <w:szCs w:val="20"/>
                <w:color w:val="auto"/>
              </w:rPr>
            </w:pPr>
            <w:r>
              <w:rPr>
                <w:rFonts w:ascii="Arial" w:cs="Arial" w:eastAsia="Arial" w:hAnsi="Arial"/>
                <w:sz w:val="17"/>
                <w:szCs w:val="17"/>
                <w:b w:val="1"/>
                <w:bCs w:val="1"/>
                <w:color w:val="auto"/>
              </w:rPr>
              <w:t>% Change at Actual</w:t>
            </w:r>
          </w:p>
        </w:tc>
        <w:tc>
          <w:tcPr>
            <w:tcW w:w="1780" w:type="dxa"/>
            <w:vAlign w:val="bottom"/>
          </w:tcPr>
          <w:p>
            <w:pPr>
              <w:jc w:val="center"/>
              <w:ind w:right="13"/>
              <w:spacing w:after="0" w:line="163" w:lineRule="exact"/>
              <w:rPr>
                <w:sz w:val="20"/>
                <w:szCs w:val="20"/>
                <w:color w:val="auto"/>
              </w:rPr>
            </w:pPr>
            <w:r>
              <w:rPr>
                <w:rFonts w:ascii="Arial" w:cs="Arial" w:eastAsia="Arial" w:hAnsi="Arial"/>
                <w:sz w:val="17"/>
                <w:szCs w:val="17"/>
                <w:b w:val="1"/>
                <w:bCs w:val="1"/>
                <w:color w:val="auto"/>
              </w:rPr>
              <w:t>% Change at</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14"/>
                <w:szCs w:val="14"/>
                <w:color w:val="auto"/>
              </w:rPr>
            </w:pPr>
          </w:p>
        </w:tc>
        <w:tc>
          <w:tcPr>
            <w:tcW w:w="1320" w:type="dxa"/>
            <w:vAlign w:val="bottom"/>
            <w:vMerge w:val="restart"/>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rPr>
              <w:t>Constant-Currency</w:t>
            </w:r>
          </w:p>
        </w:tc>
        <w:tc>
          <w:tcPr>
            <w:tcW w:w="0" w:type="dxa"/>
            <w:vAlign w:val="bottom"/>
          </w:tcPr>
          <w:p>
            <w:pPr>
              <w:spacing w:after="0"/>
              <w:rPr>
                <w:sz w:val="1"/>
                <w:szCs w:val="1"/>
                <w:color w:val="auto"/>
              </w:rPr>
            </w:pPr>
          </w:p>
        </w:tc>
      </w:tr>
      <w:tr>
        <w:trPr>
          <w:trHeight w:val="222"/>
        </w:trPr>
        <w:tc>
          <w:tcPr>
            <w:tcW w:w="4520" w:type="dxa"/>
            <w:vAlign w:val="bottom"/>
            <w:vMerge w:val="restart"/>
          </w:tcPr>
          <w:p>
            <w:pPr>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Currency Rates</w:t>
            </w:r>
          </w:p>
        </w:tc>
        <w:tc>
          <w:tcPr>
            <w:tcW w:w="1780" w:type="dxa"/>
            <w:vAlign w:val="bottom"/>
          </w:tcPr>
          <w:p>
            <w:pPr>
              <w:jc w:val="center"/>
              <w:spacing w:after="0" w:line="223" w:lineRule="exact"/>
              <w:rPr>
                <w:sz w:val="20"/>
                <w:szCs w:val="20"/>
                <w:color w:val="auto"/>
              </w:rPr>
            </w:pPr>
            <w:r>
              <w:rPr>
                <w:rFonts w:ascii="Arial" w:cs="Arial" w:eastAsia="Arial" w:hAnsi="Arial"/>
                <w:sz w:val="17"/>
                <w:szCs w:val="17"/>
                <w:b w:val="1"/>
                <w:bCs w:val="1"/>
                <w:color w:val="auto"/>
                <w:w w:val="95"/>
              </w:rPr>
              <w:t xml:space="preserve">Rates </w:t>
            </w:r>
            <w:r>
              <w:rPr>
                <w:rFonts w:ascii="Arial" w:cs="Arial" w:eastAsia="Arial" w:hAnsi="Arial"/>
                <w:sz w:val="22"/>
                <w:szCs w:val="22"/>
                <w:b w:val="1"/>
                <w:bCs w:val="1"/>
                <w:color w:val="auto"/>
                <w:w w:val="95"/>
                <w:vertAlign w:val="superscript"/>
              </w:rPr>
              <w:t>(1)</w:t>
            </w:r>
          </w:p>
        </w:tc>
        <w:tc>
          <w:tcPr>
            <w:tcW w:w="0" w:type="dxa"/>
            <w:vAlign w:val="bottom"/>
          </w:tcPr>
          <w:p>
            <w:pPr>
              <w:spacing w:after="0"/>
              <w:rPr>
                <w:sz w:val="1"/>
                <w:szCs w:val="1"/>
                <w:color w:val="auto"/>
              </w:rPr>
            </w:pPr>
          </w:p>
        </w:tc>
      </w:tr>
      <w:tr>
        <w:trPr>
          <w:trHeight w:val="202"/>
        </w:trPr>
        <w:tc>
          <w:tcPr>
            <w:tcW w:w="452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22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$154.1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$132.5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16.2 %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16.2 %</w:t>
            </w:r>
          </w:p>
        </w:tc>
        <w:tc>
          <w:tcPr>
            <w:tcW w:w="0" w:type="dxa"/>
            <w:vAlign w:val="bottom"/>
          </w:tcPr>
          <w:p>
            <w:pPr>
              <w:spacing w:after="0"/>
              <w:rPr>
                <w:sz w:val="1"/>
                <w:szCs w:val="1"/>
                <w:color w:val="auto"/>
              </w:rPr>
            </w:pPr>
          </w:p>
        </w:tc>
      </w:tr>
      <w:tr>
        <w:trPr>
          <w:trHeight w:val="222"/>
        </w:trPr>
        <w:tc>
          <w:tcPr>
            <w:tcW w:w="4520" w:type="dxa"/>
            <w:vAlign w:val="bottom"/>
          </w:tcPr>
          <w:p>
            <w:pPr>
              <w:ind w:left="22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134.6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122.1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6.4 %</w:t>
            </w: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15"/>
        </w:trPr>
        <w:tc>
          <w:tcPr>
            <w:tcW w:w="4520" w:type="dxa"/>
            <w:vAlign w:val="bottom"/>
          </w:tcPr>
          <w:p>
            <w:pPr>
              <w:ind w:left="3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483.0</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6.8 %</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358.5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282.5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26.9 %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26.9 %</w:t>
            </w: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51.4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31.8 %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25.1 %</w:t>
            </w:r>
          </w:p>
        </w:tc>
        <w:tc>
          <w:tcPr>
            <w:tcW w:w="0" w:type="dxa"/>
            <w:vAlign w:val="bottom"/>
          </w:tcPr>
          <w:p>
            <w:pPr>
              <w:spacing w:after="0"/>
              <w:rPr>
                <w:sz w:val="1"/>
                <w:szCs w:val="1"/>
                <w:color w:val="auto"/>
              </w:rPr>
            </w:pPr>
          </w:p>
        </w:tc>
      </w:tr>
      <w:tr>
        <w:trPr>
          <w:trHeight w:val="223"/>
        </w:trPr>
        <w:tc>
          <w:tcPr>
            <w:tcW w:w="452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40.5 %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40.3 %</w:t>
            </w:r>
          </w:p>
        </w:tc>
        <w:tc>
          <w:tcPr>
            <w:tcW w:w="0" w:type="dxa"/>
            <w:vAlign w:val="bottom"/>
          </w:tcPr>
          <w:p>
            <w:pPr>
              <w:spacing w:after="0"/>
              <w:rPr>
                <w:sz w:val="1"/>
                <w:szCs w:val="1"/>
                <w:color w:val="auto"/>
              </w:rPr>
            </w:pPr>
          </w:p>
        </w:tc>
      </w:tr>
      <w:tr>
        <w:trPr>
          <w:trHeight w:val="215"/>
        </w:trPr>
        <w:tc>
          <w:tcPr>
            <w:tcW w:w="4520" w:type="dxa"/>
            <w:vAlign w:val="bottom"/>
          </w:tcPr>
          <w:p>
            <w:pPr>
              <w:ind w:left="2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28.7 %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27.9 %</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53.8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31.0 %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31.0 %</w:t>
            </w:r>
          </w:p>
        </w:tc>
        <w:tc>
          <w:tcPr>
            <w:tcW w:w="0" w:type="dxa"/>
            <w:vAlign w:val="bottom"/>
          </w:tcPr>
          <w:p>
            <w:pPr>
              <w:spacing w:after="0"/>
              <w:rPr>
                <w:sz w:val="1"/>
                <w:szCs w:val="1"/>
                <w:color w:val="auto"/>
              </w:rPr>
            </w:pPr>
          </w:p>
        </w:tc>
      </w:tr>
      <w:tr>
        <w:trPr>
          <w:trHeight w:val="222"/>
        </w:trPr>
        <w:tc>
          <w:tcPr>
            <w:tcW w:w="4520" w:type="dxa"/>
            <w:vAlign w:val="bottom"/>
          </w:tcPr>
          <w:p>
            <w:pPr>
              <w:ind w:left="22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7.0 %</w:t>
            </w: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159.0 %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5"/>
        </w:trPr>
        <w:tc>
          <w:tcPr>
            <w:tcW w:w="4520" w:type="dxa"/>
            <w:vAlign w:val="bottom"/>
          </w:tcPr>
          <w:p>
            <w:pPr>
              <w:ind w:left="3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31.0 %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30.9 %</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23"/>
        </w:trPr>
        <w:tc>
          <w:tcPr>
            <w:tcW w:w="452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15"/>
        </w:trPr>
        <w:tc>
          <w:tcPr>
            <w:tcW w:w="4520" w:type="dxa"/>
            <w:vAlign w:val="bottom"/>
          </w:tcPr>
          <w:p>
            <w:pPr>
              <w:ind w:left="2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571.3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468.6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21.9 %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21.9 %</w:t>
            </w:r>
          </w:p>
        </w:tc>
        <w:tc>
          <w:tcPr>
            <w:tcW w:w="0" w:type="dxa"/>
            <w:vAlign w:val="bottom"/>
          </w:tcPr>
          <w:p>
            <w:pPr>
              <w:spacing w:after="0"/>
              <w:rPr>
                <w:sz w:val="1"/>
                <w:szCs w:val="1"/>
                <w:color w:val="auto"/>
              </w:rPr>
            </w:pPr>
          </w:p>
        </w:tc>
      </w:tr>
      <w:tr>
        <w:trPr>
          <w:trHeight w:val="222"/>
        </w:trPr>
        <w:tc>
          <w:tcPr>
            <w:tcW w:w="452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193.4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3"/>
        </w:trPr>
        <w:tc>
          <w:tcPr>
            <w:tcW w:w="452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$1,035.4</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00" w:right="20" w:hanging="398"/>
        <w:spacing w:after="0" w:line="225"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1" w:lineRule="exact"/>
        <w:rPr>
          <w:sz w:val="20"/>
          <w:szCs w:val="20"/>
          <w:color w:val="auto"/>
        </w:rPr>
      </w:pPr>
    </w:p>
    <w:p>
      <w:pPr>
        <w:ind w:left="400" w:hanging="398"/>
        <w:spacing w:after="0"/>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40" w:top="141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36" w:lineRule="exact"/>
        <w:rPr>
          <w:sz w:val="20"/>
          <w:szCs w:val="20"/>
          <w:color w:val="auto"/>
        </w:rPr>
      </w:pPr>
    </w:p>
    <w:p>
      <w:pPr>
        <w:ind w:right="5260"/>
        <w:spacing w:after="0" w:line="306"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40" w:type="dxa"/>
            <w:vAlign w:val="bottom"/>
          </w:tcPr>
          <w:p>
            <w:pPr>
              <w:spacing w:after="0"/>
              <w:rPr>
                <w:sz w:val="20"/>
                <w:szCs w:val="20"/>
                <w:color w:val="auto"/>
              </w:rPr>
            </w:pPr>
          </w:p>
        </w:tc>
        <w:tc>
          <w:tcPr>
            <w:tcW w:w="380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7"/>
                <w:szCs w:val="17"/>
                <w:b w:val="1"/>
                <w:bCs w:val="1"/>
                <w:color w:val="auto"/>
              </w:rPr>
              <w:t>Three Months Ended December 31,</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84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553"/>
              <w:spacing w:after="0" w:line="216" w:lineRule="exact"/>
              <w:rPr>
                <w:sz w:val="20"/>
                <w:szCs w:val="20"/>
                <w:color w:val="auto"/>
              </w:rPr>
            </w:pPr>
            <w:r>
              <w:rPr>
                <w:rFonts w:ascii="Arial" w:cs="Arial" w:eastAsia="Arial" w:hAnsi="Arial"/>
                <w:sz w:val="17"/>
                <w:szCs w:val="17"/>
                <w:b w:val="1"/>
                <w:bCs w:val="1"/>
                <w:color w:val="auto"/>
              </w:rPr>
              <w:t xml:space="preserve">2020 </w:t>
            </w:r>
            <w:r>
              <w:rPr>
                <w:rFonts w:ascii="Arial" w:cs="Arial" w:eastAsia="Arial" w:hAnsi="Arial"/>
                <w:sz w:val="22"/>
                <w:szCs w:val="22"/>
                <w:b w:val="1"/>
                <w:bCs w:val="1"/>
                <w:color w:val="auto"/>
                <w:vertAlign w:val="superscript"/>
              </w:rPr>
              <w:t>(1)</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7"/>
                <w:szCs w:val="17"/>
                <w:color w:val="auto"/>
              </w:rPr>
              <w:t>Net sales</w:t>
            </w:r>
          </w:p>
        </w:tc>
        <w:tc>
          <w:tcPr>
            <w:tcW w:w="1840" w:type="dxa"/>
            <w:vAlign w:val="bottom"/>
          </w:tcPr>
          <w:p>
            <w:pPr>
              <w:jc w:val="right"/>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$269.6</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7"/>
                <w:szCs w:val="17"/>
                <w:color w:val="auto"/>
              </w:rPr>
              <w:t>Cost of sales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Gross profit</w:t>
            </w:r>
          </w:p>
        </w:tc>
        <w:tc>
          <w:tcPr>
            <w:tcW w:w="1840" w:type="dxa"/>
            <w:vAlign w:val="bottom"/>
          </w:tcPr>
          <w:p>
            <w:pPr>
              <w:jc w:val="right"/>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166.9</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20.8 %</w:t>
            </w:r>
          </w:p>
        </w:tc>
        <w:tc>
          <w:tcPr>
            <w:tcW w:w="0" w:type="dxa"/>
            <w:vAlign w:val="bottom"/>
          </w:tcPr>
          <w:p>
            <w:pPr>
              <w:spacing w:after="0"/>
              <w:rPr>
                <w:sz w:val="1"/>
                <w:szCs w:val="1"/>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Selling, general and administrative</w:t>
            </w:r>
          </w:p>
        </w:tc>
        <w:tc>
          <w:tcPr>
            <w:tcW w:w="1840" w:type="dxa"/>
            <w:vAlign w:val="bottom"/>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114.9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84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Impairment of disposal group</w:t>
            </w:r>
          </w:p>
        </w:tc>
        <w:tc>
          <w:tcPr>
            <w:tcW w:w="1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180.2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Impairment of goodwill</w:t>
            </w:r>
          </w:p>
        </w:tc>
        <w:tc>
          <w:tcPr>
            <w:tcW w:w="1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Impairment of long-lived assets</w:t>
            </w:r>
          </w:p>
        </w:tc>
        <w:tc>
          <w:tcPr>
            <w:tcW w:w="1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7"/>
                <w:szCs w:val="17"/>
                <w:color w:val="auto"/>
              </w:rPr>
              <w:t>Other operating expenses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Operating income (loss) from continuing operations</w:t>
            </w:r>
          </w:p>
        </w:tc>
        <w:tc>
          <w:tcPr>
            <w:tcW w:w="184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(249.0)</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(109.9)%</w:t>
            </w:r>
          </w:p>
        </w:tc>
        <w:tc>
          <w:tcPr>
            <w:tcW w:w="0" w:type="dxa"/>
            <w:vAlign w:val="bottom"/>
          </w:tcPr>
          <w:p>
            <w:pPr>
              <w:spacing w:after="0"/>
              <w:rPr>
                <w:sz w:val="1"/>
                <w:szCs w:val="1"/>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Interest expense, net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7"/>
                <w:szCs w:val="17"/>
                <w:color w:val="auto"/>
              </w:rPr>
              <w:t>Foreign exchange and other gains/(losses)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Loss from continuing operations before tax</w:t>
            </w:r>
          </w:p>
        </w:tc>
        <w:tc>
          <w:tcPr>
            <w:tcW w:w="184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(298.9)</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(99.2)%</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Income tax expense (benefit)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1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Net loss from continuing operations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Net loss from discontinued operations, net of tax</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Net loss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($281.1)</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Basic loss per share:</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4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($5.77)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Diluted loss per share:</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4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($5.77)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Basic</w:t>
            </w:r>
          </w:p>
        </w:tc>
        <w:tc>
          <w:tcPr>
            <w:tcW w:w="184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7"/>
                <w:szCs w:val="17"/>
                <w:color w:val="auto"/>
              </w:rPr>
              <w:t>Diluted</w:t>
            </w:r>
          </w:p>
        </w:tc>
        <w:tc>
          <w:tcPr>
            <w:tcW w:w="184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0" w:hanging="98"/>
        <w:spacing w:after="0"/>
        <w:tabs>
          <w:tab w:leader="none" w:pos="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143" w:lineRule="exact"/>
        <w:rPr>
          <w:rFonts w:ascii="Arial" w:cs="Arial" w:eastAsia="Arial" w:hAnsi="Arial"/>
          <w:sz w:val="16"/>
          <w:szCs w:val="16"/>
          <w:color w:val="auto"/>
        </w:rPr>
      </w:pPr>
    </w:p>
    <w:p>
      <w:pPr>
        <w:ind w:left="480" w:hanging="356"/>
        <w:spacing w:after="0"/>
        <w:tabs>
          <w:tab w:leader="none" w:pos="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condensed consolidated statement of income for the three months ended December 31, 2020 has been revised.</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40" w:top="141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2"/>
        </w:trPr>
        <w:tc>
          <w:tcPr>
            <w:tcW w:w="708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8"/>
        </w:trPr>
        <w:tc>
          <w:tcPr>
            <w:tcW w:w="6020" w:type="dxa"/>
            <w:vAlign w:val="bottom"/>
          </w:tcPr>
          <w:p>
            <w:pPr>
              <w:spacing w:after="0"/>
              <w:rPr>
                <w:sz w:val="24"/>
                <w:szCs w:val="24"/>
                <w:color w:val="auto"/>
              </w:rPr>
            </w:pPr>
          </w:p>
        </w:tc>
        <w:tc>
          <w:tcPr>
            <w:tcW w:w="35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7"/>
                <w:szCs w:val="17"/>
                <w:b w:val="1"/>
                <w:bCs w:val="1"/>
                <w:color w:val="auto"/>
              </w:rPr>
              <w:t>Three Months Ended December 31,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93"/>
              <w:spacing w:after="0" w:line="229" w:lineRule="exact"/>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2"/>
                <w:szCs w:val="22"/>
                <w:b w:val="1"/>
                <w:bCs w:val="1"/>
                <w:color w:val="auto"/>
                <w:vertAlign w:val="superscript"/>
              </w:rPr>
              <w:t>(1)</w:t>
            </w:r>
          </w:p>
        </w:tc>
      </w:tr>
      <w:tr>
        <w:trPr>
          <w:trHeight w:val="218"/>
        </w:trPr>
        <w:tc>
          <w:tcPr>
            <w:tcW w:w="708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SG&amp;A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$93.7</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14.6 %</w:t>
            </w:r>
          </w:p>
        </w:tc>
      </w:tr>
      <w:tr>
        <w:trPr>
          <w:trHeight w:val="222"/>
        </w:trPr>
        <w:tc>
          <w:tcPr>
            <w:tcW w:w="7080" w:type="dxa"/>
            <w:vAlign w:val="bottom"/>
            <w:gridSpan w:val="2"/>
          </w:tcPr>
          <w:p>
            <w:pPr>
              <w:spacing w:after="0" w:line="223"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39.0</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4.8 %</w:t>
            </w:r>
          </w:p>
        </w:tc>
      </w:tr>
      <w:tr>
        <w:trPr>
          <w:trHeight w:val="222"/>
        </w:trPr>
        <w:tc>
          <w:tcPr>
            <w:tcW w:w="7080" w:type="dxa"/>
            <w:vAlign w:val="bottom"/>
            <w:gridSpan w:val="2"/>
          </w:tcPr>
          <w:p>
            <w:pPr>
              <w:spacing w:after="0" w:line="223" w:lineRule="exact"/>
              <w:rPr>
                <w:sz w:val="20"/>
                <w:szCs w:val="20"/>
                <w:color w:val="auto"/>
              </w:rPr>
            </w:pPr>
            <w:r>
              <w:rPr>
                <w:rFonts w:ascii="Arial" w:cs="Arial" w:eastAsia="Arial" w:hAnsi="Arial"/>
                <w:sz w:val="17"/>
                <w:szCs w:val="17"/>
                <w:color w:val="auto"/>
              </w:rPr>
              <w:t xml:space="preserve">Adjusted operating income from continuing operations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47.3</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(15.1)%</w:t>
            </w:r>
          </w:p>
        </w:tc>
      </w:tr>
      <w:tr>
        <w:trPr>
          <w:trHeight w:val="222"/>
        </w:trPr>
        <w:tc>
          <w:tcPr>
            <w:tcW w:w="7080" w:type="dxa"/>
            <w:vAlign w:val="bottom"/>
            <w:gridSpan w:val="2"/>
          </w:tcPr>
          <w:p>
            <w:pPr>
              <w:spacing w:after="0" w:line="223" w:lineRule="exact"/>
              <w:rPr>
                <w:sz w:val="20"/>
                <w:szCs w:val="20"/>
                <w:color w:val="auto"/>
              </w:rPr>
            </w:pPr>
            <w:r>
              <w:rPr>
                <w:rFonts w:ascii="Arial" w:cs="Arial" w:eastAsia="Arial" w:hAnsi="Arial"/>
                <w:sz w:val="17"/>
                <w:szCs w:val="17"/>
                <w:color w:val="auto"/>
              </w:rPr>
              <w:t xml:space="preserve">Adjusted net income from continuing operations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34.0</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(9.8)%</w:t>
            </w:r>
          </w:p>
        </w:tc>
      </w:tr>
      <w:tr>
        <w:trPr>
          <w:trHeight w:val="290"/>
        </w:trPr>
        <w:tc>
          <w:tcPr>
            <w:tcW w:w="708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from continuing operations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$0.70</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(18.6)%</w:t>
            </w:r>
          </w:p>
        </w:tc>
      </w:tr>
    </w:tbl>
    <w:p>
      <w:pPr>
        <w:spacing w:after="0" w:line="50" w:lineRule="exact"/>
        <w:rPr>
          <w:sz w:val="20"/>
          <w:szCs w:val="20"/>
          <w:color w:val="auto"/>
        </w:rPr>
      </w:pPr>
    </w:p>
    <w:p>
      <w:pPr>
        <w:ind w:left="480" w:right="20" w:hanging="356"/>
        <w:spacing w:after="0" w:line="225"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sales, except for income tax rate)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4360" w:type="dxa"/>
            <w:vAlign w:val="bottom"/>
            <w:gridSpan w:val="5"/>
          </w:tcPr>
          <w:p>
            <w:pPr>
              <w:ind w:left="400"/>
              <w:spacing w:after="0"/>
              <w:rPr>
                <w:sz w:val="20"/>
                <w:szCs w:val="20"/>
                <w:color w:val="auto"/>
              </w:rPr>
            </w:pPr>
            <w:r>
              <w:rPr>
                <w:rFonts w:ascii="Arial" w:cs="Arial" w:eastAsia="Arial" w:hAnsi="Arial"/>
                <w:sz w:val="17"/>
                <w:szCs w:val="17"/>
                <w:b w:val="1"/>
                <w:bCs w:val="1"/>
                <w:color w:val="auto"/>
              </w:rPr>
              <w:t>GAAP Three Months Ended December 31,</w:t>
            </w:r>
          </w:p>
        </w:tc>
        <w:tc>
          <w:tcPr>
            <w:tcW w:w="4660" w:type="dxa"/>
            <w:vAlign w:val="bottom"/>
            <w:gridSpan w:val="3"/>
          </w:tcPr>
          <w:p>
            <w:pPr>
              <w:jc w:val="right"/>
              <w:ind w:right="293"/>
              <w:spacing w:after="0"/>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Three Months Ended December 31,</w:t>
            </w:r>
          </w:p>
        </w:tc>
      </w:tr>
      <w:tr>
        <w:trPr>
          <w:trHeight w:val="216"/>
        </w:trPr>
        <w:tc>
          <w:tcPr>
            <w:tcW w:w="2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28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7"/>
                <w:szCs w:val="17"/>
                <w:b w:val="1"/>
                <w:bCs w:val="1"/>
                <w:color w:val="auto"/>
              </w:rPr>
              <w:t>2020</w:t>
            </w:r>
          </w:p>
        </w:tc>
      </w:tr>
      <w:tr>
        <w:trPr>
          <w:trHeight w:val="215"/>
        </w:trPr>
        <w:tc>
          <w:tcPr>
            <w:tcW w:w="34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800" w:type="dxa"/>
            <w:vAlign w:val="bottom"/>
          </w:tcPr>
          <w:p>
            <w:pPr>
              <w:jc w:val="right"/>
              <w:spacing w:after="0"/>
              <w:rPr>
                <w:sz w:val="20"/>
                <w:szCs w:val="20"/>
                <w:color w:val="auto"/>
              </w:rPr>
            </w:pPr>
            <w:r>
              <w:rPr>
                <w:rFonts w:ascii="Arial" w:cs="Arial" w:eastAsia="Arial" w:hAnsi="Arial"/>
                <w:sz w:val="17"/>
                <w:szCs w:val="17"/>
                <w:color w:val="auto"/>
              </w:rPr>
              <w:t>74.7 %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61.9 %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69.8 %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66.8 %</w:t>
            </w:r>
          </w:p>
        </w:tc>
      </w:tr>
      <w:tr>
        <w:trPr>
          <w:trHeight w:val="222"/>
        </w:trPr>
        <w:tc>
          <w:tcPr>
            <w:tcW w:w="3480" w:type="dxa"/>
            <w:vAlign w:val="bottom"/>
            <w:gridSpan w:val="2"/>
          </w:tcPr>
          <w:p>
            <w:pPr>
              <w:spacing w:after="0"/>
              <w:rPr>
                <w:sz w:val="20"/>
                <w:szCs w:val="20"/>
                <w:color w:val="auto"/>
              </w:rPr>
            </w:pPr>
            <w:r>
              <w:rPr>
                <w:rFonts w:ascii="Arial" w:cs="Arial" w:eastAsia="Arial" w:hAnsi="Arial"/>
                <w:sz w:val="17"/>
                <w:szCs w:val="17"/>
                <w:color w:val="auto"/>
              </w:rPr>
              <w:t>SG&amp;A</w:t>
            </w:r>
          </w:p>
        </w:tc>
        <w:tc>
          <w:tcPr>
            <w:tcW w:w="800" w:type="dxa"/>
            <w:vAlign w:val="bottom"/>
          </w:tcPr>
          <w:p>
            <w:pPr>
              <w:jc w:val="right"/>
              <w:spacing w:after="0"/>
              <w:rPr>
                <w:sz w:val="20"/>
                <w:szCs w:val="20"/>
                <w:color w:val="auto"/>
              </w:rPr>
            </w:pPr>
            <w:r>
              <w:rPr>
                <w:rFonts w:ascii="Arial" w:cs="Arial" w:eastAsia="Arial" w:hAnsi="Arial"/>
                <w:sz w:val="17"/>
                <w:szCs w:val="17"/>
                <w:color w:val="auto"/>
              </w:rPr>
              <w:t>46.1 %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42.6 %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39.8 %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34.7 %</w:t>
            </w:r>
          </w:p>
        </w:tc>
      </w:tr>
      <w:tr>
        <w:trPr>
          <w:trHeight w:val="222"/>
        </w:trPr>
        <w:tc>
          <w:tcPr>
            <w:tcW w:w="3480" w:type="dxa"/>
            <w:vAlign w:val="bottom"/>
            <w:gridSpan w:val="2"/>
          </w:tcPr>
          <w:p>
            <w:pPr>
              <w:spacing w:after="0"/>
              <w:rPr>
                <w:sz w:val="20"/>
                <w:szCs w:val="20"/>
                <w:color w:val="auto"/>
              </w:rPr>
            </w:pPr>
            <w:r>
              <w:rPr>
                <w:rFonts w:ascii="Arial" w:cs="Arial" w:eastAsia="Arial" w:hAnsi="Arial"/>
                <w:sz w:val="17"/>
                <w:szCs w:val="17"/>
                <w:color w:val="auto"/>
              </w:rPr>
              <w:t>R&amp;D</w:t>
            </w:r>
          </w:p>
        </w:tc>
        <w:tc>
          <w:tcPr>
            <w:tcW w:w="800" w:type="dxa"/>
            <w:vAlign w:val="bottom"/>
          </w:tcPr>
          <w:p>
            <w:pPr>
              <w:jc w:val="right"/>
              <w:spacing w:after="0"/>
              <w:rPr>
                <w:sz w:val="20"/>
                <w:szCs w:val="20"/>
                <w:color w:val="auto"/>
              </w:rPr>
            </w:pPr>
            <w:r>
              <w:rPr>
                <w:rFonts w:ascii="Arial" w:cs="Arial" w:eastAsia="Arial" w:hAnsi="Arial"/>
                <w:sz w:val="17"/>
                <w:szCs w:val="17"/>
                <w:color w:val="auto"/>
              </w:rPr>
              <w:t>16.3 %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16.5 %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15.1 %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14.5 %</w:t>
            </w:r>
          </w:p>
        </w:tc>
      </w:tr>
      <w:tr>
        <w:trPr>
          <w:trHeight w:val="183"/>
        </w:trPr>
        <w:tc>
          <w:tcPr>
            <w:tcW w:w="3480" w:type="dxa"/>
            <w:vAlign w:val="bottom"/>
            <w:gridSpan w:val="2"/>
          </w:tcPr>
          <w:p>
            <w:pPr>
              <w:spacing w:after="0" w:line="183" w:lineRule="exact"/>
              <w:rPr>
                <w:sz w:val="20"/>
                <w:szCs w:val="20"/>
                <w:color w:val="auto"/>
              </w:rPr>
            </w:pPr>
            <w:r>
              <w:rPr>
                <w:rFonts w:ascii="Arial" w:cs="Arial" w:eastAsia="Arial" w:hAnsi="Arial"/>
                <w:sz w:val="17"/>
                <w:szCs w:val="17"/>
                <w:color w:val="auto"/>
              </w:rPr>
              <w:t>Operating income (loss)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10"/>
        </w:trPr>
        <w:tc>
          <w:tcPr>
            <w:tcW w:w="3480" w:type="dxa"/>
            <w:vAlign w:val="bottom"/>
            <w:gridSpan w:val="2"/>
          </w:tcPr>
          <w:p>
            <w:pPr>
              <w:spacing w:after="0"/>
              <w:rPr>
                <w:sz w:val="20"/>
                <w:szCs w:val="20"/>
                <w:color w:val="auto"/>
              </w:rPr>
            </w:pPr>
            <w:r>
              <w:rPr>
                <w:rFonts w:ascii="Arial" w:cs="Arial" w:eastAsia="Arial" w:hAnsi="Arial"/>
                <w:sz w:val="17"/>
                <w:szCs w:val="17"/>
                <w:color w:val="auto"/>
              </w:rPr>
              <w:t>from continuing operations</w:t>
            </w:r>
          </w:p>
        </w:tc>
        <w:tc>
          <w:tcPr>
            <w:tcW w:w="800" w:type="dxa"/>
            <w:vAlign w:val="bottom"/>
          </w:tcPr>
          <w:p>
            <w:pPr>
              <w:jc w:val="right"/>
              <w:spacing w:after="0"/>
              <w:rPr>
                <w:sz w:val="20"/>
                <w:szCs w:val="20"/>
                <w:color w:val="auto"/>
              </w:rPr>
            </w:pPr>
            <w:r>
              <w:rPr>
                <w:rFonts w:ascii="Arial" w:cs="Arial" w:eastAsia="Arial" w:hAnsi="Arial"/>
                <w:sz w:val="17"/>
                <w:szCs w:val="17"/>
                <w:color w:val="auto"/>
              </w:rPr>
              <w:t>9.2 %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14.9 %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17.5 %</w:t>
            </w:r>
          </w:p>
        </w:tc>
      </w:tr>
      <w:tr>
        <w:trPr>
          <w:trHeight w:val="183"/>
        </w:trPr>
        <w:tc>
          <w:tcPr>
            <w:tcW w:w="3480" w:type="dxa"/>
            <w:vAlign w:val="bottom"/>
            <w:gridSpan w:val="2"/>
          </w:tcPr>
          <w:p>
            <w:pPr>
              <w:spacing w:after="0" w:line="183" w:lineRule="exact"/>
              <w:rPr>
                <w:sz w:val="20"/>
                <w:szCs w:val="20"/>
                <w:color w:val="auto"/>
              </w:rPr>
            </w:pPr>
            <w:r>
              <w:rPr>
                <w:rFonts w:ascii="Arial" w:cs="Arial" w:eastAsia="Arial" w:hAnsi="Arial"/>
                <w:sz w:val="17"/>
                <w:szCs w:val="17"/>
                <w:color w:val="auto"/>
              </w:rPr>
              <w:t>Net (loss) income from</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10"/>
        </w:trPr>
        <w:tc>
          <w:tcPr>
            <w:tcW w:w="3480" w:type="dxa"/>
            <w:vAlign w:val="bottom"/>
            <w:gridSpan w:val="2"/>
          </w:tcPr>
          <w:p>
            <w:pPr>
              <w:spacing w:after="0"/>
              <w:rPr>
                <w:sz w:val="20"/>
                <w:szCs w:val="20"/>
                <w:color w:val="auto"/>
              </w:rPr>
            </w:pPr>
            <w:r>
              <w:rPr>
                <w:rFonts w:ascii="Arial" w:cs="Arial" w:eastAsia="Arial" w:hAnsi="Arial"/>
                <w:sz w:val="17"/>
                <w:szCs w:val="17"/>
                <w:color w:val="auto"/>
              </w:rPr>
              <w:t>continuing operations</w:t>
            </w: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(104.1)%</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11.4 %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12.6 %</w:t>
            </w:r>
          </w:p>
        </w:tc>
      </w:tr>
      <w:tr>
        <w:trPr>
          <w:trHeight w:val="222"/>
        </w:trPr>
        <w:tc>
          <w:tcPr>
            <w:tcW w:w="348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800" w:type="dxa"/>
            <w:vAlign w:val="bottom"/>
          </w:tcPr>
          <w:p>
            <w:pPr>
              <w:jc w:val="right"/>
              <w:spacing w:after="0"/>
              <w:rPr>
                <w:sz w:val="20"/>
                <w:szCs w:val="20"/>
                <w:color w:val="auto"/>
              </w:rPr>
            </w:pPr>
            <w:r>
              <w:rPr>
                <w:rFonts w:ascii="Arial" w:cs="Arial" w:eastAsia="Arial" w:hAnsi="Arial"/>
                <w:sz w:val="17"/>
                <w:szCs w:val="17"/>
                <w:color w:val="auto"/>
              </w:rPr>
              <w:t>(121.2)%</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6.2 %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13.9 %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120" w:lineRule="exact"/>
        <w:rPr>
          <w:sz w:val="20"/>
          <w:szCs w:val="20"/>
          <w:color w:val="auto"/>
        </w:rPr>
      </w:pPr>
    </w:p>
    <w:p>
      <w:pPr>
        <w:ind w:left="440" w:right="20" w:hanging="329"/>
        <w:spacing w:after="0" w:line="22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40" w:top="141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36" w:lineRule="exact"/>
        <w:rPr>
          <w:sz w:val="20"/>
          <w:szCs w:val="20"/>
          <w:color w:val="auto"/>
        </w:rPr>
      </w:pPr>
    </w:p>
    <w:p>
      <w:pPr>
        <w:ind w:right="5260"/>
        <w:spacing w:after="0" w:line="306"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382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Twelve Months Ended December 31,</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86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553"/>
              <w:spacing w:after="0" w:line="216" w:lineRule="exact"/>
              <w:rPr>
                <w:sz w:val="20"/>
                <w:szCs w:val="20"/>
                <w:color w:val="auto"/>
              </w:rPr>
            </w:pPr>
            <w:r>
              <w:rPr>
                <w:rFonts w:ascii="Arial" w:cs="Arial" w:eastAsia="Arial" w:hAnsi="Arial"/>
                <w:sz w:val="17"/>
                <w:szCs w:val="17"/>
                <w:b w:val="1"/>
                <w:bCs w:val="1"/>
                <w:color w:val="auto"/>
              </w:rPr>
              <w:t xml:space="preserve">2020 </w:t>
            </w:r>
            <w:r>
              <w:rPr>
                <w:rFonts w:ascii="Arial" w:cs="Arial" w:eastAsia="Arial" w:hAnsi="Arial"/>
                <w:sz w:val="22"/>
                <w:szCs w:val="22"/>
                <w:b w:val="1"/>
                <w:bCs w:val="1"/>
                <w:color w:val="auto"/>
                <w:vertAlign w:val="superscript"/>
              </w:rPr>
              <w:t>(1)</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7"/>
                <w:szCs w:val="17"/>
                <w:color w:val="auto"/>
              </w:rPr>
              <w:t>Net sales</w:t>
            </w:r>
          </w:p>
        </w:tc>
        <w:tc>
          <w:tcPr>
            <w:tcW w:w="1860" w:type="dxa"/>
            <w:vAlign w:val="bottom"/>
          </w:tcPr>
          <w:p>
            <w:pPr>
              <w:jc w:val="right"/>
              <w:spacing w:after="0"/>
              <w:rPr>
                <w:sz w:val="20"/>
                <w:szCs w:val="20"/>
                <w:color w:val="auto"/>
              </w:rPr>
            </w:pPr>
            <w:r>
              <w:rPr>
                <w:rFonts w:ascii="Arial" w:cs="Arial" w:eastAsia="Arial" w:hAnsi="Arial"/>
                <w:sz w:val="17"/>
                <w:szCs w:val="17"/>
                <w:color w:val="auto"/>
              </w:rPr>
              <w:t>$1,035.4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$934.2</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7"/>
                <w:szCs w:val="17"/>
                <w:color w:val="auto"/>
              </w:rPr>
              <w:t>Cost of sales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329.4</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339.5</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tcPr>
          <w:p>
            <w:pPr>
              <w:ind w:left="100"/>
              <w:spacing w:after="0"/>
              <w:rPr>
                <w:sz w:val="20"/>
                <w:szCs w:val="20"/>
                <w:color w:val="auto"/>
              </w:rPr>
            </w:pPr>
            <w:r>
              <w:rPr>
                <w:rFonts w:ascii="Arial" w:cs="Arial" w:eastAsia="Arial" w:hAnsi="Arial"/>
                <w:sz w:val="17"/>
                <w:szCs w:val="17"/>
                <w:color w:val="auto"/>
              </w:rPr>
              <w:t>Gross profit</w:t>
            </w:r>
          </w:p>
        </w:tc>
        <w:tc>
          <w:tcPr>
            <w:tcW w:w="1860" w:type="dxa"/>
            <w:vAlign w:val="bottom"/>
          </w:tcPr>
          <w:p>
            <w:pPr>
              <w:jc w:val="right"/>
              <w:spacing w:after="0"/>
              <w:rPr>
                <w:sz w:val="20"/>
                <w:szCs w:val="20"/>
                <w:color w:val="auto"/>
              </w:rPr>
            </w:pPr>
            <w:r>
              <w:rPr>
                <w:rFonts w:ascii="Arial" w:cs="Arial" w:eastAsia="Arial" w:hAnsi="Arial"/>
                <w:sz w:val="17"/>
                <w:szCs w:val="17"/>
                <w:color w:val="auto"/>
              </w:rPr>
              <w:t>706.0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594.8</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18.7 %</w:t>
            </w:r>
          </w:p>
        </w:tc>
        <w:tc>
          <w:tcPr>
            <w:tcW w:w="0" w:type="dxa"/>
            <w:vAlign w:val="bottom"/>
          </w:tcPr>
          <w:p>
            <w:pPr>
              <w:spacing w:after="0"/>
              <w:rPr>
                <w:sz w:val="1"/>
                <w:szCs w:val="1"/>
                <w:color w:val="auto"/>
              </w:rPr>
            </w:pPr>
          </w:p>
        </w:tc>
      </w:tr>
      <w:tr>
        <w:trPr>
          <w:trHeight w:val="202"/>
        </w:trPr>
        <w:tc>
          <w:tcPr>
            <w:tcW w:w="5420" w:type="dxa"/>
            <w:vAlign w:val="bottom"/>
          </w:tcPr>
          <w:p>
            <w:pPr>
              <w:spacing w:after="0"/>
              <w:rPr>
                <w:sz w:val="20"/>
                <w:szCs w:val="20"/>
                <w:color w:val="auto"/>
              </w:rPr>
            </w:pPr>
            <w:r>
              <w:rPr>
                <w:rFonts w:ascii="Arial" w:cs="Arial" w:eastAsia="Arial" w:hAnsi="Arial"/>
                <w:sz w:val="17"/>
                <w:szCs w:val="17"/>
                <w:color w:val="auto"/>
              </w:rPr>
              <w:t>Operating expenses:</w:t>
            </w: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Selling, general and administrative</w:t>
            </w:r>
          </w:p>
        </w:tc>
        <w:tc>
          <w:tcPr>
            <w:tcW w:w="1860" w:type="dxa"/>
            <w:vAlign w:val="bottom"/>
          </w:tcPr>
          <w:p>
            <w:pPr>
              <w:jc w:val="right"/>
              <w:spacing w:after="0"/>
              <w:rPr>
                <w:sz w:val="20"/>
                <w:szCs w:val="20"/>
                <w:color w:val="auto"/>
              </w:rPr>
            </w:pPr>
            <w:r>
              <w:rPr>
                <w:rFonts w:ascii="Arial" w:cs="Arial" w:eastAsia="Arial" w:hAnsi="Arial"/>
                <w:sz w:val="17"/>
                <w:szCs w:val="17"/>
                <w:color w:val="auto"/>
              </w:rPr>
              <w:t>471.9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446.6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860" w:type="dxa"/>
            <w:vAlign w:val="bottom"/>
          </w:tcPr>
          <w:p>
            <w:pPr>
              <w:jc w:val="right"/>
              <w:spacing w:after="0"/>
              <w:rPr>
                <w:sz w:val="20"/>
                <w:szCs w:val="20"/>
                <w:color w:val="auto"/>
              </w:rPr>
            </w:pPr>
            <w:r>
              <w:rPr>
                <w:rFonts w:ascii="Arial" w:cs="Arial" w:eastAsia="Arial" w:hAnsi="Arial"/>
                <w:sz w:val="17"/>
                <w:szCs w:val="17"/>
                <w:color w:val="auto"/>
              </w:rPr>
              <w:t>183.4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Impairment of disposal group</w:t>
            </w:r>
          </w:p>
        </w:tc>
        <w:tc>
          <w:tcPr>
            <w:tcW w:w="1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180.2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Impairment of goodwill</w:t>
            </w:r>
          </w:p>
        </w:tc>
        <w:tc>
          <w:tcPr>
            <w:tcW w:w="1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Impairment of long-lived assets</w:t>
            </w:r>
          </w:p>
        </w:tc>
        <w:tc>
          <w:tcPr>
            <w:tcW w:w="1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7"/>
                <w:szCs w:val="17"/>
                <w:color w:val="auto"/>
              </w:rPr>
              <w:t>Other operating expenses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Operating loss from continuing operations</w:t>
            </w:r>
          </w:p>
        </w:tc>
        <w:tc>
          <w:tcPr>
            <w:tcW w:w="18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(273.9)</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(99.7)%</w:t>
            </w:r>
          </w:p>
        </w:tc>
        <w:tc>
          <w:tcPr>
            <w:tcW w:w="0" w:type="dxa"/>
            <w:vAlign w:val="bottom"/>
          </w:tcPr>
          <w:p>
            <w:pPr>
              <w:spacing w:after="0"/>
              <w:rPr>
                <w:sz w:val="1"/>
                <w:szCs w:val="1"/>
                <w:color w:val="auto"/>
              </w:rPr>
            </w:pPr>
          </w:p>
        </w:tc>
      </w:tr>
      <w:tr>
        <w:trPr>
          <w:trHeight w:val="215"/>
        </w:trPr>
        <w:tc>
          <w:tcPr>
            <w:tcW w:w="5420" w:type="dxa"/>
            <w:vAlign w:val="bottom"/>
          </w:tcPr>
          <w:p>
            <w:pPr>
              <w:ind w:left="100"/>
              <w:spacing w:after="0"/>
              <w:rPr>
                <w:sz w:val="20"/>
                <w:szCs w:val="20"/>
                <w:color w:val="auto"/>
              </w:rPr>
            </w:pPr>
            <w:r>
              <w:rPr>
                <w:rFonts w:ascii="Arial" w:cs="Arial" w:eastAsia="Arial" w:hAnsi="Arial"/>
                <w:sz w:val="17"/>
                <w:szCs w:val="17"/>
                <w:color w:val="auto"/>
              </w:rPr>
              <w:t>Interest expense, net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Loss on debt extinguishment</w:t>
            </w:r>
          </w:p>
        </w:tc>
        <w:tc>
          <w:tcPr>
            <w:tcW w:w="186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7"/>
                <w:szCs w:val="17"/>
                <w:color w:val="auto"/>
              </w:rPr>
              <w:t>Foreign exchange and other gains/(losses)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Loss from continuing operations before tax</w:t>
            </w:r>
          </w:p>
        </w:tc>
        <w:tc>
          <w:tcPr>
            <w:tcW w:w="1860" w:type="dxa"/>
            <w:vAlign w:val="bottom"/>
          </w:tcPr>
          <w:p>
            <w:pPr>
              <w:jc w:val="right"/>
              <w:spacing w:after="0"/>
              <w:rPr>
                <w:sz w:val="20"/>
                <w:szCs w:val="20"/>
                <w:color w:val="auto"/>
              </w:rPr>
            </w:pPr>
            <w:r>
              <w:rPr>
                <w:rFonts w:ascii="Arial" w:cs="Arial" w:eastAsia="Arial" w:hAnsi="Arial"/>
                <w:sz w:val="17"/>
                <w:szCs w:val="17"/>
                <w:color w:val="auto"/>
              </w:rPr>
              <w:t>(124.5)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(348.0)</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15"/>
        </w:trPr>
        <w:tc>
          <w:tcPr>
            <w:tcW w:w="5420" w:type="dxa"/>
            <w:vAlign w:val="bottom"/>
          </w:tcPr>
          <w:p>
            <w:pPr>
              <w:ind w:left="100"/>
              <w:spacing w:after="0"/>
              <w:rPr>
                <w:sz w:val="20"/>
                <w:szCs w:val="20"/>
                <w:color w:val="auto"/>
              </w:rPr>
            </w:pPr>
            <w:r>
              <w:rPr>
                <w:rFonts w:ascii="Arial" w:cs="Arial" w:eastAsia="Arial" w:hAnsi="Arial"/>
                <w:sz w:val="17"/>
                <w:szCs w:val="17"/>
                <w:color w:val="auto"/>
              </w:rPr>
              <w:t>Income tax expense (benefit)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7"/>
                <w:szCs w:val="17"/>
                <w:color w:val="auto"/>
              </w:rPr>
              <w:t>Losses from equity method investments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Net loss from continuing operations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(347.3)</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Net loss from discontinued operations, net of tax</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Net loss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($348.8)</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color w:val="auto"/>
              </w:rPr>
              <w:t>Basic loss per share:</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2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color w:val="auto"/>
              </w:rPr>
              <w:t>Diluted loss per share:</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2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2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Basic</w:t>
            </w:r>
          </w:p>
        </w:tc>
        <w:tc>
          <w:tcPr>
            <w:tcW w:w="186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100"/>
              <w:spacing w:after="0"/>
              <w:rPr>
                <w:sz w:val="20"/>
                <w:szCs w:val="20"/>
                <w:color w:val="auto"/>
              </w:rPr>
            </w:pPr>
            <w:r>
              <w:rPr>
                <w:rFonts w:ascii="Arial" w:cs="Arial" w:eastAsia="Arial" w:hAnsi="Arial"/>
                <w:sz w:val="17"/>
                <w:szCs w:val="17"/>
                <w:color w:val="auto"/>
              </w:rPr>
              <w:t>Diluted</w:t>
            </w:r>
          </w:p>
        </w:tc>
        <w:tc>
          <w:tcPr>
            <w:tcW w:w="186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0" w:hanging="98"/>
        <w:spacing w:after="0"/>
        <w:tabs>
          <w:tab w:leader="none" w:pos="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143" w:lineRule="exact"/>
        <w:rPr>
          <w:rFonts w:ascii="Arial" w:cs="Arial" w:eastAsia="Arial" w:hAnsi="Arial"/>
          <w:sz w:val="16"/>
          <w:szCs w:val="16"/>
          <w:color w:val="auto"/>
        </w:rPr>
      </w:pPr>
    </w:p>
    <w:p>
      <w:pPr>
        <w:ind w:left="480" w:hanging="356"/>
        <w:spacing w:after="0"/>
        <w:tabs>
          <w:tab w:leader="none" w:pos="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condensed consolidated statement of income for the twelve months ended December 31, 2020 has been revised.</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40" w:top="141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2"/>
        </w:trPr>
        <w:tc>
          <w:tcPr>
            <w:tcW w:w="712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6040" w:type="dxa"/>
            <w:vAlign w:val="bottom"/>
          </w:tcPr>
          <w:p>
            <w:pPr>
              <w:spacing w:after="0"/>
              <w:rPr>
                <w:sz w:val="24"/>
                <w:szCs w:val="24"/>
                <w:color w:val="auto"/>
              </w:rPr>
            </w:pPr>
          </w:p>
        </w:tc>
        <w:tc>
          <w:tcPr>
            <w:tcW w:w="3620" w:type="dxa"/>
            <w:vAlign w:val="bottom"/>
            <w:gridSpan w:val="5"/>
          </w:tcPr>
          <w:p>
            <w:pPr>
              <w:ind w:left="260"/>
              <w:spacing w:after="0"/>
              <w:rPr>
                <w:sz w:val="20"/>
                <w:szCs w:val="20"/>
                <w:color w:val="auto"/>
              </w:rPr>
            </w:pPr>
            <w:r>
              <w:rPr>
                <w:rFonts w:ascii="Arial" w:cs="Arial" w:eastAsia="Arial" w:hAnsi="Arial"/>
                <w:sz w:val="17"/>
                <w:szCs w:val="17"/>
                <w:b w:val="1"/>
                <w:bCs w:val="1"/>
                <w:color w:val="auto"/>
              </w:rPr>
              <w:t>Twelve Months Ended December 31,</w:t>
            </w:r>
          </w:p>
        </w:tc>
        <w:tc>
          <w:tcPr>
            <w:tcW w:w="1560" w:type="dxa"/>
            <w:vAlign w:val="bottom"/>
          </w:tcPr>
          <w:p>
            <w:pPr>
              <w:spacing w:after="0"/>
              <w:rPr>
                <w:sz w:val="24"/>
                <w:szCs w:val="24"/>
                <w:color w:val="auto"/>
              </w:rPr>
            </w:pPr>
          </w:p>
        </w:tc>
      </w:tr>
      <w:tr>
        <w:trPr>
          <w:trHeight w:val="216"/>
        </w:trPr>
        <w:tc>
          <w:tcPr>
            <w:tcW w:w="60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173"/>
              <w:spacing w:after="0" w:line="216" w:lineRule="exact"/>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2"/>
                <w:szCs w:val="22"/>
                <w:b w:val="1"/>
                <w:bCs w:val="1"/>
                <w:color w:val="auto"/>
                <w:vertAlign w:val="superscript"/>
              </w:rPr>
              <w:t>(1)</w:t>
            </w:r>
          </w:p>
        </w:tc>
      </w:tr>
      <w:tr>
        <w:trPr>
          <w:trHeight w:val="218"/>
        </w:trPr>
        <w:tc>
          <w:tcPr>
            <w:tcW w:w="712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SG&amp;A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w w:val="99"/>
              </w:rPr>
              <w:t>$397.8</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$368.8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7.9 %</w:t>
            </w:r>
          </w:p>
        </w:tc>
      </w:tr>
      <w:tr>
        <w:trPr>
          <w:trHeight w:val="222"/>
        </w:trPr>
        <w:tc>
          <w:tcPr>
            <w:tcW w:w="7120" w:type="dxa"/>
            <w:vAlign w:val="bottom"/>
            <w:gridSpan w:val="2"/>
          </w:tcPr>
          <w:p>
            <w:pPr>
              <w:spacing w:after="0" w:line="223"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163.7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150.9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8.5 %</w:t>
            </w:r>
          </w:p>
        </w:tc>
      </w:tr>
      <w:tr>
        <w:trPr>
          <w:trHeight w:val="222"/>
        </w:trPr>
        <w:tc>
          <w:tcPr>
            <w:tcW w:w="7120" w:type="dxa"/>
            <w:vAlign w:val="bottom"/>
            <w:gridSpan w:val="2"/>
          </w:tcPr>
          <w:p>
            <w:pPr>
              <w:spacing w:after="0" w:line="223" w:lineRule="exact"/>
              <w:rPr>
                <w:sz w:val="20"/>
                <w:szCs w:val="20"/>
                <w:color w:val="auto"/>
              </w:rPr>
            </w:pPr>
            <w:r>
              <w:rPr>
                <w:rFonts w:ascii="Arial" w:cs="Arial" w:eastAsia="Arial" w:hAnsi="Arial"/>
                <w:sz w:val="17"/>
                <w:szCs w:val="17"/>
                <w:color w:val="auto"/>
              </w:rPr>
              <w:t xml:space="preserve">Adjusted operating income from continuing operations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154.8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93.5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65.6 %</w:t>
            </w:r>
          </w:p>
        </w:tc>
      </w:tr>
      <w:tr>
        <w:trPr>
          <w:trHeight w:val="222"/>
        </w:trPr>
        <w:tc>
          <w:tcPr>
            <w:tcW w:w="7120" w:type="dxa"/>
            <w:vAlign w:val="bottom"/>
            <w:gridSpan w:val="2"/>
          </w:tcPr>
          <w:p>
            <w:pPr>
              <w:spacing w:after="0" w:line="223" w:lineRule="exact"/>
              <w:rPr>
                <w:sz w:val="20"/>
                <w:szCs w:val="20"/>
                <w:color w:val="auto"/>
              </w:rPr>
            </w:pPr>
            <w:r>
              <w:rPr>
                <w:rFonts w:ascii="Arial" w:cs="Arial" w:eastAsia="Arial" w:hAnsi="Arial"/>
                <w:sz w:val="17"/>
                <w:szCs w:val="17"/>
                <w:color w:val="auto"/>
              </w:rPr>
              <w:t xml:space="preserve">Adjusted net income from continuing operations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106.7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59.0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80.8 %</w:t>
            </w:r>
          </w:p>
        </w:tc>
      </w:tr>
      <w:tr>
        <w:trPr>
          <w:trHeight w:val="290"/>
        </w:trPr>
        <w:tc>
          <w:tcPr>
            <w:tcW w:w="712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from continuing operations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71.3 %</w:t>
            </w:r>
          </w:p>
        </w:tc>
      </w:tr>
    </w:tbl>
    <w:p>
      <w:pPr>
        <w:spacing w:after="0" w:line="50" w:lineRule="exact"/>
        <w:rPr>
          <w:sz w:val="20"/>
          <w:szCs w:val="20"/>
          <w:color w:val="auto"/>
        </w:rPr>
      </w:pPr>
    </w:p>
    <w:p>
      <w:pPr>
        <w:ind w:left="480" w:right="20" w:hanging="356"/>
        <w:spacing w:after="0" w:line="225"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sales, except for income tax rate)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4320" w:type="dxa"/>
            <w:vAlign w:val="bottom"/>
            <w:gridSpan w:val="5"/>
          </w:tcPr>
          <w:p>
            <w:pPr>
              <w:ind w:left="340"/>
              <w:spacing w:after="0"/>
              <w:rPr>
                <w:sz w:val="20"/>
                <w:szCs w:val="20"/>
                <w:color w:val="auto"/>
              </w:rPr>
            </w:pPr>
            <w:r>
              <w:rPr>
                <w:rFonts w:ascii="Arial" w:cs="Arial" w:eastAsia="Arial" w:hAnsi="Arial"/>
                <w:sz w:val="17"/>
                <w:szCs w:val="17"/>
                <w:b w:val="1"/>
                <w:bCs w:val="1"/>
                <w:color w:val="auto"/>
              </w:rPr>
              <w:t>GAAP Twelve Months Ended December 31,</w:t>
            </w:r>
          </w:p>
        </w:tc>
        <w:tc>
          <w:tcPr>
            <w:tcW w:w="4700" w:type="dxa"/>
            <w:vAlign w:val="bottom"/>
            <w:gridSpan w:val="3"/>
          </w:tcPr>
          <w:p>
            <w:pPr>
              <w:jc w:val="right"/>
              <w:ind w:right="273"/>
              <w:spacing w:after="0"/>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Twelve Months Ended December 31,</w:t>
            </w:r>
          </w:p>
        </w:tc>
      </w:tr>
      <w:tr>
        <w:trPr>
          <w:trHeight w:val="216"/>
        </w:trPr>
        <w:tc>
          <w:tcPr>
            <w:tcW w:w="22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30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7"/>
                <w:szCs w:val="17"/>
                <w:b w:val="1"/>
                <w:bCs w:val="1"/>
                <w:color w:val="auto"/>
              </w:rPr>
              <w:t>2020</w:t>
            </w:r>
          </w:p>
        </w:tc>
      </w:tr>
      <w:tr>
        <w:trPr>
          <w:trHeight w:val="215"/>
        </w:trPr>
        <w:tc>
          <w:tcPr>
            <w:tcW w:w="352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720" w:type="dxa"/>
            <w:vAlign w:val="bottom"/>
          </w:tcPr>
          <w:p>
            <w:pPr>
              <w:jc w:val="right"/>
              <w:spacing w:after="0"/>
              <w:rPr>
                <w:sz w:val="20"/>
                <w:szCs w:val="20"/>
                <w:color w:val="auto"/>
              </w:rPr>
            </w:pPr>
            <w:r>
              <w:rPr>
                <w:rFonts w:ascii="Arial" w:cs="Arial" w:eastAsia="Arial" w:hAnsi="Arial"/>
                <w:sz w:val="17"/>
                <w:szCs w:val="17"/>
                <w:color w:val="auto"/>
              </w:rPr>
              <w:t>68.2 %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63.7 %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69.3 %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65.6 %</w:t>
            </w:r>
          </w:p>
        </w:tc>
      </w:tr>
      <w:tr>
        <w:trPr>
          <w:trHeight w:val="222"/>
        </w:trPr>
        <w:tc>
          <w:tcPr>
            <w:tcW w:w="3520" w:type="dxa"/>
            <w:vAlign w:val="bottom"/>
            <w:gridSpan w:val="2"/>
          </w:tcPr>
          <w:p>
            <w:pPr>
              <w:spacing w:after="0"/>
              <w:rPr>
                <w:sz w:val="20"/>
                <w:szCs w:val="20"/>
                <w:color w:val="auto"/>
              </w:rPr>
            </w:pPr>
            <w:r>
              <w:rPr>
                <w:rFonts w:ascii="Arial" w:cs="Arial" w:eastAsia="Arial" w:hAnsi="Arial"/>
                <w:sz w:val="17"/>
                <w:szCs w:val="17"/>
                <w:color w:val="auto"/>
              </w:rPr>
              <w:t>SG&amp;A</w:t>
            </w:r>
          </w:p>
        </w:tc>
        <w:tc>
          <w:tcPr>
            <w:tcW w:w="720" w:type="dxa"/>
            <w:vAlign w:val="bottom"/>
          </w:tcPr>
          <w:p>
            <w:pPr>
              <w:jc w:val="right"/>
              <w:spacing w:after="0"/>
              <w:rPr>
                <w:sz w:val="20"/>
                <w:szCs w:val="20"/>
                <w:color w:val="auto"/>
              </w:rPr>
            </w:pPr>
            <w:r>
              <w:rPr>
                <w:rFonts w:ascii="Arial" w:cs="Arial" w:eastAsia="Arial" w:hAnsi="Arial"/>
                <w:sz w:val="17"/>
                <w:szCs w:val="17"/>
                <w:color w:val="auto"/>
              </w:rPr>
              <w:t>45.6 %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47.8 %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38.4 %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39.5 %</w:t>
            </w:r>
          </w:p>
        </w:tc>
      </w:tr>
      <w:tr>
        <w:trPr>
          <w:trHeight w:val="222"/>
        </w:trPr>
        <w:tc>
          <w:tcPr>
            <w:tcW w:w="3520" w:type="dxa"/>
            <w:vAlign w:val="bottom"/>
            <w:gridSpan w:val="2"/>
          </w:tcPr>
          <w:p>
            <w:pPr>
              <w:spacing w:after="0"/>
              <w:rPr>
                <w:sz w:val="20"/>
                <w:szCs w:val="20"/>
                <w:color w:val="auto"/>
              </w:rPr>
            </w:pPr>
            <w:r>
              <w:rPr>
                <w:rFonts w:ascii="Arial" w:cs="Arial" w:eastAsia="Arial" w:hAnsi="Arial"/>
                <w:sz w:val="17"/>
                <w:szCs w:val="17"/>
                <w:color w:val="auto"/>
              </w:rPr>
              <w:t>R&amp;D</w:t>
            </w:r>
          </w:p>
        </w:tc>
        <w:tc>
          <w:tcPr>
            <w:tcW w:w="720" w:type="dxa"/>
            <w:vAlign w:val="bottom"/>
          </w:tcPr>
          <w:p>
            <w:pPr>
              <w:jc w:val="right"/>
              <w:spacing w:after="0"/>
              <w:rPr>
                <w:sz w:val="20"/>
                <w:szCs w:val="20"/>
                <w:color w:val="auto"/>
              </w:rPr>
            </w:pPr>
            <w:r>
              <w:rPr>
                <w:rFonts w:ascii="Arial" w:cs="Arial" w:eastAsia="Arial" w:hAnsi="Arial"/>
                <w:sz w:val="17"/>
                <w:szCs w:val="17"/>
                <w:color w:val="auto"/>
              </w:rPr>
              <w:t>17.7 %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16.4 %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15.8 %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16.2 %</w:t>
            </w:r>
          </w:p>
        </w:tc>
      </w:tr>
      <w:tr>
        <w:trPr>
          <w:trHeight w:val="183"/>
        </w:trPr>
        <w:tc>
          <w:tcPr>
            <w:tcW w:w="3520" w:type="dxa"/>
            <w:vAlign w:val="bottom"/>
            <w:gridSpan w:val="2"/>
          </w:tcPr>
          <w:p>
            <w:pPr>
              <w:spacing w:after="0" w:line="183" w:lineRule="exact"/>
              <w:rPr>
                <w:sz w:val="20"/>
                <w:szCs w:val="20"/>
                <w:color w:val="auto"/>
              </w:rPr>
            </w:pPr>
            <w:r>
              <w:rPr>
                <w:rFonts w:ascii="Arial" w:cs="Arial" w:eastAsia="Arial" w:hAnsi="Arial"/>
                <w:sz w:val="17"/>
                <w:szCs w:val="17"/>
                <w:color w:val="auto"/>
              </w:rPr>
              <w:t>Operating (loss) income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10"/>
        </w:trPr>
        <w:tc>
          <w:tcPr>
            <w:tcW w:w="3520" w:type="dxa"/>
            <w:vAlign w:val="bottom"/>
            <w:gridSpan w:val="2"/>
          </w:tcPr>
          <w:p>
            <w:pPr>
              <w:spacing w:after="0"/>
              <w:rPr>
                <w:sz w:val="20"/>
                <w:szCs w:val="20"/>
                <w:color w:val="auto"/>
              </w:rPr>
            </w:pPr>
            <w:r>
              <w:rPr>
                <w:rFonts w:ascii="Arial" w:cs="Arial" w:eastAsia="Arial" w:hAnsi="Arial"/>
                <w:sz w:val="17"/>
                <w:szCs w:val="17"/>
                <w:color w:val="auto"/>
              </w:rPr>
              <w:t>from continuing operations</w:t>
            </w:r>
          </w:p>
        </w:tc>
        <w:tc>
          <w:tcPr>
            <w:tcW w:w="7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15.0 %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183"/>
        </w:trPr>
        <w:tc>
          <w:tcPr>
            <w:tcW w:w="3520" w:type="dxa"/>
            <w:vAlign w:val="bottom"/>
            <w:gridSpan w:val="2"/>
          </w:tcPr>
          <w:p>
            <w:pPr>
              <w:spacing w:after="0" w:line="183" w:lineRule="exact"/>
              <w:rPr>
                <w:sz w:val="20"/>
                <w:szCs w:val="20"/>
                <w:color w:val="auto"/>
              </w:rPr>
            </w:pPr>
            <w:r>
              <w:rPr>
                <w:rFonts w:ascii="Arial" w:cs="Arial" w:eastAsia="Arial" w:hAnsi="Arial"/>
                <w:sz w:val="17"/>
                <w:szCs w:val="17"/>
                <w:color w:val="auto"/>
              </w:rPr>
              <w:t>Net (loss) income from</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10"/>
        </w:trPr>
        <w:tc>
          <w:tcPr>
            <w:tcW w:w="3520" w:type="dxa"/>
            <w:vAlign w:val="bottom"/>
            <w:gridSpan w:val="2"/>
          </w:tcPr>
          <w:p>
            <w:pPr>
              <w:spacing w:after="0"/>
              <w:rPr>
                <w:sz w:val="20"/>
                <w:szCs w:val="20"/>
                <w:color w:val="auto"/>
              </w:rPr>
            </w:pPr>
            <w:r>
              <w:rPr>
                <w:rFonts w:ascii="Arial" w:cs="Arial" w:eastAsia="Arial" w:hAnsi="Arial"/>
                <w:sz w:val="17"/>
                <w:szCs w:val="17"/>
                <w:color w:val="auto"/>
              </w:rPr>
              <w:t>continuing operations</w:t>
            </w:r>
          </w:p>
        </w:tc>
        <w:tc>
          <w:tcPr>
            <w:tcW w:w="720" w:type="dxa"/>
            <w:vAlign w:val="bottom"/>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10.3 %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6.3 %</w:t>
            </w:r>
          </w:p>
        </w:tc>
      </w:tr>
      <w:tr>
        <w:trPr>
          <w:trHeight w:val="222"/>
        </w:trPr>
        <w:tc>
          <w:tcPr>
            <w:tcW w:w="352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72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12.0 %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1.4 %</w:t>
            </w:r>
          </w:p>
        </w:tc>
      </w:tr>
    </w:tbl>
    <w:p>
      <w:pPr>
        <w:spacing w:after="0" w:line="120" w:lineRule="exact"/>
        <w:rPr>
          <w:sz w:val="20"/>
          <w:szCs w:val="20"/>
          <w:color w:val="auto"/>
        </w:rPr>
      </w:pPr>
    </w:p>
    <w:p>
      <w:pPr>
        <w:ind w:left="440" w:right="20" w:hanging="329"/>
        <w:spacing w:after="0" w:line="225"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20"/>
          </w:cols>
          <w:pgMar w:left="340" w:top="1412"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3"/>
              <w:spacing w:after="0" w:line="131" w:lineRule="exact"/>
              <w:rPr>
                <w:sz w:val="20"/>
                <w:szCs w:val="20"/>
                <w:color w:val="auto"/>
              </w:rPr>
            </w:pPr>
            <w:r>
              <w:rPr>
                <w:rFonts w:ascii="Arial" w:cs="Arial" w:eastAsia="Arial" w:hAnsi="Arial"/>
                <w:sz w:val="12"/>
                <w:szCs w:val="12"/>
                <w:b w:val="1"/>
                <w:bCs w:val="1"/>
                <w:color w:val="auto"/>
                <w:w w:val="98"/>
              </w:rPr>
              <w:t>Depreciation</w:t>
            </w:r>
          </w:p>
        </w:tc>
        <w:tc>
          <w:tcPr>
            <w:tcW w:w="6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Certain Legal,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68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40" w:type="dxa"/>
            <w:vAlign w:val="bottom"/>
          </w:tcPr>
          <w:p>
            <w:pPr>
              <w:jc w:val="center"/>
              <w:ind w:right="33"/>
              <w:spacing w:after="0" w:line="118" w:lineRule="exact"/>
              <w:rPr>
                <w:sz w:val="20"/>
                <w:szCs w:val="20"/>
                <w:color w:val="auto"/>
              </w:rPr>
            </w:pPr>
            <w:r>
              <w:rPr>
                <w:rFonts w:ascii="Arial" w:cs="Arial" w:eastAsia="Arial" w:hAnsi="Arial"/>
                <w:sz w:val="12"/>
                <w:szCs w:val="12"/>
                <w:b w:val="1"/>
                <w:bCs w:val="1"/>
                <w:color w:val="auto"/>
                <w:w w:val="93"/>
              </w:rPr>
              <w:t>and</w:t>
            </w:r>
          </w:p>
        </w:tc>
        <w:tc>
          <w:tcPr>
            <w:tcW w:w="64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Heart</w:t>
            </w:r>
          </w:p>
        </w:tc>
        <w:tc>
          <w:tcPr>
            <w:tcW w:w="88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Contingent</w:t>
            </w: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1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tcPr>
          <w:p>
            <w:pPr>
              <w:jc w:val="center"/>
              <w:ind w:right="33"/>
              <w:spacing w:after="0" w:line="118" w:lineRule="exact"/>
              <w:rPr>
                <w:sz w:val="20"/>
                <w:szCs w:val="20"/>
                <w:color w:val="auto"/>
              </w:rPr>
            </w:pPr>
            <w:r>
              <w:rPr>
                <w:rFonts w:ascii="Arial" w:cs="Arial" w:eastAsia="Arial" w:hAnsi="Arial"/>
                <w:sz w:val="12"/>
                <w:szCs w:val="12"/>
                <w:b w:val="1"/>
                <w:bCs w:val="1"/>
                <w:color w:val="auto"/>
              </w:rPr>
              <w:t>Amortization</w:t>
            </w:r>
          </w:p>
        </w:tc>
        <w:tc>
          <w:tcPr>
            <w:tcW w:w="64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Remediation</w:t>
            </w:r>
          </w:p>
        </w:tc>
        <w:tc>
          <w:tcPr>
            <w:tcW w:w="920" w:type="dxa"/>
            <w:vAlign w:val="bottom"/>
            <w:vMerge w:val="continue"/>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Consideration</w:t>
            </w:r>
          </w:p>
        </w:tc>
        <w:tc>
          <w:tcPr>
            <w:tcW w:w="10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80" w:type="dxa"/>
            <w:vAlign w:val="bottom"/>
            <w:vMerge w:val="continue"/>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Financial</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ind w:right="73"/>
              <w:spacing w:after="0" w:line="118" w:lineRule="exact"/>
              <w:rPr>
                <w:sz w:val="20"/>
                <w:szCs w:val="20"/>
                <w:color w:val="auto"/>
              </w:rPr>
            </w:pPr>
            <w:r>
              <w:rPr>
                <w:rFonts w:ascii="Arial" w:cs="Arial" w:eastAsia="Arial" w:hAnsi="Arial"/>
                <w:sz w:val="12"/>
                <w:szCs w:val="12"/>
                <w:b w:val="1"/>
                <w:bCs w:val="1"/>
                <w:color w:val="auto"/>
                <w:w w:val="99"/>
              </w:rPr>
              <w:t>Expenses</w:t>
            </w:r>
          </w:p>
        </w:tc>
        <w:tc>
          <w:tcPr>
            <w:tcW w:w="640" w:type="dxa"/>
            <w:vAlign w:val="bottom"/>
          </w:tcPr>
          <w:p>
            <w:pPr>
              <w:jc w:val="right"/>
              <w:ind w:right="112"/>
              <w:spacing w:after="0" w:line="118" w:lineRule="exact"/>
              <w:rPr>
                <w:sz w:val="20"/>
                <w:szCs w:val="20"/>
                <w:color w:val="auto"/>
              </w:rPr>
            </w:pPr>
            <w:r>
              <w:rPr>
                <w:rFonts w:ascii="Arial" w:cs="Arial" w:eastAsia="Arial" w:hAnsi="Arial"/>
                <w:sz w:val="12"/>
                <w:szCs w:val="12"/>
                <w:b w:val="1"/>
                <w:bCs w:val="1"/>
                <w:color w:val="auto"/>
              </w:rPr>
              <w:t>Valves</w:t>
            </w:r>
          </w:p>
        </w:tc>
        <w:tc>
          <w:tcPr>
            <w:tcW w:w="88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Transactions</w:t>
            </w: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8"/>
              </w:rPr>
              <w:t>and Other</w:t>
            </w:r>
          </w:p>
        </w:tc>
        <w:tc>
          <w:tcPr>
            <w:tcW w:w="102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Adjustments</w:t>
            </w:r>
          </w:p>
        </w:tc>
        <w:tc>
          <w:tcPr>
            <w:tcW w:w="72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0"/>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95"/>
              </w:rPr>
              <w:t>(B)</w:t>
            </w: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2"/>
                <w:szCs w:val="12"/>
                <w:b w:val="1"/>
                <w:bCs w:val="1"/>
                <w:color w:val="auto"/>
              </w:rPr>
              <w:t>(C)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$68.4</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3"/>
              <w:spacing w:after="0"/>
              <w:rPr>
                <w:sz w:val="20"/>
                <w:szCs w:val="20"/>
                <w:color w:val="auto"/>
              </w:rPr>
            </w:pPr>
            <w:r>
              <w:rPr>
                <w:rFonts w:ascii="Arial" w:cs="Arial" w:eastAsia="Arial" w:hAnsi="Arial"/>
                <w:sz w:val="14"/>
                <w:szCs w:val="14"/>
                <w:color w:val="auto"/>
              </w:rPr>
              <w:t>($3.9)</w:t>
            </w: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($0.4)</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$18.0</w:t>
            </w: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660" w:type="dxa"/>
            <w:vAlign w:val="bottom"/>
          </w:tcPr>
          <w:p>
            <w:pPr>
              <w:jc w:val="right"/>
              <w:spacing w:after="0"/>
              <w:rPr>
                <w:sz w:val="20"/>
                <w:szCs w:val="20"/>
                <w:color w:val="auto"/>
              </w:rPr>
            </w:pPr>
            <w:r>
              <w:rPr>
                <w:rFonts w:ascii="Arial" w:cs="Arial" w:eastAsia="Arial" w:hAnsi="Arial"/>
                <w:sz w:val="14"/>
                <w:szCs w:val="14"/>
                <w:color w:val="auto"/>
              </w:rPr>
              <w:t>74.7 %</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1.4 %</w:t>
            </w: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880" w:type="dxa"/>
            <w:vAlign w:val="bottom"/>
          </w:tcPr>
          <w:p>
            <w:pPr>
              <w:jc w:val="right"/>
              <w:spacing w:after="0"/>
              <w:rPr>
                <w:sz w:val="20"/>
                <w:szCs w:val="20"/>
                <w:color w:val="auto"/>
              </w:rPr>
            </w:pPr>
            <w:r>
              <w:rPr>
                <w:rFonts w:ascii="Arial" w:cs="Arial" w:eastAsia="Arial" w:hAnsi="Arial"/>
                <w:sz w:val="14"/>
                <w:szCs w:val="14"/>
                <w:color w:val="auto"/>
              </w:rPr>
              <w:t>0.2 %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880" w:type="dxa"/>
            <w:vAlign w:val="bottom"/>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69.8 %</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line="146" w:lineRule="exact"/>
              <w:rPr>
                <w:sz w:val="20"/>
                <w:szCs w:val="20"/>
                <w:color w:val="auto"/>
              </w:rPr>
            </w:pPr>
            <w:r>
              <w:rPr>
                <w:rFonts w:ascii="Arial" w:cs="Arial" w:eastAsia="Arial" w:hAnsi="Arial"/>
                <w:sz w:val="14"/>
                <w:szCs w:val="14"/>
                <w:color w:val="auto"/>
              </w:rPr>
              <w:t>Selling, general and</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124.4</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color w:val="auto"/>
              </w:rPr>
              <w:t>(3.0)</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color w:val="auto"/>
              </w:rPr>
              <w:t>(6.9)</w:t>
            </w:r>
          </w:p>
        </w:tc>
        <w:tc>
          <w:tcPr>
            <w:tcW w:w="1020" w:type="dxa"/>
            <w:vAlign w:val="bottom"/>
            <w:vMerge w:val="restart"/>
          </w:tcPr>
          <w:p>
            <w:pPr>
              <w:jc w:val="right"/>
              <w:ind w:right="112"/>
              <w:spacing w:after="0"/>
              <w:rPr>
                <w:sz w:val="20"/>
                <w:szCs w:val="20"/>
                <w:color w:val="auto"/>
              </w:rPr>
            </w:pPr>
            <w:r>
              <w:rPr>
                <w:rFonts w:ascii="Arial" w:cs="Arial" w:eastAsia="Arial" w:hAnsi="Arial"/>
                <w:sz w:val="14"/>
                <w:szCs w:val="14"/>
                <w:color w:val="auto"/>
              </w:rPr>
              <w:t>(7.2)</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line="146" w:lineRule="exact"/>
              <w:rPr>
                <w:sz w:val="20"/>
                <w:szCs w:val="20"/>
                <w:color w:val="auto"/>
              </w:rPr>
            </w:pPr>
            <w:r>
              <w:rPr>
                <w:rFonts w:ascii="Arial" w:cs="Arial" w:eastAsia="Arial" w:hAnsi="Arial"/>
                <w:sz w:val="14"/>
                <w:szCs w:val="14"/>
                <w:color w:val="auto"/>
              </w:rPr>
              <w:t>Selling, general and</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20"/>
              <w:spacing w:after="0" w:line="131" w:lineRule="exact"/>
              <w:rPr>
                <w:sz w:val="20"/>
                <w:szCs w:val="20"/>
                <w:color w:val="auto"/>
              </w:rPr>
            </w:pPr>
            <w:r>
              <w:rPr>
                <w:rFonts w:ascii="Arial" w:cs="Arial" w:eastAsia="Arial" w:hAnsi="Arial"/>
                <w:sz w:val="14"/>
                <w:szCs w:val="14"/>
                <w:color w:val="auto"/>
              </w:rPr>
              <w:t>administrative as a</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46.1 %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(1.1)%</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44.1</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color w:val="auto"/>
              </w:rPr>
              <w:t>(0.9)</w:t>
            </w:r>
          </w:p>
        </w:tc>
        <w:tc>
          <w:tcPr>
            <w:tcW w:w="1020" w:type="dxa"/>
            <w:vAlign w:val="bottom"/>
            <w:vMerge w:val="restart"/>
          </w:tcPr>
          <w:p>
            <w:pPr>
              <w:jc w:val="right"/>
              <w:ind w:right="112"/>
              <w:spacing w:after="0"/>
              <w:rPr>
                <w:sz w:val="20"/>
                <w:szCs w:val="20"/>
                <w:color w:val="auto"/>
              </w:rPr>
            </w:pPr>
            <w:r>
              <w:rPr>
                <w:rFonts w:ascii="Arial" w:cs="Arial" w:eastAsia="Arial" w:hAnsi="Arial"/>
                <w:sz w:val="14"/>
                <w:szCs w:val="14"/>
                <w:color w:val="auto"/>
              </w:rPr>
              <w:t>(2.4)</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20"/>
              <w:spacing w:after="0" w:line="131" w:lineRule="exact"/>
              <w:rPr>
                <w:sz w:val="20"/>
                <w:szCs w:val="20"/>
                <w:color w:val="auto"/>
              </w:rPr>
            </w:pPr>
            <w:r>
              <w:rPr>
                <w:rFonts w:ascii="Arial" w:cs="Arial" w:eastAsia="Arial" w:hAnsi="Arial"/>
                <w:sz w:val="14"/>
                <w:szCs w:val="14"/>
                <w:color w:val="auto"/>
              </w:rPr>
              <w:t>development as a percent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16.3 %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8.4</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0.1</w:t>
            </w:r>
          </w:p>
        </w:tc>
        <w:tc>
          <w:tcPr>
            <w:tcW w:w="94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(2.6)</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(5.8)</w:t>
            </w:r>
          </w:p>
        </w:tc>
        <w:tc>
          <w:tcPr>
            <w:tcW w:w="10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tcPr>
          <w:p>
            <w:pPr>
              <w:ind w:left="560"/>
              <w:spacing w:after="0"/>
              <w:rPr>
                <w:sz w:val="20"/>
                <w:szCs w:val="20"/>
                <w:color w:val="auto"/>
              </w:rPr>
            </w:pPr>
            <w:r>
              <w:rPr>
                <w:rFonts w:ascii="Arial" w:cs="Arial" w:eastAsia="Arial" w:hAnsi="Arial"/>
                <w:sz w:val="14"/>
                <w:szCs w:val="14"/>
                <w:color w:val="auto"/>
              </w:rPr>
              <w:t>—</w:t>
            </w:r>
          </w:p>
        </w:tc>
        <w:tc>
          <w:tcPr>
            <w:tcW w:w="880" w:type="dxa"/>
            <w:vAlign w:val="bottom"/>
          </w:tcPr>
          <w:p>
            <w:pPr>
              <w:ind w:left="5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line="146" w:lineRule="exact"/>
              <w:rPr>
                <w:sz w:val="20"/>
                <w:szCs w:val="20"/>
                <w:color w:val="auto"/>
              </w:rPr>
            </w:pPr>
            <w:r>
              <w:rPr>
                <w:rFonts w:ascii="Arial" w:cs="Arial" w:eastAsia="Arial" w:hAnsi="Arial"/>
                <w:sz w:val="14"/>
                <w:szCs w:val="14"/>
                <w:color w:val="auto"/>
              </w:rPr>
              <w:t>Operating income from</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24.8</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(0.1)</w:t>
            </w: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color w:val="auto"/>
              </w:rPr>
              <w:t>6.8</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color w:val="auto"/>
              </w:rPr>
              <w:t>2.6</w:t>
            </w:r>
          </w:p>
        </w:tc>
        <w:tc>
          <w:tcPr>
            <w:tcW w:w="880" w:type="dxa"/>
            <w:vAlign w:val="bottom"/>
            <w:vMerge w:val="restart"/>
          </w:tcPr>
          <w:p>
            <w:pPr>
              <w:jc w:val="right"/>
              <w:ind w:right="132"/>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color w:val="auto"/>
              </w:rPr>
              <w:t>(4.3)</w:t>
            </w:r>
          </w:p>
        </w:tc>
        <w:tc>
          <w:tcPr>
            <w:tcW w:w="1020" w:type="dxa"/>
            <w:vAlign w:val="bottom"/>
            <w:vMerge w:val="restart"/>
          </w:tcPr>
          <w:p>
            <w:pPr>
              <w:jc w:val="right"/>
              <w:ind w:right="152"/>
              <w:spacing w:after="0"/>
              <w:rPr>
                <w:sz w:val="20"/>
                <w:szCs w:val="20"/>
                <w:color w:val="auto"/>
              </w:rPr>
            </w:pPr>
            <w:r>
              <w:rPr>
                <w:rFonts w:ascii="Arial" w:cs="Arial" w:eastAsia="Arial" w:hAnsi="Arial"/>
                <w:sz w:val="14"/>
                <w:szCs w:val="14"/>
                <w:color w:val="auto"/>
              </w:rPr>
              <w:t>10.0</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660" w:type="dxa"/>
            <w:vAlign w:val="bottom"/>
          </w:tcPr>
          <w:p>
            <w:pPr>
              <w:jc w:val="right"/>
              <w:spacing w:after="0"/>
              <w:rPr>
                <w:sz w:val="20"/>
                <w:szCs w:val="20"/>
                <w:color w:val="auto"/>
              </w:rPr>
            </w:pPr>
            <w:r>
              <w:rPr>
                <w:rFonts w:ascii="Arial" w:cs="Arial" w:eastAsia="Arial" w:hAnsi="Arial"/>
                <w:sz w:val="14"/>
                <w:szCs w:val="14"/>
                <w:color w:val="auto"/>
              </w:rPr>
              <w:t>9.2 %</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2.5 %</w:t>
            </w:r>
          </w:p>
        </w:tc>
        <w:tc>
          <w:tcPr>
            <w:tcW w:w="640" w:type="dxa"/>
            <w:vAlign w:val="bottom"/>
          </w:tcPr>
          <w:p>
            <w:pPr>
              <w:jc w:val="right"/>
              <w:spacing w:after="0"/>
              <w:rPr>
                <w:sz w:val="20"/>
                <w:szCs w:val="20"/>
                <w:color w:val="auto"/>
              </w:rPr>
            </w:pPr>
            <w:r>
              <w:rPr>
                <w:rFonts w:ascii="Arial" w:cs="Arial" w:eastAsia="Arial" w:hAnsi="Arial"/>
                <w:sz w:val="14"/>
                <w:szCs w:val="14"/>
                <w:color w:val="auto"/>
              </w:rPr>
              <w:t>1.0 %</w:t>
            </w:r>
          </w:p>
        </w:tc>
        <w:tc>
          <w:tcPr>
            <w:tcW w:w="880" w:type="dxa"/>
            <w:vAlign w:val="bottom"/>
          </w:tcPr>
          <w:p>
            <w:pPr>
              <w:jc w:val="right"/>
              <w:spacing w:after="0"/>
              <w:rPr>
                <w:sz w:val="20"/>
                <w:szCs w:val="20"/>
                <w:color w:val="auto"/>
              </w:rPr>
            </w:pPr>
            <w:r>
              <w:rPr>
                <w:rFonts w:ascii="Arial" w:cs="Arial" w:eastAsia="Arial" w:hAnsi="Arial"/>
                <w:sz w:val="14"/>
                <w:szCs w:val="14"/>
                <w:color w:val="auto"/>
              </w:rPr>
              <w:t>0.2 %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20" w:type="dxa"/>
            <w:vAlign w:val="bottom"/>
          </w:tcPr>
          <w:p>
            <w:pPr>
              <w:jc w:val="right"/>
              <w:spacing w:after="0"/>
              <w:rPr>
                <w:sz w:val="20"/>
                <w:szCs w:val="20"/>
                <w:color w:val="auto"/>
              </w:rPr>
            </w:pPr>
            <w:r>
              <w:rPr>
                <w:rFonts w:ascii="Arial" w:cs="Arial" w:eastAsia="Arial" w:hAnsi="Arial"/>
                <w:sz w:val="14"/>
                <w:szCs w:val="14"/>
                <w:color w:val="auto"/>
              </w:rPr>
              <w:t>3.7 %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880" w:type="dxa"/>
            <w:vAlign w:val="bottom"/>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2.8</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940" w:type="dxa"/>
            <w:vAlign w:val="bottom"/>
          </w:tcPr>
          <w:p>
            <w:pPr>
              <w:jc w:val="right"/>
              <w:ind w:right="173"/>
              <w:spacing w:after="0"/>
              <w:rPr>
                <w:sz w:val="20"/>
                <w:szCs w:val="20"/>
                <w:color w:val="auto"/>
              </w:rPr>
            </w:pPr>
            <w:r>
              <w:rPr>
                <w:rFonts w:ascii="Arial" w:cs="Arial" w:eastAsia="Arial" w:hAnsi="Arial"/>
                <w:sz w:val="14"/>
                <w:szCs w:val="14"/>
                <w:color w:val="auto"/>
              </w:rPr>
              <w:t>0.3</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0.1</w:t>
            </w:r>
          </w:p>
        </w:tc>
        <w:tc>
          <w:tcPr>
            <w:tcW w:w="920" w:type="dxa"/>
            <w:vAlign w:val="bottom"/>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0.7</w:t>
            </w:r>
          </w:p>
        </w:tc>
        <w:tc>
          <w:tcPr>
            <w:tcW w:w="10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2.2</w:t>
            </w:r>
          </w:p>
        </w:tc>
        <w:tc>
          <w:tcPr>
            <w:tcW w:w="880" w:type="dxa"/>
            <w:vAlign w:val="bottom"/>
          </w:tcPr>
          <w:p>
            <w:pPr>
              <w:ind w:left="5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line="146" w:lineRule="exact"/>
              <w:rPr>
                <w:sz w:val="20"/>
                <w:szCs w:val="20"/>
                <w:color w:val="auto"/>
              </w:rPr>
            </w:pPr>
            <w:r>
              <w:rPr>
                <w:rFonts w:ascii="Arial" w:cs="Arial" w:eastAsia="Arial" w:hAnsi="Arial"/>
                <w:sz w:val="14"/>
                <w:szCs w:val="14"/>
                <w:color w:val="auto"/>
              </w:rPr>
              <w:t>Net (loss) income from</w:t>
            </w: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color w:val="auto"/>
              </w:rPr>
              <w:t>(5.1)</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0.1</w:t>
            </w: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color w:val="auto"/>
              </w:rPr>
              <w:t>6.5</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color w:val="auto"/>
              </w:rPr>
              <w:t>3.6</w:t>
            </w:r>
          </w:p>
        </w:tc>
        <w:tc>
          <w:tcPr>
            <w:tcW w:w="880" w:type="dxa"/>
            <w:vAlign w:val="bottom"/>
            <w:vMerge w:val="restart"/>
          </w:tcPr>
          <w:p>
            <w:pPr>
              <w:jc w:val="right"/>
              <w:ind w:right="132"/>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19.0</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color w:val="auto"/>
              </w:rPr>
              <w:t>(5.0)</w:t>
            </w:r>
          </w:p>
        </w:tc>
        <w:tc>
          <w:tcPr>
            <w:tcW w:w="1020" w:type="dxa"/>
            <w:vAlign w:val="bottom"/>
            <w:vMerge w:val="restart"/>
          </w:tcPr>
          <w:p>
            <w:pPr>
              <w:jc w:val="right"/>
              <w:ind w:right="152"/>
              <w:spacing w:after="0"/>
              <w:rPr>
                <w:sz w:val="20"/>
                <w:szCs w:val="20"/>
                <w:color w:val="auto"/>
              </w:rPr>
            </w:pPr>
            <w:r>
              <w:rPr>
                <w:rFonts w:ascii="Arial" w:cs="Arial" w:eastAsia="Arial" w:hAnsi="Arial"/>
                <w:sz w:val="14"/>
                <w:szCs w:val="14"/>
                <w:color w:val="auto"/>
              </w:rPr>
              <w:t>10.0</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(2.2)</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3.6</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line="146" w:lineRule="exact"/>
              <w:rPr>
                <w:sz w:val="20"/>
                <w:szCs w:val="20"/>
                <w:color w:val="auto"/>
              </w:rPr>
            </w:pPr>
            <w:r>
              <w:rPr>
                <w:rFonts w:ascii="Arial" w:cs="Arial" w:eastAsia="Arial" w:hAnsi="Arial"/>
                <w:sz w:val="14"/>
                <w:szCs w:val="14"/>
                <w:color w:val="auto"/>
              </w:rPr>
              <w:t>Diluted EPS - Continuing</w:t>
            </w: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color w:val="auto"/>
              </w:rPr>
              <w:t>($0.10)</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color w:val="auto"/>
              </w:rPr>
              <w:t>$0.12</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color w:val="auto"/>
              </w:rPr>
              <w:t>$0.07</w:t>
            </w:r>
          </w:p>
        </w:tc>
        <w:tc>
          <w:tcPr>
            <w:tcW w:w="880" w:type="dxa"/>
            <w:vAlign w:val="bottom"/>
            <w:vMerge w:val="restart"/>
          </w:tcPr>
          <w:p>
            <w:pPr>
              <w:jc w:val="right"/>
              <w:ind w:right="132"/>
              <w:spacing w:after="0"/>
              <w:rPr>
                <w:sz w:val="20"/>
                <w:szCs w:val="20"/>
                <w:color w:val="auto"/>
              </w:rPr>
            </w:pPr>
            <w:r>
              <w:rPr>
                <w:rFonts w:ascii="Arial" w:cs="Arial" w:eastAsia="Arial" w:hAnsi="Arial"/>
                <w:sz w:val="14"/>
                <w:szCs w:val="14"/>
                <w:color w:val="auto"/>
              </w:rPr>
              <w:t>$0.01</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$0.35</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color w:val="auto"/>
              </w:rPr>
              <w:t>($0.09)</w:t>
            </w:r>
          </w:p>
        </w:tc>
        <w:tc>
          <w:tcPr>
            <w:tcW w:w="1020" w:type="dxa"/>
            <w:vAlign w:val="bottom"/>
            <w:vMerge w:val="restart"/>
          </w:tcPr>
          <w:p>
            <w:pPr>
              <w:jc w:val="right"/>
              <w:ind w:right="152"/>
              <w:spacing w:after="0"/>
              <w:rPr>
                <w:sz w:val="20"/>
                <w:szCs w:val="20"/>
                <w:color w:val="auto"/>
              </w:rPr>
            </w:pPr>
            <w:r>
              <w:rPr>
                <w:rFonts w:ascii="Arial" w:cs="Arial" w:eastAsia="Arial" w:hAnsi="Arial"/>
                <w:sz w:val="14"/>
                <w:szCs w:val="14"/>
                <w:color w:val="auto"/>
              </w:rPr>
              <w:t>$0.19</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($0.04)</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$0.07</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December 31, 2021 include:</w:t>
      </w:r>
    </w:p>
    <w:p>
      <w:pPr>
        <w:spacing w:after="0" w:line="38" w:lineRule="exact"/>
        <w:rPr>
          <w:sz w:val="20"/>
          <w:szCs w:val="20"/>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2" w:lineRule="exact"/>
        <w:rPr>
          <w:rFonts w:ascii="Arial" w:cs="Arial" w:eastAsia="Arial" w:hAnsi="Arial"/>
          <w:sz w:val="14"/>
          <w:szCs w:val="14"/>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2" w:lineRule="exact"/>
        <w:rPr>
          <w:rFonts w:ascii="Arial" w:cs="Arial" w:eastAsia="Arial" w:hAnsi="Arial"/>
          <w:sz w:val="14"/>
          <w:szCs w:val="14"/>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Loss associated with the sale of Heart Valves</w:t>
      </w:r>
    </w:p>
    <w:p>
      <w:pPr>
        <w:spacing w:after="0" w:line="22" w:lineRule="exact"/>
        <w:rPr>
          <w:rFonts w:ascii="Arial" w:cs="Arial" w:eastAsia="Arial" w:hAnsi="Arial"/>
          <w:sz w:val="14"/>
          <w:szCs w:val="14"/>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2" w:lineRule="exact"/>
        <w:rPr>
          <w:rFonts w:ascii="Arial" w:cs="Arial" w:eastAsia="Arial" w:hAnsi="Arial"/>
          <w:sz w:val="14"/>
          <w:szCs w:val="14"/>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associated with the June 2020 financing transactions, including the mark-to-market adjustment for the exchangeable option feature and capped call derivatives</w:t>
      </w:r>
    </w:p>
    <w:p>
      <w:pPr>
        <w:spacing w:after="0" w:line="22" w:lineRule="exact"/>
        <w:rPr>
          <w:rFonts w:ascii="Arial" w:cs="Arial" w:eastAsia="Arial" w:hAnsi="Arial"/>
          <w:sz w:val="14"/>
          <w:szCs w:val="14"/>
          <w:color w:val="auto"/>
        </w:rPr>
      </w:pPr>
    </w:p>
    <w:p>
      <w:pPr>
        <w:ind w:left="340" w:right="140" w:hanging="318"/>
        <w:spacing w:after="0" w:line="222"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other matters and remeasurement of contingent consideration related to acquisitions</w:t>
      </w:r>
    </w:p>
    <w:p>
      <w:pPr>
        <w:spacing w:after="0" w:line="16" w:lineRule="exact"/>
        <w:rPr>
          <w:rFonts w:ascii="Arial" w:cs="Arial" w:eastAsia="Arial" w:hAnsi="Arial"/>
          <w:sz w:val="14"/>
          <w:szCs w:val="14"/>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2" w:lineRule="exact"/>
        <w:rPr>
          <w:rFonts w:ascii="Arial" w:cs="Arial" w:eastAsia="Arial" w:hAnsi="Arial"/>
          <w:sz w:val="14"/>
          <w:szCs w:val="14"/>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2" w:lineRule="exact"/>
        <w:rPr>
          <w:rFonts w:ascii="Arial" w:cs="Arial" w:eastAsia="Arial" w:hAnsi="Arial"/>
          <w:sz w:val="14"/>
          <w:szCs w:val="14"/>
          <w:color w:val="auto"/>
        </w:rPr>
      </w:pPr>
    </w:p>
    <w:p>
      <w:pPr>
        <w:ind w:left="340" w:hanging="318"/>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relates to non-cash interest expense on the Cash Exchangeable Senior Notes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781"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97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4"/>
          <w:szCs w:val="14"/>
          <w:b w:val="1"/>
          <w:bCs w:val="1"/>
          <w:color w:val="auto"/>
        </w:rPr>
        <w:t>Specified Items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Three</w:t>
            </w:r>
          </w:p>
        </w:tc>
        <w:tc>
          <w:tcPr>
            <w:tcW w:w="620" w:type="dxa"/>
            <w:vAlign w:val="bottom"/>
          </w:tcPr>
          <w:p>
            <w:pPr>
              <w:spacing w:after="0"/>
              <w:rPr>
                <w:sz w:val="14"/>
                <w:szCs w:val="14"/>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Depreciation</w:t>
            </w:r>
          </w:p>
        </w:tc>
        <w:tc>
          <w:tcPr>
            <w:tcW w:w="8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3"/>
              <w:spacing w:after="0"/>
              <w:rPr>
                <w:sz w:val="20"/>
                <w:szCs w:val="20"/>
                <w:color w:val="auto"/>
              </w:rPr>
            </w:pPr>
            <w:r>
              <w:rPr>
                <w:rFonts w:ascii="Arial" w:cs="Arial" w:eastAsia="Arial" w:hAnsi="Arial"/>
                <w:sz w:val="12"/>
                <w:szCs w:val="12"/>
                <w:b w:val="1"/>
                <w:bCs w:val="1"/>
                <w:color w:val="auto"/>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Months</w:t>
            </w: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and</w:t>
            </w:r>
          </w:p>
        </w:tc>
        <w:tc>
          <w:tcPr>
            <w:tcW w:w="8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ind w:right="13"/>
              <w:spacing w:after="0" w:line="118" w:lineRule="exact"/>
              <w:rPr>
                <w:sz w:val="20"/>
                <w:szCs w:val="20"/>
                <w:color w:val="auto"/>
              </w:rPr>
            </w:pPr>
            <w:r>
              <w:rPr>
                <w:rFonts w:ascii="Arial" w:cs="Arial" w:eastAsia="Arial" w:hAnsi="Arial"/>
                <w:sz w:val="12"/>
                <w:szCs w:val="12"/>
                <w:b w:val="1"/>
                <w:bCs w:val="1"/>
                <w:color w:val="auto"/>
              </w:rPr>
              <w:t>Contingent</w:t>
            </w:r>
          </w:p>
        </w:tc>
        <w:tc>
          <w:tcPr>
            <w:tcW w:w="100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Ended</w:t>
            </w:r>
          </w:p>
        </w:tc>
        <w:tc>
          <w:tcPr>
            <w:tcW w:w="620" w:type="dxa"/>
            <w:vAlign w:val="bottom"/>
            <w:vMerge w:val="continue"/>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Integration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Amortization</w:t>
            </w:r>
          </w:p>
        </w:tc>
        <w:tc>
          <w:tcPr>
            <w:tcW w:w="84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Impairment</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Remediation</w:t>
            </w:r>
          </w:p>
        </w:tc>
        <w:tc>
          <w:tcPr>
            <w:tcW w:w="920" w:type="dxa"/>
            <w:vAlign w:val="bottom"/>
            <w:vMerge w:val="continue"/>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Consideration</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0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December</w:t>
            </w:r>
          </w:p>
        </w:tc>
        <w:tc>
          <w:tcPr>
            <w:tcW w:w="6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Financial</w:t>
            </w:r>
          </w:p>
        </w:tc>
        <w:tc>
          <w:tcPr>
            <w:tcW w:w="82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9"/>
              </w:rPr>
              <w:t>Expenses</w:t>
            </w:r>
          </w:p>
        </w:tc>
        <w:tc>
          <w:tcPr>
            <w:tcW w:w="900" w:type="dxa"/>
            <w:vAlign w:val="bottom"/>
          </w:tcPr>
          <w:p>
            <w:pPr>
              <w:jc w:val="center"/>
              <w:ind w:right="13"/>
              <w:spacing w:after="0" w:line="118" w:lineRule="exact"/>
              <w:rPr>
                <w:sz w:val="20"/>
                <w:szCs w:val="20"/>
                <w:color w:val="auto"/>
              </w:rPr>
            </w:pPr>
            <w:r>
              <w:rPr>
                <w:rFonts w:ascii="Arial" w:cs="Arial" w:eastAsia="Arial" w:hAnsi="Arial"/>
                <w:sz w:val="12"/>
                <w:szCs w:val="12"/>
                <w:b w:val="1"/>
                <w:bCs w:val="1"/>
                <w:color w:val="auto"/>
              </w:rPr>
              <w:t>Expenses</w:t>
            </w:r>
          </w:p>
        </w:tc>
        <w:tc>
          <w:tcPr>
            <w:tcW w:w="840" w:type="dxa"/>
            <w:vAlign w:val="bottom"/>
            <w:vMerge w:val="continue"/>
          </w:tcPr>
          <w:p>
            <w:pPr>
              <w:spacing w:after="0"/>
              <w:rPr>
                <w:sz w:val="10"/>
                <w:szCs w:val="10"/>
                <w:color w:val="auto"/>
              </w:rPr>
            </w:pPr>
          </w:p>
        </w:tc>
        <w:tc>
          <w:tcPr>
            <w:tcW w:w="88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Transactions</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and Other</w:t>
            </w:r>
          </w:p>
        </w:tc>
        <w:tc>
          <w:tcPr>
            <w:tcW w:w="10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Costs</w:t>
            </w: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Adjustments</w:t>
            </w:r>
          </w:p>
        </w:tc>
        <w:tc>
          <w:tcPr>
            <w:tcW w:w="72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0"/>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31, 2020</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79"/>
        </w:trPr>
        <w:tc>
          <w:tcPr>
            <w:tcW w:w="9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20" w:type="dxa"/>
            <w:vAlign w:val="bottom"/>
          </w:tcPr>
          <w:p>
            <w:pPr>
              <w:jc w:val="right"/>
              <w:ind w:right="112"/>
              <w:spacing w:after="0"/>
              <w:rPr>
                <w:sz w:val="20"/>
                <w:szCs w:val="20"/>
                <w:color w:val="auto"/>
              </w:rPr>
            </w:pPr>
            <w:r>
              <w:rPr>
                <w:rFonts w:ascii="Arial" w:cs="Arial" w:eastAsia="Arial" w:hAnsi="Arial"/>
                <w:sz w:val="14"/>
                <w:szCs w:val="14"/>
                <w:color w:val="auto"/>
                <w:w w:val="97"/>
              </w:rPr>
              <w:t>$102.7</w:t>
            </w: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rPr>
                <w:sz w:val="20"/>
                <w:szCs w:val="20"/>
                <w:color w:val="auto"/>
              </w:rPr>
            </w:pPr>
            <w:r>
              <w:rPr>
                <w:rFonts w:ascii="Arial" w:cs="Arial" w:eastAsia="Arial" w:hAnsi="Arial"/>
                <w:sz w:val="14"/>
                <w:szCs w:val="14"/>
                <w:color w:val="auto"/>
              </w:rPr>
              <w:t>($4.8)</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3"/>
              <w:spacing w:after="0"/>
              <w:rPr>
                <w:sz w:val="20"/>
                <w:szCs w:val="20"/>
                <w:color w:val="auto"/>
              </w:rPr>
            </w:pPr>
            <w:r>
              <w:rPr>
                <w:rFonts w:ascii="Arial" w:cs="Arial" w:eastAsia="Arial" w:hAnsi="Arial"/>
                <w:sz w:val="14"/>
                <w:szCs w:val="14"/>
                <w:color w:val="auto"/>
              </w:rPr>
              <w:t>($6.7)</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($0.5)</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Gross profit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61.9 %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66.8 %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Selling,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114.9</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3"/>
              <w:spacing w:after="0"/>
              <w:rPr>
                <w:sz w:val="20"/>
                <w:szCs w:val="20"/>
                <w:color w:val="auto"/>
              </w:rPr>
            </w:pPr>
            <w:r>
              <w:rPr>
                <w:rFonts w:ascii="Arial" w:cs="Arial" w:eastAsia="Arial" w:hAnsi="Arial"/>
                <w:sz w:val="14"/>
                <w:szCs w:val="14"/>
                <w:color w:val="auto"/>
              </w:rPr>
              <w:t>(4.5)</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(0.2)</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(10.0)</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(6.5)</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Selling,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administrative</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42.6 %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34.7 %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44.5</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(4.3)</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(1.2)</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development</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16.5 %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operating</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256.6</w:t>
            </w: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color w:val="auto"/>
              </w:rPr>
              <w:t>(0.7)</w:t>
            </w:r>
          </w:p>
        </w:tc>
        <w:tc>
          <w:tcPr>
            <w:tcW w:w="940" w:type="dxa"/>
            <w:vAlign w:val="bottom"/>
            <w:vMerge w:val="restart"/>
          </w:tcPr>
          <w:p>
            <w:pPr>
              <w:jc w:val="right"/>
              <w:ind w:right="92"/>
              <w:spacing w:after="0"/>
              <w:rPr>
                <w:sz w:val="20"/>
                <w:szCs w:val="20"/>
                <w:color w:val="auto"/>
              </w:rPr>
            </w:pPr>
            <w:r>
              <w:rPr>
                <w:rFonts w:ascii="Arial" w:cs="Arial" w:eastAsia="Arial" w:hAnsi="Arial"/>
                <w:sz w:val="14"/>
                <w:szCs w:val="14"/>
                <w:color w:val="auto"/>
              </w:rPr>
              <w:t>(5.5)</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color w:val="auto"/>
              </w:rPr>
              <w:t>(208.2)</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(42.1)</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Operating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(loss) income</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from</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(249.0)</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0.7</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5.5</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9.4</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208.2</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1.0</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0.2</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63.1</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8.2</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Operating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margin</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(92.4)%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77.2 %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23.4 %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Income tax</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(benefit)</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(18.4)</w:t>
            </w: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jc w:val="right"/>
              <w:ind w:right="93"/>
              <w:spacing w:after="0"/>
              <w:rPr>
                <w:sz w:val="20"/>
                <w:szCs w:val="20"/>
                <w:color w:val="auto"/>
              </w:rPr>
            </w:pPr>
            <w:r>
              <w:rPr>
                <w:rFonts w:ascii="Arial" w:cs="Arial" w:eastAsia="Arial" w:hAnsi="Arial"/>
                <w:sz w:val="14"/>
                <w:szCs w:val="14"/>
                <w:color w:val="auto"/>
              </w:rPr>
              <w:t>(1.3)</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23.1</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ind w:left="460"/>
              <w:spacing w:after="0"/>
              <w:rPr>
                <w:sz w:val="20"/>
                <w:szCs w:val="20"/>
                <w:color w:val="auto"/>
              </w:rPr>
            </w:pPr>
            <w:r>
              <w:rPr>
                <w:rFonts w:ascii="Arial" w:cs="Arial" w:eastAsia="Arial" w:hAnsi="Arial"/>
                <w:sz w:val="14"/>
                <w:szCs w:val="14"/>
                <w:color w:val="auto"/>
              </w:rPr>
              <w:t>(4.0)</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0.3</w:t>
            </w:r>
          </w:p>
        </w:tc>
        <w:tc>
          <w:tcPr>
            <w:tcW w:w="720" w:type="dxa"/>
            <w:vAlign w:val="bottom"/>
            <w:vMerge w:val="restart"/>
          </w:tcPr>
          <w:p>
            <w:pPr>
              <w:jc w:val="right"/>
              <w:ind w:right="7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expense</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income from</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(280.6)</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1.0</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5.2</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10.7</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185.1</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32.2</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62.6</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8.7</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4.0</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4.5</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Diluted EPS -</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($5.77)</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$0.02</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$0.11</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$0.22</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$3.78</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$0.01</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$0.66</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$1.28</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$0.18</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$0.08</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$0.09</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December 31, 2020 include: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60" w:type="dxa"/>
            <w:vAlign w:val="bottom"/>
          </w:tcPr>
          <w:p>
            <w:pPr>
              <w:spacing w:after="0"/>
              <w:rPr>
                <w:sz w:val="20"/>
                <w:szCs w:val="20"/>
                <w:color w:val="auto"/>
              </w:rPr>
            </w:pPr>
            <w:r>
              <w:rPr>
                <w:rFonts w:ascii="Arial" w:cs="Arial" w:eastAsia="Arial" w:hAnsi="Arial"/>
                <w:sz w:val="14"/>
                <w:szCs w:val="14"/>
                <w:color w:val="auto"/>
              </w:rPr>
              <w:t>(A)</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(B)</w:t>
            </w:r>
          </w:p>
        </w:tc>
        <w:tc>
          <w:tcPr>
            <w:tcW w:w="5180" w:type="dxa"/>
            <w:vAlign w:val="bottom"/>
          </w:tcPr>
          <w:p>
            <w:pPr>
              <w:ind w:left="60"/>
              <w:spacing w:after="0"/>
              <w:rPr>
                <w:sz w:val="20"/>
                <w:szCs w:val="20"/>
                <w:color w:val="auto"/>
              </w:rPr>
            </w:pPr>
            <w:r>
              <w:rPr>
                <w:rFonts w:ascii="Arial" w:cs="Arial" w:eastAsia="Arial" w:hAnsi="Arial"/>
                <w:sz w:val="14"/>
                <w:szCs w:val="14"/>
                <w:color w:val="auto"/>
              </w:rPr>
              <w:t>Restructuring expenses related to organizational changes</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(C)</w:t>
            </w:r>
          </w:p>
        </w:tc>
        <w:tc>
          <w:tcPr>
            <w:tcW w:w="5180" w:type="dxa"/>
            <w:vAlign w:val="bottom"/>
          </w:tcPr>
          <w:p>
            <w:pPr>
              <w:ind w:left="6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(D)</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Impairments primarily associated with the classification of Heart Valves as held for sale</w:t>
            </w: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(E)</w:t>
            </w:r>
          </w:p>
        </w:tc>
        <w:tc>
          <w:tcPr>
            <w:tcW w:w="5180" w:type="dxa"/>
            <w:vAlign w:val="bottom"/>
          </w:tcPr>
          <w:p>
            <w:pPr>
              <w:ind w:left="60"/>
              <w:spacing w:after="0"/>
              <w:rPr>
                <w:sz w:val="20"/>
                <w:szCs w:val="20"/>
                <w:color w:val="auto"/>
              </w:rPr>
            </w:pPr>
            <w:r>
              <w:rPr>
                <w:rFonts w:ascii="Arial" w:cs="Arial" w:eastAsia="Arial" w:hAnsi="Arial"/>
                <w:sz w:val="14"/>
                <w:szCs w:val="14"/>
                <w:color w:val="auto"/>
              </w:rPr>
              <w:t>Costs related to the 3T Heater-Cooler remediation plan</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(F)</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tc>
      </w:tr>
      <w:tr>
        <w:trPr>
          <w:trHeight w:val="146"/>
        </w:trPr>
        <w:tc>
          <w:tcPr>
            <w:tcW w:w="260" w:type="dxa"/>
            <w:vAlign w:val="bottom"/>
          </w:tcPr>
          <w:p>
            <w:pPr>
              <w:spacing w:after="0" w:line="146" w:lineRule="exact"/>
              <w:rPr>
                <w:sz w:val="20"/>
                <w:szCs w:val="20"/>
                <w:color w:val="auto"/>
              </w:rPr>
            </w:pPr>
            <w:r>
              <w:rPr>
                <w:rFonts w:ascii="Arial" w:cs="Arial" w:eastAsia="Arial" w:hAnsi="Arial"/>
                <w:sz w:val="14"/>
                <w:szCs w:val="14"/>
                <w:color w:val="auto"/>
              </w:rPr>
              <w:t>(G)</w:t>
            </w:r>
          </w:p>
        </w:tc>
        <w:tc>
          <w:tcPr>
            <w:tcW w:w="10820" w:type="dxa"/>
            <w:vAlign w:val="bottom"/>
            <w:gridSpan w:val="2"/>
          </w:tcPr>
          <w:p>
            <w:pPr>
              <w:ind w:left="60"/>
              <w:spacing w:after="0" w:line="146" w:lineRule="exact"/>
              <w:rPr>
                <w:sz w:val="20"/>
                <w:szCs w:val="20"/>
                <w:color w:val="auto"/>
              </w:rPr>
            </w:pPr>
            <w:r>
              <w:rPr>
                <w:rFonts w:ascii="Arial" w:cs="Arial" w:eastAsia="Arial" w:hAnsi="Arial"/>
                <w:sz w:val="14"/>
                <w:szCs w:val="14"/>
                <w:color w:val="auto"/>
                <w:w w:val="99"/>
              </w:rPr>
              <w:t>3T Heater-Cooler litigation provision, legal expenses primarily related to 3T Heater-Cooler defense, settlements and other matters, remeasurement of contingent consideration</w:t>
            </w:r>
          </w:p>
        </w:tc>
      </w:tr>
      <w:tr>
        <w:trPr>
          <w:trHeight w:val="168"/>
        </w:trPr>
        <w:tc>
          <w:tcPr>
            <w:tcW w:w="260" w:type="dxa"/>
            <w:vAlign w:val="bottom"/>
          </w:tcPr>
          <w:p>
            <w:pPr>
              <w:spacing w:after="0"/>
              <w:rPr>
                <w:sz w:val="14"/>
                <w:szCs w:val="14"/>
                <w:color w:val="auto"/>
              </w:rPr>
            </w:pPr>
          </w:p>
        </w:tc>
        <w:tc>
          <w:tcPr>
            <w:tcW w:w="5180" w:type="dxa"/>
            <w:vAlign w:val="bottom"/>
          </w:tcPr>
          <w:p>
            <w:pPr>
              <w:ind w:left="60"/>
              <w:spacing w:after="0"/>
              <w:rPr>
                <w:sz w:val="20"/>
                <w:szCs w:val="20"/>
                <w:color w:val="auto"/>
              </w:rPr>
            </w:pPr>
            <w:r>
              <w:rPr>
                <w:rFonts w:ascii="Arial" w:cs="Arial" w:eastAsia="Arial" w:hAnsi="Arial"/>
                <w:sz w:val="14"/>
                <w:szCs w:val="14"/>
                <w:color w:val="auto"/>
              </w:rPr>
              <w:t>related to acquisitions and provision for decommissioning at our Saluggia site</w:t>
            </w:r>
          </w:p>
        </w:tc>
        <w:tc>
          <w:tcPr>
            <w:tcW w:w="5640" w:type="dxa"/>
            <w:vAlign w:val="bottom"/>
          </w:tcPr>
          <w:p>
            <w:pPr>
              <w:spacing w:after="0"/>
              <w:rPr>
                <w:sz w:val="14"/>
                <w:szCs w:val="14"/>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(H)</w:t>
            </w:r>
          </w:p>
        </w:tc>
        <w:tc>
          <w:tcPr>
            <w:tcW w:w="5180" w:type="dxa"/>
            <w:vAlign w:val="bottom"/>
          </w:tcPr>
          <w:p>
            <w:pPr>
              <w:ind w:left="60"/>
              <w:spacing w:after="0"/>
              <w:rPr>
                <w:sz w:val="20"/>
                <w:szCs w:val="20"/>
                <w:color w:val="auto"/>
              </w:rPr>
            </w:pPr>
            <w:r>
              <w:rPr>
                <w:rFonts w:ascii="Arial" w:cs="Arial" w:eastAsia="Arial" w:hAnsi="Arial"/>
                <w:sz w:val="14"/>
                <w:szCs w:val="14"/>
                <w:color w:val="auto"/>
              </w:rPr>
              <w:t>Non-cash expenses associated with stock-based compensation costs</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(I)</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Primarily relates to discrete tax items and the tax impact of intercompany transactions</w:t>
            </w:r>
          </w:p>
        </w:tc>
      </w:tr>
      <w:tr>
        <w:trPr>
          <w:trHeight w:val="141"/>
        </w:trPr>
        <w:tc>
          <w:tcPr>
            <w:tcW w:w="260" w:type="dxa"/>
            <w:vAlign w:val="bottom"/>
          </w:tcPr>
          <w:p>
            <w:pPr>
              <w:spacing w:after="0" w:line="141" w:lineRule="exact"/>
              <w:rPr>
                <w:sz w:val="20"/>
                <w:szCs w:val="20"/>
                <w:color w:val="auto"/>
              </w:rPr>
            </w:pPr>
            <w:r>
              <w:rPr>
                <w:rFonts w:ascii="Arial" w:cs="Arial" w:eastAsia="Arial" w:hAnsi="Arial"/>
                <w:sz w:val="14"/>
                <w:szCs w:val="14"/>
                <w:color w:val="auto"/>
              </w:rPr>
              <w:t>(J)</w:t>
            </w:r>
          </w:p>
        </w:tc>
        <w:tc>
          <w:tcPr>
            <w:tcW w:w="1082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Primarily relates to non-cash interest expense on our Senior Secured Term Loan and Cash Exchangeable Senior Notes and intellectual property migration</w:t>
            </w:r>
          </w:p>
        </w:tc>
      </w:tr>
      <w:tr>
        <w:trPr>
          <w:trHeight w:val="251"/>
        </w:trPr>
        <w:tc>
          <w:tcPr>
            <w:tcW w:w="544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640" w:type="dxa"/>
            <w:vAlign w:val="bottom"/>
          </w:tcPr>
          <w:p>
            <w:pPr>
              <w:jc w:val="right"/>
              <w:ind w:right="5255"/>
              <w:spacing w:after="0"/>
              <w:rPr>
                <w:sz w:val="20"/>
                <w:szCs w:val="20"/>
                <w:color w:val="auto"/>
              </w:rPr>
            </w:pPr>
            <w:r>
              <w:rPr>
                <w:rFonts w:ascii="Arial" w:cs="Arial" w:eastAsia="Arial" w:hAnsi="Arial"/>
                <w:sz w:val="21"/>
                <w:szCs w:val="21"/>
                <w:color w:val="auto"/>
              </w:rPr>
              <w:t>17</w:t>
            </w:r>
          </w:p>
        </w:tc>
      </w:tr>
    </w:tbl>
    <w:p>
      <w:pPr>
        <w:sectPr>
          <w:pgSz w:w="11900" w:h="16838" w:orient="portrait"/>
          <w:cols w:equalWidth="0" w:num="1">
            <w:col w:w="11340"/>
          </w:cols>
          <w:pgMar w:left="320" w:top="781" w:right="23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4"/>
          <w:szCs w:val="14"/>
          <w:b w:val="1"/>
          <w:bCs w:val="1"/>
          <w:color w:val="auto"/>
        </w:rPr>
        <w:t>Specified Items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Twelve Months</w:t>
            </w:r>
          </w:p>
        </w:tc>
        <w:tc>
          <w:tcPr>
            <w:tcW w:w="640" w:type="dxa"/>
            <w:vAlign w:val="bottom"/>
          </w:tcPr>
          <w:p>
            <w:pPr>
              <w:spacing w:after="0"/>
              <w:rPr>
                <w:sz w:val="9"/>
                <w:szCs w:val="9"/>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Depreciation</w:t>
            </w:r>
          </w:p>
        </w:tc>
        <w:tc>
          <w:tcPr>
            <w:tcW w:w="5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ind w:right="12"/>
              <w:spacing w:after="0"/>
              <w:rPr>
                <w:sz w:val="20"/>
                <w:szCs w:val="20"/>
                <w:color w:val="auto"/>
              </w:rPr>
            </w:pPr>
            <w:r>
              <w:rPr>
                <w:rFonts w:ascii="Arial" w:cs="Arial" w:eastAsia="Arial" w:hAnsi="Arial"/>
                <w:sz w:val="12"/>
                <w:szCs w:val="12"/>
                <w:b w:val="1"/>
                <w:bCs w:val="1"/>
                <w:color w:val="auto"/>
              </w:rPr>
              <w:t>Product</w:t>
            </w:r>
          </w:p>
        </w:tc>
        <w:tc>
          <w:tcPr>
            <w:tcW w:w="9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3"/>
              <w:spacing w:after="0" w:line="111" w:lineRule="exact"/>
              <w:rPr>
                <w:sz w:val="20"/>
                <w:szCs w:val="20"/>
                <w:color w:val="auto"/>
              </w:rPr>
            </w:pPr>
            <w:r>
              <w:rPr>
                <w:rFonts w:ascii="Arial" w:cs="Arial" w:eastAsia="Arial" w:hAnsi="Arial"/>
                <w:sz w:val="12"/>
                <w:szCs w:val="12"/>
                <w:b w:val="1"/>
                <w:bCs w:val="1"/>
                <w:color w:val="auto"/>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140" w:type="dxa"/>
            <w:vAlign w:val="bottom"/>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0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and</w:t>
            </w: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Heart</w:t>
            </w:r>
          </w:p>
        </w:tc>
        <w:tc>
          <w:tcPr>
            <w:tcW w:w="900" w:type="dxa"/>
            <w:vAlign w:val="bottom"/>
            <w:vMerge w:val="continue"/>
          </w:tcPr>
          <w:p>
            <w:pPr>
              <w:spacing w:after="0"/>
              <w:rPr>
                <w:sz w:val="10"/>
                <w:szCs w:val="10"/>
                <w:color w:val="auto"/>
              </w:rPr>
            </w:pPr>
          </w:p>
        </w:tc>
        <w:tc>
          <w:tcPr>
            <w:tcW w:w="90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ind w:right="13"/>
              <w:spacing w:after="0" w:line="118" w:lineRule="exact"/>
              <w:rPr>
                <w:sz w:val="20"/>
                <w:szCs w:val="20"/>
                <w:color w:val="auto"/>
              </w:rPr>
            </w:pPr>
            <w:r>
              <w:rPr>
                <w:rFonts w:ascii="Arial" w:cs="Arial" w:eastAsia="Arial" w:hAnsi="Arial"/>
                <w:sz w:val="12"/>
                <w:szCs w:val="12"/>
                <w:b w:val="1"/>
                <w:bCs w:val="1"/>
                <w:color w:val="auto"/>
              </w:rPr>
              <w:t>Contingent</w:t>
            </w:r>
          </w:p>
        </w:tc>
        <w:tc>
          <w:tcPr>
            <w:tcW w:w="10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11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Ended</w:t>
            </w:r>
          </w:p>
        </w:tc>
        <w:tc>
          <w:tcPr>
            <w:tcW w:w="640" w:type="dxa"/>
            <w:vAlign w:val="bottom"/>
            <w:vMerge w:val="continue"/>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Integration</w:t>
            </w:r>
          </w:p>
        </w:tc>
        <w:tc>
          <w:tcPr>
            <w:tcW w:w="960" w:type="dxa"/>
            <w:vAlign w:val="bottom"/>
            <w:vMerge w:val="continue"/>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Amortization</w:t>
            </w:r>
          </w:p>
        </w:tc>
        <w:tc>
          <w:tcPr>
            <w:tcW w:w="520" w:type="dxa"/>
            <w:vAlign w:val="bottom"/>
            <w:vMerge w:val="continue"/>
          </w:tcPr>
          <w:p>
            <w:pPr>
              <w:spacing w:after="0"/>
              <w:rPr>
                <w:sz w:val="10"/>
                <w:szCs w:val="10"/>
                <w:color w:val="auto"/>
              </w:rPr>
            </w:pP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Remediation</w:t>
            </w:r>
          </w:p>
        </w:tc>
        <w:tc>
          <w:tcPr>
            <w:tcW w:w="900" w:type="dxa"/>
            <w:vAlign w:val="bottom"/>
            <w:vMerge w:val="continue"/>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Consideration</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December 31,</w:t>
            </w:r>
          </w:p>
        </w:tc>
        <w:tc>
          <w:tcPr>
            <w:tcW w:w="6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Financial</w:t>
            </w:r>
          </w:p>
        </w:tc>
        <w:tc>
          <w:tcPr>
            <w:tcW w:w="8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Expenses</w:t>
            </w:r>
          </w:p>
        </w:tc>
        <w:tc>
          <w:tcPr>
            <w:tcW w:w="96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33"/>
              <w:spacing w:after="0" w:line="118" w:lineRule="exact"/>
              <w:rPr>
                <w:sz w:val="20"/>
                <w:szCs w:val="20"/>
                <w:color w:val="auto"/>
              </w:rPr>
            </w:pPr>
            <w:r>
              <w:rPr>
                <w:rFonts w:ascii="Arial" w:cs="Arial" w:eastAsia="Arial" w:hAnsi="Arial"/>
                <w:sz w:val="12"/>
                <w:szCs w:val="12"/>
                <w:b w:val="1"/>
                <w:bCs w:val="1"/>
                <w:color w:val="auto"/>
              </w:rPr>
              <w:t>Expenses</w:t>
            </w:r>
          </w:p>
        </w:tc>
        <w:tc>
          <w:tcPr>
            <w:tcW w:w="5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Valves</w:t>
            </w:r>
          </w:p>
        </w:tc>
        <w:tc>
          <w:tcPr>
            <w:tcW w:w="9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9"/>
              </w:rPr>
              <w:t>Expenses</w:t>
            </w: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and Other</w:t>
            </w:r>
          </w:p>
        </w:tc>
        <w:tc>
          <w:tcPr>
            <w:tcW w:w="10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Adjustments</w:t>
            </w:r>
          </w:p>
        </w:tc>
        <w:tc>
          <w:tcPr>
            <w:tcW w:w="6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79"/>
        </w:trPr>
        <w:tc>
          <w:tcPr>
            <w:tcW w:w="11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w w:val="97"/>
              </w:rPr>
              <w:t>$329.4</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($15.7)</w:t>
            </w: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2"/>
              <w:spacing w:after="0"/>
              <w:rPr>
                <w:sz w:val="20"/>
                <w:szCs w:val="20"/>
                <w:color w:val="auto"/>
              </w:rPr>
            </w:pPr>
            <w:r>
              <w:rPr>
                <w:rFonts w:ascii="Arial" w:cs="Arial" w:eastAsia="Arial" w:hAnsi="Arial"/>
                <w:sz w:val="14"/>
                <w:szCs w:val="14"/>
                <w:color w:val="auto"/>
              </w:rPr>
              <w:t>($0.8)</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3"/>
              <w:spacing w:after="0"/>
              <w:rPr>
                <w:sz w:val="20"/>
                <w:szCs w:val="20"/>
                <w:color w:val="auto"/>
              </w:rPr>
            </w:pPr>
            <w:r>
              <w:rPr>
                <w:rFonts w:ascii="Arial" w:cs="Arial" w:eastAsia="Arial" w:hAnsi="Arial"/>
                <w:sz w:val="14"/>
                <w:szCs w:val="14"/>
                <w:color w:val="auto"/>
              </w:rPr>
              <w:t>$7.7</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($2.5)</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Gross profit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68.2 %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1.5 %</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69.3 %</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Selling, general</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and</w:t>
            </w: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color w:val="auto"/>
              </w:rPr>
              <w:t>471.9</w:t>
            </w: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3"/>
              <w:spacing w:after="0"/>
              <w:rPr>
                <w:sz w:val="20"/>
                <w:szCs w:val="20"/>
                <w:color w:val="auto"/>
              </w:rPr>
            </w:pPr>
            <w:r>
              <w:rPr>
                <w:rFonts w:ascii="Arial" w:cs="Arial" w:eastAsia="Arial" w:hAnsi="Arial"/>
                <w:sz w:val="14"/>
                <w:szCs w:val="14"/>
                <w:color w:val="auto"/>
              </w:rPr>
              <w:t>(12.2)</w:t>
            </w:r>
          </w:p>
        </w:tc>
        <w:tc>
          <w:tcPr>
            <w:tcW w:w="5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(32.4)</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(29.4)</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Selling, general</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and</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administrative as</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a percent of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45.6 %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38.4 %</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sales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color w:val="auto"/>
              </w:rPr>
              <w:t>183.4</w:t>
            </w: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color w:val="auto"/>
              </w:rPr>
              <w:t>0.2</w:t>
            </w:r>
          </w:p>
        </w:tc>
        <w:tc>
          <w:tcPr>
            <w:tcW w:w="5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(11.2)</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(8.7)</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development as</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a percent of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17.7 %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sales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Other operating</w:t>
            </w: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color w:val="auto"/>
              </w:rPr>
              <w:t>51.5</w:t>
            </w: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color w:val="auto"/>
              </w:rPr>
              <w:t>(0.7)</w:t>
            </w: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color w:val="auto"/>
              </w:rPr>
              <w:t>(9.7)</w:t>
            </w: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112"/>
              <w:spacing w:after="0"/>
              <w:rPr>
                <w:sz w:val="20"/>
                <w:szCs w:val="20"/>
                <w:color w:val="auto"/>
              </w:rPr>
            </w:pPr>
            <w:r>
              <w:rPr>
                <w:rFonts w:ascii="Arial" w:cs="Arial" w:eastAsia="Arial" w:hAnsi="Arial"/>
                <w:sz w:val="14"/>
                <w:szCs w:val="14"/>
                <w:color w:val="auto"/>
              </w:rPr>
              <w:t>(1.9)</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(38.1)</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Operating (loss)</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income from</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2"/>
              <w:spacing w:after="0"/>
              <w:rPr>
                <w:sz w:val="20"/>
                <w:szCs w:val="20"/>
                <w:color w:val="auto"/>
              </w:rPr>
            </w:pPr>
            <w:r>
              <w:rPr>
                <w:rFonts w:ascii="Arial" w:cs="Arial" w:eastAsia="Arial" w:hAnsi="Arial"/>
                <w:sz w:val="14"/>
                <w:szCs w:val="14"/>
                <w:color w:val="auto"/>
              </w:rPr>
              <w:t>(0.8)</w:t>
            </w: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color w:val="auto"/>
              </w:rPr>
              <w:t>0.7</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9.7</w:t>
            </w: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color w:val="auto"/>
              </w:rPr>
              <w:t>27.8</w:t>
            </w:r>
          </w:p>
        </w:tc>
        <w:tc>
          <w:tcPr>
            <w:tcW w:w="520" w:type="dxa"/>
            <w:vAlign w:val="bottom"/>
            <w:vMerge w:val="restart"/>
          </w:tcPr>
          <w:p>
            <w:pPr>
              <w:jc w:val="right"/>
              <w:ind w:right="152"/>
              <w:spacing w:after="0"/>
              <w:rPr>
                <w:sz w:val="20"/>
                <w:szCs w:val="20"/>
                <w:color w:val="auto"/>
              </w:rPr>
            </w:pPr>
            <w:r>
              <w:rPr>
                <w:rFonts w:ascii="Arial" w:cs="Arial" w:eastAsia="Arial" w:hAnsi="Arial"/>
                <w:sz w:val="14"/>
                <w:szCs w:val="14"/>
                <w:color w:val="auto"/>
              </w:rPr>
              <w:t>1.9</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0.8</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74.0</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40.6</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Operating margin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0.9 %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7.2 %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Income tax</w:t>
            </w: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color w:val="auto"/>
              </w:rPr>
              <w:t>11.2</w:t>
            </w: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0.2</w:t>
            </w: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color w:val="auto"/>
              </w:rPr>
              <w:t>1.9</w:t>
            </w:r>
          </w:p>
        </w:tc>
        <w:tc>
          <w:tcPr>
            <w:tcW w:w="520" w:type="dxa"/>
            <w:vAlign w:val="bottom"/>
            <w:vMerge w:val="restart"/>
          </w:tcPr>
          <w:p>
            <w:pPr>
              <w:jc w:val="right"/>
              <w:ind w:right="152"/>
              <w:spacing w:after="0"/>
              <w:rPr>
                <w:sz w:val="20"/>
                <w:szCs w:val="20"/>
                <w:color w:val="auto"/>
              </w:rPr>
            </w:pPr>
            <w:r>
              <w:rPr>
                <w:rFonts w:ascii="Arial" w:cs="Arial" w:eastAsia="Arial" w:hAnsi="Arial"/>
                <w:sz w:val="14"/>
                <w:szCs w:val="14"/>
                <w:color w:val="auto"/>
              </w:rPr>
              <w:t>2.1</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0.3</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1.7</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ind w:left="460"/>
              <w:spacing w:after="0"/>
              <w:rPr>
                <w:sz w:val="20"/>
                <w:szCs w:val="20"/>
                <w:color w:val="auto"/>
              </w:rPr>
            </w:pPr>
            <w:r>
              <w:rPr>
                <w:rFonts w:ascii="Arial" w:cs="Arial" w:eastAsia="Arial" w:hAnsi="Arial"/>
                <w:sz w:val="14"/>
                <w:szCs w:val="14"/>
                <w:color w:val="auto"/>
              </w:rPr>
              <w:t>(3.5)</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expense</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income from</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2"/>
              <w:spacing w:after="0"/>
              <w:rPr>
                <w:sz w:val="20"/>
                <w:szCs w:val="20"/>
                <w:color w:val="auto"/>
              </w:rPr>
            </w:pPr>
            <w:r>
              <w:rPr>
                <w:rFonts w:ascii="Arial" w:cs="Arial" w:eastAsia="Arial" w:hAnsi="Arial"/>
                <w:sz w:val="14"/>
                <w:szCs w:val="14"/>
                <w:color w:val="auto"/>
              </w:rPr>
              <w:t>(135.8)</w:t>
            </w: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color w:val="auto"/>
              </w:rPr>
              <w:t>0.7</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9.5</w:t>
            </w: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color w:val="auto"/>
              </w:rPr>
              <w:t>25.8</w:t>
            </w:r>
          </w:p>
        </w:tc>
        <w:tc>
          <w:tcPr>
            <w:tcW w:w="520" w:type="dxa"/>
            <w:vAlign w:val="bottom"/>
            <w:vMerge w:val="restart"/>
          </w:tcPr>
          <w:p>
            <w:pPr>
              <w:jc w:val="right"/>
              <w:ind w:right="112"/>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0.6</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81.7</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64.2</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39.9</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color w:val="auto"/>
              </w:rPr>
              <w:t>3.5</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16.8</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ind w:left="20"/>
              <w:spacing w:after="0" w:line="146" w:lineRule="exact"/>
              <w:rPr>
                <w:sz w:val="20"/>
                <w:szCs w:val="20"/>
                <w:color w:val="auto"/>
              </w:rPr>
            </w:pPr>
            <w:r>
              <w:rPr>
                <w:rFonts w:ascii="Arial" w:cs="Arial" w:eastAsia="Arial" w:hAnsi="Arial"/>
                <w:sz w:val="14"/>
                <w:szCs w:val="14"/>
                <w:color w:val="auto"/>
              </w:rPr>
              <w:t>Diluted EPS -</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2"/>
              <w:spacing w:after="0"/>
              <w:rPr>
                <w:sz w:val="20"/>
                <w:szCs w:val="20"/>
                <w:color w:val="auto"/>
              </w:rPr>
            </w:pPr>
            <w:r>
              <w:rPr>
                <w:rFonts w:ascii="Arial" w:cs="Arial" w:eastAsia="Arial" w:hAnsi="Arial"/>
                <w:sz w:val="14"/>
                <w:szCs w:val="14"/>
                <w:color w:val="auto"/>
              </w:rPr>
              <w:t>($2.68)</w:t>
            </w: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color w:val="auto"/>
              </w:rPr>
              <w:t>$0.01</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$0.18</w:t>
            </w: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color w:val="auto"/>
              </w:rPr>
              <w:t>$0.50</w:t>
            </w:r>
          </w:p>
        </w:tc>
        <w:tc>
          <w:tcPr>
            <w:tcW w:w="5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$0.01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$1.59</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$1.25</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$0.77</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color w:val="auto"/>
              </w:rPr>
              <w:t>$0.07</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$0.33</w:t>
            </w: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twelve months ended December 31, 2021 include: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60" w:type="dxa"/>
            <w:vAlign w:val="bottom"/>
          </w:tcPr>
          <w:p>
            <w:pPr>
              <w:spacing w:after="0"/>
              <w:rPr>
                <w:sz w:val="20"/>
                <w:szCs w:val="20"/>
                <w:color w:val="auto"/>
              </w:rPr>
            </w:pPr>
            <w:r>
              <w:rPr>
                <w:rFonts w:ascii="Arial" w:cs="Arial" w:eastAsia="Arial" w:hAnsi="Arial"/>
                <w:sz w:val="14"/>
                <w:szCs w:val="14"/>
                <w:color w:val="auto"/>
              </w:rPr>
              <w:t>(A)</w:t>
            </w:r>
          </w:p>
        </w:tc>
        <w:tc>
          <w:tcPr>
            <w:tcW w:w="10600" w:type="dxa"/>
            <w:vAlign w:val="bottom"/>
            <w:gridSpan w:val="2"/>
          </w:tcPr>
          <w:p>
            <w:pPr>
              <w:ind w:left="6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(B)</w:t>
            </w:r>
          </w:p>
        </w:tc>
        <w:tc>
          <w:tcPr>
            <w:tcW w:w="5180" w:type="dxa"/>
            <w:vAlign w:val="bottom"/>
          </w:tcPr>
          <w:p>
            <w:pPr>
              <w:ind w:left="60"/>
              <w:spacing w:after="0"/>
              <w:rPr>
                <w:sz w:val="20"/>
                <w:szCs w:val="20"/>
                <w:color w:val="auto"/>
              </w:rPr>
            </w:pPr>
            <w:r>
              <w:rPr>
                <w:rFonts w:ascii="Arial" w:cs="Arial" w:eastAsia="Arial" w:hAnsi="Arial"/>
                <w:sz w:val="14"/>
                <w:szCs w:val="14"/>
                <w:color w:val="auto"/>
              </w:rPr>
              <w:t>Restructuring expenses related to organizational changes</w:t>
            </w:r>
          </w:p>
        </w:tc>
        <w:tc>
          <w:tcPr>
            <w:tcW w:w="542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(C)</w:t>
            </w:r>
          </w:p>
        </w:tc>
        <w:tc>
          <w:tcPr>
            <w:tcW w:w="5180" w:type="dxa"/>
            <w:vAlign w:val="bottom"/>
          </w:tcPr>
          <w:p>
            <w:pPr>
              <w:ind w:left="6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542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(D)</w:t>
            </w:r>
          </w:p>
        </w:tc>
        <w:tc>
          <w:tcPr>
            <w:tcW w:w="5180" w:type="dxa"/>
            <w:vAlign w:val="bottom"/>
          </w:tcPr>
          <w:p>
            <w:pPr>
              <w:ind w:left="60"/>
              <w:spacing w:after="0"/>
              <w:rPr>
                <w:sz w:val="20"/>
                <w:szCs w:val="20"/>
                <w:color w:val="auto"/>
              </w:rPr>
            </w:pPr>
            <w:r>
              <w:rPr>
                <w:rFonts w:ascii="Arial" w:cs="Arial" w:eastAsia="Arial" w:hAnsi="Arial"/>
                <w:sz w:val="14"/>
                <w:szCs w:val="14"/>
                <w:color w:val="auto"/>
              </w:rPr>
              <w:t>Loss associated with the sale of Heart Valves</w:t>
            </w:r>
          </w:p>
        </w:tc>
        <w:tc>
          <w:tcPr>
            <w:tcW w:w="542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(E)</w:t>
            </w:r>
          </w:p>
        </w:tc>
        <w:tc>
          <w:tcPr>
            <w:tcW w:w="5180" w:type="dxa"/>
            <w:vAlign w:val="bottom"/>
          </w:tcPr>
          <w:p>
            <w:pPr>
              <w:ind w:left="60"/>
              <w:spacing w:after="0"/>
              <w:rPr>
                <w:sz w:val="20"/>
                <w:szCs w:val="20"/>
                <w:color w:val="auto"/>
              </w:rPr>
            </w:pPr>
            <w:r>
              <w:rPr>
                <w:rFonts w:ascii="Arial" w:cs="Arial" w:eastAsia="Arial" w:hAnsi="Arial"/>
                <w:sz w:val="14"/>
                <w:szCs w:val="14"/>
                <w:color w:val="auto"/>
              </w:rPr>
              <w:t>Costs related to the 3T Heater-Cooler remediation plan</w:t>
            </w:r>
          </w:p>
        </w:tc>
        <w:tc>
          <w:tcPr>
            <w:tcW w:w="5420" w:type="dxa"/>
            <w:vAlign w:val="bottom"/>
          </w:tcPr>
          <w:p>
            <w:pPr>
              <w:spacing w:after="0"/>
              <w:rPr>
                <w:sz w:val="15"/>
                <w:szCs w:val="15"/>
                <w:color w:val="auto"/>
              </w:rPr>
            </w:pPr>
          </w:p>
        </w:tc>
      </w:tr>
      <w:tr>
        <w:trPr>
          <w:trHeight w:val="146"/>
        </w:trPr>
        <w:tc>
          <w:tcPr>
            <w:tcW w:w="260" w:type="dxa"/>
            <w:vAlign w:val="bottom"/>
          </w:tcPr>
          <w:p>
            <w:pPr>
              <w:spacing w:after="0" w:line="146" w:lineRule="exact"/>
              <w:rPr>
                <w:sz w:val="20"/>
                <w:szCs w:val="20"/>
                <w:color w:val="auto"/>
              </w:rPr>
            </w:pPr>
            <w:r>
              <w:rPr>
                <w:rFonts w:ascii="Arial" w:cs="Arial" w:eastAsia="Arial" w:hAnsi="Arial"/>
                <w:sz w:val="14"/>
                <w:szCs w:val="14"/>
                <w:color w:val="auto"/>
              </w:rPr>
              <w:t>(F)</w:t>
            </w:r>
          </w:p>
        </w:tc>
        <w:tc>
          <w:tcPr>
            <w:tcW w:w="10600" w:type="dxa"/>
            <w:vAlign w:val="bottom"/>
            <w:gridSpan w:val="2"/>
          </w:tcPr>
          <w:p>
            <w:pPr>
              <w:ind w:left="60"/>
              <w:spacing w:after="0" w:line="146" w:lineRule="exact"/>
              <w:rPr>
                <w:sz w:val="20"/>
                <w:szCs w:val="20"/>
                <w:color w:val="auto"/>
              </w:rPr>
            </w:pPr>
            <w:r>
              <w:rPr>
                <w:rFonts w:ascii="Arial" w:cs="Arial" w:eastAsia="Arial" w:hAnsi="Arial"/>
                <w:sz w:val="14"/>
                <w:szCs w:val="14"/>
                <w:color w:val="auto"/>
                <w:w w:val="99"/>
              </w:rPr>
              <w:t>Costs associated with the June 2020 financing transactions, including loss on debt extinguishment, the mark-to-market adjustment for the exchangeable option feature and</w:t>
            </w:r>
          </w:p>
        </w:tc>
      </w:tr>
      <w:tr>
        <w:trPr>
          <w:trHeight w:val="168"/>
        </w:trPr>
        <w:tc>
          <w:tcPr>
            <w:tcW w:w="260" w:type="dxa"/>
            <w:vAlign w:val="bottom"/>
          </w:tcPr>
          <w:p>
            <w:pPr>
              <w:spacing w:after="0"/>
              <w:rPr>
                <w:sz w:val="14"/>
                <w:szCs w:val="14"/>
                <w:color w:val="auto"/>
              </w:rPr>
            </w:pPr>
          </w:p>
        </w:tc>
        <w:tc>
          <w:tcPr>
            <w:tcW w:w="5180" w:type="dxa"/>
            <w:vAlign w:val="bottom"/>
          </w:tcPr>
          <w:p>
            <w:pPr>
              <w:ind w:left="60"/>
              <w:spacing w:after="0"/>
              <w:rPr>
                <w:sz w:val="20"/>
                <w:szCs w:val="20"/>
                <w:color w:val="auto"/>
              </w:rPr>
            </w:pPr>
            <w:r>
              <w:rPr>
                <w:rFonts w:ascii="Arial" w:cs="Arial" w:eastAsia="Arial" w:hAnsi="Arial"/>
                <w:sz w:val="14"/>
                <w:szCs w:val="14"/>
                <w:color w:val="auto"/>
              </w:rPr>
              <w:t>capped call derivatives</w:t>
            </w:r>
          </w:p>
        </w:tc>
        <w:tc>
          <w:tcPr>
            <w:tcW w:w="5420" w:type="dxa"/>
            <w:vAlign w:val="bottom"/>
          </w:tcPr>
          <w:p>
            <w:pPr>
              <w:spacing w:after="0"/>
              <w:rPr>
                <w:sz w:val="14"/>
                <w:szCs w:val="14"/>
                <w:color w:val="auto"/>
              </w:rPr>
            </w:pPr>
          </w:p>
        </w:tc>
      </w:tr>
      <w:tr>
        <w:trPr>
          <w:trHeight w:val="146"/>
        </w:trPr>
        <w:tc>
          <w:tcPr>
            <w:tcW w:w="260" w:type="dxa"/>
            <w:vAlign w:val="bottom"/>
          </w:tcPr>
          <w:p>
            <w:pPr>
              <w:spacing w:after="0" w:line="146" w:lineRule="exact"/>
              <w:rPr>
                <w:sz w:val="20"/>
                <w:szCs w:val="20"/>
                <w:color w:val="auto"/>
              </w:rPr>
            </w:pPr>
            <w:r>
              <w:rPr>
                <w:rFonts w:ascii="Arial" w:cs="Arial" w:eastAsia="Arial" w:hAnsi="Arial"/>
                <w:sz w:val="14"/>
                <w:szCs w:val="14"/>
                <w:color w:val="auto"/>
              </w:rPr>
              <w:t>(G)</w:t>
            </w:r>
          </w:p>
        </w:tc>
        <w:tc>
          <w:tcPr>
            <w:tcW w:w="10600" w:type="dxa"/>
            <w:vAlign w:val="bottom"/>
            <w:gridSpan w:val="2"/>
          </w:tcPr>
          <w:p>
            <w:pPr>
              <w:ind w:left="60"/>
              <w:spacing w:after="0" w:line="146" w:lineRule="exact"/>
              <w:rPr>
                <w:sz w:val="20"/>
                <w:szCs w:val="20"/>
                <w:color w:val="auto"/>
              </w:rPr>
            </w:pPr>
            <w:r>
              <w:rPr>
                <w:rFonts w:ascii="Arial" w:cs="Arial" w:eastAsia="Arial" w:hAnsi="Arial"/>
                <w:sz w:val="14"/>
                <w:szCs w:val="14"/>
                <w:color w:val="auto"/>
                <w:w w:val="99"/>
              </w:rPr>
              <w:t>3T Heater-Cooler litigation provision, legal expenses primarily related to 3T Heater-Cooler defense, settlements, other matters, remeasurement of contingent consideration</w:t>
            </w:r>
          </w:p>
        </w:tc>
      </w:tr>
      <w:tr>
        <w:trPr>
          <w:trHeight w:val="168"/>
        </w:trPr>
        <w:tc>
          <w:tcPr>
            <w:tcW w:w="260" w:type="dxa"/>
            <w:vAlign w:val="bottom"/>
          </w:tcPr>
          <w:p>
            <w:pPr>
              <w:spacing w:after="0"/>
              <w:rPr>
                <w:sz w:val="14"/>
                <w:szCs w:val="14"/>
                <w:color w:val="auto"/>
              </w:rPr>
            </w:pPr>
          </w:p>
        </w:tc>
        <w:tc>
          <w:tcPr>
            <w:tcW w:w="10600" w:type="dxa"/>
            <w:vAlign w:val="bottom"/>
            <w:gridSpan w:val="2"/>
          </w:tcPr>
          <w:p>
            <w:pPr>
              <w:ind w:left="60"/>
              <w:spacing w:after="0"/>
              <w:rPr>
                <w:sz w:val="20"/>
                <w:szCs w:val="20"/>
                <w:color w:val="auto"/>
              </w:rPr>
            </w:pPr>
            <w:r>
              <w:rPr>
                <w:rFonts w:ascii="Arial" w:cs="Arial" w:eastAsia="Arial" w:hAnsi="Arial"/>
                <w:sz w:val="14"/>
                <w:szCs w:val="14"/>
                <w:color w:val="auto"/>
              </w:rPr>
              <w:t>related to acquisitions, gain from remeasurement of an investment and dividend income</w:t>
            </w: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(H)</w:t>
            </w:r>
          </w:p>
        </w:tc>
        <w:tc>
          <w:tcPr>
            <w:tcW w:w="5180" w:type="dxa"/>
            <w:vAlign w:val="bottom"/>
          </w:tcPr>
          <w:p>
            <w:pPr>
              <w:ind w:left="60"/>
              <w:spacing w:after="0"/>
              <w:rPr>
                <w:sz w:val="20"/>
                <w:szCs w:val="20"/>
                <w:color w:val="auto"/>
              </w:rPr>
            </w:pPr>
            <w:r>
              <w:rPr>
                <w:rFonts w:ascii="Arial" w:cs="Arial" w:eastAsia="Arial" w:hAnsi="Arial"/>
                <w:sz w:val="14"/>
                <w:szCs w:val="14"/>
                <w:color w:val="auto"/>
              </w:rPr>
              <w:t>Non-cash expenses associated with stock-based compensation costs</w:t>
            </w:r>
          </w:p>
        </w:tc>
        <w:tc>
          <w:tcPr>
            <w:tcW w:w="542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(I)</w:t>
            </w:r>
          </w:p>
        </w:tc>
        <w:tc>
          <w:tcPr>
            <w:tcW w:w="10600" w:type="dxa"/>
            <w:vAlign w:val="bottom"/>
            <w:gridSpan w:val="2"/>
          </w:tcPr>
          <w:p>
            <w:pPr>
              <w:ind w:left="60"/>
              <w:spacing w:after="0"/>
              <w:rPr>
                <w:sz w:val="20"/>
                <w:szCs w:val="20"/>
                <w:color w:val="auto"/>
              </w:rPr>
            </w:pPr>
            <w:r>
              <w:rPr>
                <w:rFonts w:ascii="Arial" w:cs="Arial" w:eastAsia="Arial" w:hAnsi="Arial"/>
                <w:sz w:val="14"/>
                <w:szCs w:val="14"/>
                <w:color w:val="auto"/>
              </w:rPr>
              <w:t>Primarily relates to discrete tax items and the tax impact of intercompany transactions</w:t>
            </w:r>
          </w:p>
        </w:tc>
      </w:tr>
      <w:tr>
        <w:trPr>
          <w:trHeight w:val="141"/>
        </w:trPr>
        <w:tc>
          <w:tcPr>
            <w:tcW w:w="260" w:type="dxa"/>
            <w:vAlign w:val="bottom"/>
          </w:tcPr>
          <w:p>
            <w:pPr>
              <w:spacing w:after="0" w:line="141" w:lineRule="exact"/>
              <w:rPr>
                <w:sz w:val="20"/>
                <w:szCs w:val="20"/>
                <w:color w:val="auto"/>
              </w:rPr>
            </w:pPr>
            <w:r>
              <w:rPr>
                <w:rFonts w:ascii="Arial" w:cs="Arial" w:eastAsia="Arial" w:hAnsi="Arial"/>
                <w:sz w:val="14"/>
                <w:szCs w:val="14"/>
                <w:color w:val="auto"/>
              </w:rPr>
              <w:t>(J)</w:t>
            </w:r>
          </w:p>
        </w:tc>
        <w:tc>
          <w:tcPr>
            <w:tcW w:w="1060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Primarily relates to non-cash interest expense on the Senior Secured Term Loan and Cash Exchangeable Senior Notes</w:t>
            </w:r>
          </w:p>
        </w:tc>
      </w:tr>
      <w:tr>
        <w:trPr>
          <w:trHeight w:val="251"/>
        </w:trPr>
        <w:tc>
          <w:tcPr>
            <w:tcW w:w="544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420" w:type="dxa"/>
            <w:vAlign w:val="bottom"/>
          </w:tcPr>
          <w:p>
            <w:pPr>
              <w:jc w:val="right"/>
              <w:ind w:right="5035"/>
              <w:spacing w:after="0"/>
              <w:rPr>
                <w:sz w:val="20"/>
                <w:szCs w:val="20"/>
                <w:color w:val="auto"/>
              </w:rPr>
            </w:pPr>
            <w:r>
              <w:rPr>
                <w:rFonts w:ascii="Arial" w:cs="Arial" w:eastAsia="Arial" w:hAnsi="Arial"/>
                <w:sz w:val="21"/>
                <w:szCs w:val="21"/>
                <w:color w:val="auto"/>
              </w:rPr>
              <w:t>18</w:t>
            </w:r>
          </w:p>
        </w:tc>
      </w:tr>
    </w:tbl>
    <w:p>
      <w:pPr>
        <w:sectPr>
          <w:pgSz w:w="11900" w:h="16838" w:orient="portrait"/>
          <w:cols w:equalWidth="0" w:num="1">
            <w:col w:w="11240"/>
          </w:cols>
          <w:pgMar w:left="320" w:top="781"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4"/>
          <w:szCs w:val="14"/>
          <w:b w:val="1"/>
          <w:bCs w:val="1"/>
          <w:color w:val="auto"/>
        </w:rPr>
        <w:t>Specified Items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Twelve</w:t>
            </w:r>
          </w:p>
        </w:tc>
        <w:tc>
          <w:tcPr>
            <w:tcW w:w="620" w:type="dxa"/>
            <w:vAlign w:val="bottom"/>
          </w:tcPr>
          <w:p>
            <w:pPr>
              <w:spacing w:after="0"/>
              <w:rPr>
                <w:sz w:val="14"/>
                <w:szCs w:val="14"/>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Depreciation</w:t>
            </w:r>
          </w:p>
        </w:tc>
        <w:tc>
          <w:tcPr>
            <w:tcW w:w="8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13"/>
              <w:spacing w:after="0"/>
              <w:rPr>
                <w:sz w:val="20"/>
                <w:szCs w:val="20"/>
                <w:color w:val="auto"/>
              </w:rPr>
            </w:pPr>
            <w:r>
              <w:rPr>
                <w:rFonts w:ascii="Arial" w:cs="Arial" w:eastAsia="Arial" w:hAnsi="Arial"/>
                <w:sz w:val="12"/>
                <w:szCs w:val="12"/>
                <w:b w:val="1"/>
                <w:bCs w:val="1"/>
                <w:color w:val="auto"/>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Months</w:t>
            </w: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and</w:t>
            </w:r>
          </w:p>
        </w:tc>
        <w:tc>
          <w:tcPr>
            <w:tcW w:w="8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94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auto"/>
              </w:rPr>
              <w:t>Financing</w:t>
            </w:r>
          </w:p>
        </w:tc>
        <w:tc>
          <w:tcPr>
            <w:tcW w:w="980" w:type="dxa"/>
            <w:vAlign w:val="bottom"/>
          </w:tcPr>
          <w:p>
            <w:pPr>
              <w:jc w:val="center"/>
              <w:ind w:right="13"/>
              <w:spacing w:after="0" w:line="118" w:lineRule="exact"/>
              <w:rPr>
                <w:sz w:val="20"/>
                <w:szCs w:val="20"/>
                <w:color w:val="auto"/>
              </w:rPr>
            </w:pPr>
            <w:r>
              <w:rPr>
                <w:rFonts w:ascii="Arial" w:cs="Arial" w:eastAsia="Arial" w:hAnsi="Arial"/>
                <w:sz w:val="12"/>
                <w:szCs w:val="12"/>
                <w:b w:val="1"/>
                <w:bCs w:val="1"/>
                <w:color w:val="auto"/>
              </w:rPr>
              <w:t>Contingent</w:t>
            </w:r>
          </w:p>
        </w:tc>
        <w:tc>
          <w:tcPr>
            <w:tcW w:w="100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Ended</w:t>
            </w:r>
          </w:p>
        </w:tc>
        <w:tc>
          <w:tcPr>
            <w:tcW w:w="620" w:type="dxa"/>
            <w:vAlign w:val="bottom"/>
            <w:vMerge w:val="continue"/>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Integration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Amortization</w:t>
            </w:r>
          </w:p>
        </w:tc>
        <w:tc>
          <w:tcPr>
            <w:tcW w:w="84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Impairment</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Remediation</w:t>
            </w:r>
          </w:p>
        </w:tc>
        <w:tc>
          <w:tcPr>
            <w:tcW w:w="940" w:type="dxa"/>
            <w:vAlign w:val="bottom"/>
            <w:vMerge w:val="continue"/>
          </w:tcPr>
          <w:p>
            <w:pPr>
              <w:spacing w:after="0"/>
              <w:rPr>
                <w:sz w:val="10"/>
                <w:szCs w:val="10"/>
                <w:color w:val="auto"/>
              </w:rPr>
            </w:pPr>
          </w:p>
        </w:tc>
        <w:tc>
          <w:tcPr>
            <w:tcW w:w="980" w:type="dxa"/>
            <w:vAlign w:val="bottom"/>
          </w:tcPr>
          <w:p>
            <w:pPr>
              <w:jc w:val="center"/>
              <w:ind w:right="13"/>
              <w:spacing w:after="0" w:line="118" w:lineRule="exact"/>
              <w:rPr>
                <w:sz w:val="20"/>
                <w:szCs w:val="20"/>
                <w:color w:val="auto"/>
              </w:rPr>
            </w:pPr>
            <w:r>
              <w:rPr>
                <w:rFonts w:ascii="Arial" w:cs="Arial" w:eastAsia="Arial" w:hAnsi="Arial"/>
                <w:sz w:val="12"/>
                <w:szCs w:val="12"/>
                <w:b w:val="1"/>
                <w:bCs w:val="1"/>
                <w:color w:val="auto"/>
              </w:rPr>
              <w:t>Consideration</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0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December</w:t>
            </w:r>
          </w:p>
        </w:tc>
        <w:tc>
          <w:tcPr>
            <w:tcW w:w="6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Financial</w:t>
            </w:r>
          </w:p>
        </w:tc>
        <w:tc>
          <w:tcPr>
            <w:tcW w:w="82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9"/>
              </w:rPr>
              <w:t>Expenses</w:t>
            </w:r>
          </w:p>
        </w:tc>
        <w:tc>
          <w:tcPr>
            <w:tcW w:w="900" w:type="dxa"/>
            <w:vAlign w:val="bottom"/>
          </w:tcPr>
          <w:p>
            <w:pPr>
              <w:jc w:val="center"/>
              <w:ind w:right="13"/>
              <w:spacing w:after="0" w:line="118" w:lineRule="exact"/>
              <w:rPr>
                <w:sz w:val="20"/>
                <w:szCs w:val="20"/>
                <w:color w:val="auto"/>
              </w:rPr>
            </w:pPr>
            <w:r>
              <w:rPr>
                <w:rFonts w:ascii="Arial" w:cs="Arial" w:eastAsia="Arial" w:hAnsi="Arial"/>
                <w:sz w:val="12"/>
                <w:szCs w:val="12"/>
                <w:b w:val="1"/>
                <w:bCs w:val="1"/>
                <w:color w:val="auto"/>
              </w:rPr>
              <w:t>Expenses</w:t>
            </w:r>
          </w:p>
        </w:tc>
        <w:tc>
          <w:tcPr>
            <w:tcW w:w="840" w:type="dxa"/>
            <w:vAlign w:val="bottom"/>
            <w:vMerge w:val="continue"/>
          </w:tcPr>
          <w:p>
            <w:pPr>
              <w:spacing w:after="0"/>
              <w:rPr>
                <w:sz w:val="10"/>
                <w:szCs w:val="10"/>
                <w:color w:val="auto"/>
              </w:rPr>
            </w:pPr>
          </w:p>
        </w:tc>
        <w:tc>
          <w:tcPr>
            <w:tcW w:w="88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jc w:val="center"/>
              <w:ind w:right="13"/>
              <w:spacing w:after="0" w:line="118" w:lineRule="exact"/>
              <w:rPr>
                <w:sz w:val="20"/>
                <w:szCs w:val="20"/>
                <w:color w:val="auto"/>
              </w:rPr>
            </w:pPr>
            <w:r>
              <w:rPr>
                <w:rFonts w:ascii="Arial" w:cs="Arial" w:eastAsia="Arial" w:hAnsi="Arial"/>
                <w:sz w:val="12"/>
                <w:szCs w:val="12"/>
                <w:b w:val="1"/>
                <w:bCs w:val="1"/>
                <w:color w:val="auto"/>
              </w:rPr>
              <w:t>and Other</w:t>
            </w:r>
          </w:p>
        </w:tc>
        <w:tc>
          <w:tcPr>
            <w:tcW w:w="10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Costs</w:t>
            </w: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Adjustments</w:t>
            </w:r>
          </w:p>
        </w:tc>
        <w:tc>
          <w:tcPr>
            <w:tcW w:w="62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0"/>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31, 2020</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99"/>
              </w:rPr>
              <w: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79"/>
        </w:trPr>
        <w:tc>
          <w:tcPr>
            <w:tcW w:w="9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20" w:type="dxa"/>
            <w:vAlign w:val="bottom"/>
          </w:tcPr>
          <w:p>
            <w:pPr>
              <w:jc w:val="right"/>
              <w:ind w:right="112"/>
              <w:spacing w:after="0"/>
              <w:rPr>
                <w:sz w:val="20"/>
                <w:szCs w:val="20"/>
                <w:color w:val="auto"/>
              </w:rPr>
            </w:pPr>
            <w:r>
              <w:rPr>
                <w:rFonts w:ascii="Arial" w:cs="Arial" w:eastAsia="Arial" w:hAnsi="Arial"/>
                <w:sz w:val="14"/>
                <w:szCs w:val="14"/>
                <w:color w:val="auto"/>
                <w:w w:val="97"/>
              </w:rPr>
              <w:t>$339.5</w:t>
            </w: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rPr>
                <w:sz w:val="20"/>
                <w:szCs w:val="20"/>
                <w:color w:val="auto"/>
              </w:rPr>
            </w:pPr>
            <w:r>
              <w:rPr>
                <w:rFonts w:ascii="Arial" w:cs="Arial" w:eastAsia="Arial" w:hAnsi="Arial"/>
                <w:sz w:val="14"/>
                <w:szCs w:val="14"/>
                <w:color w:val="auto"/>
              </w:rPr>
              <w:t>($20.9)</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($7.9)</w:t>
            </w:r>
          </w:p>
        </w:tc>
        <w:tc>
          <w:tcPr>
            <w:tcW w:w="9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$12.2</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($1.9)</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$321.0</w:t>
            </w: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Gross profit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63.7 %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65.6 %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Selling,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446.6</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3"/>
              <w:spacing w:after="0"/>
              <w:rPr>
                <w:sz w:val="20"/>
                <w:szCs w:val="20"/>
                <w:color w:val="auto"/>
              </w:rPr>
            </w:pPr>
            <w:r>
              <w:rPr>
                <w:rFonts w:ascii="Arial" w:cs="Arial" w:eastAsia="Arial" w:hAnsi="Arial"/>
                <w:sz w:val="14"/>
                <w:szCs w:val="14"/>
                <w:color w:val="auto"/>
              </w:rPr>
              <w:t>(20.2)</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color w:val="auto"/>
              </w:rPr>
              <w:t>(2.6)</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color w:val="auto"/>
              </w:rPr>
              <w:t>(25.3)</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(29.7)</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368.8</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Selling,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administrative</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47.8 %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39.5 %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152.9</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3"/>
              <w:spacing w:after="0"/>
              <w:rPr>
                <w:sz w:val="20"/>
                <w:szCs w:val="20"/>
                <w:color w:val="auto"/>
              </w:rPr>
            </w:pPr>
            <w:r>
              <w:rPr>
                <w:rFonts w:ascii="Arial" w:cs="Arial" w:eastAsia="Arial" w:hAnsi="Arial"/>
                <w:sz w:val="14"/>
                <w:szCs w:val="14"/>
                <w:color w:val="auto"/>
              </w:rPr>
              <w:t>(0.1)</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3"/>
              <w:spacing w:after="0"/>
              <w:rPr>
                <w:sz w:val="20"/>
                <w:szCs w:val="20"/>
                <w:color w:val="auto"/>
              </w:rPr>
            </w:pPr>
            <w:r>
              <w:rPr>
                <w:rFonts w:ascii="Arial" w:cs="Arial" w:eastAsia="Arial" w:hAnsi="Arial"/>
                <w:sz w:val="14"/>
                <w:szCs w:val="14"/>
                <w:color w:val="auto"/>
              </w:rPr>
              <w:t>1.6</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(3.5)</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Research and</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development</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16.4 %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operating</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269.2</w:t>
            </w: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color w:val="auto"/>
              </w:rPr>
              <w:t>(7.3)</w:t>
            </w:r>
          </w:p>
        </w:tc>
        <w:tc>
          <w:tcPr>
            <w:tcW w:w="940" w:type="dxa"/>
            <w:vAlign w:val="bottom"/>
            <w:vMerge w:val="restart"/>
          </w:tcPr>
          <w:p>
            <w:pPr>
              <w:jc w:val="right"/>
              <w:ind w:right="92"/>
              <w:spacing w:after="0"/>
              <w:rPr>
                <w:sz w:val="20"/>
                <w:szCs w:val="20"/>
                <w:color w:val="auto"/>
              </w:rPr>
            </w:pPr>
            <w:r>
              <w:rPr>
                <w:rFonts w:ascii="Arial" w:cs="Arial" w:eastAsia="Arial" w:hAnsi="Arial"/>
                <w:sz w:val="14"/>
                <w:szCs w:val="14"/>
                <w:color w:val="auto"/>
              </w:rPr>
              <w:t>(7.6)</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color w:val="auto"/>
              </w:rPr>
              <w:t>(208.2)</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color w:val="auto"/>
              </w:rPr>
              <w:t>(46.1)</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Operating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(loss) income</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from</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(273.9)</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7.3</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7.6</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41.2</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208.2</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7.9</w:t>
            </w: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color w:val="auto"/>
              </w:rPr>
              <w:t>2.6</w:t>
            </w:r>
          </w:p>
        </w:tc>
        <w:tc>
          <w:tcPr>
            <w:tcW w:w="980" w:type="dxa"/>
            <w:vAlign w:val="bottom"/>
            <w:vMerge w:val="restart"/>
          </w:tcPr>
          <w:p>
            <w:pPr>
              <w:jc w:val="right"/>
              <w:ind w:right="153"/>
              <w:spacing w:after="0"/>
              <w:rPr>
                <w:sz w:val="20"/>
                <w:szCs w:val="20"/>
                <w:color w:val="auto"/>
              </w:rPr>
            </w:pPr>
            <w:r>
              <w:rPr>
                <w:rFonts w:ascii="Arial" w:cs="Arial" w:eastAsia="Arial" w:hAnsi="Arial"/>
                <w:sz w:val="14"/>
                <w:szCs w:val="14"/>
                <w:color w:val="auto"/>
              </w:rPr>
              <w:t>57.5</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35.1</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Operating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margin</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22.3 %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Income tax</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(benefit)</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(1.0)</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3.2</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23.1</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1.4</w:t>
            </w: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3"/>
              <w:spacing w:after="0"/>
              <w:rPr>
                <w:sz w:val="20"/>
                <w:szCs w:val="20"/>
                <w:color w:val="auto"/>
              </w:rPr>
            </w:pPr>
            <w:r>
              <w:rPr>
                <w:rFonts w:ascii="Arial" w:cs="Arial" w:eastAsia="Arial" w:hAnsi="Arial"/>
                <w:sz w:val="14"/>
                <w:szCs w:val="14"/>
                <w:color w:val="auto"/>
              </w:rPr>
              <w:t>2.2</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0.6</w:t>
            </w:r>
          </w:p>
        </w:tc>
        <w:tc>
          <w:tcPr>
            <w:tcW w:w="900" w:type="dxa"/>
            <w:vAlign w:val="bottom"/>
            <w:vMerge w:val="restart"/>
          </w:tcPr>
          <w:p>
            <w:pPr>
              <w:ind w:left="380"/>
              <w:spacing w:after="0"/>
              <w:rPr>
                <w:sz w:val="20"/>
                <w:szCs w:val="20"/>
                <w:color w:val="auto"/>
              </w:rPr>
            </w:pPr>
            <w:r>
              <w:rPr>
                <w:rFonts w:ascii="Arial" w:cs="Arial" w:eastAsia="Arial" w:hAnsi="Arial"/>
                <w:sz w:val="14"/>
                <w:szCs w:val="14"/>
                <w:color w:val="auto"/>
              </w:rPr>
              <w:t>(29.1)</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expense</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income from</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(347.3)</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7.3</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7.2</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38.0</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185.1</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6.4</w:t>
            </w: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color w:val="auto"/>
              </w:rPr>
              <w:t>30.0</w:t>
            </w:r>
          </w:p>
        </w:tc>
        <w:tc>
          <w:tcPr>
            <w:tcW w:w="980" w:type="dxa"/>
            <w:vAlign w:val="bottom"/>
            <w:vMerge w:val="restart"/>
          </w:tcPr>
          <w:p>
            <w:pPr>
              <w:jc w:val="right"/>
              <w:ind w:right="153"/>
              <w:spacing w:after="0"/>
              <w:rPr>
                <w:sz w:val="20"/>
                <w:szCs w:val="20"/>
                <w:color w:val="auto"/>
              </w:rPr>
            </w:pPr>
            <w:r>
              <w:rPr>
                <w:rFonts w:ascii="Arial" w:cs="Arial" w:eastAsia="Arial" w:hAnsi="Arial"/>
                <w:sz w:val="14"/>
                <w:szCs w:val="14"/>
                <w:color w:val="auto"/>
              </w:rPr>
              <w:t>54.8</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34.5</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29.1</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14.0</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6" w:lineRule="exact"/>
              <w:rPr>
                <w:sz w:val="20"/>
                <w:szCs w:val="20"/>
                <w:color w:val="auto"/>
              </w:rPr>
            </w:pPr>
            <w:r>
              <w:rPr>
                <w:rFonts w:ascii="Arial" w:cs="Arial" w:eastAsia="Arial" w:hAnsi="Arial"/>
                <w:sz w:val="14"/>
                <w:szCs w:val="14"/>
                <w:color w:val="auto"/>
              </w:rPr>
              <w:t>Diluted EPS -</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color w:val="auto"/>
              </w:rPr>
              <w:t>($7.15)</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$0.15</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color w:val="auto"/>
              </w:rPr>
              <w:t>$0.15</w:t>
            </w: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color w:val="auto"/>
              </w:rPr>
              <w:t>$0.78</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$3.79</w:t>
            </w: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color w:val="auto"/>
              </w:rPr>
              <w:t>$0.13</w:t>
            </w: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color w:val="auto"/>
              </w:rPr>
              <w:t>$0.61</w:t>
            </w:r>
          </w:p>
        </w:tc>
        <w:tc>
          <w:tcPr>
            <w:tcW w:w="980" w:type="dxa"/>
            <w:vAlign w:val="bottom"/>
            <w:vMerge w:val="restart"/>
          </w:tcPr>
          <w:p>
            <w:pPr>
              <w:jc w:val="right"/>
              <w:ind w:right="153"/>
              <w:spacing w:after="0"/>
              <w:rPr>
                <w:sz w:val="20"/>
                <w:szCs w:val="20"/>
                <w:color w:val="auto"/>
              </w:rPr>
            </w:pPr>
            <w:r>
              <w:rPr>
                <w:rFonts w:ascii="Arial" w:cs="Arial" w:eastAsia="Arial" w:hAnsi="Arial"/>
                <w:sz w:val="14"/>
                <w:szCs w:val="14"/>
                <w:color w:val="auto"/>
              </w:rPr>
              <w:t>$1.12</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$0.71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$0.60</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$0.29</w:t>
            </w: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8"/>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twelve months ended December 31, 2020 include: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60" w:type="dxa"/>
            <w:vAlign w:val="bottom"/>
          </w:tcPr>
          <w:p>
            <w:pPr>
              <w:spacing w:after="0"/>
              <w:rPr>
                <w:sz w:val="20"/>
                <w:szCs w:val="20"/>
                <w:color w:val="auto"/>
              </w:rPr>
            </w:pPr>
            <w:r>
              <w:rPr>
                <w:rFonts w:ascii="Arial" w:cs="Arial" w:eastAsia="Arial" w:hAnsi="Arial"/>
                <w:sz w:val="14"/>
                <w:szCs w:val="14"/>
                <w:color w:val="auto"/>
              </w:rPr>
              <w:t>(A)</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(B)</w:t>
            </w:r>
          </w:p>
        </w:tc>
        <w:tc>
          <w:tcPr>
            <w:tcW w:w="5180" w:type="dxa"/>
            <w:vAlign w:val="bottom"/>
          </w:tcPr>
          <w:p>
            <w:pPr>
              <w:ind w:left="60"/>
              <w:spacing w:after="0"/>
              <w:rPr>
                <w:sz w:val="20"/>
                <w:szCs w:val="20"/>
                <w:color w:val="auto"/>
              </w:rPr>
            </w:pPr>
            <w:r>
              <w:rPr>
                <w:rFonts w:ascii="Arial" w:cs="Arial" w:eastAsia="Arial" w:hAnsi="Arial"/>
                <w:sz w:val="14"/>
                <w:szCs w:val="14"/>
                <w:color w:val="auto"/>
              </w:rPr>
              <w:t>Restructuring expenses related to organizational changes</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(C)</w:t>
            </w:r>
          </w:p>
        </w:tc>
        <w:tc>
          <w:tcPr>
            <w:tcW w:w="5180" w:type="dxa"/>
            <w:vAlign w:val="bottom"/>
          </w:tcPr>
          <w:p>
            <w:pPr>
              <w:ind w:left="6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(D)</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Impairments primarily associated with the classification of Heart Valves as held for sale</w:t>
            </w: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(E)</w:t>
            </w:r>
          </w:p>
        </w:tc>
        <w:tc>
          <w:tcPr>
            <w:tcW w:w="5180" w:type="dxa"/>
            <w:vAlign w:val="bottom"/>
          </w:tcPr>
          <w:p>
            <w:pPr>
              <w:ind w:left="60"/>
              <w:spacing w:after="0"/>
              <w:rPr>
                <w:sz w:val="20"/>
                <w:szCs w:val="20"/>
                <w:color w:val="auto"/>
              </w:rPr>
            </w:pPr>
            <w:r>
              <w:rPr>
                <w:rFonts w:ascii="Arial" w:cs="Arial" w:eastAsia="Arial" w:hAnsi="Arial"/>
                <w:sz w:val="14"/>
                <w:szCs w:val="14"/>
                <w:color w:val="auto"/>
              </w:rPr>
              <w:t>Costs related to the 3T Heater-Cooler remediation plan</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(F)</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tc>
      </w:tr>
      <w:tr>
        <w:trPr>
          <w:trHeight w:val="146"/>
        </w:trPr>
        <w:tc>
          <w:tcPr>
            <w:tcW w:w="260" w:type="dxa"/>
            <w:vAlign w:val="bottom"/>
          </w:tcPr>
          <w:p>
            <w:pPr>
              <w:spacing w:after="0" w:line="146" w:lineRule="exact"/>
              <w:rPr>
                <w:sz w:val="20"/>
                <w:szCs w:val="20"/>
                <w:color w:val="auto"/>
              </w:rPr>
            </w:pPr>
            <w:r>
              <w:rPr>
                <w:rFonts w:ascii="Arial" w:cs="Arial" w:eastAsia="Arial" w:hAnsi="Arial"/>
                <w:sz w:val="14"/>
                <w:szCs w:val="14"/>
                <w:color w:val="auto"/>
              </w:rPr>
              <w:t>(G)</w:t>
            </w:r>
          </w:p>
        </w:tc>
        <w:tc>
          <w:tcPr>
            <w:tcW w:w="10820" w:type="dxa"/>
            <w:vAlign w:val="bottom"/>
            <w:gridSpan w:val="2"/>
          </w:tcPr>
          <w:p>
            <w:pPr>
              <w:ind w:left="60"/>
              <w:spacing w:after="0" w:line="146" w:lineRule="exact"/>
              <w:rPr>
                <w:sz w:val="20"/>
                <w:szCs w:val="20"/>
                <w:color w:val="auto"/>
              </w:rPr>
            </w:pPr>
            <w:r>
              <w:rPr>
                <w:rFonts w:ascii="Arial" w:cs="Arial" w:eastAsia="Arial" w:hAnsi="Arial"/>
                <w:sz w:val="14"/>
                <w:szCs w:val="14"/>
                <w:color w:val="auto"/>
                <w:w w:val="99"/>
              </w:rPr>
              <w:t>3T Heater-Cooler litigation provision, legal expenses primarily related to 3T Heater-Cooler defense, settlements and other matters, remeasurement of contingent consideration</w:t>
            </w:r>
          </w:p>
        </w:tc>
      </w:tr>
      <w:tr>
        <w:trPr>
          <w:trHeight w:val="168"/>
        </w:trPr>
        <w:tc>
          <w:tcPr>
            <w:tcW w:w="260" w:type="dxa"/>
            <w:vAlign w:val="bottom"/>
          </w:tcPr>
          <w:p>
            <w:pPr>
              <w:spacing w:after="0"/>
              <w:rPr>
                <w:sz w:val="14"/>
                <w:szCs w:val="14"/>
                <w:color w:val="auto"/>
              </w:rPr>
            </w:pPr>
          </w:p>
        </w:tc>
        <w:tc>
          <w:tcPr>
            <w:tcW w:w="5180" w:type="dxa"/>
            <w:vAlign w:val="bottom"/>
          </w:tcPr>
          <w:p>
            <w:pPr>
              <w:ind w:left="60"/>
              <w:spacing w:after="0"/>
              <w:rPr>
                <w:sz w:val="20"/>
                <w:szCs w:val="20"/>
                <w:color w:val="auto"/>
              </w:rPr>
            </w:pPr>
            <w:r>
              <w:rPr>
                <w:rFonts w:ascii="Arial" w:cs="Arial" w:eastAsia="Arial" w:hAnsi="Arial"/>
                <w:sz w:val="14"/>
                <w:szCs w:val="14"/>
                <w:color w:val="auto"/>
              </w:rPr>
              <w:t>related to acquisitions and provision for decommissioning at our Saluggia site</w:t>
            </w:r>
          </w:p>
        </w:tc>
        <w:tc>
          <w:tcPr>
            <w:tcW w:w="5640" w:type="dxa"/>
            <w:vAlign w:val="bottom"/>
          </w:tcPr>
          <w:p>
            <w:pPr>
              <w:spacing w:after="0"/>
              <w:rPr>
                <w:sz w:val="14"/>
                <w:szCs w:val="14"/>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(H)</w:t>
            </w:r>
          </w:p>
        </w:tc>
        <w:tc>
          <w:tcPr>
            <w:tcW w:w="5180" w:type="dxa"/>
            <w:vAlign w:val="bottom"/>
          </w:tcPr>
          <w:p>
            <w:pPr>
              <w:ind w:left="60"/>
              <w:spacing w:after="0"/>
              <w:rPr>
                <w:sz w:val="20"/>
                <w:szCs w:val="20"/>
                <w:color w:val="auto"/>
              </w:rPr>
            </w:pPr>
            <w:r>
              <w:rPr>
                <w:rFonts w:ascii="Arial" w:cs="Arial" w:eastAsia="Arial" w:hAnsi="Arial"/>
                <w:sz w:val="14"/>
                <w:szCs w:val="14"/>
                <w:color w:val="auto"/>
              </w:rPr>
              <w:t>Non-cash expenses associated with stock-based compensation costs</w:t>
            </w:r>
          </w:p>
        </w:tc>
        <w:tc>
          <w:tcPr>
            <w:tcW w:w="5640" w:type="dxa"/>
            <w:vAlign w:val="bottom"/>
          </w:tcPr>
          <w:p>
            <w:pPr>
              <w:spacing w:after="0"/>
              <w:rPr>
                <w:sz w:val="15"/>
                <w:szCs w:val="15"/>
                <w:color w:val="auto"/>
              </w:rPr>
            </w:pPr>
          </w:p>
        </w:tc>
      </w:tr>
      <w:tr>
        <w:trPr>
          <w:trHeight w:val="183"/>
        </w:trPr>
        <w:tc>
          <w:tcPr>
            <w:tcW w:w="260" w:type="dxa"/>
            <w:vAlign w:val="bottom"/>
          </w:tcPr>
          <w:p>
            <w:pPr>
              <w:spacing w:after="0"/>
              <w:rPr>
                <w:sz w:val="20"/>
                <w:szCs w:val="20"/>
                <w:color w:val="auto"/>
              </w:rPr>
            </w:pPr>
            <w:r>
              <w:rPr>
                <w:rFonts w:ascii="Arial" w:cs="Arial" w:eastAsia="Arial" w:hAnsi="Arial"/>
                <w:sz w:val="14"/>
                <w:szCs w:val="14"/>
                <w:color w:val="auto"/>
              </w:rPr>
              <w:t>(I)</w:t>
            </w:r>
          </w:p>
        </w:tc>
        <w:tc>
          <w:tcPr>
            <w:tcW w:w="10820" w:type="dxa"/>
            <w:vAlign w:val="bottom"/>
            <w:gridSpan w:val="2"/>
          </w:tcPr>
          <w:p>
            <w:pPr>
              <w:ind w:left="60"/>
              <w:spacing w:after="0"/>
              <w:rPr>
                <w:sz w:val="20"/>
                <w:szCs w:val="20"/>
                <w:color w:val="auto"/>
              </w:rPr>
            </w:pPr>
            <w:r>
              <w:rPr>
                <w:rFonts w:ascii="Arial" w:cs="Arial" w:eastAsia="Arial" w:hAnsi="Arial"/>
                <w:sz w:val="14"/>
                <w:szCs w:val="14"/>
                <w:color w:val="auto"/>
              </w:rPr>
              <w:t>Primarily relates to discrete tax items and the tax impact of intercompany transactions</w:t>
            </w:r>
          </w:p>
        </w:tc>
      </w:tr>
      <w:tr>
        <w:trPr>
          <w:trHeight w:val="146"/>
        </w:trPr>
        <w:tc>
          <w:tcPr>
            <w:tcW w:w="260" w:type="dxa"/>
            <w:vAlign w:val="bottom"/>
          </w:tcPr>
          <w:p>
            <w:pPr>
              <w:spacing w:after="0" w:line="146" w:lineRule="exact"/>
              <w:rPr>
                <w:sz w:val="20"/>
                <w:szCs w:val="20"/>
                <w:color w:val="auto"/>
              </w:rPr>
            </w:pPr>
            <w:r>
              <w:rPr>
                <w:rFonts w:ascii="Arial" w:cs="Arial" w:eastAsia="Arial" w:hAnsi="Arial"/>
                <w:sz w:val="14"/>
                <w:szCs w:val="14"/>
                <w:color w:val="auto"/>
              </w:rPr>
              <w:t>(J)</w:t>
            </w:r>
          </w:p>
        </w:tc>
        <w:tc>
          <w:tcPr>
            <w:tcW w:w="10820" w:type="dxa"/>
            <w:vAlign w:val="bottom"/>
            <w:gridSpan w:val="2"/>
          </w:tcPr>
          <w:p>
            <w:pPr>
              <w:ind w:left="60"/>
              <w:spacing w:after="0" w:line="146" w:lineRule="exact"/>
              <w:rPr>
                <w:sz w:val="20"/>
                <w:szCs w:val="20"/>
                <w:color w:val="auto"/>
              </w:rPr>
            </w:pPr>
            <w:r>
              <w:rPr>
                <w:rFonts w:ascii="Arial" w:cs="Arial" w:eastAsia="Arial" w:hAnsi="Arial"/>
                <w:sz w:val="14"/>
                <w:szCs w:val="14"/>
                <w:color w:val="auto"/>
              </w:rPr>
              <w:t>Primarily relates to non-cash interest expense on our Senior Secured Term Loan and Cash Exchangeable Senior Notes, interest related to the 3T Heater-Cooler matter,</w:t>
            </w:r>
          </w:p>
        </w:tc>
      </w:tr>
      <w:tr>
        <w:trPr>
          <w:trHeight w:val="126"/>
        </w:trPr>
        <w:tc>
          <w:tcPr>
            <w:tcW w:w="260" w:type="dxa"/>
            <w:vAlign w:val="bottom"/>
          </w:tcPr>
          <w:p>
            <w:pPr>
              <w:spacing w:after="0"/>
              <w:rPr>
                <w:sz w:val="10"/>
                <w:szCs w:val="10"/>
                <w:color w:val="auto"/>
              </w:rPr>
            </w:pPr>
          </w:p>
        </w:tc>
        <w:tc>
          <w:tcPr>
            <w:tcW w:w="10820" w:type="dxa"/>
            <w:vAlign w:val="bottom"/>
            <w:gridSpan w:val="2"/>
          </w:tcPr>
          <w:p>
            <w:pPr>
              <w:ind w:left="60"/>
              <w:spacing w:after="0" w:line="127" w:lineRule="exact"/>
              <w:rPr>
                <w:sz w:val="20"/>
                <w:szCs w:val="20"/>
                <w:color w:val="auto"/>
              </w:rPr>
            </w:pPr>
            <w:r>
              <w:rPr>
                <w:rFonts w:ascii="Arial" w:cs="Arial" w:eastAsia="Arial" w:hAnsi="Arial"/>
                <w:sz w:val="14"/>
                <w:szCs w:val="14"/>
                <w:color w:val="auto"/>
              </w:rPr>
              <w:t>intellectual property migration and interest reversed upon the settlement of a tax litigation matter</w:t>
            </w:r>
          </w:p>
        </w:tc>
      </w:tr>
      <w:tr>
        <w:trPr>
          <w:trHeight w:val="251"/>
        </w:trPr>
        <w:tc>
          <w:tcPr>
            <w:tcW w:w="544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640" w:type="dxa"/>
            <w:vAlign w:val="bottom"/>
          </w:tcPr>
          <w:p>
            <w:pPr>
              <w:jc w:val="right"/>
              <w:ind w:right="5255"/>
              <w:spacing w:after="0"/>
              <w:rPr>
                <w:sz w:val="20"/>
                <w:szCs w:val="20"/>
                <w:color w:val="auto"/>
              </w:rPr>
            </w:pPr>
            <w:r>
              <w:rPr>
                <w:rFonts w:ascii="Arial" w:cs="Arial" w:eastAsia="Arial" w:hAnsi="Arial"/>
                <w:sz w:val="21"/>
                <w:szCs w:val="21"/>
                <w:color w:val="auto"/>
              </w:rPr>
              <w:t>19</w:t>
            </w:r>
          </w:p>
        </w:tc>
      </w:tr>
    </w:tbl>
    <w:p>
      <w:pPr>
        <w:sectPr>
          <w:pgSz w:w="11900" w:h="16838" w:orient="portrait"/>
          <w:cols w:equalWidth="0" w:num="1">
            <w:col w:w="11240"/>
          </w:cols>
          <w:pgMar w:left="320" w:top="781" w:right="339" w:bottom="1440" w:gutter="0" w:footer="0" w:header="0"/>
        </w:sectPr>
      </w:pPr>
    </w:p>
    <w:bookmarkStart w:id="22" w:name="page23"/>
    <w:bookmarkEnd w:id="2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3"/>
        </w:trPr>
        <w:tc>
          <w:tcPr>
            <w:tcW w:w="642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20"/>
                <w:szCs w:val="20"/>
                <w:color w:val="auto"/>
              </w:rPr>
            </w:pPr>
            <w:r>
              <w:rPr>
                <w:rFonts w:ascii="Arial" w:cs="Arial" w:eastAsia="Arial" w:hAnsi="Arial"/>
                <w:sz w:val="14"/>
                <w:szCs w:val="14"/>
                <w:b w:val="1"/>
                <w:bCs w:val="1"/>
                <w:color w:val="auto"/>
              </w:rPr>
              <w:t>CONDENSED CONSOLIDATED BALANCE SHEETS - UNAUDITED</w:t>
            </w: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2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24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December 31, 2021</w:t>
            </w:r>
          </w:p>
        </w:tc>
        <w:tc>
          <w:tcPr>
            <w:tcW w:w="236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 xml:space="preserve">December 31, 2020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0"/>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420" w:type="dxa"/>
            <w:vAlign w:val="bottom"/>
            <w:gridSpan w:val="2"/>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20" w:type="dxa"/>
            <w:vAlign w:val="bottom"/>
            <w:vMerge w:val="continue"/>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2340" w:type="dxa"/>
            <w:vAlign w:val="bottom"/>
          </w:tcPr>
          <w:p>
            <w:pPr>
              <w:jc w:val="right"/>
              <w:spacing w:after="0"/>
              <w:rPr>
                <w:sz w:val="20"/>
                <w:szCs w:val="20"/>
                <w:color w:val="auto"/>
              </w:rPr>
            </w:pPr>
            <w:r>
              <w:rPr>
                <w:rFonts w:ascii="Arial" w:cs="Arial" w:eastAsia="Arial" w:hAnsi="Arial"/>
                <w:sz w:val="14"/>
                <w:szCs w:val="14"/>
                <w:color w:val="auto"/>
              </w:rPr>
              <w:t>$208.0</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Accounts receivable, net of allowance</w:t>
            </w:r>
          </w:p>
        </w:tc>
        <w:tc>
          <w:tcPr>
            <w:tcW w:w="2340" w:type="dxa"/>
            <w:vAlign w:val="bottom"/>
          </w:tcPr>
          <w:p>
            <w:pPr>
              <w:jc w:val="right"/>
              <w:spacing w:after="0"/>
              <w:rPr>
                <w:sz w:val="20"/>
                <w:szCs w:val="20"/>
                <w:color w:val="auto"/>
              </w:rPr>
            </w:pPr>
            <w:r>
              <w:rPr>
                <w:rFonts w:ascii="Arial" w:cs="Arial" w:eastAsia="Arial" w:hAnsi="Arial"/>
                <w:sz w:val="14"/>
                <w:szCs w:val="14"/>
                <w:color w:val="auto"/>
              </w:rPr>
              <w:t>185.4</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340" w:type="dxa"/>
            <w:vAlign w:val="bottom"/>
          </w:tcPr>
          <w:p>
            <w:pPr>
              <w:jc w:val="right"/>
              <w:spacing w:after="0"/>
              <w:rPr>
                <w:sz w:val="20"/>
                <w:szCs w:val="20"/>
                <w:color w:val="auto"/>
              </w:rPr>
            </w:pPr>
            <w:r>
              <w:rPr>
                <w:rFonts w:ascii="Arial" w:cs="Arial" w:eastAsia="Arial" w:hAnsi="Arial"/>
                <w:sz w:val="14"/>
                <w:szCs w:val="14"/>
                <w:color w:val="auto"/>
              </w:rPr>
              <w:t>105.8</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Prepaid and refundable taxes</w:t>
            </w:r>
          </w:p>
        </w:tc>
        <w:tc>
          <w:tcPr>
            <w:tcW w:w="2340" w:type="dxa"/>
            <w:vAlign w:val="bottom"/>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Assets held for sale</w:t>
            </w:r>
          </w:p>
        </w:tc>
        <w:tc>
          <w:tcPr>
            <w:tcW w:w="2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Current derivative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106.6</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642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20"/>
                <w:szCs w:val="20"/>
                <w:color w:val="auto"/>
              </w:rPr>
            </w:pPr>
            <w:r>
              <w:rPr>
                <w:rFonts w:ascii="Arial" w:cs="Arial" w:eastAsia="Arial" w:hAnsi="Arial"/>
                <w:sz w:val="14"/>
                <w:szCs w:val="14"/>
                <w:color w:val="auto"/>
              </w:rPr>
              <w:t>Total Current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679.2</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708.0</w:t>
            </w:r>
          </w:p>
        </w:tc>
        <w:tc>
          <w:tcPr>
            <w:tcW w:w="0" w:type="dxa"/>
            <w:vAlign w:val="bottom"/>
          </w:tcPr>
          <w:p>
            <w:pPr>
              <w:spacing w:after="0"/>
              <w:rPr>
                <w:sz w:val="1"/>
                <w:szCs w:val="1"/>
                <w:color w:val="auto"/>
              </w:rPr>
            </w:pPr>
          </w:p>
        </w:tc>
      </w:tr>
      <w:tr>
        <w:trPr>
          <w:trHeight w:val="179"/>
        </w:trPr>
        <w:tc>
          <w:tcPr>
            <w:tcW w:w="6420" w:type="dxa"/>
            <w:vAlign w:val="bottom"/>
          </w:tcPr>
          <w:p>
            <w:pPr>
              <w:ind w:left="200"/>
              <w:spacing w:after="0"/>
              <w:rPr>
                <w:sz w:val="20"/>
                <w:szCs w:val="20"/>
                <w:color w:val="auto"/>
              </w:rPr>
            </w:pPr>
            <w:r>
              <w:rPr>
                <w:rFonts w:ascii="Arial" w:cs="Arial" w:eastAsia="Arial" w:hAnsi="Arial"/>
                <w:sz w:val="14"/>
                <w:szCs w:val="14"/>
                <w:color w:val="auto"/>
              </w:rPr>
              <w:t>Property, plant and equipment, net</w:t>
            </w:r>
          </w:p>
        </w:tc>
        <w:tc>
          <w:tcPr>
            <w:tcW w:w="2340" w:type="dxa"/>
            <w:vAlign w:val="bottom"/>
          </w:tcPr>
          <w:p>
            <w:pPr>
              <w:jc w:val="right"/>
              <w:spacing w:after="0"/>
              <w:rPr>
                <w:sz w:val="20"/>
                <w:szCs w:val="20"/>
                <w:color w:val="auto"/>
              </w:rPr>
            </w:pPr>
            <w:r>
              <w:rPr>
                <w:rFonts w:ascii="Arial" w:cs="Arial" w:eastAsia="Arial" w:hAnsi="Arial"/>
                <w:sz w:val="14"/>
                <w:szCs w:val="14"/>
                <w:color w:val="auto"/>
              </w:rPr>
              <w:t>150.1</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Goodwill</w:t>
            </w:r>
          </w:p>
        </w:tc>
        <w:tc>
          <w:tcPr>
            <w:tcW w:w="2340" w:type="dxa"/>
            <w:vAlign w:val="bottom"/>
          </w:tcPr>
          <w:p>
            <w:pPr>
              <w:jc w:val="right"/>
              <w:spacing w:after="0"/>
              <w:rPr>
                <w:sz w:val="20"/>
                <w:szCs w:val="20"/>
                <w:color w:val="auto"/>
              </w:rPr>
            </w:pPr>
            <w:r>
              <w:rPr>
                <w:rFonts w:ascii="Arial" w:cs="Arial" w:eastAsia="Arial" w:hAnsi="Arial"/>
                <w:sz w:val="14"/>
                <w:szCs w:val="14"/>
                <w:color w:val="auto"/>
              </w:rPr>
              <w:t>899.5</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922.3</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Intangible assets, net</w:t>
            </w:r>
          </w:p>
        </w:tc>
        <w:tc>
          <w:tcPr>
            <w:tcW w:w="2340" w:type="dxa"/>
            <w:vAlign w:val="bottom"/>
          </w:tcPr>
          <w:p>
            <w:pPr>
              <w:jc w:val="right"/>
              <w:spacing w:after="0"/>
              <w:rPr>
                <w:sz w:val="20"/>
                <w:szCs w:val="20"/>
                <w:color w:val="auto"/>
              </w:rPr>
            </w:pPr>
            <w:r>
              <w:rPr>
                <w:rFonts w:ascii="Arial" w:cs="Arial" w:eastAsia="Arial" w:hAnsi="Arial"/>
                <w:sz w:val="14"/>
                <w:szCs w:val="14"/>
                <w:color w:val="auto"/>
              </w:rPr>
              <w:t>399.7</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Operating lease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Investments</w:t>
            </w:r>
          </w:p>
        </w:tc>
        <w:tc>
          <w:tcPr>
            <w:tcW w:w="234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Deferred tax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Long-term derivative assets</w:t>
            </w:r>
          </w:p>
        </w:tc>
        <w:tc>
          <w:tcPr>
            <w:tcW w:w="2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80"/>
        </w:trPr>
        <w:tc>
          <w:tcPr>
            <w:tcW w:w="642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20"/>
                <w:szCs w:val="20"/>
                <w:color w:val="auto"/>
              </w:rPr>
            </w:pPr>
            <w:r>
              <w:rPr>
                <w:rFonts w:ascii="Arial" w:cs="Arial" w:eastAsia="Arial" w:hAnsi="Arial"/>
                <w:sz w:val="14"/>
                <w:szCs w:val="14"/>
                <w:color w:val="auto"/>
              </w:rPr>
              <w:t>Total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$2,201.0</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$2,400.0</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420" w:type="dxa"/>
            <w:vAlign w:val="bottom"/>
            <w:vMerge w:val="continue"/>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Current debt obligations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$229.7</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340" w:type="dxa"/>
            <w:vAlign w:val="bottom"/>
          </w:tcPr>
          <w:p>
            <w:pPr>
              <w:jc w:val="right"/>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Accrued liabilities and other</w:t>
            </w:r>
          </w:p>
        </w:tc>
        <w:tc>
          <w:tcPr>
            <w:tcW w:w="2340" w:type="dxa"/>
            <w:vAlign w:val="bottom"/>
          </w:tcPr>
          <w:p>
            <w:pPr>
              <w:jc w:val="right"/>
              <w:spacing w:after="0"/>
              <w:rPr>
                <w:sz w:val="20"/>
                <w:szCs w:val="20"/>
                <w:color w:val="auto"/>
              </w:rPr>
            </w:pPr>
            <w:r>
              <w:rPr>
                <w:rFonts w:ascii="Arial" w:cs="Arial" w:eastAsia="Arial" w:hAnsi="Arial"/>
                <w:sz w:val="14"/>
                <w:szCs w:val="14"/>
                <w:color w:val="auto"/>
              </w:rPr>
              <w:t>88.9</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Current derivative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Current litigation provision liability</w:t>
            </w:r>
          </w:p>
        </w:tc>
        <w:tc>
          <w:tcPr>
            <w:tcW w:w="234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Taxes payable</w:t>
            </w:r>
          </w:p>
        </w:tc>
        <w:tc>
          <w:tcPr>
            <w:tcW w:w="234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Accrued employee compensation and related benefits</w:t>
            </w:r>
          </w:p>
        </w:tc>
        <w:tc>
          <w:tcPr>
            <w:tcW w:w="2340" w:type="dxa"/>
            <w:vAlign w:val="bottom"/>
          </w:tcPr>
          <w:p>
            <w:pPr>
              <w:jc w:val="right"/>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80"/>
        </w:trPr>
        <w:tc>
          <w:tcPr>
            <w:tcW w:w="6420" w:type="dxa"/>
            <w:vAlign w:val="bottom"/>
          </w:tcPr>
          <w:p>
            <w:pPr>
              <w:ind w:left="200"/>
              <w:spacing w:after="0"/>
              <w:rPr>
                <w:sz w:val="20"/>
                <w:szCs w:val="20"/>
                <w:color w:val="auto"/>
              </w:rPr>
            </w:pPr>
            <w:r>
              <w:rPr>
                <w:rFonts w:ascii="Arial" w:cs="Arial" w:eastAsia="Arial" w:hAnsi="Arial"/>
                <w:sz w:val="14"/>
                <w:szCs w:val="14"/>
                <w:color w:val="auto"/>
              </w:rPr>
              <w:t>Liabilities held for sale</w:t>
            </w:r>
          </w:p>
        </w:tc>
        <w:tc>
          <w:tcPr>
            <w:tcW w:w="2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697.0</w:t>
            </w:r>
          </w:p>
        </w:tc>
        <w:tc>
          <w:tcPr>
            <w:tcW w:w="80" w:type="dxa"/>
            <w:vAlign w:val="bottom"/>
          </w:tcPr>
          <w:p>
            <w:pPr>
              <w:spacing w:after="0"/>
              <w:rPr>
                <w:sz w:val="15"/>
                <w:szCs w:val="15"/>
                <w:color w:val="auto"/>
              </w:rPr>
            </w:pPr>
          </w:p>
        </w:tc>
        <w:tc>
          <w:tcPr>
            <w:tcW w:w="2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309.1</w:t>
            </w:r>
          </w:p>
        </w:tc>
        <w:tc>
          <w:tcPr>
            <w:tcW w:w="0" w:type="dxa"/>
            <w:vAlign w:val="bottom"/>
          </w:tcPr>
          <w:p>
            <w:pPr>
              <w:spacing w:after="0"/>
              <w:rPr>
                <w:sz w:val="1"/>
                <w:szCs w:val="1"/>
                <w:color w:val="auto"/>
              </w:rPr>
            </w:pPr>
          </w:p>
        </w:tc>
      </w:tr>
      <w:tr>
        <w:trPr>
          <w:trHeight w:val="179"/>
        </w:trPr>
        <w:tc>
          <w:tcPr>
            <w:tcW w:w="6420" w:type="dxa"/>
            <w:vAlign w:val="bottom"/>
          </w:tcPr>
          <w:p>
            <w:pPr>
              <w:ind w:left="200"/>
              <w:spacing w:after="0"/>
              <w:rPr>
                <w:sz w:val="20"/>
                <w:szCs w:val="20"/>
                <w:color w:val="auto"/>
              </w:rPr>
            </w:pPr>
            <w:r>
              <w:rPr>
                <w:rFonts w:ascii="Arial" w:cs="Arial" w:eastAsia="Arial" w:hAnsi="Arial"/>
                <w:sz w:val="14"/>
                <w:szCs w:val="14"/>
                <w:color w:val="auto"/>
              </w:rPr>
              <w:t>Long-term debt obligations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642.3</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Contingent consideration</w:t>
            </w:r>
          </w:p>
        </w:tc>
        <w:tc>
          <w:tcPr>
            <w:tcW w:w="2340" w:type="dxa"/>
            <w:vAlign w:val="bottom"/>
          </w:tcPr>
          <w:p>
            <w:pPr>
              <w:jc w:val="right"/>
              <w:spacing w:after="0"/>
              <w:rPr>
                <w:sz w:val="20"/>
                <w:szCs w:val="20"/>
                <w:color w:val="auto"/>
              </w:rPr>
            </w:pPr>
            <w:r>
              <w:rPr>
                <w:rFonts w:ascii="Arial" w:cs="Arial" w:eastAsia="Arial" w:hAnsi="Arial"/>
                <w:sz w:val="14"/>
                <w:szCs w:val="14"/>
                <w:color w:val="auto"/>
              </w:rPr>
              <w:t>86.8</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Deferred tax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Long-term operating lease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Long-term employee compensation and related benefits</w:t>
            </w:r>
          </w:p>
        </w:tc>
        <w:tc>
          <w:tcPr>
            <w:tcW w:w="234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5"/>
                <w:szCs w:val="15"/>
                <w:color w:val="auto"/>
              </w:rPr>
            </w:pP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3"/>
        </w:trPr>
        <w:tc>
          <w:tcPr>
            <w:tcW w:w="6420" w:type="dxa"/>
            <w:vAlign w:val="bottom"/>
          </w:tcPr>
          <w:p>
            <w:pPr>
              <w:ind w:left="200"/>
              <w:spacing w:after="0"/>
              <w:rPr>
                <w:sz w:val="20"/>
                <w:szCs w:val="20"/>
                <w:color w:val="auto"/>
              </w:rPr>
            </w:pPr>
            <w:r>
              <w:rPr>
                <w:rFonts w:ascii="Arial" w:cs="Arial" w:eastAsia="Arial" w:hAnsi="Arial"/>
                <w:sz w:val="14"/>
                <w:szCs w:val="14"/>
                <w:color w:val="auto"/>
              </w:rPr>
              <w:t>Long-term derivative liabilities</w:t>
            </w:r>
          </w:p>
        </w:tc>
        <w:tc>
          <w:tcPr>
            <w:tcW w:w="2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10"/>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80"/>
        </w:trPr>
        <w:tc>
          <w:tcPr>
            <w:tcW w:w="6420" w:type="dxa"/>
            <w:vAlign w:val="bottom"/>
          </w:tcPr>
          <w:p>
            <w:pPr>
              <w:ind w:left="200"/>
              <w:spacing w:after="0"/>
              <w:rPr>
                <w:sz w:val="20"/>
                <w:szCs w:val="20"/>
                <w:color w:val="auto"/>
              </w:rPr>
            </w:pPr>
            <w:r>
              <w:rPr>
                <w:rFonts w:ascii="Arial" w:cs="Arial" w:eastAsia="Arial" w:hAnsi="Arial"/>
                <w:sz w:val="14"/>
                <w:szCs w:val="14"/>
                <w:color w:val="auto"/>
              </w:rPr>
              <w:t>Other long-term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20"/>
                <w:szCs w:val="20"/>
                <w:color w:val="auto"/>
              </w:rPr>
            </w:pPr>
            <w:r>
              <w:rPr>
                <w:rFonts w:ascii="Arial" w:cs="Arial" w:eastAsia="Arial" w:hAnsi="Arial"/>
                <w:sz w:val="14"/>
                <w:szCs w:val="14"/>
                <w:color w:val="auto"/>
              </w:rPr>
              <w:t>Total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906.3</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1,290.7</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1,294.6</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1,109.3</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$2,201.0</w:t>
            </w:r>
          </w:p>
        </w:tc>
        <w:tc>
          <w:tcPr>
            <w:tcW w:w="80" w:type="dxa"/>
            <w:vAlign w:val="bottom"/>
          </w:tcPr>
          <w:p>
            <w:pPr>
              <w:spacing w:after="0"/>
              <w:rPr>
                <w:sz w:val="15"/>
                <w:szCs w:val="15"/>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$2,400.0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85" w:hanging="85"/>
        <w:spacing w:after="0"/>
        <w:tabs>
          <w:tab w:leader="none" w:pos="85" w:val="left"/>
        </w:tabs>
        <w:numPr>
          <w:ilvl w:val="0"/>
          <w:numId w:val="21"/>
        </w:numPr>
        <w:rPr>
          <w:rFonts w:ascii="Arial" w:cs="Arial" w:eastAsia="Arial" w:hAnsi="Arial"/>
          <w:sz w:val="14"/>
          <w:szCs w:val="14"/>
          <w:color w:val="auto"/>
        </w:rPr>
      </w:pPr>
      <w:r>
        <w:rPr>
          <w:rFonts w:ascii="Arial" w:cs="Arial" w:eastAsia="Arial" w:hAnsi="Arial"/>
          <w:sz w:val="14"/>
          <w:szCs w:val="14"/>
          <w:color w:val="auto"/>
        </w:rPr>
        <w:t>Numbers may not add precisely due to rounding.</w:t>
      </w:r>
    </w:p>
    <w:p>
      <w:pPr>
        <w:spacing w:after="0" w:line="139" w:lineRule="exact"/>
        <w:rPr>
          <w:rFonts w:ascii="Arial" w:cs="Arial" w:eastAsia="Arial" w:hAnsi="Arial"/>
          <w:sz w:val="14"/>
          <w:szCs w:val="14"/>
          <w:color w:val="auto"/>
        </w:rPr>
      </w:pPr>
    </w:p>
    <w:p>
      <w:pPr>
        <w:ind w:left="465" w:hanging="345"/>
        <w:spacing w:after="0"/>
        <w:tabs>
          <w:tab w:leader="none" w:pos="465" w:val="left"/>
        </w:tabs>
        <w:numPr>
          <w:ilvl w:val="1"/>
          <w:numId w:val="21"/>
        </w:numPr>
        <w:rPr>
          <w:rFonts w:ascii="Arial" w:cs="Arial" w:eastAsia="Arial" w:hAnsi="Arial"/>
          <w:sz w:val="14"/>
          <w:szCs w:val="14"/>
          <w:color w:val="auto"/>
        </w:rPr>
      </w:pPr>
      <w:r>
        <w:rPr>
          <w:rFonts w:ascii="Arial" w:cs="Arial" w:eastAsia="Arial" w:hAnsi="Arial"/>
          <w:sz w:val="14"/>
          <w:szCs w:val="14"/>
          <w:color w:val="auto"/>
        </w:rPr>
        <w:t>The condensed consolidated balance sheet as of December 31, 2020 has been revised.</w:t>
      </w:r>
    </w:p>
    <w:p>
      <w:pPr>
        <w:spacing w:after="0" w:line="312" w:lineRule="exact"/>
        <w:rPr>
          <w:sz w:val="20"/>
          <w:szCs w:val="20"/>
          <w:color w:val="auto"/>
        </w:rPr>
      </w:pPr>
    </w:p>
    <w:p>
      <w:pPr>
        <w:jc w:val="center"/>
        <w:ind w:right="15"/>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05"/>
          </w:cols>
          <w:pgMar w:left="355" w:top="1423"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22" w:lineRule="exact"/>
        <w:rPr>
          <w:sz w:val="20"/>
          <w:szCs w:val="20"/>
          <w:color w:val="auto"/>
        </w:rPr>
      </w:pPr>
    </w:p>
    <w:p>
      <w:pPr>
        <w:ind w:right="2460"/>
        <w:spacing w:after="0" w:line="280" w:lineRule="auto"/>
        <w:rPr>
          <w:sz w:val="20"/>
          <w:szCs w:val="20"/>
          <w:color w:val="auto"/>
        </w:rPr>
      </w:pPr>
      <w:r>
        <w:rPr>
          <w:rFonts w:ascii="Arial" w:cs="Arial" w:eastAsia="Arial" w:hAnsi="Arial"/>
          <w:sz w:val="14"/>
          <w:szCs w:val="14"/>
          <w:b w:val="1"/>
          <w:bCs w:val="1"/>
          <w:color w:val="auto"/>
        </w:rPr>
        <w:t>CONDENSED CONSOLIDATED STATEMENTS OF CASH FLOWS - UNAUDITED (U.S. dollars in millions)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33655</wp:posOffset>
            </wp:positionV>
            <wp:extent cx="2343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3150"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7480" w:space="720"/>
            <w:col w:w="3000"/>
          </w:cols>
          <w:pgMar w:left="340" w:top="628" w:right="35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loss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Non-cash items included in net loss: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Loss on debt extinguishment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Stock-based compensation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Amortization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Depreciation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Remeasurement of derivative instruments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Amortization of operating lease assets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Amortization of debt issuance costs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Deferred tax expense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Remeasurement of contingent consideration to fair value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Impairment of long-lived assets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Impairment of disposal group and loss on sale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Impairment of goodwill</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operating assets and liabilities:</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Accounts receivable, net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Inventories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current and non-current assets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Accounts payable and accrued current and non-current liabilities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Taxes payable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Litigation provision liability</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(used in) operating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sale of Heart Valves, net of cash disposed</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Purchases of property, plant and equipment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sale of Respicardia investment and loan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Purchase of investments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Acquisitions, net of cash acquired</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(used in) investing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Repayment of long-term debt obligations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issuance of ordinary shares, net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Payment of make-whole premium on long-term debt obligations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Shares repurchased from employees for minimum tax withholding</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Payment of contingent consideration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Debt issuance costs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long-term debt obligations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short term borrowings (maturities greater than 90 days)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Repayments of short term borrowings (maturities greater than 90 days)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Purchase of capped call</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Closing adjustment payment for sale of CRM business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(used in) provided by financing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Net (decrease) increase in cash and cash equivalents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Numbers may not add precisely due to rounding.</w:t>
      </w:r>
    </w:p>
    <w:p>
      <w:pPr>
        <w:ind w:left="5480"/>
        <w:spacing w:after="0" w:line="221" w:lineRule="auto"/>
        <w:rPr>
          <w:sz w:val="20"/>
          <w:szCs w:val="20"/>
          <w:color w:val="auto"/>
        </w:rPr>
      </w:pPr>
      <w:r>
        <w:rPr>
          <w:rFonts w:ascii="Arial" w:cs="Arial" w:eastAsia="Arial" w:hAnsi="Arial"/>
          <w:sz w:val="21"/>
          <w:szCs w:val="21"/>
          <w:color w:val="auto"/>
        </w:rPr>
        <w:t>21</w:t>
      </w:r>
    </w:p>
    <w:p>
      <w:pPr>
        <w:spacing w:after="0" w:line="1" w:lineRule="exact"/>
        <w:rPr>
          <w:sz w:val="20"/>
          <w:szCs w:val="20"/>
          <w:color w:val="auto"/>
        </w:rPr>
      </w:pPr>
    </w:p>
    <w:p>
      <w:pPr>
        <w:ind w:left="480" w:hanging="343"/>
        <w:spacing w:after="0"/>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condensed consolidated statement of cash flows for the twelve months ended December 31, 2020 has been revised.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19050</wp:posOffset>
            </wp:positionV>
            <wp:extent cx="1137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($135.8)</w:t>
      </w:r>
    </w:p>
    <w:p>
      <w:pPr>
        <w:spacing w:after="0" w:line="228"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60.2</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40.6</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26.5</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24.5</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17.6</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16.9</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16.7</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2.9</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0.6</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1.9</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0.7</w:t>
      </w:r>
    </w:p>
    <w:p>
      <w:pPr>
        <w:spacing w:after="0" w:line="20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(15.7)</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4.5</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24.1</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13.0</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0.1</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8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42.9</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(25.5)</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23.1</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(3.7)</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(1.7)</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8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(452.3)</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322.6</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(35.6)</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(12.9)</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(5.2)</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(2.5)</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(2.8)</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8890</wp:posOffset>
            </wp:positionV>
            <wp:extent cx="1137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34290</wp:posOffset>
            </wp:positionV>
            <wp:extent cx="11379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0</wp:posOffset>
            </wp:positionV>
            <wp:extent cx="1137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($348.8)</w:t>
      </w:r>
    </w:p>
    <w:p>
      <w:pPr>
        <w:spacing w:after="0" w:line="20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1.4</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35.1</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38.3</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29.0</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22.1</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14.0</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9.7</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37.1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(20.5)</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6.8</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180.2</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21.3</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2.0</w:t>
      </w:r>
    </w:p>
    <w:p>
      <w:pPr>
        <w:spacing w:after="0" w:line="20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58.8</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(0.9)</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2"/>
          <w:szCs w:val="12"/>
          <w:color w:val="auto"/>
        </w:rPr>
        <w:t>(79.4)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23495</wp:posOffset>
            </wp:positionV>
            <wp:extent cx="1137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(35.0)</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(482.1)</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(23.7)</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886.9</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47.1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(44.8)</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(14.9)</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2.2</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8890</wp:posOffset>
            </wp:positionV>
            <wp:extent cx="1137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34290</wp:posOffset>
            </wp:positionV>
            <wp:extent cx="1137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ectPr>
          <w:pgSz w:w="11900" w:h="16838" w:orient="portrait"/>
          <w:cols w:equalWidth="0" w:num="3">
            <w:col w:w="7760" w:space="520"/>
            <w:col w:w="1100" w:space="720"/>
            <w:col w:w="1100"/>
          </w:cols>
          <w:pgMar w:left="340" w:top="628" w:right="35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19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 at Actual</w:t>
            </w:r>
          </w:p>
        </w:tc>
        <w:tc>
          <w:tcPr>
            <w:tcW w:w="1800" w:type="dxa"/>
            <w:vAlign w:val="bottom"/>
          </w:tcPr>
          <w:p>
            <w:pPr>
              <w:jc w:val="right"/>
              <w:ind w:right="70"/>
              <w:spacing w:after="0"/>
              <w:rPr>
                <w:sz w:val="20"/>
                <w:szCs w:val="20"/>
                <w:color w:val="auto"/>
              </w:rPr>
            </w:pPr>
            <w:r>
              <w:rPr>
                <w:rFonts w:ascii="Arial" w:cs="Arial" w:eastAsia="Arial" w:hAnsi="Arial"/>
                <w:sz w:val="14"/>
                <w:szCs w:val="14"/>
                <w:b w:val="1"/>
                <w:bCs w:val="1"/>
                <w:color w:val="auto"/>
              </w:rPr>
              <w:t>% Change at Constant-</w:t>
            </w:r>
          </w:p>
        </w:tc>
      </w:tr>
      <w:tr>
        <w:trPr>
          <w:trHeight w:val="189"/>
        </w:trPr>
        <w:tc>
          <w:tcPr>
            <w:tcW w:w="3700" w:type="dxa"/>
            <w:vAlign w:val="bottom"/>
          </w:tcPr>
          <w:p>
            <w:pPr>
              <w:spacing w:after="0"/>
              <w:rPr>
                <w:sz w:val="16"/>
                <w:szCs w:val="16"/>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Currency Rates</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ind w:right="250"/>
              <w:spacing w:after="0" w:line="189" w:lineRule="exact"/>
              <w:rPr>
                <w:sz w:val="20"/>
                <w:szCs w:val="20"/>
                <w:color w:val="auto"/>
              </w:rPr>
            </w:pPr>
            <w:r>
              <w:rPr>
                <w:rFonts w:ascii="Arial" w:cs="Arial" w:eastAsia="Arial" w:hAnsi="Arial"/>
                <w:sz w:val="14"/>
                <w:szCs w:val="14"/>
                <w:b w:val="1"/>
                <w:bCs w:val="1"/>
                <w:color w:val="auto"/>
              </w:rPr>
              <w:t xml:space="preserve">Currency Rates </w:t>
            </w:r>
            <w:r>
              <w:rPr>
                <w:rFonts w:ascii="Arial" w:cs="Arial" w:eastAsia="Arial" w:hAnsi="Arial"/>
                <w:sz w:val="18"/>
                <w:szCs w:val="18"/>
                <w:b w:val="1"/>
                <w:bCs w:val="1"/>
                <w:color w:val="auto"/>
                <w:vertAlign w:val="superscript"/>
              </w:rPr>
              <w:t>(1)</w:t>
            </w:r>
          </w:p>
        </w:tc>
      </w:tr>
      <w:tr>
        <w:trPr>
          <w:trHeight w:val="179"/>
        </w:trPr>
        <w:tc>
          <w:tcPr>
            <w:tcW w:w="4880" w:type="dxa"/>
            <w:vAlign w:val="bottom"/>
            <w:gridSpan w:val="2"/>
          </w:tcPr>
          <w:p>
            <w:pPr>
              <w:spacing w:after="0"/>
              <w:rPr>
                <w:sz w:val="20"/>
                <w:szCs w:val="20"/>
                <w:color w:val="auto"/>
              </w:rPr>
            </w:pPr>
            <w:r>
              <w:rPr>
                <w:rFonts w:ascii="Arial" w:cs="Arial" w:eastAsia="Arial" w:hAnsi="Arial"/>
                <w:sz w:val="14"/>
                <w:szCs w:val="14"/>
                <w:color w:val="auto"/>
              </w:rPr>
              <w:t>Total GAAP net sales</w:t>
            </w:r>
          </w:p>
        </w:tc>
        <w:tc>
          <w:tcPr>
            <w:tcW w:w="620" w:type="dxa"/>
            <w:vAlign w:val="bottom"/>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$269.6</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180"/>
        </w:trPr>
        <w:tc>
          <w:tcPr>
            <w:tcW w:w="3700" w:type="dxa"/>
            <w:vAlign w:val="bottom"/>
          </w:tcPr>
          <w:p>
            <w:pPr>
              <w:spacing w:after="0"/>
              <w:rPr>
                <w:sz w:val="20"/>
                <w:szCs w:val="20"/>
                <w:color w:val="auto"/>
              </w:rPr>
            </w:pPr>
            <w:r>
              <w:rPr>
                <w:rFonts w:ascii="Arial" w:cs="Arial" w:eastAsia="Arial" w:hAnsi="Arial"/>
                <w:sz w:val="14"/>
                <w:szCs w:val="14"/>
                <w:color w:val="auto"/>
              </w:rPr>
              <w:t>Less Heart Valves net sales</w:t>
            </w: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1900" w:type="dxa"/>
            <w:vAlign w:val="bottom"/>
            <w:gridSpan w:val="2"/>
          </w:tcPr>
          <w:p>
            <w:pPr>
              <w:ind w:left="1560"/>
              <w:spacing w:after="0"/>
              <w:rPr>
                <w:sz w:val="20"/>
                <w:szCs w:val="20"/>
                <w:color w:val="auto"/>
              </w:rPr>
            </w:pPr>
            <w:r>
              <w:rPr>
                <w:rFonts w:ascii="Arial" w:cs="Arial" w:eastAsia="Arial" w:hAnsi="Arial"/>
                <w:sz w:val="14"/>
                <w:szCs w:val="14"/>
                <w:color w:val="auto"/>
              </w:rPr>
              <w:t>N/A</w:t>
            </w:r>
          </w:p>
        </w:tc>
        <w:tc>
          <w:tcPr>
            <w:tcW w:w="18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76"/>
        </w:trPr>
        <w:tc>
          <w:tcPr>
            <w:tcW w:w="4880" w:type="dxa"/>
            <w:vAlign w:val="bottom"/>
            <w:gridSpan w:val="2"/>
          </w:tcPr>
          <w:p>
            <w:pPr>
              <w:spacing w:after="0"/>
              <w:rPr>
                <w:sz w:val="20"/>
                <w:szCs w:val="20"/>
                <w:color w:val="auto"/>
              </w:rPr>
            </w:pPr>
            <w:r>
              <w:rPr>
                <w:rFonts w:ascii="Arial" w:cs="Arial" w:eastAsia="Arial" w:hAnsi="Arial"/>
                <w:sz w:val="14"/>
                <w:szCs w:val="14"/>
                <w:color w:val="auto"/>
              </w:rPr>
              <w:t>Total net sales, excluding Heart Valves</w:t>
            </w:r>
          </w:p>
        </w:tc>
        <w:tc>
          <w:tcPr>
            <w:tcW w:w="620" w:type="dxa"/>
            <w:vAlign w:val="bottom"/>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$245.3</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10.1 %</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11.8 %</w:t>
            </w:r>
          </w:p>
        </w:tc>
      </w:tr>
      <w:tr>
        <w:trPr>
          <w:trHeight w:val="20"/>
        </w:trPr>
        <w:tc>
          <w:tcPr>
            <w:tcW w:w="3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15"/>
        </w:trPr>
        <w:tc>
          <w:tcPr>
            <w:tcW w:w="37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76"/>
        </w:trPr>
        <w:tc>
          <w:tcPr>
            <w:tcW w:w="3700" w:type="dxa"/>
            <w:vAlign w:val="bottom"/>
          </w:tcPr>
          <w:p>
            <w:pPr>
              <w:spacing w:after="0"/>
              <w:rPr>
                <w:sz w:val="15"/>
                <w:szCs w:val="15"/>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9"/>
        </w:trPr>
        <w:tc>
          <w:tcPr>
            <w:tcW w:w="4880" w:type="dxa"/>
            <w:vAlign w:val="bottom"/>
            <w:gridSpan w:val="2"/>
          </w:tcPr>
          <w:p>
            <w:pPr>
              <w:spacing w:after="0"/>
              <w:rPr>
                <w:sz w:val="20"/>
                <w:szCs w:val="20"/>
                <w:color w:val="auto"/>
              </w:rPr>
            </w:pPr>
            <w:r>
              <w:rPr>
                <w:rFonts w:ascii="Arial" w:cs="Arial" w:eastAsia="Arial" w:hAnsi="Arial"/>
                <w:sz w:val="14"/>
                <w:szCs w:val="14"/>
                <w:color w:val="auto"/>
              </w:rPr>
              <w:t>Total GAAP net sales</w:t>
            </w:r>
          </w:p>
        </w:tc>
        <w:tc>
          <w:tcPr>
            <w:tcW w:w="620" w:type="dxa"/>
            <w:vAlign w:val="bottom"/>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$287.6</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0"/>
        </w:trPr>
        <w:tc>
          <w:tcPr>
            <w:tcW w:w="3700" w:type="dxa"/>
            <w:vAlign w:val="bottom"/>
          </w:tcPr>
          <w:p>
            <w:pPr>
              <w:spacing w:after="0"/>
              <w:rPr>
                <w:sz w:val="20"/>
                <w:szCs w:val="20"/>
                <w:color w:val="auto"/>
              </w:rPr>
            </w:pPr>
            <w:r>
              <w:rPr>
                <w:rFonts w:ascii="Arial" w:cs="Arial" w:eastAsia="Arial" w:hAnsi="Arial"/>
                <w:sz w:val="14"/>
                <w:szCs w:val="14"/>
                <w:color w:val="auto"/>
              </w:rPr>
              <w:t>Less Heart Valves net sales</w:t>
            </w: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1900" w:type="dxa"/>
            <w:vAlign w:val="bottom"/>
            <w:gridSpan w:val="2"/>
          </w:tcPr>
          <w:p>
            <w:pPr>
              <w:ind w:left="1560"/>
              <w:spacing w:after="0"/>
              <w:rPr>
                <w:sz w:val="20"/>
                <w:szCs w:val="20"/>
                <w:color w:val="auto"/>
              </w:rPr>
            </w:pPr>
            <w:r>
              <w:rPr>
                <w:rFonts w:ascii="Arial" w:cs="Arial" w:eastAsia="Arial" w:hAnsi="Arial"/>
                <w:sz w:val="14"/>
                <w:szCs w:val="14"/>
                <w:color w:val="auto"/>
              </w:rPr>
              <w:t>N/A</w:t>
            </w:r>
          </w:p>
        </w:tc>
        <w:tc>
          <w:tcPr>
            <w:tcW w:w="18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76"/>
        </w:trPr>
        <w:tc>
          <w:tcPr>
            <w:tcW w:w="4880" w:type="dxa"/>
            <w:vAlign w:val="bottom"/>
            <w:gridSpan w:val="2"/>
          </w:tcPr>
          <w:p>
            <w:pPr>
              <w:spacing w:after="0"/>
              <w:rPr>
                <w:sz w:val="20"/>
                <w:szCs w:val="20"/>
                <w:color w:val="auto"/>
              </w:rPr>
            </w:pPr>
            <w:r>
              <w:rPr>
                <w:rFonts w:ascii="Arial" w:cs="Arial" w:eastAsia="Arial" w:hAnsi="Arial"/>
                <w:sz w:val="14"/>
                <w:szCs w:val="14"/>
                <w:color w:val="auto"/>
              </w:rPr>
              <w:t>Total net sales, excluding Heart Valves</w:t>
            </w:r>
          </w:p>
        </w:tc>
        <w:tc>
          <w:tcPr>
            <w:tcW w:w="620" w:type="dxa"/>
            <w:vAlign w:val="bottom"/>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$255.5</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6.2 %</w:t>
            </w:r>
          </w:p>
        </w:tc>
      </w:tr>
      <w:tr>
        <w:trPr>
          <w:trHeight w:val="20"/>
        </w:trPr>
        <w:tc>
          <w:tcPr>
            <w:tcW w:w="3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83" w:lineRule="exact"/>
        <w:rPr>
          <w:sz w:val="20"/>
          <w:szCs w:val="20"/>
          <w:color w:val="auto"/>
        </w:rPr>
      </w:pPr>
    </w:p>
    <w:p>
      <w:pPr>
        <w:ind w:left="420" w:right="40" w:hanging="398"/>
        <w:spacing w:after="0" w:line="222"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16" w:lineRule="exact"/>
        <w:rPr>
          <w:sz w:val="20"/>
          <w:szCs w:val="20"/>
          <w:color w:val="auto"/>
        </w:rPr>
      </w:pPr>
    </w:p>
    <w:p>
      <w:pPr>
        <w:ind w:left="420" w:hanging="398"/>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Numbers may not add precisely due to rounding.</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 w:type="dxa"/>
            <w:vAlign w:val="bottom"/>
            <w:tcBorders>
              <w:top w:val="single" w:sz="8" w:color="auto"/>
            </w:tcBorders>
          </w:tcPr>
          <w:p>
            <w:pPr>
              <w:spacing w:after="0"/>
              <w:rPr>
                <w:sz w:val="15"/>
                <w:szCs w:val="15"/>
                <w:color w:val="auto"/>
              </w:rPr>
            </w:pPr>
          </w:p>
        </w:tc>
        <w:tc>
          <w:tcPr>
            <w:tcW w:w="7660" w:type="dxa"/>
            <w:vAlign w:val="bottom"/>
            <w:tcBorders>
              <w:top w:val="single" w:sz="8" w:color="auto"/>
            </w:tcBorders>
          </w:tcPr>
          <w:p>
            <w:pPr>
              <w:spacing w:after="0"/>
              <w:rPr>
                <w:sz w:val="15"/>
                <w:szCs w:val="15"/>
                <w:color w:val="auto"/>
              </w:rPr>
            </w:pPr>
          </w:p>
        </w:tc>
        <w:tc>
          <w:tcPr>
            <w:tcW w:w="3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Twelve Months Ended December 31, 2021</w:t>
            </w:r>
          </w:p>
        </w:tc>
        <w:tc>
          <w:tcPr>
            <w:tcW w:w="0" w:type="dxa"/>
            <w:vAlign w:val="bottom"/>
          </w:tcPr>
          <w:p>
            <w:pPr>
              <w:spacing w:after="0"/>
              <w:rPr>
                <w:sz w:val="1"/>
                <w:szCs w:val="1"/>
                <w:color w:val="auto"/>
              </w:rPr>
            </w:pPr>
          </w:p>
        </w:tc>
      </w:tr>
      <w:tr>
        <w:trPr>
          <w:trHeight w:val="179"/>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320" w:type="dxa"/>
            <w:vAlign w:val="bottom"/>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3"/>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Less: Purchases of plant, property and equipment</w:t>
            </w:r>
          </w:p>
        </w:tc>
        <w:tc>
          <w:tcPr>
            <w:tcW w:w="332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3"/>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Less: Cash received from tax stimulus</w:t>
            </w:r>
          </w:p>
        </w:tc>
        <w:tc>
          <w:tcPr>
            <w:tcW w:w="332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3"/>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Less: Dividends received from investment</w:t>
            </w:r>
          </w:p>
        </w:tc>
        <w:tc>
          <w:tcPr>
            <w:tcW w:w="33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0"/>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Add: 3T litigation payments</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76"/>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Adjusted free cash flow</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0"/>
        </w:trPr>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60" w:type="dxa"/>
            <w:vAlign w:val="bottom"/>
            <w:vMerge w:val="restart"/>
          </w:tcPr>
          <w:p>
            <w:pPr>
              <w:ind w:left="180"/>
              <w:spacing w:after="0"/>
              <w:rPr>
                <w:sz w:val="20"/>
                <w:szCs w:val="20"/>
                <w:color w:val="auto"/>
              </w:rPr>
            </w:pPr>
            <w:r>
              <w:rPr>
                <w:rFonts w:ascii="Arial" w:cs="Arial" w:eastAsia="Arial" w:hAnsi="Arial"/>
                <w:sz w:val="14"/>
                <w:szCs w:val="14"/>
                <w:color w:val="auto"/>
              </w:rPr>
              <w:t>Numbers may not add precisely due to rounding.</w:t>
            </w:r>
          </w:p>
        </w:tc>
        <w:tc>
          <w:tcPr>
            <w:tcW w:w="3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0" w:type="dxa"/>
            <w:vAlign w:val="bottom"/>
            <w:vMerge w:val="continue"/>
          </w:tcPr>
          <w:p>
            <w:pPr>
              <w:spacing w:after="0"/>
              <w:rPr>
                <w:sz w:val="21"/>
                <w:szCs w:val="21"/>
                <w:color w:val="auto"/>
              </w:rPr>
            </w:pPr>
          </w:p>
        </w:tc>
        <w:tc>
          <w:tcPr>
            <w:tcW w:w="7660" w:type="dxa"/>
            <w:vAlign w:val="bottom"/>
            <w:vMerge w:val="continue"/>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right="240"/>
        <w:spacing w:after="0" w:line="375" w:lineRule="auto"/>
        <w:rPr>
          <w:sz w:val="20"/>
          <w:szCs w:val="20"/>
          <w:color w:val="auto"/>
        </w:rPr>
      </w:pPr>
      <w:r>
        <w:rPr>
          <w:rFonts w:ascii="Arial" w:cs="Arial" w:eastAsia="Arial" w:hAnsi="Arial"/>
          <w:sz w:val="17"/>
          <w:szCs w:val="17"/>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ind w:left="20"/>
        <w:spacing w:after="0" w:line="222" w:lineRule="auto"/>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19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0" w:right="160"/>
        <w:spacing w:after="0" w:line="222" w:lineRule="auto"/>
        <w:rPr>
          <w:sz w:val="20"/>
          <w:szCs w:val="20"/>
          <w:color w:val="auto"/>
        </w:rPr>
      </w:pPr>
      <w:r>
        <w:rPr>
          <w:rFonts w:ascii="Arial" w:cs="Arial" w:eastAsia="Arial" w:hAnsi="Arial"/>
          <w:sz w:val="14"/>
          <w:szCs w:val="14"/>
          <w:color w:val="auto"/>
        </w:rPr>
        <w:t>GAAP diluted weighted average shares outstanding</w:t>
      </w:r>
    </w:p>
    <w:p>
      <w:pPr>
        <w:spacing w:after="0" w:line="16" w:lineRule="exact"/>
        <w:rPr>
          <w:sz w:val="20"/>
          <w:szCs w:val="20"/>
          <w:color w:val="auto"/>
        </w:rPr>
      </w:pPr>
    </w:p>
    <w:p>
      <w:pPr>
        <w:ind w:left="20" w:right="60"/>
        <w:spacing w:after="0" w:line="222" w:lineRule="auto"/>
        <w:rPr>
          <w:sz w:val="20"/>
          <w:szCs w:val="20"/>
          <w:color w:val="auto"/>
        </w:rPr>
      </w:pPr>
      <w:r>
        <w:rPr>
          <w:rFonts w:ascii="Arial" w:cs="Arial" w:eastAsia="Arial" w:hAnsi="Arial"/>
          <w:sz w:val="14"/>
          <w:szCs w:val="14"/>
          <w:color w:val="auto"/>
        </w:rPr>
        <w:t>Add effects of stock-based compensation instruments</w:t>
      </w:r>
    </w:p>
    <w:p>
      <w:pPr>
        <w:spacing w:after="0" w:line="16" w:lineRule="exact"/>
        <w:rPr>
          <w:sz w:val="20"/>
          <w:szCs w:val="20"/>
          <w:color w:val="auto"/>
        </w:rPr>
      </w:pPr>
    </w:p>
    <w:p>
      <w:pPr>
        <w:ind w:left="20"/>
        <w:spacing w:after="0" w:line="222" w:lineRule="auto"/>
        <w:rPr>
          <w:sz w:val="20"/>
          <w:szCs w:val="20"/>
          <w:color w:val="auto"/>
        </w:rPr>
      </w:pPr>
      <w:r>
        <w:rPr>
          <w:rFonts w:ascii="Arial" w:cs="Arial" w:eastAsia="Arial" w:hAnsi="Arial"/>
          <w:sz w:val="14"/>
          <w:szCs w:val="14"/>
          <w:color w:val="auto"/>
        </w:rPr>
        <w:t xml:space="preserve">Adjusted diluted weighted average shares outstanding </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33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Three Months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Twelve Months Ended December 31,</w:t>
            </w:r>
          </w:p>
        </w:tc>
        <w:tc>
          <w:tcPr>
            <w:tcW w:w="560" w:type="dxa"/>
            <w:vAlign w:val="bottom"/>
            <w:tcBorders>
              <w:bottom w:val="single" w:sz="8" w:color="auto"/>
            </w:tcBorders>
          </w:tcPr>
          <w:p>
            <w:pPr>
              <w:spacing w:after="0"/>
              <w:rPr>
                <w:sz w:val="15"/>
                <w:szCs w:val="15"/>
                <w:color w:val="auto"/>
              </w:rPr>
            </w:pPr>
          </w:p>
        </w:tc>
      </w:tr>
      <w:tr>
        <w:trPr>
          <w:trHeight w:val="176"/>
        </w:trPr>
        <w:tc>
          <w:tcPr>
            <w:tcW w:w="1340" w:type="dxa"/>
            <w:vAlign w:val="bottom"/>
          </w:tcPr>
          <w:p>
            <w:pPr>
              <w:ind w:left="800"/>
              <w:spacing w:after="0"/>
              <w:rPr>
                <w:sz w:val="20"/>
                <w:szCs w:val="20"/>
                <w:color w:val="auto"/>
              </w:rPr>
            </w:pPr>
            <w:r>
              <w:rPr>
                <w:rFonts w:ascii="Arial" w:cs="Arial" w:eastAsia="Arial" w:hAnsi="Arial"/>
                <w:sz w:val="14"/>
                <w:szCs w:val="14"/>
                <w:b w:val="1"/>
                <w:bCs w:val="1"/>
                <w:color w:val="auto"/>
              </w:rPr>
              <w:t>2021</w:t>
            </w:r>
          </w:p>
        </w:tc>
        <w:tc>
          <w:tcPr>
            <w:tcW w:w="2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20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2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r>
      <w:tr>
        <w:trPr>
          <w:trHeight w:val="297"/>
        </w:trPr>
        <w:tc>
          <w:tcPr>
            <w:tcW w:w="13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48.6</w:t>
            </w:r>
          </w:p>
        </w:tc>
      </w:tr>
      <w:tr>
        <w:trPr>
          <w:trHeight w:val="311"/>
        </w:trPr>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68"/>
        </w:trPr>
        <w:tc>
          <w:tcPr>
            <w:tcW w:w="13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ectPr>
          <w:pgSz w:w="11900" w:h="16838" w:orient="portrait"/>
          <w:cols w:equalWidth="0" w:num="2">
            <w:col w:w="2620" w:space="640"/>
            <w:col w:w="7980"/>
          </w:cols>
          <w:pgMar w:left="320" w:top="1409" w:right="339" w:bottom="1440" w:gutter="0" w:footer="0" w:header="0"/>
          <w:type w:val="continuous"/>
        </w:sectPr>
      </w:pPr>
    </w:p>
    <w:p>
      <w:pPr>
        <w:ind w:left="440" w:right="100" w:hanging="418"/>
        <w:spacing w:after="0" w:line="222" w:lineRule="auto"/>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Adjusted diluted weighted average shares outstanding is a non-GAAP measure and includes the effects of stock-based compensation instruments, as reconciled in the above table.</w:t>
      </w:r>
    </w:p>
    <w:p>
      <w:pPr>
        <w:spacing w:after="0" w:line="16" w:lineRule="exact"/>
        <w:rPr>
          <w:sz w:val="20"/>
          <w:szCs w:val="20"/>
          <w:color w:val="auto"/>
        </w:rPr>
      </w:pPr>
    </w:p>
    <w:p>
      <w:pPr>
        <w:ind w:left="440" w:hanging="418"/>
        <w:spacing w:after="0"/>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Numbers may not add precisely due to rounding.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09" w:right="339" w:bottom="1440" w:gutter="0" w:footer="0" w:header="0"/>
          <w:type w:val="continuous"/>
        </w:sectPr>
      </w:pPr>
    </w:p>
    <w:bookmarkStart w:id="25" w:name="page26"/>
    <w:bookmarkEnd w:id="25"/>
    <w:p>
      <w:pPr>
        <w:ind w:left="20" w:right="4800"/>
        <w:spacing w:after="0" w:line="232" w:lineRule="auto"/>
        <w:rPr>
          <w:sz w:val="20"/>
          <w:szCs w:val="20"/>
          <w:color w:val="auto"/>
        </w:rPr>
      </w:pPr>
      <w:r>
        <w:rPr>
          <w:rFonts w:ascii="Arial" w:cs="Arial" w:eastAsia="Arial" w:hAnsi="Arial"/>
          <w:sz w:val="14"/>
          <w:szCs w:val="14"/>
          <w:b w:val="1"/>
          <w:bCs w:val="1"/>
          <w:color w:val="auto"/>
        </w:rPr>
        <w:t>SUPPLEMENTAL UNAUDITED REVISED FINANCIAL INFORMATION AND NON-GAAP MEASURES (U.S. dollars in millions, except per share and statistics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4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60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5"/>
                <w:szCs w:val="15"/>
                <w:color w:val="auto"/>
              </w:rPr>
            </w:pPr>
          </w:p>
        </w:tc>
        <w:tc>
          <w:tcPr>
            <w:tcW w:w="16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3"/>
        </w:trPr>
        <w:tc>
          <w:tcPr>
            <w:tcW w:w="2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As Reported</w:t>
            </w:r>
          </w:p>
        </w:tc>
        <w:tc>
          <w:tcPr>
            <w:tcW w:w="880" w:type="dxa"/>
            <w:vAlign w:val="bottom"/>
            <w:gridSpan w:val="2"/>
          </w:tcPr>
          <w:p>
            <w:pPr>
              <w:ind w:left="20"/>
              <w:spacing w:after="0" w:line="164" w:lineRule="exact"/>
              <w:rPr>
                <w:sz w:val="20"/>
                <w:szCs w:val="20"/>
                <w:color w:val="auto"/>
              </w:rPr>
            </w:pPr>
            <w:r>
              <w:rPr>
                <w:rFonts w:ascii="Arial" w:cs="Arial" w:eastAsia="Arial" w:hAnsi="Arial"/>
                <w:sz w:val="12"/>
                <w:szCs w:val="12"/>
                <w:color w:val="auto"/>
              </w:rPr>
              <w:t xml:space="preserve">As Revised </w:t>
            </w:r>
            <w:r>
              <w:rPr>
                <w:rFonts w:ascii="Arial" w:cs="Arial" w:eastAsia="Arial" w:hAnsi="Arial"/>
                <w:sz w:val="15"/>
                <w:szCs w:val="15"/>
                <w:color w:val="auto"/>
                <w:vertAlign w:val="superscript"/>
              </w:rPr>
              <w:t>(1)</w:t>
            </w:r>
          </w:p>
        </w:tc>
        <w:tc>
          <w:tcPr>
            <w:tcW w:w="860" w:type="dxa"/>
            <w:vAlign w:val="bottom"/>
          </w:tcPr>
          <w:p>
            <w:pPr>
              <w:jc w:val="right"/>
              <w:ind w:right="51"/>
              <w:spacing w:after="0"/>
              <w:rPr>
                <w:sz w:val="20"/>
                <w:szCs w:val="20"/>
                <w:color w:val="auto"/>
              </w:rPr>
            </w:pPr>
            <w:r>
              <w:rPr>
                <w:rFonts w:ascii="Arial" w:cs="Arial" w:eastAsia="Arial" w:hAnsi="Arial"/>
                <w:sz w:val="12"/>
                <w:szCs w:val="12"/>
                <w:color w:val="auto"/>
              </w:rPr>
              <w:t>As Reported</w:t>
            </w:r>
          </w:p>
        </w:tc>
        <w:tc>
          <w:tcPr>
            <w:tcW w:w="860" w:type="dxa"/>
            <w:vAlign w:val="bottom"/>
            <w:gridSpan w:val="2"/>
          </w:tcPr>
          <w:p>
            <w:pPr>
              <w:ind w:left="40"/>
              <w:spacing w:after="0"/>
              <w:rPr>
                <w:sz w:val="20"/>
                <w:szCs w:val="20"/>
                <w:color w:val="auto"/>
              </w:rPr>
            </w:pPr>
            <w:r>
              <w:rPr>
                <w:rFonts w:ascii="Arial" w:cs="Arial" w:eastAsia="Arial" w:hAnsi="Arial"/>
                <w:sz w:val="12"/>
                <w:szCs w:val="12"/>
                <w:color w:val="auto"/>
              </w:rPr>
              <w:t>As Revised</w:t>
            </w:r>
          </w:p>
        </w:tc>
        <w:tc>
          <w:tcPr>
            <w:tcW w:w="840" w:type="dxa"/>
            <w:vAlign w:val="bottom"/>
          </w:tcPr>
          <w:p>
            <w:pPr>
              <w:jc w:val="right"/>
              <w:ind w:right="31"/>
              <w:spacing w:after="0"/>
              <w:rPr>
                <w:sz w:val="20"/>
                <w:szCs w:val="20"/>
                <w:color w:val="auto"/>
              </w:rPr>
            </w:pPr>
            <w:r>
              <w:rPr>
                <w:rFonts w:ascii="Arial" w:cs="Arial" w:eastAsia="Arial" w:hAnsi="Arial"/>
                <w:sz w:val="12"/>
                <w:szCs w:val="12"/>
                <w:color w:val="auto"/>
              </w:rPr>
              <w:t>As Reported</w:t>
            </w:r>
          </w:p>
        </w:tc>
        <w:tc>
          <w:tcPr>
            <w:tcW w:w="860" w:type="dxa"/>
            <w:vAlign w:val="bottom"/>
            <w:gridSpan w:val="2"/>
          </w:tcPr>
          <w:p>
            <w:pPr>
              <w:ind w:left="60"/>
              <w:spacing w:after="0"/>
              <w:rPr>
                <w:sz w:val="20"/>
                <w:szCs w:val="20"/>
                <w:color w:val="auto"/>
              </w:rPr>
            </w:pPr>
            <w:r>
              <w:rPr>
                <w:rFonts w:ascii="Arial" w:cs="Arial" w:eastAsia="Arial" w:hAnsi="Arial"/>
                <w:sz w:val="12"/>
                <w:szCs w:val="12"/>
                <w:color w:val="auto"/>
              </w:rPr>
              <w:t>As Revised</w:t>
            </w:r>
          </w:p>
        </w:tc>
        <w:tc>
          <w:tcPr>
            <w:tcW w:w="820" w:type="dxa"/>
            <w:vAlign w:val="bottom"/>
          </w:tcPr>
          <w:p>
            <w:pPr>
              <w:jc w:val="right"/>
              <w:spacing w:after="0"/>
              <w:rPr>
                <w:sz w:val="20"/>
                <w:szCs w:val="20"/>
                <w:color w:val="auto"/>
              </w:rPr>
            </w:pPr>
            <w:r>
              <w:rPr>
                <w:rFonts w:ascii="Arial" w:cs="Arial" w:eastAsia="Arial" w:hAnsi="Arial"/>
                <w:sz w:val="12"/>
                <w:szCs w:val="12"/>
                <w:color w:val="auto"/>
              </w:rPr>
              <w:t>As Reported</w:t>
            </w:r>
          </w:p>
        </w:tc>
        <w:tc>
          <w:tcPr>
            <w:tcW w:w="920" w:type="dxa"/>
            <w:vAlign w:val="bottom"/>
            <w:gridSpan w:val="2"/>
          </w:tcPr>
          <w:p>
            <w:pPr>
              <w:ind w:left="40"/>
              <w:spacing w:after="0" w:line="164" w:lineRule="exact"/>
              <w:rPr>
                <w:sz w:val="20"/>
                <w:szCs w:val="20"/>
                <w:color w:val="auto"/>
              </w:rPr>
            </w:pPr>
            <w:r>
              <w:rPr>
                <w:rFonts w:ascii="Arial" w:cs="Arial" w:eastAsia="Arial" w:hAnsi="Arial"/>
                <w:sz w:val="12"/>
                <w:szCs w:val="12"/>
                <w:color w:val="auto"/>
              </w:rPr>
              <w:t xml:space="preserve">As Revised </w:t>
            </w:r>
            <w:r>
              <w:rPr>
                <w:rFonts w:ascii="Arial" w:cs="Arial" w:eastAsia="Arial" w:hAnsi="Arial"/>
                <w:sz w:val="15"/>
                <w:szCs w:val="15"/>
                <w:color w:val="auto"/>
                <w:vertAlign w:val="superscript"/>
              </w:rPr>
              <w:t>(1)</w:t>
            </w:r>
          </w:p>
        </w:tc>
        <w:tc>
          <w:tcPr>
            <w:tcW w:w="820" w:type="dxa"/>
            <w:vAlign w:val="bottom"/>
          </w:tcPr>
          <w:p>
            <w:pPr>
              <w:jc w:val="right"/>
              <w:ind w:right="11"/>
              <w:spacing w:after="0"/>
              <w:rPr>
                <w:sz w:val="20"/>
                <w:szCs w:val="20"/>
                <w:color w:val="auto"/>
              </w:rPr>
            </w:pPr>
            <w:r>
              <w:rPr>
                <w:rFonts w:ascii="Arial" w:cs="Arial" w:eastAsia="Arial" w:hAnsi="Arial"/>
                <w:sz w:val="12"/>
                <w:szCs w:val="12"/>
                <w:color w:val="auto"/>
              </w:rPr>
              <w:t>As Reported</w:t>
            </w:r>
          </w:p>
        </w:tc>
        <w:tc>
          <w:tcPr>
            <w:tcW w:w="820" w:type="dxa"/>
            <w:vAlign w:val="bottom"/>
          </w:tcPr>
          <w:p>
            <w:pPr>
              <w:jc w:val="right"/>
              <w:spacing w:after="0" w:line="164" w:lineRule="exact"/>
              <w:rPr>
                <w:sz w:val="20"/>
                <w:szCs w:val="20"/>
                <w:color w:val="auto"/>
              </w:rPr>
            </w:pPr>
            <w:r>
              <w:rPr>
                <w:rFonts w:ascii="Arial" w:cs="Arial" w:eastAsia="Arial" w:hAnsi="Arial"/>
                <w:sz w:val="12"/>
                <w:szCs w:val="12"/>
                <w:color w:val="auto"/>
                <w:w w:val="99"/>
              </w:rPr>
              <w:t xml:space="preserve">As Revised </w:t>
            </w:r>
            <w:r>
              <w:rPr>
                <w:rFonts w:ascii="Arial" w:cs="Arial" w:eastAsia="Arial" w:hAnsi="Arial"/>
                <w:sz w:val="15"/>
                <w:szCs w:val="15"/>
                <w:color w:val="auto"/>
                <w:w w:val="99"/>
                <w:vertAlign w:val="superscript"/>
              </w:rPr>
              <w:t>(1)</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GAAP</w:t>
            </w:r>
          </w:p>
        </w:tc>
        <w:tc>
          <w:tcPr>
            <w:tcW w:w="8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$68.9</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5"/>
                <w:szCs w:val="15"/>
                <w:color w:val="auto"/>
              </w:rPr>
            </w:pPr>
          </w:p>
        </w:tc>
        <w:tc>
          <w:tcPr>
            <w:tcW w:w="860" w:type="dxa"/>
            <w:vAlign w:val="bottom"/>
          </w:tcPr>
          <w:p>
            <w:pPr>
              <w:jc w:val="right"/>
              <w:ind w:right="171"/>
              <w:spacing w:after="0"/>
              <w:rPr>
                <w:sz w:val="20"/>
                <w:szCs w:val="20"/>
                <w:color w:val="auto"/>
              </w:rPr>
            </w:pPr>
            <w:r>
              <w:rPr>
                <w:rFonts w:ascii="Arial" w:cs="Arial" w:eastAsia="Arial" w:hAnsi="Arial"/>
                <w:sz w:val="14"/>
                <w:szCs w:val="14"/>
                <w:color w:val="auto"/>
              </w:rPr>
              <w:t>$65.7</w:t>
            </w:r>
          </w:p>
        </w:tc>
        <w:tc>
          <w:tcPr>
            <w:tcW w:w="760" w:type="dxa"/>
            <w:vAlign w:val="bottom"/>
          </w:tcPr>
          <w:p>
            <w:pPr>
              <w:jc w:val="right"/>
              <w:ind w:right="111"/>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5"/>
                <w:szCs w:val="15"/>
                <w:color w:val="auto"/>
              </w:rPr>
            </w:pP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$92.4</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5"/>
                <w:szCs w:val="15"/>
                <w:color w:val="auto"/>
              </w:rPr>
            </w:pP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$95.9</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5"/>
                <w:szCs w:val="15"/>
                <w:color w:val="auto"/>
              </w:rPr>
            </w:pP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$308.1</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$339.5</w:t>
            </w: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Operating income (loss) from continuing</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0.6</w:t>
            </w:r>
          </w:p>
        </w:tc>
        <w:tc>
          <w:tcPr>
            <w:tcW w:w="780" w:type="dxa"/>
            <w:vAlign w:val="bottom"/>
            <w:vMerge w:val="restart"/>
          </w:tcPr>
          <w:p>
            <w:pPr>
              <w:ind w:left="36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(15.2)</w:t>
            </w:r>
          </w:p>
        </w:tc>
        <w:tc>
          <w:tcPr>
            <w:tcW w:w="760" w:type="dxa"/>
            <w:vAlign w:val="bottom"/>
            <w:vMerge w:val="restart"/>
          </w:tcPr>
          <w:p>
            <w:pPr>
              <w:jc w:val="right"/>
              <w:ind w:right="71"/>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2"/>
                <w:szCs w:val="12"/>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(7.5)</w:t>
            </w: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(247.7)</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(269.9)</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Net income (loss) from continuing</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38.6</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(88.0)</w:t>
            </w:r>
          </w:p>
        </w:tc>
        <w:tc>
          <w:tcPr>
            <w:tcW w:w="760" w:type="dxa"/>
            <w:vAlign w:val="bottom"/>
            <w:vMerge w:val="restart"/>
          </w:tcPr>
          <w:p>
            <w:pPr>
              <w:jc w:val="right"/>
              <w:ind w:right="71"/>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2"/>
                <w:szCs w:val="12"/>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(14.8)</w:t>
            </w: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(279.3)</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(280.6)</w:t>
            </w:r>
          </w:p>
        </w:tc>
        <w:tc>
          <w:tcPr>
            <w:tcW w:w="10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(343.5)</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Diluted earnings per share from continuing</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$0.79</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($1.81)</w:t>
            </w:r>
          </w:p>
        </w:tc>
        <w:tc>
          <w:tcPr>
            <w:tcW w:w="760" w:type="dxa"/>
            <w:vAlign w:val="bottom"/>
            <w:vMerge w:val="restart"/>
          </w:tcPr>
          <w:p>
            <w:pPr>
              <w:jc w:val="right"/>
              <w:ind w:right="71"/>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2"/>
                <w:szCs w:val="12"/>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($0.30)</w:t>
            </w: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($5.74)</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($7.07)</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Statistics (as a % of net sales, except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120"/>
              <w:spacing w:after="0"/>
              <w:rPr>
                <w:sz w:val="20"/>
                <w:szCs w:val="20"/>
                <w:color w:val="auto"/>
              </w:rPr>
            </w:pPr>
            <w:r>
              <w:rPr>
                <w:rFonts w:ascii="Arial" w:cs="Arial" w:eastAsia="Arial" w:hAnsi="Arial"/>
                <w:sz w:val="14"/>
                <w:szCs w:val="14"/>
                <w:color w:val="auto"/>
              </w:rPr>
              <w:t>Gross profit</w:t>
            </w:r>
          </w:p>
        </w:tc>
        <w:tc>
          <w:tcPr>
            <w:tcW w:w="820" w:type="dxa"/>
            <w:vAlign w:val="bottom"/>
          </w:tcPr>
          <w:p>
            <w:pPr>
              <w:jc w:val="right"/>
              <w:spacing w:after="0"/>
              <w:rPr>
                <w:sz w:val="20"/>
                <w:szCs w:val="20"/>
                <w:color w:val="auto"/>
              </w:rPr>
            </w:pPr>
            <w:r>
              <w:rPr>
                <w:rFonts w:ascii="Arial" w:cs="Arial" w:eastAsia="Arial" w:hAnsi="Arial"/>
                <w:sz w:val="14"/>
                <w:szCs w:val="14"/>
                <w:color w:val="auto"/>
              </w:rPr>
              <w:t>71.0 %</w:t>
            </w:r>
          </w:p>
        </w:tc>
        <w:tc>
          <w:tcPr>
            <w:tcW w:w="780" w:type="dxa"/>
            <w:vAlign w:val="bottom"/>
          </w:tcPr>
          <w:p>
            <w:pPr>
              <w:jc w:val="right"/>
              <w:spacing w:after="0"/>
              <w:rPr>
                <w:sz w:val="20"/>
                <w:szCs w:val="20"/>
                <w:color w:val="auto"/>
              </w:rPr>
            </w:pPr>
            <w:r>
              <w:rPr>
                <w:rFonts w:ascii="Arial" w:cs="Arial" w:eastAsia="Arial" w:hAnsi="Arial"/>
                <w:sz w:val="14"/>
                <w:szCs w:val="14"/>
                <w:color w:val="auto"/>
              </w:rPr>
              <w:t>68.2 %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63.9 %</w:t>
            </w:r>
          </w:p>
        </w:tc>
        <w:tc>
          <w:tcPr>
            <w:tcW w:w="760" w:type="dxa"/>
            <w:vAlign w:val="bottom"/>
          </w:tcPr>
          <w:p>
            <w:pPr>
              <w:jc w:val="right"/>
              <w:spacing w:after="0"/>
              <w:rPr>
                <w:sz w:val="20"/>
                <w:szCs w:val="20"/>
                <w:color w:val="auto"/>
              </w:rPr>
            </w:pPr>
            <w:r>
              <w:rPr>
                <w:rFonts w:ascii="Arial" w:cs="Arial" w:eastAsia="Arial" w:hAnsi="Arial"/>
                <w:sz w:val="14"/>
                <w:szCs w:val="14"/>
                <w:color w:val="auto"/>
              </w:rPr>
              <w:t>63.1 %</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61.5 %</w:t>
            </w:r>
          </w:p>
        </w:tc>
        <w:tc>
          <w:tcPr>
            <w:tcW w:w="780" w:type="dxa"/>
            <w:vAlign w:val="bottom"/>
          </w:tcPr>
          <w:p>
            <w:pPr>
              <w:jc w:val="right"/>
              <w:spacing w:after="0"/>
              <w:rPr>
                <w:sz w:val="20"/>
                <w:szCs w:val="20"/>
                <w:color w:val="auto"/>
              </w:rPr>
            </w:pPr>
            <w:r>
              <w:rPr>
                <w:rFonts w:ascii="Arial" w:cs="Arial" w:eastAsia="Arial" w:hAnsi="Arial"/>
                <w:sz w:val="14"/>
                <w:szCs w:val="14"/>
                <w:color w:val="auto"/>
              </w:rPr>
              <w:t>61.5 %</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64.1 %</w:t>
            </w:r>
          </w:p>
        </w:tc>
        <w:tc>
          <w:tcPr>
            <w:tcW w:w="820" w:type="dxa"/>
            <w:vAlign w:val="bottom"/>
          </w:tcPr>
          <w:p>
            <w:pPr>
              <w:jc w:val="right"/>
              <w:spacing w:after="0"/>
              <w:rPr>
                <w:sz w:val="20"/>
                <w:szCs w:val="20"/>
                <w:color w:val="auto"/>
              </w:rPr>
            </w:pPr>
            <w:r>
              <w:rPr>
                <w:rFonts w:ascii="Arial" w:cs="Arial" w:eastAsia="Arial" w:hAnsi="Arial"/>
                <w:sz w:val="14"/>
                <w:szCs w:val="14"/>
                <w:color w:val="auto"/>
              </w:rPr>
              <w:t>61.9 %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66.2 %</w:t>
            </w:r>
          </w:p>
        </w:tc>
        <w:tc>
          <w:tcPr>
            <w:tcW w:w="820" w:type="dxa"/>
            <w:vAlign w:val="bottom"/>
          </w:tcPr>
          <w:p>
            <w:pPr>
              <w:jc w:val="right"/>
              <w:spacing w:after="0"/>
              <w:rPr>
                <w:sz w:val="20"/>
                <w:szCs w:val="20"/>
                <w:color w:val="auto"/>
              </w:rPr>
            </w:pPr>
            <w:r>
              <w:rPr>
                <w:rFonts w:ascii="Arial" w:cs="Arial" w:eastAsia="Arial" w:hAnsi="Arial"/>
                <w:sz w:val="14"/>
                <w:szCs w:val="14"/>
                <w:color w:val="auto"/>
              </w:rPr>
              <w:t>63.7 %</w:t>
            </w:r>
          </w:p>
        </w:tc>
        <w:tc>
          <w:tcPr>
            <w:tcW w:w="0" w:type="dxa"/>
            <w:vAlign w:val="bottom"/>
          </w:tcPr>
          <w:p>
            <w:pPr>
              <w:spacing w:after="0"/>
              <w:rPr>
                <w:sz w:val="1"/>
                <w:szCs w:val="1"/>
                <w:color w:val="auto"/>
              </w:rPr>
            </w:pPr>
          </w:p>
        </w:tc>
      </w:tr>
      <w:tr>
        <w:trPr>
          <w:trHeight w:val="183"/>
        </w:trPr>
        <w:tc>
          <w:tcPr>
            <w:tcW w:w="2740" w:type="dxa"/>
            <w:vAlign w:val="bottom"/>
          </w:tcPr>
          <w:p>
            <w:pPr>
              <w:ind w:left="120"/>
              <w:spacing w:after="0"/>
              <w:rPr>
                <w:sz w:val="20"/>
                <w:szCs w:val="20"/>
                <w:color w:val="auto"/>
              </w:rPr>
            </w:pPr>
            <w:r>
              <w:rPr>
                <w:rFonts w:ascii="Arial" w:cs="Arial" w:eastAsia="Arial" w:hAnsi="Arial"/>
                <w:sz w:val="14"/>
                <w:szCs w:val="14"/>
                <w:color w:val="auto"/>
              </w:rPr>
              <w:t>Operating margin</w:t>
            </w:r>
          </w:p>
        </w:tc>
        <w:tc>
          <w:tcPr>
            <w:tcW w:w="820" w:type="dxa"/>
            <w:vAlign w:val="bottom"/>
          </w:tcPr>
          <w:p>
            <w:pPr>
              <w:jc w:val="right"/>
              <w:spacing w:after="0"/>
              <w:rPr>
                <w:sz w:val="20"/>
                <w:szCs w:val="20"/>
                <w:color w:val="auto"/>
              </w:rPr>
            </w:pPr>
            <w:r>
              <w:rPr>
                <w:rFonts w:ascii="Arial" w:cs="Arial" w:eastAsia="Arial" w:hAnsi="Arial"/>
                <w:sz w:val="14"/>
                <w:szCs w:val="14"/>
                <w:color w:val="auto"/>
              </w:rPr>
              <w:t>0.3 %</w:t>
            </w:r>
          </w:p>
        </w:tc>
        <w:tc>
          <w:tcPr>
            <w:tcW w:w="780" w:type="dxa"/>
            <w:vAlign w:val="bottom"/>
          </w:tcPr>
          <w:p>
            <w:pPr>
              <w:ind w:left="360"/>
              <w:spacing w:after="0"/>
              <w:rPr>
                <w:sz w:val="20"/>
                <w:szCs w:val="20"/>
                <w:color w:val="auto"/>
              </w:rPr>
            </w:pPr>
            <w:r>
              <w:rPr>
                <w:rFonts w:ascii="Arial" w:cs="Arial" w:eastAsia="Arial" w:hAnsi="Arial"/>
                <w:sz w:val="14"/>
                <w:szCs w:val="14"/>
                <w:color w:val="auto"/>
                <w:w w:val="96"/>
              </w:rPr>
              <w:t>(0.2)%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w:t>
            </w:r>
          </w:p>
        </w:tc>
        <w:tc>
          <w:tcPr>
            <w:tcW w:w="7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(91.9)%</w:t>
            </w:r>
          </w:p>
        </w:tc>
        <w:tc>
          <w:tcPr>
            <w:tcW w:w="820" w:type="dxa"/>
            <w:vAlign w:val="bottom"/>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w:t>
            </w:r>
          </w:p>
        </w:tc>
        <w:tc>
          <w:tcPr>
            <w:tcW w:w="82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3"/>
        </w:trPr>
        <w:tc>
          <w:tcPr>
            <w:tcW w:w="2740" w:type="dxa"/>
            <w:vAlign w:val="bottom"/>
          </w:tcPr>
          <w:p>
            <w:pPr>
              <w:ind w:left="120"/>
              <w:spacing w:after="0"/>
              <w:rPr>
                <w:sz w:val="20"/>
                <w:szCs w:val="20"/>
                <w:color w:val="auto"/>
              </w:rPr>
            </w:pPr>
            <w:r>
              <w:rPr>
                <w:rFonts w:ascii="Arial" w:cs="Arial" w:eastAsia="Arial" w:hAnsi="Arial"/>
                <w:sz w:val="14"/>
                <w:szCs w:val="14"/>
                <w:color w:val="auto"/>
              </w:rPr>
              <w:t>Income tax rate</w:t>
            </w:r>
          </w:p>
        </w:tc>
        <w:tc>
          <w:tcPr>
            <w:tcW w:w="820" w:type="dxa"/>
            <w:vAlign w:val="bottom"/>
          </w:tcPr>
          <w:p>
            <w:pPr>
              <w:jc w:val="right"/>
              <w:spacing w:after="0"/>
              <w:rPr>
                <w:sz w:val="20"/>
                <w:szCs w:val="20"/>
                <w:color w:val="auto"/>
              </w:rPr>
            </w:pPr>
            <w:r>
              <w:rPr>
                <w:rFonts w:ascii="Arial" w:cs="Arial" w:eastAsia="Arial" w:hAnsi="Arial"/>
                <w:sz w:val="14"/>
                <w:szCs w:val="14"/>
                <w:color w:val="auto"/>
              </w:rPr>
              <w:t>744.4 %</w:t>
            </w:r>
          </w:p>
        </w:tc>
        <w:tc>
          <w:tcPr>
            <w:tcW w:w="780" w:type="dxa"/>
            <w:vAlign w:val="bottom"/>
          </w:tcPr>
          <w:p>
            <w:pPr>
              <w:jc w:val="right"/>
              <w:spacing w:after="0"/>
              <w:rPr>
                <w:sz w:val="20"/>
                <w:szCs w:val="20"/>
                <w:color w:val="auto"/>
              </w:rPr>
            </w:pPr>
            <w:r>
              <w:rPr>
                <w:rFonts w:ascii="Arial" w:cs="Arial" w:eastAsia="Arial" w:hAnsi="Arial"/>
                <w:sz w:val="14"/>
                <w:szCs w:val="14"/>
                <w:color w:val="auto"/>
              </w:rPr>
              <w:t>622.3 %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(306.0)%</w:t>
            </w:r>
          </w:p>
        </w:tc>
        <w:tc>
          <w:tcPr>
            <w:tcW w:w="760" w:type="dxa"/>
            <w:vAlign w:val="bottom"/>
          </w:tcPr>
          <w:p>
            <w:pPr>
              <w:jc w:val="right"/>
              <w:spacing w:after="0"/>
              <w:rPr>
                <w:sz w:val="20"/>
                <w:szCs w:val="20"/>
                <w:color w:val="auto"/>
              </w:rPr>
            </w:pPr>
            <w:r>
              <w:rPr>
                <w:rFonts w:ascii="Arial" w:cs="Arial" w:eastAsia="Arial" w:hAnsi="Arial"/>
                <w:sz w:val="14"/>
                <w:szCs w:val="14"/>
                <w:color w:val="auto"/>
              </w:rPr>
              <w:t>(285.7)%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21.3 %</w:t>
            </w:r>
          </w:p>
        </w:tc>
        <w:tc>
          <w:tcPr>
            <w:tcW w:w="780" w:type="dxa"/>
            <w:vAlign w:val="bottom"/>
          </w:tcPr>
          <w:p>
            <w:pPr>
              <w:jc w:val="right"/>
              <w:spacing w:after="0"/>
              <w:rPr>
                <w:sz w:val="20"/>
                <w:szCs w:val="20"/>
                <w:color w:val="auto"/>
              </w:rPr>
            </w:pPr>
            <w:r>
              <w:rPr>
                <w:rFonts w:ascii="Arial" w:cs="Arial" w:eastAsia="Arial" w:hAnsi="Arial"/>
                <w:sz w:val="14"/>
                <w:szCs w:val="14"/>
                <w:color w:val="auto"/>
              </w:rPr>
              <w:t>21.3 %</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6.2 %</w:t>
            </w:r>
          </w:p>
        </w:tc>
        <w:tc>
          <w:tcPr>
            <w:tcW w:w="820" w:type="dxa"/>
            <w:vAlign w:val="bottom"/>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0.2 %</w:t>
            </w:r>
          </w:p>
        </w:tc>
        <w:tc>
          <w:tcPr>
            <w:tcW w:w="820" w:type="dxa"/>
            <w:vAlign w:val="bottom"/>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432"/>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Non-GAAP</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$76.7</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5"/>
                <w:szCs w:val="15"/>
                <w:color w:val="auto"/>
              </w:rPr>
            </w:pPr>
          </w:p>
        </w:tc>
        <w:tc>
          <w:tcPr>
            <w:tcW w:w="860" w:type="dxa"/>
            <w:vAlign w:val="bottom"/>
          </w:tcPr>
          <w:p>
            <w:pPr>
              <w:jc w:val="right"/>
              <w:ind w:right="171"/>
              <w:spacing w:after="0"/>
              <w:rPr>
                <w:sz w:val="20"/>
                <w:szCs w:val="20"/>
                <w:color w:val="auto"/>
              </w:rPr>
            </w:pPr>
            <w:r>
              <w:rPr>
                <w:rFonts w:ascii="Arial" w:cs="Arial" w:eastAsia="Arial" w:hAnsi="Arial"/>
                <w:sz w:val="14"/>
                <w:szCs w:val="14"/>
                <w:color w:val="auto"/>
              </w:rPr>
              <w:t>$71.6</w:t>
            </w:r>
          </w:p>
        </w:tc>
        <w:tc>
          <w:tcPr>
            <w:tcW w:w="760" w:type="dxa"/>
            <w:vAlign w:val="bottom"/>
          </w:tcPr>
          <w:p>
            <w:pPr>
              <w:jc w:val="right"/>
              <w:ind w:right="111"/>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5"/>
                <w:szCs w:val="15"/>
                <w:color w:val="auto"/>
              </w:rPr>
            </w:pP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$80.3</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$80.4</w:t>
            </w:r>
          </w:p>
        </w:tc>
        <w:tc>
          <w:tcPr>
            <w:tcW w:w="80" w:type="dxa"/>
            <w:vAlign w:val="bottom"/>
          </w:tcPr>
          <w:p>
            <w:pPr>
              <w:spacing w:after="0"/>
              <w:rPr>
                <w:sz w:val="15"/>
                <w:szCs w:val="15"/>
                <w:color w:val="auto"/>
              </w:rPr>
            </w:pP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$88.3</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5"/>
                <w:szCs w:val="15"/>
                <w:color w:val="auto"/>
              </w:rPr>
            </w:pP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$317.0</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$321.0</w:t>
            </w: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Adjusted operating income from continuing</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21.0</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(4.2)</w:t>
            </w:r>
          </w:p>
        </w:tc>
        <w:tc>
          <w:tcPr>
            <w:tcW w:w="760" w:type="dxa"/>
            <w:vAlign w:val="bottom"/>
            <w:vMerge w:val="restart"/>
          </w:tcPr>
          <w:p>
            <w:pPr>
              <w:jc w:val="right"/>
              <w:ind w:right="71"/>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32.1</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2"/>
                <w:szCs w:val="12"/>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48.6</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2"/>
                <w:szCs w:val="12"/>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97.5</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Adjusted net income from continuing</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16.0</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(7.5)</w:t>
            </w:r>
          </w:p>
        </w:tc>
        <w:tc>
          <w:tcPr>
            <w:tcW w:w="760" w:type="dxa"/>
            <w:vAlign w:val="bottom"/>
            <w:vMerge w:val="restart"/>
          </w:tcPr>
          <w:p>
            <w:pPr>
              <w:jc w:val="right"/>
              <w:ind w:right="71"/>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2"/>
                <w:szCs w:val="12"/>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18.5</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2"/>
                <w:szCs w:val="12"/>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34.9</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2"/>
                <w:szCs w:val="12"/>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61.9</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Adjusted diluted earnings per share from</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$0.33</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($0.15)</w:t>
            </w:r>
          </w:p>
        </w:tc>
        <w:tc>
          <w:tcPr>
            <w:tcW w:w="760" w:type="dxa"/>
            <w:vAlign w:val="bottom"/>
            <w:vMerge w:val="restart"/>
          </w:tcPr>
          <w:p>
            <w:pPr>
              <w:jc w:val="right"/>
              <w:ind w:right="71"/>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2"/>
                <w:szCs w:val="12"/>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$0.38</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$0.38</w:t>
            </w:r>
          </w:p>
        </w:tc>
        <w:tc>
          <w:tcPr>
            <w:tcW w:w="80" w:type="dxa"/>
            <w:vAlign w:val="bottom"/>
          </w:tcPr>
          <w:p>
            <w:pPr>
              <w:spacing w:after="0"/>
              <w:rPr>
                <w:sz w:val="12"/>
                <w:szCs w:val="12"/>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$0.71</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2"/>
                <w:szCs w:val="12"/>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$1.27</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40" w:type="dxa"/>
            <w:vAlign w:val="bottom"/>
          </w:tcPr>
          <w:p>
            <w:pPr>
              <w:ind w:left="20"/>
              <w:spacing w:after="0" w:line="146" w:lineRule="exact"/>
              <w:rPr>
                <w:sz w:val="20"/>
                <w:szCs w:val="20"/>
                <w:color w:val="auto"/>
              </w:rPr>
            </w:pPr>
            <w:r>
              <w:rPr>
                <w:rFonts w:ascii="Arial" w:cs="Arial" w:eastAsia="Arial" w:hAnsi="Arial"/>
                <w:sz w:val="14"/>
                <w:szCs w:val="14"/>
                <w:color w:val="auto"/>
              </w:rPr>
              <w:t>Statistics (as a % of net sales, except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120"/>
              <w:spacing w:after="0"/>
              <w:rPr>
                <w:sz w:val="20"/>
                <w:szCs w:val="20"/>
                <w:color w:val="auto"/>
              </w:rPr>
            </w:pPr>
            <w:r>
              <w:rPr>
                <w:rFonts w:ascii="Arial" w:cs="Arial" w:eastAsia="Arial" w:hAnsi="Arial"/>
                <w:sz w:val="14"/>
                <w:szCs w:val="14"/>
                <w:color w:val="auto"/>
              </w:rPr>
              <w:t>Adjusted gross profit</w:t>
            </w:r>
          </w:p>
        </w:tc>
        <w:tc>
          <w:tcPr>
            <w:tcW w:w="820" w:type="dxa"/>
            <w:vAlign w:val="bottom"/>
          </w:tcPr>
          <w:p>
            <w:pPr>
              <w:jc w:val="right"/>
              <w:spacing w:after="0"/>
              <w:rPr>
                <w:sz w:val="20"/>
                <w:szCs w:val="20"/>
                <w:color w:val="auto"/>
              </w:rPr>
            </w:pPr>
            <w:r>
              <w:rPr>
                <w:rFonts w:ascii="Arial" w:cs="Arial" w:eastAsia="Arial" w:hAnsi="Arial"/>
                <w:sz w:val="14"/>
                <w:szCs w:val="14"/>
                <w:color w:val="auto"/>
              </w:rPr>
              <w:t>68.3 %</w:t>
            </w:r>
          </w:p>
        </w:tc>
        <w:tc>
          <w:tcPr>
            <w:tcW w:w="780" w:type="dxa"/>
            <w:vAlign w:val="bottom"/>
          </w:tcPr>
          <w:p>
            <w:pPr>
              <w:jc w:val="right"/>
              <w:spacing w:after="0"/>
              <w:rPr>
                <w:sz w:val="20"/>
                <w:szCs w:val="20"/>
                <w:color w:val="auto"/>
              </w:rPr>
            </w:pPr>
            <w:r>
              <w:rPr>
                <w:rFonts w:ascii="Arial" w:cs="Arial" w:eastAsia="Arial" w:hAnsi="Arial"/>
                <w:sz w:val="14"/>
                <w:szCs w:val="14"/>
                <w:color w:val="auto"/>
              </w:rPr>
              <w:t>67.9 %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60.7 %</w:t>
            </w:r>
          </w:p>
        </w:tc>
        <w:tc>
          <w:tcPr>
            <w:tcW w:w="760" w:type="dxa"/>
            <w:vAlign w:val="bottom"/>
          </w:tcPr>
          <w:p>
            <w:pPr>
              <w:jc w:val="right"/>
              <w:spacing w:after="0"/>
              <w:rPr>
                <w:sz w:val="20"/>
                <w:szCs w:val="20"/>
                <w:color w:val="auto"/>
              </w:rPr>
            </w:pPr>
            <w:r>
              <w:rPr>
                <w:rFonts w:ascii="Arial" w:cs="Arial" w:eastAsia="Arial" w:hAnsi="Arial"/>
                <w:sz w:val="14"/>
                <w:szCs w:val="14"/>
                <w:color w:val="auto"/>
              </w:rPr>
              <w:t>59.9 %</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66.5 %</w:t>
            </w:r>
          </w:p>
        </w:tc>
        <w:tc>
          <w:tcPr>
            <w:tcW w:w="780" w:type="dxa"/>
            <w:vAlign w:val="bottom"/>
          </w:tcPr>
          <w:p>
            <w:pPr>
              <w:jc w:val="right"/>
              <w:spacing w:after="0"/>
              <w:rPr>
                <w:sz w:val="20"/>
                <w:szCs w:val="20"/>
                <w:color w:val="auto"/>
              </w:rPr>
            </w:pPr>
            <w:r>
              <w:rPr>
                <w:rFonts w:ascii="Arial" w:cs="Arial" w:eastAsia="Arial" w:hAnsi="Arial"/>
                <w:sz w:val="14"/>
                <w:szCs w:val="14"/>
                <w:color w:val="auto"/>
              </w:rPr>
              <w:t>66.5 %</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67.2 %</w:t>
            </w:r>
          </w:p>
        </w:tc>
        <w:tc>
          <w:tcPr>
            <w:tcW w:w="820" w:type="dxa"/>
            <w:vAlign w:val="bottom"/>
          </w:tcPr>
          <w:p>
            <w:pPr>
              <w:jc w:val="right"/>
              <w:spacing w:after="0"/>
              <w:rPr>
                <w:sz w:val="20"/>
                <w:szCs w:val="20"/>
                <w:color w:val="auto"/>
              </w:rPr>
            </w:pPr>
            <w:r>
              <w:rPr>
                <w:rFonts w:ascii="Arial" w:cs="Arial" w:eastAsia="Arial" w:hAnsi="Arial"/>
                <w:sz w:val="14"/>
                <w:szCs w:val="14"/>
                <w:color w:val="auto"/>
              </w:rPr>
              <w:t>66.8 %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66.1 %</w:t>
            </w:r>
          </w:p>
        </w:tc>
        <w:tc>
          <w:tcPr>
            <w:tcW w:w="820" w:type="dxa"/>
            <w:vAlign w:val="bottom"/>
          </w:tcPr>
          <w:p>
            <w:pPr>
              <w:jc w:val="right"/>
              <w:spacing w:after="0"/>
              <w:rPr>
                <w:sz w:val="20"/>
                <w:szCs w:val="20"/>
                <w:color w:val="auto"/>
              </w:rPr>
            </w:pPr>
            <w:r>
              <w:rPr>
                <w:rFonts w:ascii="Arial" w:cs="Arial" w:eastAsia="Arial" w:hAnsi="Arial"/>
                <w:sz w:val="14"/>
                <w:szCs w:val="14"/>
                <w:color w:val="auto"/>
              </w:rPr>
              <w:t>65.6 %</w:t>
            </w:r>
          </w:p>
        </w:tc>
        <w:tc>
          <w:tcPr>
            <w:tcW w:w="0" w:type="dxa"/>
            <w:vAlign w:val="bottom"/>
          </w:tcPr>
          <w:p>
            <w:pPr>
              <w:spacing w:after="0"/>
              <w:rPr>
                <w:sz w:val="1"/>
                <w:szCs w:val="1"/>
                <w:color w:val="auto"/>
              </w:rPr>
            </w:pPr>
          </w:p>
        </w:tc>
      </w:tr>
      <w:tr>
        <w:trPr>
          <w:trHeight w:val="183"/>
        </w:trPr>
        <w:tc>
          <w:tcPr>
            <w:tcW w:w="2740" w:type="dxa"/>
            <w:vAlign w:val="bottom"/>
          </w:tcPr>
          <w:p>
            <w:pPr>
              <w:ind w:left="120"/>
              <w:spacing w:after="0"/>
              <w:rPr>
                <w:sz w:val="20"/>
                <w:szCs w:val="20"/>
                <w:color w:val="auto"/>
              </w:rPr>
            </w:pPr>
            <w:r>
              <w:rPr>
                <w:rFonts w:ascii="Arial" w:cs="Arial" w:eastAsia="Arial" w:hAnsi="Arial"/>
                <w:sz w:val="14"/>
                <w:szCs w:val="14"/>
                <w:color w:val="auto"/>
              </w:rPr>
              <w:t>Adjusted operating margin</w:t>
            </w:r>
          </w:p>
        </w:tc>
        <w:tc>
          <w:tcPr>
            <w:tcW w:w="820" w:type="dxa"/>
            <w:vAlign w:val="bottom"/>
          </w:tcPr>
          <w:p>
            <w:pPr>
              <w:jc w:val="right"/>
              <w:spacing w:after="0"/>
              <w:rPr>
                <w:sz w:val="20"/>
                <w:szCs w:val="20"/>
                <w:color w:val="auto"/>
              </w:rPr>
            </w:pPr>
            <w:r>
              <w:rPr>
                <w:rFonts w:ascii="Arial" w:cs="Arial" w:eastAsia="Arial" w:hAnsi="Arial"/>
                <w:sz w:val="14"/>
                <w:szCs w:val="14"/>
                <w:color w:val="auto"/>
              </w:rPr>
              <w:t>8.7 %</w:t>
            </w:r>
          </w:p>
        </w:tc>
        <w:tc>
          <w:tcPr>
            <w:tcW w:w="78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13.4 %</w:t>
            </w:r>
          </w:p>
        </w:tc>
        <w:tc>
          <w:tcPr>
            <w:tcW w:w="780" w:type="dxa"/>
            <w:vAlign w:val="bottom"/>
          </w:tcPr>
          <w:p>
            <w:pPr>
              <w:jc w:val="right"/>
              <w:spacing w:after="0"/>
              <w:rPr>
                <w:sz w:val="20"/>
                <w:szCs w:val="20"/>
                <w:color w:val="auto"/>
              </w:rPr>
            </w:pPr>
            <w:r>
              <w:rPr>
                <w:rFonts w:ascii="Arial" w:cs="Arial" w:eastAsia="Arial" w:hAnsi="Arial"/>
                <w:sz w:val="14"/>
                <w:szCs w:val="14"/>
                <w:color w:val="auto"/>
              </w:rPr>
              <w:t>13.4 %</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18.0 %</w:t>
            </w:r>
          </w:p>
        </w:tc>
        <w:tc>
          <w:tcPr>
            <w:tcW w:w="820" w:type="dxa"/>
            <w:vAlign w:val="bottom"/>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10.4 %</w:t>
            </w:r>
          </w:p>
        </w:tc>
        <w:tc>
          <w:tcPr>
            <w:tcW w:w="82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3"/>
        </w:trPr>
        <w:tc>
          <w:tcPr>
            <w:tcW w:w="2740" w:type="dxa"/>
            <w:vAlign w:val="bottom"/>
          </w:tcPr>
          <w:p>
            <w:pPr>
              <w:ind w:left="120"/>
              <w:spacing w:after="0"/>
              <w:rPr>
                <w:sz w:val="20"/>
                <w:szCs w:val="20"/>
                <w:color w:val="auto"/>
              </w:rPr>
            </w:pPr>
            <w:r>
              <w:rPr>
                <w:rFonts w:ascii="Arial" w:cs="Arial" w:eastAsia="Arial" w:hAnsi="Arial"/>
                <w:sz w:val="14"/>
                <w:szCs w:val="14"/>
                <w:color w:val="auto"/>
              </w:rPr>
              <w:t>Adjusted income tax rate</w:t>
            </w:r>
          </w:p>
        </w:tc>
        <w:tc>
          <w:tcPr>
            <w:tcW w:w="820" w:type="dxa"/>
            <w:vAlign w:val="bottom"/>
          </w:tcPr>
          <w:p>
            <w:pPr>
              <w:jc w:val="right"/>
              <w:spacing w:after="0"/>
              <w:rPr>
                <w:sz w:val="20"/>
                <w:szCs w:val="20"/>
                <w:color w:val="auto"/>
              </w:rPr>
            </w:pPr>
            <w:r>
              <w:rPr>
                <w:rFonts w:ascii="Arial" w:cs="Arial" w:eastAsia="Arial" w:hAnsi="Arial"/>
                <w:sz w:val="14"/>
                <w:szCs w:val="14"/>
                <w:color w:val="auto"/>
              </w:rPr>
              <w:t>8.2 %</w:t>
            </w:r>
          </w:p>
        </w:tc>
        <w:tc>
          <w:tcPr>
            <w:tcW w:w="780" w:type="dxa"/>
            <w:vAlign w:val="bottom"/>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2.8 %</w:t>
            </w:r>
          </w:p>
        </w:tc>
        <w:tc>
          <w:tcPr>
            <w:tcW w:w="760" w:type="dxa"/>
            <w:vAlign w:val="bottom"/>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4.5 %</w:t>
            </w:r>
          </w:p>
        </w:tc>
        <w:tc>
          <w:tcPr>
            <w:tcW w:w="780" w:type="dxa"/>
            <w:vAlign w:val="bottom"/>
          </w:tcPr>
          <w:p>
            <w:pPr>
              <w:jc w:val="right"/>
              <w:spacing w:after="0"/>
              <w:rPr>
                <w:sz w:val="20"/>
                <w:szCs w:val="20"/>
                <w:color w:val="auto"/>
              </w:rPr>
            </w:pPr>
            <w:r>
              <w:rPr>
                <w:rFonts w:ascii="Arial" w:cs="Arial" w:eastAsia="Arial" w:hAnsi="Arial"/>
                <w:sz w:val="14"/>
                <w:szCs w:val="14"/>
                <w:color w:val="auto"/>
              </w:rPr>
              <w:t>4.4 %</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3.2 %</w:t>
            </w: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20" w:right="380"/>
        <w:spacing w:after="0" w:line="226" w:lineRule="auto"/>
        <w:rPr>
          <w:sz w:val="20"/>
          <w:szCs w:val="20"/>
          <w:color w:val="auto"/>
        </w:rPr>
      </w:pPr>
      <w:r>
        <w:rPr>
          <w:rFonts w:ascii="Arial" w:cs="Arial" w:eastAsia="Arial" w:hAnsi="Arial"/>
          <w:sz w:val="14"/>
          <w:szCs w:val="14"/>
          <w:color w:val="auto"/>
        </w:rPr>
        <w:t>During the fourth quarter of 2021, the Company identified and rectified an error related to foreign currency exchange rates utilized to calculate inventory and cost of sales for the years ended December 31, 2017 through 2020 and the nine months ended September 30, 2021. Accordingly, prior period results on a GAAP and non-GAAP basis were revised herein.</w:t>
      </w:r>
    </w:p>
    <w:p>
      <w:pPr>
        <w:spacing w:after="0" w:line="212" w:lineRule="exact"/>
        <w:rPr>
          <w:sz w:val="20"/>
          <w:szCs w:val="20"/>
          <w:color w:val="auto"/>
        </w:rPr>
      </w:pPr>
    </w:p>
    <w:p>
      <w:pPr>
        <w:ind w:left="20" w:right="120" w:firstLine="2"/>
        <w:spacing w:after="0" w:line="232" w:lineRule="auto"/>
        <w:tabs>
          <w:tab w:leader="none" w:pos="229"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addition to the revision of an error discussed above, cost of sales and gross profit (GAAP and Non-GAAP) as revised includes product remediation expenses and amortization of intangibles that were reclassified to cost of sales for comparative purposes.</w:t>
      </w:r>
    </w:p>
    <w:p>
      <w:pPr>
        <w:spacing w:after="0" w:line="131" w:lineRule="exact"/>
        <w:rPr>
          <w:sz w:val="20"/>
          <w:szCs w:val="20"/>
          <w:color w:val="auto"/>
        </w:rPr>
      </w:pPr>
    </w:p>
    <w:p>
      <w:pPr>
        <w:ind w:left="20" w:right="4800"/>
        <w:spacing w:after="0" w:line="232" w:lineRule="auto"/>
        <w:rPr>
          <w:sz w:val="20"/>
          <w:szCs w:val="20"/>
          <w:color w:val="auto"/>
        </w:rPr>
      </w:pPr>
      <w:r>
        <w:rPr>
          <w:rFonts w:ascii="Arial" w:cs="Arial" w:eastAsia="Arial" w:hAnsi="Arial"/>
          <w:sz w:val="14"/>
          <w:szCs w:val="14"/>
          <w:b w:val="1"/>
          <w:bCs w:val="1"/>
          <w:color w:val="auto"/>
        </w:rPr>
        <w:t>SUPPLEMENTAL UNAUDITED REVISED FINANCIAL INFORMATION AND NON-GAAP MEASURES (U.S. dollars in millions, except per share and statistics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4300" w:type="dxa"/>
            <w:vAlign w:val="bottom"/>
          </w:tcPr>
          <w:p>
            <w:pPr>
              <w:spacing w:after="0"/>
              <w:rPr>
                <w:sz w:val="15"/>
                <w:szCs w:val="15"/>
                <w:color w:val="auto"/>
              </w:rPr>
            </w:pPr>
          </w:p>
        </w:tc>
        <w:tc>
          <w:tcPr>
            <w:tcW w:w="164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5"/>
                <w:szCs w:val="15"/>
                <w:color w:val="auto"/>
              </w:rPr>
            </w:pPr>
          </w:p>
        </w:tc>
        <w:tc>
          <w:tcPr>
            <w:tcW w:w="168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5"/>
                <w:szCs w:val="15"/>
                <w:color w:val="auto"/>
              </w:rPr>
            </w:pPr>
          </w:p>
        </w:tc>
        <w:tc>
          <w:tcPr>
            <w:tcW w:w="168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5"/>
                <w:szCs w:val="15"/>
                <w:color w:val="auto"/>
              </w:rPr>
            </w:pPr>
          </w:p>
        </w:tc>
        <w:tc>
          <w:tcPr>
            <w:tcW w:w="168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September 30, 2021</w:t>
            </w:r>
          </w:p>
        </w:tc>
      </w:tr>
      <w:tr>
        <w:trPr>
          <w:trHeight w:val="163"/>
        </w:trPr>
        <w:tc>
          <w:tcPr>
            <w:tcW w:w="4300" w:type="dxa"/>
            <w:vAlign w:val="bottom"/>
          </w:tcPr>
          <w:p>
            <w:pPr>
              <w:spacing w:after="0"/>
              <w:rPr>
                <w:sz w:val="14"/>
                <w:szCs w:val="14"/>
                <w:color w:val="auto"/>
              </w:rPr>
            </w:pPr>
          </w:p>
        </w:tc>
        <w:tc>
          <w:tcPr>
            <w:tcW w:w="840" w:type="dxa"/>
            <w:vAlign w:val="bottom"/>
          </w:tcPr>
          <w:p>
            <w:pPr>
              <w:jc w:val="right"/>
              <w:ind w:right="31"/>
              <w:spacing w:after="0"/>
              <w:rPr>
                <w:sz w:val="20"/>
                <w:szCs w:val="20"/>
                <w:color w:val="auto"/>
              </w:rPr>
            </w:pPr>
            <w:r>
              <w:rPr>
                <w:rFonts w:ascii="Arial" w:cs="Arial" w:eastAsia="Arial" w:hAnsi="Arial"/>
                <w:sz w:val="12"/>
                <w:szCs w:val="12"/>
                <w:color w:val="auto"/>
              </w:rPr>
              <w:t>As Reported</w:t>
            </w:r>
          </w:p>
        </w:tc>
        <w:tc>
          <w:tcPr>
            <w:tcW w:w="800" w:type="dxa"/>
            <w:vAlign w:val="bottom"/>
          </w:tcPr>
          <w:p>
            <w:pPr>
              <w:jc w:val="right"/>
              <w:spacing w:after="0" w:line="164" w:lineRule="exact"/>
              <w:rPr>
                <w:sz w:val="20"/>
                <w:szCs w:val="20"/>
                <w:color w:val="auto"/>
              </w:rPr>
            </w:pPr>
            <w:r>
              <w:rPr>
                <w:rFonts w:ascii="Arial" w:cs="Arial" w:eastAsia="Arial" w:hAnsi="Arial"/>
                <w:sz w:val="12"/>
                <w:szCs w:val="12"/>
                <w:color w:val="auto"/>
                <w:w w:val="96"/>
              </w:rPr>
              <w:t xml:space="preserve">As Revised </w:t>
            </w:r>
            <w:r>
              <w:rPr>
                <w:rFonts w:ascii="Arial" w:cs="Arial" w:eastAsia="Arial" w:hAnsi="Arial"/>
                <w:sz w:val="15"/>
                <w:szCs w:val="15"/>
                <w:color w:val="auto"/>
                <w:w w:val="96"/>
                <w:vertAlign w:val="superscript"/>
              </w:rPr>
              <w:t>(1)</w:t>
            </w:r>
          </w:p>
        </w:tc>
        <w:tc>
          <w:tcPr>
            <w:tcW w:w="100" w:type="dxa"/>
            <w:vAlign w:val="bottom"/>
          </w:tcPr>
          <w:p>
            <w:pPr>
              <w:spacing w:after="0"/>
              <w:rPr>
                <w:sz w:val="14"/>
                <w:szCs w:val="14"/>
                <w:color w:val="auto"/>
              </w:rPr>
            </w:pPr>
          </w:p>
        </w:tc>
        <w:tc>
          <w:tcPr>
            <w:tcW w:w="880" w:type="dxa"/>
            <w:vAlign w:val="bottom"/>
          </w:tcPr>
          <w:p>
            <w:pPr>
              <w:jc w:val="right"/>
              <w:ind w:right="51"/>
              <w:spacing w:after="0"/>
              <w:rPr>
                <w:sz w:val="20"/>
                <w:szCs w:val="20"/>
                <w:color w:val="auto"/>
              </w:rPr>
            </w:pPr>
            <w:r>
              <w:rPr>
                <w:rFonts w:ascii="Arial" w:cs="Arial" w:eastAsia="Arial" w:hAnsi="Arial"/>
                <w:sz w:val="12"/>
                <w:szCs w:val="12"/>
                <w:color w:val="auto"/>
              </w:rPr>
              <w:t>As Reported</w:t>
            </w:r>
          </w:p>
        </w:tc>
        <w:tc>
          <w:tcPr>
            <w:tcW w:w="880" w:type="dxa"/>
            <w:vAlign w:val="bottom"/>
            <w:gridSpan w:val="2"/>
          </w:tcPr>
          <w:p>
            <w:pPr>
              <w:ind w:left="60"/>
              <w:spacing w:after="0"/>
              <w:rPr>
                <w:sz w:val="20"/>
                <w:szCs w:val="20"/>
                <w:color w:val="auto"/>
              </w:rPr>
            </w:pPr>
            <w:r>
              <w:rPr>
                <w:rFonts w:ascii="Arial" w:cs="Arial" w:eastAsia="Arial" w:hAnsi="Arial"/>
                <w:sz w:val="12"/>
                <w:szCs w:val="12"/>
                <w:color w:val="auto"/>
              </w:rPr>
              <w:t>As Revised</w:t>
            </w:r>
          </w:p>
        </w:tc>
        <w:tc>
          <w:tcPr>
            <w:tcW w:w="880" w:type="dxa"/>
            <w:vAlign w:val="bottom"/>
          </w:tcPr>
          <w:p>
            <w:pPr>
              <w:jc w:val="right"/>
              <w:ind w:right="51"/>
              <w:spacing w:after="0"/>
              <w:rPr>
                <w:sz w:val="20"/>
                <w:szCs w:val="20"/>
                <w:color w:val="auto"/>
              </w:rPr>
            </w:pPr>
            <w:r>
              <w:rPr>
                <w:rFonts w:ascii="Arial" w:cs="Arial" w:eastAsia="Arial" w:hAnsi="Arial"/>
                <w:sz w:val="12"/>
                <w:szCs w:val="12"/>
                <w:color w:val="auto"/>
              </w:rPr>
              <w:t>As Reported</w:t>
            </w:r>
          </w:p>
        </w:tc>
        <w:tc>
          <w:tcPr>
            <w:tcW w:w="880" w:type="dxa"/>
            <w:vAlign w:val="bottom"/>
            <w:gridSpan w:val="2"/>
          </w:tcPr>
          <w:p>
            <w:pPr>
              <w:ind w:left="60"/>
              <w:spacing w:after="0"/>
              <w:rPr>
                <w:sz w:val="20"/>
                <w:szCs w:val="20"/>
                <w:color w:val="auto"/>
              </w:rPr>
            </w:pPr>
            <w:r>
              <w:rPr>
                <w:rFonts w:ascii="Arial" w:cs="Arial" w:eastAsia="Arial" w:hAnsi="Arial"/>
                <w:sz w:val="12"/>
                <w:szCs w:val="12"/>
                <w:color w:val="auto"/>
              </w:rPr>
              <w:t>As Revised</w:t>
            </w:r>
          </w:p>
        </w:tc>
        <w:tc>
          <w:tcPr>
            <w:tcW w:w="900" w:type="dxa"/>
            <w:vAlign w:val="bottom"/>
          </w:tcPr>
          <w:p>
            <w:pPr>
              <w:jc w:val="right"/>
              <w:ind w:right="71"/>
              <w:spacing w:after="0"/>
              <w:rPr>
                <w:sz w:val="20"/>
                <w:szCs w:val="20"/>
                <w:color w:val="auto"/>
              </w:rPr>
            </w:pPr>
            <w:r>
              <w:rPr>
                <w:rFonts w:ascii="Arial" w:cs="Arial" w:eastAsia="Arial" w:hAnsi="Arial"/>
                <w:sz w:val="12"/>
                <w:szCs w:val="12"/>
                <w:color w:val="auto"/>
              </w:rPr>
              <w:t>As Reported</w:t>
            </w:r>
          </w:p>
        </w:tc>
        <w:tc>
          <w:tcPr>
            <w:tcW w:w="780" w:type="dxa"/>
            <w:vAlign w:val="bottom"/>
          </w:tcPr>
          <w:p>
            <w:pPr>
              <w:jc w:val="right"/>
              <w:ind w:right="31"/>
              <w:spacing w:after="0"/>
              <w:rPr>
                <w:sz w:val="20"/>
                <w:szCs w:val="20"/>
                <w:color w:val="auto"/>
              </w:rPr>
            </w:pPr>
            <w:r>
              <w:rPr>
                <w:rFonts w:ascii="Arial" w:cs="Arial" w:eastAsia="Arial" w:hAnsi="Arial"/>
                <w:sz w:val="12"/>
                <w:szCs w:val="12"/>
                <w:color w:val="auto"/>
              </w:rPr>
              <w:t>As Revised</w:t>
            </w:r>
          </w:p>
        </w:tc>
      </w:tr>
      <w:tr>
        <w:trPr>
          <w:trHeight w:val="16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GAAP</w:t>
            </w:r>
          </w:p>
        </w:tc>
        <w:tc>
          <w:tcPr>
            <w:tcW w:w="8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$79.2</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$90.8</w:t>
            </w: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$83.1</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$84.6</w:t>
            </w:r>
          </w:p>
        </w:tc>
        <w:tc>
          <w:tcPr>
            <w:tcW w:w="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$256.8</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$261.0</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Operating income (loss) from continuing operations</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(4.4)</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(34.9)</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17.9</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(21.4)</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(25.5)</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(29.7)</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(55.3)</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5"/>
                <w:szCs w:val="15"/>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(42.2)</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5"/>
                <w:szCs w:val="15"/>
                <w:color w:val="auto"/>
              </w:rPr>
            </w:pP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(127.3)</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(130.7)</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Diluted earnings per share from continuing operations</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($0.61)</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5"/>
                <w:szCs w:val="15"/>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($1.13)</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($0.82)</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($0.84)</w:t>
            </w:r>
          </w:p>
        </w:tc>
        <w:tc>
          <w:tcPr>
            <w:tcW w:w="80" w:type="dxa"/>
            <w:vAlign w:val="bottom"/>
          </w:tcPr>
          <w:p>
            <w:pPr>
              <w:spacing w:after="0"/>
              <w:rPr>
                <w:sz w:val="15"/>
                <w:szCs w:val="15"/>
                <w:color w:val="auto"/>
              </w:rPr>
            </w:pP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($2.56)</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($2.63)</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Statistics (as a % of net sales, except income tax rate):</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4300" w:type="dxa"/>
            <w:vAlign w:val="bottom"/>
          </w:tcPr>
          <w:p>
            <w:pPr>
              <w:ind w:left="120"/>
              <w:spacing w:after="0"/>
              <w:rPr>
                <w:sz w:val="20"/>
                <w:szCs w:val="20"/>
                <w:color w:val="auto"/>
              </w:rPr>
            </w:pPr>
            <w:r>
              <w:rPr>
                <w:rFonts w:ascii="Arial" w:cs="Arial" w:eastAsia="Arial" w:hAnsi="Arial"/>
                <w:sz w:val="14"/>
                <w:szCs w:val="14"/>
                <w:color w:val="auto"/>
              </w:rPr>
              <w:t>Gross profit</w:t>
            </w:r>
          </w:p>
        </w:tc>
        <w:tc>
          <w:tcPr>
            <w:tcW w:w="840" w:type="dxa"/>
            <w:vAlign w:val="bottom"/>
          </w:tcPr>
          <w:p>
            <w:pPr>
              <w:jc w:val="right"/>
              <w:spacing w:after="0"/>
              <w:rPr>
                <w:sz w:val="20"/>
                <w:szCs w:val="20"/>
                <w:color w:val="auto"/>
              </w:rPr>
            </w:pPr>
            <w:r>
              <w:rPr>
                <w:rFonts w:ascii="Arial" w:cs="Arial" w:eastAsia="Arial" w:hAnsi="Arial"/>
                <w:sz w:val="14"/>
                <w:szCs w:val="14"/>
                <w:color w:val="auto"/>
              </w:rPr>
              <w:t>68.0 %</w:t>
            </w:r>
          </w:p>
        </w:tc>
        <w:tc>
          <w:tcPr>
            <w:tcW w:w="800" w:type="dxa"/>
            <w:vAlign w:val="bottom"/>
          </w:tcPr>
          <w:p>
            <w:pPr>
              <w:jc w:val="right"/>
              <w:spacing w:after="0"/>
              <w:rPr>
                <w:sz w:val="20"/>
                <w:szCs w:val="20"/>
                <w:color w:val="auto"/>
              </w:rPr>
            </w:pPr>
            <w:r>
              <w:rPr>
                <w:rFonts w:ascii="Arial" w:cs="Arial" w:eastAsia="Arial" w:hAnsi="Arial"/>
                <w:sz w:val="14"/>
                <w:szCs w:val="14"/>
                <w:color w:val="auto"/>
              </w:rPr>
              <w:t>66.0 %</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65.7 %</w:t>
            </w:r>
          </w:p>
        </w:tc>
        <w:tc>
          <w:tcPr>
            <w:tcW w:w="800" w:type="dxa"/>
            <w:vAlign w:val="bottom"/>
          </w:tcPr>
          <w:p>
            <w:pPr>
              <w:jc w:val="right"/>
              <w:spacing w:after="0"/>
              <w:rPr>
                <w:sz w:val="20"/>
                <w:szCs w:val="20"/>
                <w:color w:val="auto"/>
              </w:rPr>
            </w:pPr>
            <w:r>
              <w:rPr>
                <w:rFonts w:ascii="Arial" w:cs="Arial" w:eastAsia="Arial" w:hAnsi="Arial"/>
                <w:sz w:val="14"/>
                <w:szCs w:val="14"/>
                <w:color w:val="auto"/>
              </w:rPr>
              <w:t>65.1 %</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67.2 %</w:t>
            </w:r>
          </w:p>
        </w:tc>
        <w:tc>
          <w:tcPr>
            <w:tcW w:w="800" w:type="dxa"/>
            <w:vAlign w:val="bottom"/>
          </w:tcPr>
          <w:p>
            <w:pPr>
              <w:jc w:val="right"/>
              <w:spacing w:after="0"/>
              <w:rPr>
                <w:sz w:val="20"/>
                <w:szCs w:val="20"/>
                <w:color w:val="auto"/>
              </w:rPr>
            </w:pPr>
            <w:r>
              <w:rPr>
                <w:rFonts w:ascii="Arial" w:cs="Arial" w:eastAsia="Arial" w:hAnsi="Arial"/>
                <w:sz w:val="14"/>
                <w:szCs w:val="14"/>
                <w:color w:val="auto"/>
              </w:rPr>
              <w:t>66.6 %</w:t>
            </w: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66.4 %</w:t>
            </w:r>
          </w:p>
        </w:tc>
        <w:tc>
          <w:tcPr>
            <w:tcW w:w="780" w:type="dxa"/>
            <w:vAlign w:val="bottom"/>
          </w:tcPr>
          <w:p>
            <w:pPr>
              <w:jc w:val="right"/>
              <w:spacing w:after="0"/>
              <w:rPr>
                <w:sz w:val="20"/>
                <w:szCs w:val="20"/>
                <w:color w:val="auto"/>
              </w:rPr>
            </w:pPr>
            <w:r>
              <w:rPr>
                <w:rFonts w:ascii="Arial" w:cs="Arial" w:eastAsia="Arial" w:hAnsi="Arial"/>
                <w:sz w:val="14"/>
                <w:szCs w:val="14"/>
                <w:color w:val="auto"/>
              </w:rPr>
              <w:t>65.9 %</w:t>
            </w:r>
          </w:p>
        </w:tc>
      </w:tr>
      <w:tr>
        <w:trPr>
          <w:trHeight w:val="183"/>
        </w:trPr>
        <w:tc>
          <w:tcPr>
            <w:tcW w:w="4300" w:type="dxa"/>
            <w:vAlign w:val="bottom"/>
          </w:tcPr>
          <w:p>
            <w:pPr>
              <w:ind w:left="120"/>
              <w:spacing w:after="0"/>
              <w:rPr>
                <w:sz w:val="20"/>
                <w:szCs w:val="20"/>
                <w:color w:val="auto"/>
              </w:rPr>
            </w:pPr>
            <w:r>
              <w:rPr>
                <w:rFonts w:ascii="Arial" w:cs="Arial" w:eastAsia="Arial" w:hAnsi="Arial"/>
                <w:sz w:val="14"/>
                <w:szCs w:val="14"/>
                <w:color w:val="auto"/>
              </w:rPr>
              <w:t>Operating margin</w:t>
            </w: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c>
          <w:tcPr>
            <w:tcW w:w="80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7.1 %</w:t>
            </w:r>
          </w:p>
        </w:tc>
        <w:tc>
          <w:tcPr>
            <w:tcW w:w="800" w:type="dxa"/>
            <w:vAlign w:val="bottom"/>
          </w:tcPr>
          <w:p>
            <w:pPr>
              <w:jc w:val="right"/>
              <w:spacing w:after="0"/>
              <w:rPr>
                <w:sz w:val="20"/>
                <w:szCs w:val="20"/>
                <w:color w:val="auto"/>
              </w:rPr>
            </w:pPr>
            <w:r>
              <w:rPr>
                <w:rFonts w:ascii="Arial" w:cs="Arial" w:eastAsia="Arial" w:hAnsi="Arial"/>
                <w:sz w:val="14"/>
                <w:szCs w:val="14"/>
                <w:color w:val="auto"/>
              </w:rPr>
              <w:t>6.5 %</w:t>
            </w: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(2.8)%</w:t>
            </w: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3"/>
        </w:trPr>
        <w:tc>
          <w:tcPr>
            <w:tcW w:w="4300" w:type="dxa"/>
            <w:vAlign w:val="bottom"/>
          </w:tcPr>
          <w:p>
            <w:pPr>
              <w:ind w:left="120"/>
              <w:spacing w:after="0"/>
              <w:rPr>
                <w:sz w:val="20"/>
                <w:szCs w:val="20"/>
                <w:color w:val="auto"/>
              </w:rPr>
            </w:pPr>
            <w:r>
              <w:rPr>
                <w:rFonts w:ascii="Arial" w:cs="Arial" w:eastAsia="Arial" w:hAnsi="Arial"/>
                <w:sz w:val="14"/>
                <w:szCs w:val="14"/>
                <w:color w:val="auto"/>
              </w:rPr>
              <w:t>Income tax rate</w:t>
            </w:r>
          </w:p>
        </w:tc>
        <w:tc>
          <w:tcPr>
            <w:tcW w:w="840" w:type="dxa"/>
            <w:vAlign w:val="bottom"/>
          </w:tcPr>
          <w:p>
            <w:pPr>
              <w:jc w:val="right"/>
              <w:spacing w:after="0"/>
              <w:rPr>
                <w:sz w:val="20"/>
                <w:szCs w:val="20"/>
                <w:color w:val="auto"/>
              </w:rPr>
            </w:pPr>
            <w:r>
              <w:rPr>
                <w:rFonts w:ascii="Arial" w:cs="Arial" w:eastAsia="Arial" w:hAnsi="Arial"/>
                <w:sz w:val="14"/>
                <w:szCs w:val="14"/>
                <w:color w:val="auto"/>
              </w:rPr>
              <w:t>(10.7)%</w:t>
            </w: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80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(7.7)%</w:t>
            </w:r>
          </w:p>
        </w:tc>
        <w:tc>
          <w:tcPr>
            <w:tcW w:w="7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393"/>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Non-GAAP</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$77.8</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$80.1</w:t>
            </w: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$81.5</w:t>
            </w:r>
          </w:p>
        </w:tc>
        <w:tc>
          <w:tcPr>
            <w:tcW w:w="8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$74.3</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$75.7</w:t>
            </w:r>
          </w:p>
        </w:tc>
        <w:tc>
          <w:tcPr>
            <w:tcW w:w="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$232.2</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$236.3</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Adjusted operating income from continuing operations</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31.6</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39.3</w:t>
            </w: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47.9</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118.8</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114.7</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Adjusted net income from continuing operations</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17.5</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25.7</w:t>
            </w: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35.8</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79.1</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76.1</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Adjusted diluted earnings per share from continuing operations</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$0.35</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$0.52</w:t>
            </w: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$0.68</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$1.56</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$1.50</w:t>
            </w:r>
          </w:p>
        </w:tc>
      </w:tr>
      <w:tr>
        <w:trPr>
          <w:trHeight w:val="183"/>
        </w:trPr>
        <w:tc>
          <w:tcPr>
            <w:tcW w:w="4300" w:type="dxa"/>
            <w:vAlign w:val="bottom"/>
          </w:tcPr>
          <w:p>
            <w:pPr>
              <w:ind w:left="20"/>
              <w:spacing w:after="0"/>
              <w:rPr>
                <w:sz w:val="20"/>
                <w:szCs w:val="20"/>
                <w:color w:val="auto"/>
              </w:rPr>
            </w:pPr>
            <w:r>
              <w:rPr>
                <w:rFonts w:ascii="Arial" w:cs="Arial" w:eastAsia="Arial" w:hAnsi="Arial"/>
                <w:sz w:val="14"/>
                <w:szCs w:val="14"/>
                <w:color w:val="auto"/>
              </w:rPr>
              <w:t>Statistics (as a % of net sales, except income tax rate):</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4300" w:type="dxa"/>
            <w:vAlign w:val="bottom"/>
          </w:tcPr>
          <w:p>
            <w:pPr>
              <w:ind w:left="120"/>
              <w:spacing w:after="0"/>
              <w:rPr>
                <w:sz w:val="20"/>
                <w:szCs w:val="20"/>
                <w:color w:val="auto"/>
              </w:rPr>
            </w:pPr>
            <w:r>
              <w:rPr>
                <w:rFonts w:ascii="Arial" w:cs="Arial" w:eastAsia="Arial" w:hAnsi="Arial"/>
                <w:sz w:val="14"/>
                <w:szCs w:val="14"/>
                <w:color w:val="auto"/>
              </w:rPr>
              <w:t>Adjusted gross profit</w:t>
            </w:r>
          </w:p>
        </w:tc>
        <w:tc>
          <w:tcPr>
            <w:tcW w:w="840" w:type="dxa"/>
            <w:vAlign w:val="bottom"/>
          </w:tcPr>
          <w:p>
            <w:pPr>
              <w:jc w:val="right"/>
              <w:spacing w:after="0"/>
              <w:rPr>
                <w:sz w:val="20"/>
                <w:szCs w:val="20"/>
                <w:color w:val="auto"/>
              </w:rPr>
            </w:pPr>
            <w:r>
              <w:rPr>
                <w:rFonts w:ascii="Arial" w:cs="Arial" w:eastAsia="Arial" w:hAnsi="Arial"/>
                <w:sz w:val="14"/>
                <w:szCs w:val="14"/>
                <w:color w:val="auto"/>
              </w:rPr>
              <w:t>68.6 %</w:t>
            </w:r>
          </w:p>
        </w:tc>
        <w:tc>
          <w:tcPr>
            <w:tcW w:w="800" w:type="dxa"/>
            <w:vAlign w:val="bottom"/>
          </w:tcPr>
          <w:p>
            <w:pPr>
              <w:jc w:val="right"/>
              <w:spacing w:after="0"/>
              <w:rPr>
                <w:sz w:val="20"/>
                <w:szCs w:val="20"/>
                <w:color w:val="auto"/>
              </w:rPr>
            </w:pPr>
            <w:r>
              <w:rPr>
                <w:rFonts w:ascii="Arial" w:cs="Arial" w:eastAsia="Arial" w:hAnsi="Arial"/>
                <w:sz w:val="14"/>
                <w:szCs w:val="14"/>
                <w:color w:val="auto"/>
              </w:rPr>
              <w:t>68.1 %</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69.7 %</w:t>
            </w:r>
          </w:p>
        </w:tc>
        <w:tc>
          <w:tcPr>
            <w:tcW w:w="800" w:type="dxa"/>
            <w:vAlign w:val="bottom"/>
          </w:tcPr>
          <w:p>
            <w:pPr>
              <w:jc w:val="right"/>
              <w:spacing w:after="0"/>
              <w:rPr>
                <w:sz w:val="20"/>
                <w:szCs w:val="20"/>
                <w:color w:val="auto"/>
              </w:rPr>
            </w:pPr>
            <w:r>
              <w:rPr>
                <w:rFonts w:ascii="Arial" w:cs="Arial" w:eastAsia="Arial" w:hAnsi="Arial"/>
                <w:sz w:val="14"/>
                <w:szCs w:val="14"/>
                <w:color w:val="auto"/>
              </w:rPr>
              <w:t>69.2 %</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70.7 %</w:t>
            </w:r>
          </w:p>
        </w:tc>
        <w:tc>
          <w:tcPr>
            <w:tcW w:w="800" w:type="dxa"/>
            <w:vAlign w:val="bottom"/>
          </w:tcPr>
          <w:p>
            <w:pPr>
              <w:jc w:val="right"/>
              <w:spacing w:after="0"/>
              <w:rPr>
                <w:sz w:val="20"/>
                <w:szCs w:val="20"/>
                <w:color w:val="auto"/>
              </w:rPr>
            </w:pPr>
            <w:r>
              <w:rPr>
                <w:rFonts w:ascii="Arial" w:cs="Arial" w:eastAsia="Arial" w:hAnsi="Arial"/>
                <w:sz w:val="14"/>
                <w:szCs w:val="14"/>
                <w:color w:val="auto"/>
              </w:rPr>
              <w:t>70.1 %</w:t>
            </w: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69.7 %</w:t>
            </w:r>
          </w:p>
        </w:tc>
        <w:tc>
          <w:tcPr>
            <w:tcW w:w="780" w:type="dxa"/>
            <w:vAlign w:val="bottom"/>
          </w:tcPr>
          <w:p>
            <w:pPr>
              <w:jc w:val="right"/>
              <w:spacing w:after="0"/>
              <w:rPr>
                <w:sz w:val="20"/>
                <w:szCs w:val="20"/>
                <w:color w:val="auto"/>
              </w:rPr>
            </w:pPr>
            <w:r>
              <w:rPr>
                <w:rFonts w:ascii="Arial" w:cs="Arial" w:eastAsia="Arial" w:hAnsi="Arial"/>
                <w:sz w:val="14"/>
                <w:szCs w:val="14"/>
                <w:color w:val="auto"/>
              </w:rPr>
              <w:t>69.1 %</w:t>
            </w:r>
          </w:p>
        </w:tc>
      </w:tr>
      <w:tr>
        <w:trPr>
          <w:trHeight w:val="183"/>
        </w:trPr>
        <w:tc>
          <w:tcPr>
            <w:tcW w:w="4300" w:type="dxa"/>
            <w:vAlign w:val="bottom"/>
          </w:tcPr>
          <w:p>
            <w:pPr>
              <w:ind w:left="120"/>
              <w:spacing w:after="0"/>
              <w:rPr>
                <w:sz w:val="20"/>
                <w:szCs w:val="20"/>
                <w:color w:val="auto"/>
              </w:rPr>
            </w:pPr>
            <w:r>
              <w:rPr>
                <w:rFonts w:ascii="Arial" w:cs="Arial" w:eastAsia="Arial" w:hAnsi="Arial"/>
                <w:sz w:val="14"/>
                <w:szCs w:val="14"/>
                <w:color w:val="auto"/>
              </w:rPr>
              <w:t>Adjusted operating margin</w:t>
            </w:r>
          </w:p>
        </w:tc>
        <w:tc>
          <w:tcPr>
            <w:tcW w:w="840" w:type="dxa"/>
            <w:vAlign w:val="bottom"/>
          </w:tcPr>
          <w:p>
            <w:pPr>
              <w:jc w:val="right"/>
              <w:spacing w:after="0"/>
              <w:rPr>
                <w:sz w:val="20"/>
                <w:szCs w:val="20"/>
                <w:color w:val="auto"/>
              </w:rPr>
            </w:pPr>
            <w:r>
              <w:rPr>
                <w:rFonts w:ascii="Arial" w:cs="Arial" w:eastAsia="Arial" w:hAnsi="Arial"/>
                <w:sz w:val="14"/>
                <w:szCs w:val="14"/>
                <w:color w:val="auto"/>
              </w:rPr>
              <w:t>12.7 %</w:t>
            </w:r>
          </w:p>
        </w:tc>
        <w:tc>
          <w:tcPr>
            <w:tcW w:w="800" w:type="dxa"/>
            <w:vAlign w:val="bottom"/>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14.9 %</w:t>
            </w:r>
          </w:p>
        </w:tc>
        <w:tc>
          <w:tcPr>
            <w:tcW w:w="800" w:type="dxa"/>
            <w:vAlign w:val="bottom"/>
          </w:tcPr>
          <w:p>
            <w:pPr>
              <w:jc w:val="right"/>
              <w:spacing w:after="0"/>
              <w:rPr>
                <w:sz w:val="20"/>
                <w:szCs w:val="20"/>
                <w:color w:val="auto"/>
              </w:rPr>
            </w:pPr>
            <w:r>
              <w:rPr>
                <w:rFonts w:ascii="Arial" w:cs="Arial" w:eastAsia="Arial" w:hAnsi="Arial"/>
                <w:sz w:val="14"/>
                <w:szCs w:val="14"/>
                <w:color w:val="auto"/>
              </w:rPr>
              <w:t>14.3 %</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18.9 %</w:t>
            </w:r>
          </w:p>
        </w:tc>
        <w:tc>
          <w:tcPr>
            <w:tcW w:w="800" w:type="dxa"/>
            <w:vAlign w:val="bottom"/>
          </w:tcPr>
          <w:p>
            <w:pPr>
              <w:jc w:val="right"/>
              <w:spacing w:after="0"/>
              <w:rPr>
                <w:sz w:val="20"/>
                <w:szCs w:val="20"/>
                <w:color w:val="auto"/>
              </w:rPr>
            </w:pPr>
            <w:r>
              <w:rPr>
                <w:rFonts w:ascii="Arial" w:cs="Arial" w:eastAsia="Arial" w:hAnsi="Arial"/>
                <w:sz w:val="14"/>
                <w:szCs w:val="14"/>
                <w:color w:val="auto"/>
              </w:rPr>
              <w:t>18.4 %</w:t>
            </w: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15.5 %</w:t>
            </w:r>
          </w:p>
        </w:tc>
        <w:tc>
          <w:tcPr>
            <w:tcW w:w="780" w:type="dxa"/>
            <w:vAlign w:val="bottom"/>
          </w:tcPr>
          <w:p>
            <w:pPr>
              <w:jc w:val="right"/>
              <w:spacing w:after="0"/>
              <w:rPr>
                <w:sz w:val="20"/>
                <w:szCs w:val="20"/>
                <w:color w:val="auto"/>
              </w:rPr>
            </w:pPr>
            <w:r>
              <w:rPr>
                <w:rFonts w:ascii="Arial" w:cs="Arial" w:eastAsia="Arial" w:hAnsi="Arial"/>
                <w:sz w:val="14"/>
                <w:szCs w:val="14"/>
                <w:color w:val="auto"/>
              </w:rPr>
              <w:t>15.0 %</w:t>
            </w:r>
          </w:p>
        </w:tc>
      </w:tr>
      <w:tr>
        <w:trPr>
          <w:trHeight w:val="183"/>
        </w:trPr>
        <w:tc>
          <w:tcPr>
            <w:tcW w:w="4300" w:type="dxa"/>
            <w:vAlign w:val="bottom"/>
          </w:tcPr>
          <w:p>
            <w:pPr>
              <w:ind w:left="120"/>
              <w:spacing w:after="0"/>
              <w:rPr>
                <w:sz w:val="20"/>
                <w:szCs w:val="20"/>
                <w:color w:val="auto"/>
              </w:rPr>
            </w:pPr>
            <w:r>
              <w:rPr>
                <w:rFonts w:ascii="Arial" w:cs="Arial" w:eastAsia="Arial" w:hAnsi="Arial"/>
                <w:sz w:val="14"/>
                <w:szCs w:val="14"/>
                <w:color w:val="auto"/>
              </w:rPr>
              <w:t>Adjusted income tax rate</w:t>
            </w:r>
          </w:p>
        </w:tc>
        <w:tc>
          <w:tcPr>
            <w:tcW w:w="840" w:type="dxa"/>
            <w:vAlign w:val="bottom"/>
          </w:tcPr>
          <w:p>
            <w:pPr>
              <w:jc w:val="right"/>
              <w:spacing w:after="0"/>
              <w:rPr>
                <w:sz w:val="20"/>
                <w:szCs w:val="20"/>
                <w:color w:val="auto"/>
              </w:rPr>
            </w:pPr>
            <w:r>
              <w:rPr>
                <w:rFonts w:ascii="Arial" w:cs="Arial" w:eastAsia="Arial" w:hAnsi="Arial"/>
                <w:sz w:val="14"/>
                <w:szCs w:val="14"/>
                <w:color w:val="auto"/>
              </w:rPr>
              <w:t>10.8 %</w:t>
            </w:r>
          </w:p>
        </w:tc>
        <w:tc>
          <w:tcPr>
            <w:tcW w:w="80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14.7 %</w:t>
            </w:r>
          </w:p>
        </w:tc>
        <w:tc>
          <w:tcPr>
            <w:tcW w:w="800" w:type="dxa"/>
            <w:vAlign w:val="bottom"/>
          </w:tcPr>
          <w:p>
            <w:pPr>
              <w:jc w:val="right"/>
              <w:spacing w:after="0"/>
              <w:rPr>
                <w:sz w:val="20"/>
                <w:szCs w:val="20"/>
                <w:color w:val="auto"/>
              </w:rPr>
            </w:pPr>
            <w:r>
              <w:rPr>
                <w:rFonts w:ascii="Arial" w:cs="Arial" w:eastAsia="Arial" w:hAnsi="Arial"/>
                <w:sz w:val="14"/>
                <w:szCs w:val="14"/>
                <w:color w:val="auto"/>
              </w:rPr>
              <w:t>14.1 %</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10.5 %</w:t>
            </w:r>
          </w:p>
        </w:tc>
        <w:tc>
          <w:tcPr>
            <w:tcW w:w="800" w:type="dxa"/>
            <w:vAlign w:val="bottom"/>
          </w:tcPr>
          <w:p>
            <w:pPr>
              <w:jc w:val="right"/>
              <w:spacing w:after="0"/>
              <w:rPr>
                <w:sz w:val="20"/>
                <w:szCs w:val="20"/>
                <w:color w:val="auto"/>
              </w:rPr>
            </w:pPr>
            <w:r>
              <w:rPr>
                <w:rFonts w:ascii="Arial" w:cs="Arial" w:eastAsia="Arial" w:hAnsi="Arial"/>
                <w:sz w:val="14"/>
                <w:szCs w:val="14"/>
                <w:color w:val="auto"/>
              </w:rPr>
              <w:t>9.9 %</w:t>
            </w: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12.0 %</w:t>
            </w:r>
          </w:p>
        </w:tc>
        <w:tc>
          <w:tcPr>
            <w:tcW w:w="780" w:type="dxa"/>
            <w:vAlign w:val="bottom"/>
          </w:tcPr>
          <w:p>
            <w:pPr>
              <w:jc w:val="right"/>
              <w:spacing w:after="0"/>
              <w:rPr>
                <w:sz w:val="20"/>
                <w:szCs w:val="20"/>
                <w:color w:val="auto"/>
              </w:rPr>
            </w:pPr>
            <w:r>
              <w:rPr>
                <w:rFonts w:ascii="Arial" w:cs="Arial" w:eastAsia="Arial" w:hAnsi="Arial"/>
                <w:sz w:val="14"/>
                <w:szCs w:val="14"/>
                <w:color w:val="auto"/>
              </w:rPr>
              <w:t>11.3 %</w:t>
            </w:r>
          </w:p>
        </w:tc>
      </w:tr>
    </w:tbl>
    <w:p>
      <w:pPr>
        <w:spacing w:after="0" w:line="120" w:lineRule="exact"/>
        <w:rPr>
          <w:sz w:val="20"/>
          <w:szCs w:val="20"/>
          <w:color w:val="auto"/>
        </w:rPr>
      </w:pPr>
    </w:p>
    <w:p>
      <w:pPr>
        <w:jc w:val="both"/>
        <w:ind w:left="20" w:right="380"/>
        <w:spacing w:after="0" w:line="226" w:lineRule="auto"/>
        <w:rPr>
          <w:sz w:val="20"/>
          <w:szCs w:val="20"/>
          <w:color w:val="auto"/>
        </w:rPr>
      </w:pPr>
      <w:r>
        <w:rPr>
          <w:rFonts w:ascii="Arial" w:cs="Arial" w:eastAsia="Arial" w:hAnsi="Arial"/>
          <w:sz w:val="14"/>
          <w:szCs w:val="14"/>
          <w:color w:val="auto"/>
        </w:rPr>
        <w:t>During the fourth quarter of 2021, the Company identified and rectified an error related to foreign currency exchange rates utilized to calculate inventory and cost of sales for the years ended December 31, 2017 through 2020 and the nine months ended September 30, 2021. Accordingly, prior period results on a GAAP and non-GAAP basis were revised herein.</w:t>
      </w:r>
    </w:p>
    <w:p>
      <w:pPr>
        <w:spacing w:after="0" w:line="212" w:lineRule="exact"/>
        <w:rPr>
          <w:sz w:val="20"/>
          <w:szCs w:val="20"/>
          <w:color w:val="auto"/>
        </w:rPr>
      </w:pPr>
    </w:p>
    <w:p>
      <w:pPr>
        <w:ind w:left="20" w:right="120" w:firstLine="2"/>
        <w:spacing w:after="0" w:line="232" w:lineRule="auto"/>
        <w:tabs>
          <w:tab w:leader="none" w:pos="229"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addition to the revision of an error discussed above, cost of sales and gross profit (GAAP and Non-GAAP) as revised includes product remediation expenses and amortization of intangibles that were reclassified to cost of sales for comparative purposes.</w:t>
      </w:r>
    </w:p>
    <w:p>
      <w:pPr>
        <w:sectPr>
          <w:pgSz w:w="11900" w:h="16838" w:orient="portrait"/>
          <w:cols w:equalWidth="0" w:num="1">
            <w:col w:w="11240"/>
          </w:cols>
          <w:pgMar w:left="320" w:top="1423"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sectPr>
      <w:pgSz w:w="11900" w:h="16838" w:orient="portrait"/>
      <w:cols w:equalWidth="0" w:num="1">
        <w:col w:w="11240"/>
      </w:cols>
      <w:pgMar w:left="320" w:top="142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3"/>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lvl w:ilvl="1">
      <w:lvlJc w:val="left"/>
      <w:lvlText w:val="(%2)"/>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lvl w:ilvl="1">
      <w:lvlJc w:val="left"/>
      <w:lvlText w:val="(%2)"/>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upperLetter"/>
      <w:start w:val="1"/>
    </w:lvl>
  </w:abstractNum>
  <w:abstractNum w:abstractNumId="20">
    <w:nsid w:val="8EDBDAB"/>
    <w:multiLevelType w:val="hybridMultilevel"/>
    <w:lvl w:ilvl="0">
      <w:lvlJc w:val="left"/>
      <w:lvlText w:val="*"/>
      <w:numFmt w:val="bullet"/>
      <w:start w:val="1"/>
    </w:lvl>
    <w:lvl w:ilvl="1">
      <w:lvlJc w:val="left"/>
      <w:lvlText w:val="(%2)"/>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2022-02-23T05:15:27Z</dcterms:created>
  <dcterms:modified xsi:type="dcterms:W3CDTF">2022-02-23T05:15:27Z</dcterms:modified>
</cp:coreProperties>
</file>