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9515710175363.xml.htm"/>
      <w:bookmarkStart w:id="1" w:name="kswfform4_169515710175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Hebbelinck Trui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Human Resources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6"/>
        <w:gridCol w:w="774"/>
        <w:gridCol w:w="602"/>
        <w:gridCol w:w="353"/>
        <w:gridCol w:w="820"/>
        <w:gridCol w:w="467"/>
        <w:gridCol w:w="680"/>
        <w:gridCol w:w="1184"/>
        <w:gridCol w:w="1014"/>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7,748</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w:t>
            </w:r>
            <w:r>
              <w:rPr>
                <w:rFonts w:ascii="Times;serif" w:hAnsi="Times;serif"/>
                <w:color w:val="008000"/>
                <w:position w:val="7"/>
                <w:sz w:val="16"/>
                <w:sz w:val="20"/>
                <w:shd w:fill="FFFFFF" w:val="clear"/>
              </w:rPr>
              <w:t>(2)</w:t>
            </w:r>
            <w:r>
              <w:rPr/>
              <w:t xml:space="preserve"> </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56.8</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7,541</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GBP 1.00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referenced shares were withheld from distribution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ordinary share of the Company, GBP 1.00 par value, in accordance with the terms of the LivaNova PLC 2015 Incentive Award Plan (the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15, 2019, reporting person was granted RSUs subject to a four-year vesting schedule, the first vesting for which occurred on September 15, 2020. The RSUs are subject to forfeiture prior to vesting in accordance with the terms of the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number reflects the number of derivative securities beneficially owned following reported transaction for this specific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s5581FFB190D13FB15DF194109C09B1DA"/>
      <w:bookmarkStart w:id="3" w:name="hebbelinckpowerofattorney.htm"/>
      <w:bookmarkStart w:id="4" w:name="kshebbelinckpowerofattorney"/>
      <w:bookmarkStart w:id="5" w:name="s5581FFB190D13FB15DF194109C09B1DA"/>
      <w:bookmarkStart w:id="6" w:name="hebbelinckpowerofattorney.htm"/>
      <w:bookmarkStart w:id="7" w:name="kshebbelinckpowerofattorney"/>
      <w:bookmarkEnd w:id="5"/>
      <w:bookmarkEnd w:id="6"/>
      <w:bookmarkEnd w:id="7"/>
      <w:r>
        <w:br w:type="page"/>
      </w:r>
    </w:p>
    <w:p>
      <w:pPr>
        <w:pStyle w:val="TextBody"/>
        <w:bidi w:val="0"/>
        <w:spacing w:lineRule="auto" w:line="331" w:before="0" w:after="0"/>
        <w:jc w:val="center"/>
        <w:rPr>
          <w:rFonts w:ascii="inherit" w:hAnsi="inherit"/>
          <w:b/>
          <w:sz w:val="22"/>
          <w:u w:val="single"/>
        </w:rPr>
      </w:pPr>
      <w:r>
        <w:rPr>
          <w:rFonts w:ascii="inherit" w:hAnsi="inherit"/>
          <w:b/>
          <w:sz w:val="22"/>
          <w:u w:val="single"/>
        </w:rPr>
        <w:t>POWER OF ATTORNEY</w:t>
      </w:r>
    </w:p>
    <w:p>
      <w:pPr>
        <w:pStyle w:val="TextBody"/>
        <w:bidi w:val="0"/>
        <w:spacing w:lineRule="auto" w:line="331" w:before="0" w:after="0"/>
        <w:ind w:left="0" w:right="0" w:firstLine="720"/>
        <w:jc w:val="left"/>
        <w:rPr>
          <w:rFonts w:ascii="inherit" w:hAnsi="inherit"/>
          <w:sz w:val="22"/>
        </w:rPr>
      </w:pPr>
      <w:r>
        <w:rPr>
          <w:rFonts w:ascii="inherit" w:hAnsi="inherit"/>
          <w:sz w:val="22"/>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lineRule="auto" w:line="331" w:before="0" w:after="0"/>
              <w:jc w:val="left"/>
              <w:rPr>
                <w:rFonts w:ascii="inherit" w:hAnsi="inherit"/>
                <w:sz w:val="22"/>
              </w:rPr>
            </w:pPr>
            <w:r>
              <w:rPr>
                <w:rFonts w:ascii="inherit" w:hAnsi="inherit"/>
                <w:sz w:val="22"/>
              </w:rPr>
              <w:t>(1)</w:t>
            </w:r>
          </w:p>
        </w:tc>
        <w:tc>
          <w:tcPr>
            <w:tcW w:w="9911" w:type="dxa"/>
            <w:tcBorders/>
            <w:vAlign w:val="center"/>
          </w:tcPr>
          <w:p>
            <w:pPr>
              <w:pStyle w:val="TableContents"/>
              <w:bidi w:val="0"/>
              <w:spacing w:lineRule="auto" w:line="331" w:before="0" w:after="0"/>
              <w:jc w:val="left"/>
              <w:rPr>
                <w:rFonts w:ascii="inherit" w:hAnsi="inherit"/>
                <w:sz w:val="22"/>
              </w:rPr>
            </w:pPr>
            <w:r>
              <w:rPr>
                <w:rFonts w:ascii="inherit" w:hAnsi="inherit"/>
                <w:sz w:val="22"/>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lineRule="auto" w:line="331" w:before="0" w:after="0"/>
              <w:jc w:val="left"/>
              <w:rPr>
                <w:rFonts w:ascii="inherit" w:hAnsi="inherit"/>
                <w:sz w:val="22"/>
              </w:rPr>
            </w:pPr>
            <w:r>
              <w:rPr>
                <w:rFonts w:ascii="inherit" w:hAnsi="inherit"/>
                <w:sz w:val="22"/>
              </w:rPr>
              <w:t>(2)</w:t>
            </w:r>
          </w:p>
        </w:tc>
        <w:tc>
          <w:tcPr>
            <w:tcW w:w="9911" w:type="dxa"/>
            <w:tcBorders/>
            <w:vAlign w:val="center"/>
          </w:tcPr>
          <w:p>
            <w:pPr>
              <w:pStyle w:val="TableContents"/>
              <w:bidi w:val="0"/>
              <w:spacing w:lineRule="auto" w:line="331" w:before="0" w:after="0"/>
              <w:jc w:val="left"/>
              <w:rPr>
                <w:rFonts w:ascii="inherit" w:hAnsi="inherit"/>
                <w:sz w:val="22"/>
              </w:rPr>
            </w:pPr>
            <w:r>
              <w:rPr>
                <w:rFonts w:ascii="inherit" w:hAnsi="inherit"/>
                <w:sz w:val="22"/>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sz w:val="4"/>
                <w:szCs w:val="4"/>
              </w:rPr>
            </w:pPr>
            <w:r>
              <w:rPr>
                <w:sz w:val="4"/>
                <w:szCs w:val="4"/>
              </w:rPr>
            </w:r>
          </w:p>
        </w:tc>
        <w:tc>
          <w:tcPr>
            <w:tcW w:w="9917" w:type="dxa"/>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lineRule="auto" w:line="331" w:before="0" w:after="0"/>
              <w:jc w:val="left"/>
              <w:rPr>
                <w:rFonts w:ascii="inherit" w:hAnsi="inherit"/>
                <w:sz w:val="22"/>
              </w:rPr>
            </w:pPr>
            <w:r>
              <w:rPr>
                <w:rFonts w:ascii="inherit" w:hAnsi="inherit"/>
                <w:sz w:val="22"/>
              </w:rPr>
              <w:t>(3)</w:t>
            </w:r>
          </w:p>
        </w:tc>
        <w:tc>
          <w:tcPr>
            <w:tcW w:w="9917" w:type="dxa"/>
            <w:tcBorders/>
            <w:vAlign w:val="center"/>
          </w:tcPr>
          <w:p>
            <w:pPr>
              <w:pStyle w:val="TableContents"/>
              <w:bidi w:val="0"/>
              <w:spacing w:lineRule="auto" w:line="331" w:before="0" w:after="0"/>
              <w:jc w:val="left"/>
              <w:rPr>
                <w:rFonts w:ascii="inherit" w:hAnsi="inherit"/>
                <w:sz w:val="22"/>
              </w:rPr>
            </w:pPr>
            <w:r>
              <w:rPr>
                <w:rFonts w:ascii="inherit" w:hAnsi="inherit"/>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lineRule="auto" w:line="331" w:before="0" w:after="0"/>
        <w:ind w:left="0" w:right="0" w:firstLine="720"/>
        <w:jc w:val="left"/>
        <w:rPr>
          <w:rFonts w:ascii="inherit" w:hAnsi="inherit"/>
          <w:sz w:val="22"/>
        </w:rPr>
      </w:pPr>
      <w:r>
        <w:rPr>
          <w:rFonts w:ascii="inherit" w:hAnsi="inherit"/>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lineRule="auto" w:line="331" w:before="0" w:after="0"/>
        <w:ind w:left="0" w:right="0" w:firstLine="720"/>
        <w:jc w:val="left"/>
        <w:rPr>
          <w:rFonts w:ascii="inherit" w:hAnsi="inherit"/>
          <w:sz w:val="22"/>
        </w:rPr>
      </w:pPr>
      <w:r>
        <w:rPr>
          <w:rFonts w:ascii="inherit" w:hAnsi="inherit"/>
          <w:sz w:val="22"/>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spacing w:lineRule="auto" w:line="331" w:before="0" w:after="0"/>
        <w:ind w:left="0" w:right="0" w:firstLine="720"/>
        <w:jc w:val="left"/>
        <w:rPr>
          <w:rFonts w:ascii="inherit" w:hAnsi="inherit"/>
          <w:sz w:val="22"/>
        </w:rPr>
      </w:pPr>
      <w:r>
        <w:rPr>
          <w:rFonts w:ascii="inherit" w:hAnsi="inherit"/>
          <w:sz w:val="22"/>
        </w:rPr>
        <w:t>This Power of Attorney supersedes any power of attorney previously executed by the undersigned regarding the purposes outlined in the first paragraph hereof, and the authority of the attorneys-in-fact named in any such power of attorney is hereby revoked.</w:t>
      </w:r>
    </w:p>
    <w:p>
      <w:pPr>
        <w:pStyle w:val="TextBody"/>
        <w:bidi w:val="0"/>
        <w:spacing w:lineRule="auto" w:line="331" w:before="0" w:after="0"/>
        <w:ind w:left="0" w:right="0" w:firstLine="720"/>
        <w:jc w:val="left"/>
        <w:rPr>
          <w:rFonts w:ascii="inherit" w:hAnsi="inherit"/>
          <w:sz w:val="22"/>
        </w:rPr>
      </w:pPr>
      <w:r>
        <w:rPr>
          <w:rFonts w:ascii="inherit" w:hAnsi="inherit"/>
          <w:sz w:val="22"/>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pStyle w:val="TextBody"/>
        <w:bidi w:val="0"/>
        <w:spacing w:lineRule="auto" w:line="288" w:before="0" w:after="0"/>
        <w:ind w:left="0" w:right="0" w:firstLine="720"/>
        <w:jc w:val="left"/>
        <w:rPr>
          <w:sz w:val="22"/>
        </w:rPr>
      </w:pPr>
      <w:r>
        <w:rPr>
          <w:rFonts w:ascii="inherit" w:hAnsi="inherit"/>
          <w:sz w:val="22"/>
        </w:rPr>
        <w:t>IN WITNESS WHEREOF, the undersigned has caused this Power of Attorney to be executed as of this 27</w:t>
      </w:r>
      <w:r>
        <w:rPr>
          <w:rFonts w:ascii="inherit" w:hAnsi="inherit"/>
          <w:sz w:val="14"/>
        </w:rPr>
        <w:t>th</w:t>
      </w:r>
      <w:r>
        <w:rPr>
          <w:sz w:val="22"/>
        </w:rPr>
        <w:t xml:space="preserve"> </w:t>
      </w:r>
      <w:r>
        <w:rPr>
          <w:rFonts w:ascii="inherit" w:hAnsi="inherit"/>
          <w:sz w:val="22"/>
        </w:rPr>
        <w:t>day of March, 2019.</w:t>
      </w:r>
    </w:p>
    <w:p>
      <w:pPr>
        <w:pStyle w:val="TextBody"/>
        <w:bidi w:val="0"/>
        <w:spacing w:lineRule="auto" w:line="288" w:before="0" w:after="0"/>
        <w:jc w:val="left"/>
        <w:rPr>
          <w:rFonts w:ascii="inherit" w:hAnsi="inherit"/>
          <w:sz w:val="22"/>
        </w:rPr>
      </w:pPr>
      <w:r>
        <w:rPr>
          <w:rFonts w:ascii="inherit" w:hAnsi="inherit"/>
          <w:sz w:val="22"/>
        </w:rPr>
      </w:r>
    </w:p>
    <w:p>
      <w:pPr>
        <w:pStyle w:val="TextBody"/>
        <w:bidi w:val="0"/>
        <w:spacing w:lineRule="auto" w:line="288" w:before="0" w:after="0"/>
        <w:jc w:val="left"/>
        <w:rPr>
          <w:rFonts w:ascii="inherit" w:hAnsi="inherit"/>
          <w:sz w:val="22"/>
        </w:rPr>
      </w:pPr>
      <w:r>
        <w:rPr>
          <w:rFonts w:ascii="inherit" w:hAnsi="inherit"/>
          <w:sz w:val="22"/>
        </w:rPr>
      </w:r>
    </w:p>
    <w:p>
      <w:pPr>
        <w:pStyle w:val="TextBody"/>
        <w:bidi w:val="0"/>
        <w:spacing w:lineRule="auto" w:line="288" w:before="0" w:after="0"/>
        <w:ind w:left="0" w:right="0" w:firstLine="5760"/>
        <w:jc w:val="left"/>
        <w:rPr>
          <w:rFonts w:ascii="inherit" w:hAnsi="inherit"/>
          <w:sz w:val="22"/>
          <w:u w:val="single"/>
        </w:rPr>
      </w:pPr>
      <w:r>
        <w:rPr>
          <w:rFonts w:ascii="inherit" w:hAnsi="inherit"/>
          <w:sz w:val="22"/>
          <w:u w:val="single"/>
        </w:rPr>
        <w:t>/s/ Trui Hebbelinck            </w:t>
      </w:r>
    </w:p>
    <w:p>
      <w:pPr>
        <w:pStyle w:val="TextBody"/>
        <w:bidi w:val="0"/>
        <w:spacing w:lineRule="auto" w:line="288" w:before="0" w:after="0"/>
        <w:ind w:left="0" w:right="0" w:firstLine="5760"/>
        <w:jc w:val="left"/>
        <w:rPr>
          <w:rFonts w:ascii="inherit" w:hAnsi="inherit"/>
          <w:sz w:val="22"/>
        </w:rPr>
      </w:pPr>
      <w:r>
        <w:rPr>
          <w:rFonts w:ascii="inherit" w:hAnsi="inherit"/>
          <w:sz w:val="22"/>
        </w:rPr>
        <w:t>Trui Hebbelinck</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3051" TargetMode="External"/><Relationship Id="rId4" Type="http://schemas.openxmlformats.org/officeDocument/2006/relationships/hyperlink" Target="http://www.sec.gov/cgi-bin/browse-edgar?action=getcompany&amp;CIK=000163969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1408</Words>
  <Characters>7517</Characters>
  <CharactersWithSpaces>8843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