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38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92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Story Brooke</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40"/>
              <w:spacing w:after="0"/>
              <w:rPr>
                <w:sz w:val="20"/>
                <w:szCs w:val="20"/>
                <w:color w:val="auto"/>
              </w:rPr>
            </w:pPr>
            <w:r>
              <w:rPr>
                <w:rFonts w:ascii="Arial" w:cs="Arial" w:eastAsia="Arial" w:hAnsi="Arial"/>
                <w:sz w:val="17"/>
                <w:szCs w:val="17"/>
                <w:color w:val="0000FF"/>
              </w:rPr>
              <w:t>X0</w:t>
            </w:r>
          </w:p>
        </w:tc>
        <w:tc>
          <w:tcPr>
            <w:tcW w:w="1340" w:type="dxa"/>
            <w:vAlign w:val="bottom"/>
          </w:tcPr>
          <w:p>
            <w:pPr>
              <w:ind w:left="140"/>
              <w:spacing w:after="0"/>
              <w:rPr>
                <w:sz w:val="20"/>
                <w:szCs w:val="20"/>
                <w:color w:val="auto"/>
              </w:rPr>
            </w:pPr>
            <w:r>
              <w:rPr>
                <w:rFonts w:ascii="Arial" w:cs="Arial" w:eastAsia="Arial" w:hAnsi="Arial"/>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LivaNova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LIVN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Arial" w:cs="Arial" w:eastAsia="Arial" w:hAnsi="Arial"/>
                <w:sz w:val="17"/>
                <w:szCs w:val="17"/>
                <w:color w:val="0000FF"/>
              </w:rPr>
              <w:t>09/15/2023</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58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09/15/2023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9"/>
              </w:rPr>
              <w:t>1,725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1,725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09/15/2023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w w:val="74"/>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345</w:t>
            </w:r>
            <w:r>
              <w:rPr>
                <w:rFonts w:ascii="Arial" w:cs="Arial" w:eastAsia="Arial" w:hAnsi="Arial"/>
                <w:sz w:val="21"/>
                <w:szCs w:val="21"/>
                <w:color w:val="008000"/>
                <w:w w:val="83"/>
                <w:vertAlign w:val="superscript"/>
              </w:rPr>
              <w:t>(2)</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57.8</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1,380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1,725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09/15/2023</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1,725</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3"/>
                <w:szCs w:val="13"/>
                <w:color w:val="0000FF"/>
                <w:w w:val="97"/>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3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15, 2022, reporting person was granted RSUs to vest and forfeiture restrictions thereon to lapse on September 15, 2023,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Sarah Mohr, POA</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09/19/2023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613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2023-09-19T16:17:29Z</dcterms:created>
  <dcterms:modified xsi:type="dcterms:W3CDTF">2023-09-19T16:17:29Z</dcterms:modified>
</cp:coreProperties>
</file>