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October 30, 2024, LivaNova PLC (the “Company”) issued a press release announcing financial results for the quarter ended September 30, 2024. The Company will host a business update conference call and webcast today, October 30, 2024, at 12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LivaNova PLC dated October 30, 2024</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80"/>
          </w:cols>
          <w:pgMar w:left="320" w:top="100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Third-Quarter 2024 Results</w:t>
      </w:r>
    </w:p>
    <w:p>
      <w:pPr>
        <w:spacing w:after="0" w:line="200" w:lineRule="exact"/>
        <w:rPr>
          <w:sz w:val="20"/>
          <w:szCs w:val="20"/>
          <w:color w:val="auto"/>
        </w:rPr>
      </w:pPr>
    </w:p>
    <w:p>
      <w:pPr>
        <w:spacing w:after="0" w:line="204" w:lineRule="exact"/>
        <w:rPr>
          <w:sz w:val="20"/>
          <w:szCs w:val="20"/>
          <w:color w:val="auto"/>
        </w:rPr>
      </w:pPr>
    </w:p>
    <w:p>
      <w:pPr>
        <w:ind w:right="20"/>
        <w:spacing w:after="0" w:line="400" w:lineRule="auto"/>
        <w:rPr>
          <w:sz w:val="20"/>
          <w:szCs w:val="20"/>
          <w:color w:val="auto"/>
        </w:rPr>
      </w:pPr>
      <w:r>
        <w:rPr>
          <w:rFonts w:ascii="Arial" w:cs="Arial" w:eastAsia="Arial" w:hAnsi="Arial"/>
          <w:sz w:val="20"/>
          <w:szCs w:val="20"/>
          <w:b w:val="1"/>
          <w:bCs w:val="1"/>
          <w:color w:val="auto"/>
        </w:rPr>
        <w:t xml:space="preserve">London, October 30, 2024 – </w:t>
      </w:r>
      <w:r>
        <w:rPr>
          <w:rFonts w:ascii="Arial" w:cs="Arial" w:eastAsia="Arial" w:hAnsi="Arial"/>
          <w:sz w:val="20"/>
          <w:szCs w:val="20"/>
          <w:color w:val="auto"/>
        </w:rPr>
        <w:t>LivaNova PLC (Nasdaq: LIVN), a market-leading medical technology company, today reported</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quarter ended September 30, 2024 and raised full-year 2024 guidance.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187" w:lineRule="exact"/>
        <w:rPr>
          <w:sz w:val="20"/>
          <w:szCs w:val="20"/>
          <w:color w:val="auto"/>
        </w:rPr>
      </w:pPr>
    </w:p>
    <w:p>
      <w:pPr>
        <w:jc w:val="both"/>
        <w:ind w:left="340" w:hanging="251"/>
        <w:spacing w:after="0" w:line="283" w:lineRule="auto"/>
        <w:tabs>
          <w:tab w:leader="none" w:pos="2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Third-quarter revenue of $318.1 million increased 11.2% on both a reported and constant-currency basis, as compared to the prior-year period. Excluding the impact of the Advanced Circulatory Support (ACS) segment wind down, revenue increased 12.3% on a constant-currency basis.</w:t>
      </w:r>
    </w:p>
    <w:p>
      <w:pPr>
        <w:spacing w:after="0" w:line="90" w:lineRule="exact"/>
        <w:rPr>
          <w:rFonts w:ascii="Arial" w:cs="Arial" w:eastAsia="Arial" w:hAnsi="Arial"/>
          <w:sz w:val="20"/>
          <w:szCs w:val="20"/>
          <w:b w:val="1"/>
          <w:bCs w:val="1"/>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Third-quarter U.S. GAAP diluted earnings per share of $0.60 and adjusted diluted earnings per share of $0.90.</w:t>
      </w:r>
    </w:p>
    <w:p>
      <w:pPr>
        <w:spacing w:after="0" w:line="148" w:lineRule="exact"/>
        <w:rPr>
          <w:rFonts w:ascii="Arial" w:cs="Arial" w:eastAsia="Arial" w:hAnsi="Arial"/>
          <w:sz w:val="20"/>
          <w:szCs w:val="20"/>
          <w:color w:val="auto"/>
        </w:rPr>
      </w:pPr>
    </w:p>
    <w:p>
      <w:pPr>
        <w:ind w:left="340" w:hanging="251"/>
        <w:spacing w:after="0" w:line="300" w:lineRule="auto"/>
        <w:tabs>
          <w:tab w:leader="none" w:pos="28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October 2024, LivaNova announced the appointment of Susan Podlogar to the Board. Podlogar serves on the Compensation and Human Capital Management Committee.</w:t>
      </w:r>
    </w:p>
    <w:p>
      <w:pPr>
        <w:spacing w:after="0" w:line="200" w:lineRule="exact"/>
        <w:rPr>
          <w:sz w:val="20"/>
          <w:szCs w:val="20"/>
          <w:color w:val="auto"/>
        </w:rPr>
      </w:pPr>
    </w:p>
    <w:p>
      <w:pPr>
        <w:spacing w:after="0" w:line="251"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"LivaNova delivered strong revenue and operating income growth in the third quarter,” said Vladimir Makatsaria, Chief Executive Officer of LivaNova. "This performance reflects the strength of our team's ongoing execution and steadfast commitment to serving customers and their patients. We look forward to building on this momentum in the fourth quarter and in 2025, driven by our continued focus on performance, innovation, 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1259840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0" w:hanging="72"/>
        <w:spacing w:after="0" w:line="270" w:lineRule="auto"/>
        <w:tabs>
          <w:tab w:leader="none" w:pos="115" w:val="left"/>
        </w:tabs>
        <w:numPr>
          <w:ilvl w:val="0"/>
          <w:numId w:val="4"/>
        </w:numPr>
        <w:rPr>
          <w:rFonts w:ascii="Arial" w:cs="Arial" w:eastAsia="Arial" w:hAnsi="Arial"/>
          <w:sz w:val="7"/>
          <w:szCs w:val="7"/>
          <w:color w:val="auto"/>
        </w:rPr>
      </w:pPr>
      <w:r>
        <w:rPr>
          <w:rFonts w:ascii="Arial" w:cs="Arial" w:eastAsia="Arial" w:hAnsi="Arial"/>
          <w:sz w:val="11"/>
          <w:szCs w:val="11"/>
          <w:color w:val="auto"/>
        </w:rPr>
        <w:t>Constant-currency percent change, total revenue excluding revenue from the ACS segment wind down, adjusted operating income,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2"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2024 Results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by segment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9"/>
              </w:rPr>
              <w:t>Three Months Ended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r>
      <w:tr>
        <w:trPr>
          <w:trHeight w:val="189"/>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580"/>
              <w:spacing w:after="0" w:line="169" w:lineRule="exact"/>
              <w:rPr>
                <w:sz w:val="20"/>
                <w:szCs w:val="20"/>
                <w:color w:val="auto"/>
              </w:rPr>
            </w:pPr>
            <w:r>
              <w:rPr>
                <w:rFonts w:ascii="Arial" w:cs="Arial" w:eastAsia="Arial" w:hAnsi="Arial"/>
                <w:sz w:val="18"/>
                <w:szCs w:val="18"/>
                <w:b w:val="1"/>
                <w:bCs w:val="1"/>
                <w:color w:val="auto"/>
                <w:w w:val="99"/>
              </w:rPr>
              <w:t>September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ind w:left="420"/>
              <w:spacing w:after="0" w:line="183" w:lineRule="exact"/>
              <w:rPr>
                <w:sz w:val="20"/>
                <w:szCs w:val="20"/>
                <w:color w:val="auto"/>
              </w:rPr>
            </w:pPr>
            <w:r>
              <w:rPr>
                <w:rFonts w:ascii="Arial" w:cs="Arial" w:eastAsia="Arial" w:hAnsi="Arial"/>
                <w:sz w:val="20"/>
                <w:szCs w:val="20"/>
                <w:b w:val="1"/>
                <w:bCs w:val="1"/>
                <w:color w:val="auto"/>
              </w:rPr>
              <w:t>Currency</w:t>
            </w:r>
          </w:p>
        </w:tc>
      </w:tr>
      <w:tr>
        <w:trPr>
          <w:trHeight w:val="250"/>
        </w:trPr>
        <w:tc>
          <w:tcPr>
            <w:tcW w:w="496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2024</w:t>
            </w:r>
          </w:p>
        </w:tc>
        <w:tc>
          <w:tcPr>
            <w:tcW w:w="1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r>
      <w:tr>
        <w:trPr>
          <w:trHeight w:val="227"/>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7"/>
        </w:trPr>
        <w:tc>
          <w:tcPr>
            <w:tcW w:w="4960" w:type="dxa"/>
            <w:vAlign w:val="bottom"/>
            <w:gridSpan w:val="3"/>
          </w:tcPr>
          <w:p>
            <w:pPr>
              <w:ind w:left="20"/>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15"/>
        </w:trPr>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37"/>
        </w:trPr>
        <w:tc>
          <w:tcPr>
            <w:tcW w:w="4960" w:type="dxa"/>
            <w:vAlign w:val="bottom"/>
            <w:gridSpan w:val="3"/>
          </w:tcPr>
          <w:p>
            <w:pPr>
              <w:ind w:left="140"/>
              <w:spacing w:after="0" w:line="237" w:lineRule="exact"/>
              <w:rPr>
                <w:sz w:val="20"/>
                <w:szCs w:val="20"/>
                <w:color w:val="auto"/>
              </w:rPr>
            </w:pPr>
            <w:r>
              <w:rPr>
                <w:rFonts w:ascii="Arial" w:cs="Arial" w:eastAsia="Arial" w:hAnsi="Arial"/>
                <w:sz w:val="18"/>
                <w:szCs w:val="18"/>
                <w:color w:val="auto"/>
              </w:rPr>
              <w:t xml:space="preserve">Less: ACS </w:t>
            </w:r>
            <w:r>
              <w:rPr>
                <w:rFonts w:ascii="Arial" w:cs="Arial" w:eastAsia="Arial" w:hAnsi="Arial"/>
                <w:sz w:val="23"/>
                <w:szCs w:val="23"/>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 Excluding ACS</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revenue from the Company’s former ACS reportable segment, as well as rental and site services income not allocated to segments.</w:t>
      </w:r>
    </w:p>
    <w:p>
      <w:pPr>
        <w:ind w:left="320" w:hanging="312"/>
        <w:spacing w:after="0" w:line="187"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the results from the wind down portion of the Company's former ACS reportable segment.</w:t>
      </w:r>
    </w:p>
    <w:p>
      <w:pPr>
        <w:spacing w:after="0" w:line="1" w:lineRule="exact"/>
        <w:rPr>
          <w:sz w:val="20"/>
          <w:szCs w:val="20"/>
          <w:color w:val="auto"/>
        </w:rPr>
      </w:pPr>
    </w:p>
    <w:p>
      <w:pPr>
        <w:ind w:left="340" w:hanging="332"/>
        <w:spacing w:after="0" w:line="271" w:lineRule="auto"/>
        <w:tabs>
          <w:tab w:leader="none" w:pos="259" w:val="left"/>
        </w:tabs>
        <w:numPr>
          <w:ilvl w:val="0"/>
          <w:numId w:val="6"/>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11" w:lineRule="exact"/>
        <w:rPr>
          <w:sz w:val="20"/>
          <w:szCs w:val="20"/>
          <w:color w:val="auto"/>
        </w:rPr>
      </w:pPr>
    </w:p>
    <w:p>
      <w:pPr>
        <w:jc w:val="both"/>
        <w:ind w:right="20"/>
        <w:spacing w:after="0" w:line="386" w:lineRule="auto"/>
        <w:rPr>
          <w:sz w:val="20"/>
          <w:szCs w:val="20"/>
          <w:color w:val="auto"/>
        </w:rPr>
      </w:pPr>
      <w:r>
        <w:rPr>
          <w:rFonts w:ascii="Arial" w:cs="Arial" w:eastAsia="Arial" w:hAnsi="Arial"/>
          <w:sz w:val="20"/>
          <w:szCs w:val="20"/>
          <w:b w:val="1"/>
          <w:bCs w:val="1"/>
          <w:color w:val="auto"/>
        </w:rPr>
        <w:t xml:space="preserve">Cardiopulmonary </w:t>
      </w:r>
      <w:r>
        <w:rPr>
          <w:rFonts w:ascii="Arial" w:cs="Arial" w:eastAsia="Arial" w:hAnsi="Arial"/>
          <w:sz w:val="20"/>
          <w:szCs w:val="20"/>
          <w:color w:val="auto"/>
        </w:rPr>
        <w:t>revenue increased 15.6% on a reported basis and 15.4% on a constant-currency basis versus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2023 with growth across all regions, driven by Essenz™ Perfusion System sales and strong consumables demand.</w:t>
      </w:r>
    </w:p>
    <w:p>
      <w:pPr>
        <w:spacing w:after="0" w:line="165" w:lineRule="exact"/>
        <w:rPr>
          <w:sz w:val="20"/>
          <w:szCs w:val="20"/>
          <w:color w:val="auto"/>
        </w:rPr>
      </w:pPr>
    </w:p>
    <w:p>
      <w:pPr>
        <w:jc w:val="both"/>
        <w:ind w:right="20"/>
        <w:spacing w:after="0" w:line="386" w:lineRule="auto"/>
        <w:rPr>
          <w:sz w:val="20"/>
          <w:szCs w:val="20"/>
          <w:color w:val="auto"/>
        </w:rPr>
      </w:pPr>
      <w:r>
        <w:rPr>
          <w:rFonts w:ascii="Arial" w:cs="Arial" w:eastAsia="Arial" w:hAnsi="Arial"/>
          <w:sz w:val="20"/>
          <w:szCs w:val="20"/>
          <w:b w:val="1"/>
          <w:bCs w:val="1"/>
          <w:color w:val="auto"/>
        </w:rPr>
        <w:t xml:space="preserve">Neuromodulation </w:t>
      </w:r>
      <w:r>
        <w:rPr>
          <w:rFonts w:ascii="Arial" w:cs="Arial" w:eastAsia="Arial" w:hAnsi="Arial"/>
          <w:sz w:val="20"/>
          <w:szCs w:val="20"/>
          <w:color w:val="auto"/>
        </w:rPr>
        <w:t>revenue increased 8.5% on a reported basis and 8.8% on a constant-currency basis versus the third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2023 with growth in the U.S. and Rest of World regions, partially offset by a decline in Europe.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24" w:lineRule="exact"/>
        <w:rPr>
          <w:sz w:val="20"/>
          <w:szCs w:val="20"/>
          <w:color w:val="auto"/>
        </w:rPr>
      </w:pPr>
    </w:p>
    <w:p>
      <w:pPr>
        <w:jc w:val="both"/>
        <w:ind w:right="20"/>
        <w:spacing w:after="0" w:line="375" w:lineRule="auto"/>
        <w:rPr>
          <w:sz w:val="20"/>
          <w:szCs w:val="20"/>
          <w:color w:val="auto"/>
        </w:rPr>
      </w:pPr>
      <w:r>
        <w:rPr>
          <w:rFonts w:ascii="Arial" w:cs="Arial" w:eastAsia="Arial" w:hAnsi="Arial"/>
          <w:sz w:val="20"/>
          <w:szCs w:val="20"/>
          <w:color w:val="auto"/>
        </w:rPr>
        <w:t>On a U.S. GAAP basis, third-quarter 2024 operating income was $35.6 million, as compared to operating income of $4.5 million for the third quarter of 2023. Adjusted operating income for the third quarter of 2024 was $63.6 million, as compared to adjusted operating income of $45.0 million for the third quarter of 2023.</w:t>
      </w:r>
    </w:p>
    <w:p>
      <w:pPr>
        <w:spacing w:after="0" w:line="17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On a U.S. GAAP basis, third-quarter 2024 diluted earnings per share was $0.60, as compared to diluted loss per share of $0.14 in the third quarter of 2023. Third-quarter 2024 adjusted diluted earnings per share was $0.90, as compared to adjusted diluted earnings per share of $0.73 in the third quarter of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2024 Guidance</w:t>
      </w:r>
    </w:p>
    <w:p>
      <w:pPr>
        <w:spacing w:after="0" w:line="33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now expects revenue for full-year 2024 to grow between 8.5% and 9.5% on a constant-currency basis. When excluding the impact of the ACS segment wind down, the Company now expects revenue for full-year 2024 to grow between 10% and 11% on a constant-currency basis. Foreign currency is now expected to be negligible based on current exchange rates.</w:t>
      </w:r>
    </w:p>
    <w:p>
      <w:pPr>
        <w:spacing w:after="0" w:line="186"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Adjusted diluted earnings per share for 2024 is now expected to be in the range of $3.30 to $3.40, assuming a share count of approximately 55 million for full-year 2024. For 2024, the Company now estimates that adjusted free cash flow will be in the range of $110 to $130 million.</w:t>
      </w:r>
    </w:p>
    <w:p>
      <w:pPr>
        <w:spacing w:after="0" w:line="164"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26" w:lineRule="exact"/>
        <w:rPr>
          <w:sz w:val="20"/>
          <w:szCs w:val="20"/>
          <w:color w:val="auto"/>
        </w:rPr>
      </w:pPr>
    </w:p>
    <w:p>
      <w:pPr>
        <w:jc w:val="both"/>
        <w:spacing w:after="0" w:line="389" w:lineRule="auto"/>
        <w:rPr>
          <w:sz w:val="20"/>
          <w:szCs w:val="20"/>
          <w:color w:val="auto"/>
        </w:rPr>
      </w:pPr>
      <w:r>
        <w:rPr>
          <w:rFonts w:ascii="Arial" w:cs="Arial" w:eastAsia="Arial" w:hAnsi="Arial"/>
          <w:sz w:val="19"/>
          <w:szCs w:val="19"/>
          <w:color w:val="auto"/>
        </w:rPr>
        <w:t xml:space="preserve">The Company will host a live audiocast at 12 p.m. London time (8 a.m. Eastern Time) on Wednesday, October 30, 2024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881946.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where it will be archived and accessible for approximately 90 days.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24"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 xml:space="preserve">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3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spacing w:after="0" w:line="17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In this news release, the Company refers to comparable, constant-currency percent change in revenue. Company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186"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CARES Act tax stimulus benefits, SNIA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jc w:val="both"/>
        <w:spacing w:after="0" w:line="398" w:lineRule="auto"/>
        <w:rPr>
          <w:sz w:val="20"/>
          <w:szCs w:val="20"/>
          <w:color w:val="auto"/>
        </w:rPr>
      </w:pPr>
      <w:r>
        <w:rPr>
          <w:rFonts w:ascii="Arial" w:cs="Arial" w:eastAsia="Arial" w:hAnsi="Arial"/>
          <w:sz w:val="20"/>
          <w:szCs w:val="20"/>
          <w:color w:val="auto"/>
        </w:rPr>
        <w:t>Company does not reconcile non-GAAP financial measures on a forward-looking basis as it is impractical to do so without unreasonable effort.</w:t>
      </w:r>
    </w:p>
    <w:p>
      <w:pPr>
        <w:spacing w:after="0" w:line="142"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The Company also believes adjusted financial measures such as adjusted cost of sales, adjusted gross profit, adjusted selling, general, and administrative expense, adjusted research and development expense, adjusted other operating expenses,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Furthermore, adjusted financial measures allow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4"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8"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the risk of quality issues and the impacts thereof; risks relating to recalls, replacement of inventory,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environmental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environmental, social, and governance pressures from internal and external stakeholders;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9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United States Securities and Exchange Commission by LivaNova.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VNS Therapy and Essenz are trademarks of LivaNova USA, Inc.</w:t>
      </w: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Briana Gotlin</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20"/>
          <w:szCs w:val="20"/>
          <w:color w:val="auto"/>
        </w:rPr>
        <w:t>Director, Investor Relations</w:t>
      </w:r>
    </w:p>
    <w:p>
      <w:pPr>
        <w:ind w:left="80"/>
        <w:spacing w:after="0"/>
        <w:rPr>
          <w:sz w:val="20"/>
          <w:szCs w:val="20"/>
          <w:color w:val="auto"/>
        </w:rPr>
      </w:pPr>
      <w:r>
        <w:rPr>
          <w:rFonts w:ascii="Arial" w:cs="Arial" w:eastAsia="Arial" w:hAnsi="Arial"/>
          <w:sz w:val="20"/>
          <w:szCs w:val="20"/>
          <w:color w:val="auto"/>
        </w:rPr>
        <w:t>Phone: +1 281 895 2382</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2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4"/>
            <w:vMerge w:val="restart"/>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vMerge w:val="continue"/>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8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4"/>
                <w:szCs w:val="14"/>
                <w:color w:val="auto"/>
              </w:rPr>
            </w:pPr>
          </w:p>
        </w:tc>
        <w:tc>
          <w:tcPr>
            <w:tcW w:w="182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208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 Change</w:t>
            </w:r>
          </w:p>
        </w:tc>
        <w:tc>
          <w:tcPr>
            <w:tcW w:w="20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Constant-Currency %</w:t>
            </w:r>
          </w:p>
        </w:tc>
        <w:tc>
          <w:tcPr>
            <w:tcW w:w="0" w:type="dxa"/>
            <w:vAlign w:val="bottom"/>
          </w:tcPr>
          <w:p>
            <w:pPr>
              <w:spacing w:after="0"/>
              <w:rPr>
                <w:sz w:val="1"/>
                <w:szCs w:val="1"/>
                <w:color w:val="auto"/>
              </w:rPr>
            </w:pPr>
          </w:p>
        </w:tc>
      </w:tr>
      <w:tr>
        <w:trPr>
          <w:trHeight w:val="24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2000" w:type="dxa"/>
            <w:vAlign w:val="bottom"/>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4"/>
        </w:trPr>
        <w:tc>
          <w:tcPr>
            <w:tcW w:w="3320" w:type="dxa"/>
            <w:vAlign w:val="bottom"/>
          </w:tcPr>
          <w:p>
            <w:pPr>
              <w:spacing w:after="0" w:line="204" w:lineRule="exact"/>
              <w:rPr>
                <w:sz w:val="20"/>
                <w:szCs w:val="20"/>
                <w:color w:val="auto"/>
              </w:rPr>
            </w:pPr>
            <w:r>
              <w:rPr>
                <w:rFonts w:ascii="Arial" w:cs="Arial" w:eastAsia="Arial" w:hAnsi="Arial"/>
                <w:sz w:val="18"/>
                <w:szCs w:val="18"/>
                <w:b w:val="1"/>
                <w:bCs w:val="1"/>
                <w:color w:val="auto"/>
              </w:rPr>
              <w:t>Totals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161.6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line="222" w:lineRule="auto"/>
        <w:tabs>
          <w:tab w:leader="none" w:pos="33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Includes countries in Europe where the Company has a direct sales presence. Countries in Europe where sales are made through distributors are included in “Rest of World.”</w:t>
      </w:r>
    </w:p>
    <w:p>
      <w:pPr>
        <w:ind w:left="340" w:hanging="332"/>
        <w:spacing w:after="0" w:line="220" w:lineRule="auto"/>
        <w:tabs>
          <w:tab w:leader="none" w:pos="33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spacing w:after="0" w:line="1" w:lineRule="exact"/>
        <w:rPr>
          <w:sz w:val="20"/>
          <w:szCs w:val="20"/>
          <w:color w:val="auto"/>
        </w:rPr>
      </w:pPr>
    </w:p>
    <w:p>
      <w:pPr>
        <w:ind w:left="340" w:hanging="332"/>
        <w:spacing w:after="0" w:line="271" w:lineRule="auto"/>
        <w:tabs>
          <w:tab w:leader="none" w:pos="259"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Nine Months Ended September 30,</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vMerge w:val="continue"/>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8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4"/>
                <w:szCs w:val="14"/>
                <w:color w:val="auto"/>
              </w:rPr>
            </w:pPr>
          </w:p>
        </w:tc>
        <w:tc>
          <w:tcPr>
            <w:tcW w:w="182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208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 Change</w:t>
            </w:r>
          </w:p>
        </w:tc>
        <w:tc>
          <w:tcPr>
            <w:tcW w:w="20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Constant-Currency %</w:t>
            </w:r>
          </w:p>
        </w:tc>
        <w:tc>
          <w:tcPr>
            <w:tcW w:w="0" w:type="dxa"/>
            <w:vAlign w:val="bottom"/>
          </w:tcPr>
          <w:p>
            <w:pPr>
              <w:spacing w:after="0"/>
              <w:rPr>
                <w:sz w:val="1"/>
                <w:szCs w:val="1"/>
                <w:color w:val="auto"/>
              </w:rPr>
            </w:pPr>
          </w:p>
        </w:tc>
      </w:tr>
      <w:tr>
        <w:trPr>
          <w:trHeight w:val="24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2000" w:type="dxa"/>
            <w:vAlign w:val="bottom"/>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$141.9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111.2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301.0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4"/>
        </w:trPr>
        <w:tc>
          <w:tcPr>
            <w:tcW w:w="3320" w:type="dxa"/>
            <w:vAlign w:val="bottom"/>
          </w:tcPr>
          <w:p>
            <w:pPr>
              <w:spacing w:after="0" w:line="204" w:lineRule="exact"/>
              <w:rPr>
                <w:sz w:val="20"/>
                <w:szCs w:val="20"/>
                <w:color w:val="auto"/>
              </w:rPr>
            </w:pPr>
            <w:r>
              <w:rPr>
                <w:rFonts w:ascii="Arial" w:cs="Arial" w:eastAsia="Arial" w:hAnsi="Arial"/>
                <w:sz w:val="18"/>
                <w:szCs w:val="18"/>
                <w:b w:val="1"/>
                <w:bCs w:val="1"/>
                <w:color w:val="auto"/>
              </w:rPr>
              <w:t>Totals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461.8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32"/>
        </w:trPr>
        <w:tc>
          <w:tcPr>
            <w:tcW w:w="33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5"/>
        </w:trPr>
        <w:tc>
          <w:tcPr>
            <w:tcW w:w="33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line="222" w:lineRule="auto"/>
        <w:tabs>
          <w:tab w:leader="none" w:pos="33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countries in Europe where the Company has a direct sales presence. Countries in Europe where sales are made through distributors are included in “Rest of World.”</w:t>
      </w:r>
    </w:p>
    <w:p>
      <w:pPr>
        <w:ind w:left="340" w:hanging="332"/>
        <w:spacing w:after="0" w:line="220" w:lineRule="auto"/>
        <w:tabs>
          <w:tab w:leader="none" w:pos="33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spacing w:after="0" w:line="1" w:lineRule="exact"/>
        <w:rPr>
          <w:sz w:val="20"/>
          <w:szCs w:val="20"/>
          <w:color w:val="auto"/>
        </w:rPr>
      </w:pPr>
    </w:p>
    <w:p>
      <w:pPr>
        <w:ind w:left="340" w:hanging="332"/>
        <w:spacing w:after="0" w:line="271" w:lineRule="auto"/>
        <w:tabs>
          <w:tab w:leader="none" w:pos="259"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40" w:lineRule="exact"/>
        <w:rPr>
          <w:sz w:val="20"/>
          <w:szCs w:val="20"/>
          <w:color w:val="auto"/>
        </w:rPr>
      </w:pPr>
    </w:p>
    <w:p>
      <w:pPr>
        <w:ind w:left="20"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Three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18"/>
        </w:trPr>
        <w:tc>
          <w:tcPr>
            <w:tcW w:w="7340" w:type="dxa"/>
            <w:vAlign w:val="bottom"/>
          </w:tcPr>
          <w:p>
            <w:pPr>
              <w:spacing w:after="0"/>
              <w:rPr>
                <w:sz w:val="20"/>
                <w:szCs w:val="20"/>
                <w:color w:val="auto"/>
              </w:rPr>
            </w:pPr>
            <w:r>
              <w:rPr>
                <w:rFonts w:ascii="Arial" w:cs="Arial" w:eastAsia="Arial" w:hAnsi="Arial"/>
                <w:sz w:val="18"/>
                <w:szCs w:val="18"/>
                <w:color w:val="auto"/>
              </w:rPr>
              <w:t>Net revenue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$286.1</w:t>
            </w:r>
          </w:p>
        </w:tc>
      </w:tr>
      <w:tr>
        <w:trPr>
          <w:trHeight w:val="235"/>
        </w:trPr>
        <w:tc>
          <w:tcPr>
            <w:tcW w:w="85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3"/>
        </w:trPr>
        <w:tc>
          <w:tcPr>
            <w:tcW w:w="73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04"/>
        </w:trPr>
        <w:tc>
          <w:tcPr>
            <w:tcW w:w="7340" w:type="dxa"/>
            <w:vAlign w:val="bottom"/>
          </w:tcPr>
          <w:p>
            <w:pPr>
              <w:spacing w:after="0" w:line="204" w:lineRule="exact"/>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9"/>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5"/>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8"/>
        </w:trPr>
        <w:tc>
          <w:tcPr>
            <w:tcW w:w="73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5"/>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7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8540" w:type="dxa"/>
            <w:vAlign w:val="bottom"/>
            <w:gridSpan w:val="2"/>
          </w:tcPr>
          <w:p>
            <w:pPr>
              <w:spacing w:after="0"/>
              <w:rPr>
                <w:sz w:val="20"/>
                <w:szCs w:val="20"/>
                <w:color w:val="auto"/>
              </w:rPr>
            </w:pPr>
            <w:r>
              <w:rPr>
                <w:rFonts w:ascii="Arial" w:cs="Arial" w:eastAsia="Arial" w:hAnsi="Arial"/>
                <w:sz w:val="18"/>
                <w:szCs w:val="18"/>
                <w:color w:val="auto"/>
              </w:rPr>
              <w:t>Basic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9"/>
        </w:trPr>
        <w:tc>
          <w:tcPr>
            <w:tcW w:w="854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436"/>
        </w:trPr>
        <w:tc>
          <w:tcPr>
            <w:tcW w:w="85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9"/>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9"/>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54.0</w:t>
            </w:r>
          </w:p>
        </w:tc>
      </w:tr>
    </w:tbl>
    <w:p>
      <w:pPr>
        <w:spacing w:after="0" w:line="171"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7"/>
        </w:trPr>
        <w:tc>
          <w:tcPr>
            <w:tcW w:w="9980" w:type="dxa"/>
            <w:vAlign w:val="bottom"/>
            <w:gridSpan w:val="13"/>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446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SG&amp;A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44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8"/>
              </w:rPr>
              <w:t>$116.1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R&amp;D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diluted earnings per share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$0.73</w:t>
            </w:r>
          </w:p>
        </w:tc>
        <w:tc>
          <w:tcPr>
            <w:tcW w:w="0" w:type="dxa"/>
            <w:vAlign w:val="bottom"/>
          </w:tcPr>
          <w:p>
            <w:pPr>
              <w:spacing w:after="0"/>
              <w:rPr>
                <w:sz w:val="1"/>
                <w:szCs w:val="1"/>
                <w:color w:val="auto"/>
              </w:rPr>
            </w:pPr>
          </w:p>
        </w:tc>
      </w:tr>
      <w:tr>
        <w:trPr>
          <w:trHeight w:val="561"/>
        </w:trPr>
        <w:tc>
          <w:tcPr>
            <w:tcW w:w="642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220" w:type="dxa"/>
            <w:vAlign w:val="bottom"/>
          </w:tcPr>
          <w:p>
            <w:pPr>
              <w:spacing w:after="0"/>
              <w:rPr>
                <w:sz w:val="24"/>
                <w:szCs w:val="24"/>
                <w:color w:val="auto"/>
              </w:rPr>
            </w:pPr>
          </w:p>
        </w:tc>
        <w:tc>
          <w:tcPr>
            <w:tcW w:w="3200" w:type="dxa"/>
            <w:vAlign w:val="bottom"/>
            <w:gridSpan w:val="4"/>
          </w:tcPr>
          <w:p>
            <w:pPr>
              <w:ind w:left="780"/>
              <w:spacing w:after="0"/>
              <w:rPr>
                <w:sz w:val="20"/>
                <w:szCs w:val="20"/>
                <w:color w:val="auto"/>
              </w:rPr>
            </w:pPr>
            <w:r>
              <w:rPr>
                <w:rFonts w:ascii="Arial" w:cs="Arial" w:eastAsia="Arial" w:hAnsi="Arial"/>
                <w:sz w:val="18"/>
                <w:szCs w:val="18"/>
                <w:b w:val="1"/>
                <w:bCs w:val="1"/>
                <w:color w:val="auto"/>
              </w:rPr>
              <w:t>GAAP Three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9"/>
              </w:rPr>
              <w:t>Adjusted Three Months Ended</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tcPr>
          <w:p>
            <w:pPr>
              <w:ind w:left="760"/>
              <w:spacing w:after="0"/>
              <w:rPr>
                <w:sz w:val="20"/>
                <w:szCs w:val="20"/>
                <w:color w:val="auto"/>
              </w:rPr>
            </w:pPr>
            <w:r>
              <w:rPr>
                <w:rFonts w:ascii="Arial" w:cs="Arial" w:eastAsia="Arial" w:hAnsi="Arial"/>
                <w:sz w:val="18"/>
                <w:szCs w:val="18"/>
                <w:b w:val="1"/>
                <w:bCs w:val="1"/>
                <w:color w:val="auto"/>
              </w:rPr>
              <w:t>2024</w:t>
            </w: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322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70.8 %</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70.5 %</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9"/>
              </w:rPr>
              <w:t>71.2 %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99"/>
              </w:rPr>
              <w:t>70.5 %</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680" w:type="dxa"/>
            <w:vAlign w:val="bottom"/>
          </w:tcPr>
          <w:p>
            <w:pPr>
              <w:jc w:val="right"/>
              <w:spacing w:after="0"/>
              <w:rPr>
                <w:sz w:val="20"/>
                <w:szCs w:val="20"/>
                <w:color w:val="auto"/>
              </w:rPr>
            </w:pPr>
            <w:r>
              <w:rPr>
                <w:rFonts w:ascii="Arial" w:cs="Arial" w:eastAsia="Arial" w:hAnsi="Arial"/>
                <w:sz w:val="18"/>
                <w:szCs w:val="18"/>
                <w:color w:val="auto"/>
              </w:rPr>
              <w:t>41.4 %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center"/>
              <w:ind w:left="1150"/>
              <w:spacing w:after="0"/>
              <w:rPr>
                <w:sz w:val="20"/>
                <w:szCs w:val="20"/>
                <w:color w:val="auto"/>
              </w:rPr>
            </w:pPr>
            <w:r>
              <w:rPr>
                <w:rFonts w:ascii="Arial" w:cs="Arial" w:eastAsia="Arial" w:hAnsi="Arial"/>
                <w:sz w:val="18"/>
                <w:szCs w:val="18"/>
                <w:color w:val="auto"/>
                <w:w w:val="99"/>
              </w:rPr>
              <w:t>36.5 %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40.1 %</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R&amp;D</w:t>
            </w:r>
          </w:p>
        </w:tc>
        <w:tc>
          <w:tcPr>
            <w:tcW w:w="68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center"/>
              <w:ind w:left="1150"/>
              <w:spacing w:after="0"/>
              <w:rPr>
                <w:sz w:val="20"/>
                <w:szCs w:val="20"/>
                <w:color w:val="auto"/>
              </w:rPr>
            </w:pPr>
            <w:r>
              <w:rPr>
                <w:rFonts w:ascii="Arial" w:cs="Arial" w:eastAsia="Arial" w:hAnsi="Arial"/>
                <w:sz w:val="18"/>
                <w:szCs w:val="18"/>
                <w:color w:val="auto"/>
                <w:w w:val="99"/>
              </w:rPr>
              <w:t>14.7 %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14.7 %</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center"/>
              <w:ind w:left="1150"/>
              <w:spacing w:after="0"/>
              <w:rPr>
                <w:sz w:val="20"/>
                <w:szCs w:val="20"/>
                <w:color w:val="auto"/>
              </w:rPr>
            </w:pPr>
            <w:r>
              <w:rPr>
                <w:rFonts w:ascii="Arial" w:cs="Arial" w:eastAsia="Arial" w:hAnsi="Arial"/>
                <w:sz w:val="18"/>
                <w:szCs w:val="18"/>
                <w:color w:val="auto"/>
                <w:w w:val="99"/>
              </w:rPr>
              <w:t>20.0 %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15.7 %</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center"/>
              <w:ind w:left="1150"/>
              <w:spacing w:after="0"/>
              <w:rPr>
                <w:sz w:val="20"/>
                <w:szCs w:val="20"/>
                <w:color w:val="auto"/>
              </w:rPr>
            </w:pPr>
            <w:r>
              <w:rPr>
                <w:rFonts w:ascii="Arial" w:cs="Arial" w:eastAsia="Arial" w:hAnsi="Arial"/>
                <w:sz w:val="18"/>
                <w:szCs w:val="18"/>
                <w:color w:val="auto"/>
                <w:w w:val="99"/>
              </w:rPr>
              <w:t>15.5 %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13.8 %</w:t>
            </w:r>
          </w:p>
        </w:tc>
        <w:tc>
          <w:tcPr>
            <w:tcW w:w="0" w:type="dxa"/>
            <w:vAlign w:val="bottom"/>
          </w:tcPr>
          <w:p>
            <w:pPr>
              <w:spacing w:after="0"/>
              <w:rPr>
                <w:sz w:val="1"/>
                <w:szCs w:val="1"/>
                <w:color w:val="auto"/>
              </w:rPr>
            </w:pPr>
          </w:p>
        </w:tc>
      </w:tr>
      <w:tr>
        <w:trPr>
          <w:trHeight w:val="23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(268.4)%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jc w:val="center"/>
              <w:ind w:left="1150"/>
              <w:spacing w:after="0"/>
              <w:rPr>
                <w:sz w:val="20"/>
                <w:szCs w:val="20"/>
                <w:color w:val="auto"/>
              </w:rPr>
            </w:pPr>
            <w:r>
              <w:rPr>
                <w:rFonts w:ascii="Arial" w:cs="Arial" w:eastAsia="Arial" w:hAnsi="Arial"/>
                <w:sz w:val="18"/>
                <w:szCs w:val="18"/>
                <w:color w:val="auto"/>
                <w:w w:val="99"/>
              </w:rPr>
              <w:t>22.5 %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7" w:right="339" w:bottom="1440" w:gutter="0" w:footer="0" w:header="0"/>
        </w:sectPr>
      </w:pPr>
    </w:p>
    <w:bookmarkStart w:id="14" w:name="page15"/>
    <w:bookmarkEnd w:id="14"/>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40" w:lineRule="exact"/>
        <w:rPr>
          <w:sz w:val="20"/>
          <w:szCs w:val="20"/>
          <w:color w:val="auto"/>
        </w:rPr>
      </w:pPr>
    </w:p>
    <w:p>
      <w:pPr>
        <w:ind w:left="20"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4"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18"/>
        </w:trPr>
        <w:tc>
          <w:tcPr>
            <w:tcW w:w="7340" w:type="dxa"/>
            <w:vAlign w:val="bottom"/>
          </w:tcPr>
          <w:p>
            <w:pPr>
              <w:spacing w:after="0"/>
              <w:rPr>
                <w:sz w:val="20"/>
                <w:szCs w:val="20"/>
                <w:color w:val="auto"/>
              </w:rPr>
            </w:pPr>
            <w:r>
              <w:rPr>
                <w:rFonts w:ascii="Arial" w:cs="Arial" w:eastAsia="Arial" w:hAnsi="Arial"/>
                <w:sz w:val="18"/>
                <w:szCs w:val="18"/>
                <w:color w:val="auto"/>
              </w:rPr>
              <w:t>Net revenue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$843.4</w:t>
            </w:r>
          </w:p>
        </w:tc>
      </w:tr>
      <w:tr>
        <w:trPr>
          <w:trHeight w:val="235"/>
        </w:trPr>
        <w:tc>
          <w:tcPr>
            <w:tcW w:w="85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262.3</w:t>
            </w:r>
          </w:p>
        </w:tc>
      </w:tr>
      <w:tr>
        <w:trPr>
          <w:trHeight w:val="223"/>
        </w:trPr>
        <w:tc>
          <w:tcPr>
            <w:tcW w:w="73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4"/>
        </w:trPr>
        <w:tc>
          <w:tcPr>
            <w:tcW w:w="7340" w:type="dxa"/>
            <w:vAlign w:val="bottom"/>
          </w:tcPr>
          <w:p>
            <w:pPr>
              <w:spacing w:after="0" w:line="204" w:lineRule="exact"/>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9"/>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3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35"/>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18"/>
        </w:trPr>
        <w:tc>
          <w:tcPr>
            <w:tcW w:w="73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Income before tax</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18"/>
        </w:trPr>
        <w:tc>
          <w:tcPr>
            <w:tcW w:w="7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5"/>
        </w:trPr>
        <w:tc>
          <w:tcPr>
            <w:tcW w:w="7340" w:type="dxa"/>
            <w:vAlign w:val="bottom"/>
          </w:tcPr>
          <w:p>
            <w:pPr>
              <w:ind w:left="120"/>
              <w:spacing w:after="0"/>
              <w:rPr>
                <w:sz w:val="20"/>
                <w:szCs w:val="20"/>
                <w:color w:val="auto"/>
              </w:rPr>
            </w:pPr>
            <w:r>
              <w:rPr>
                <w:rFonts w:ascii="Arial" w:cs="Arial" w:eastAsia="Arial" w:hAnsi="Arial"/>
                <w:sz w:val="18"/>
                <w:szCs w:val="18"/>
                <w:color w:val="auto"/>
              </w:rPr>
              <w:t>Loss from equity method investments</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854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9"/>
        </w:trPr>
        <w:tc>
          <w:tcPr>
            <w:tcW w:w="854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436"/>
        </w:trPr>
        <w:tc>
          <w:tcPr>
            <w:tcW w:w="85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9"/>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54.1</w:t>
            </w:r>
          </w:p>
        </w:tc>
      </w:tr>
    </w:tbl>
    <w:p>
      <w:pPr>
        <w:spacing w:after="0" w:line="171"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7"/>
        </w:trPr>
        <w:tc>
          <w:tcPr>
            <w:tcW w:w="9980" w:type="dxa"/>
            <w:vAlign w:val="bottom"/>
            <w:gridSpan w:val="13"/>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46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SG&amp;A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44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rPr>
              <w:t>$342.1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R&amp;D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360"/>
              <w:spacing w:after="0"/>
              <w:rPr>
                <w:sz w:val="20"/>
                <w:szCs w:val="20"/>
                <w:color w:val="auto"/>
              </w:rPr>
            </w:pPr>
            <w:r>
              <w:rPr>
                <w:rFonts w:ascii="Arial" w:cs="Arial" w:eastAsia="Arial" w:hAnsi="Arial"/>
                <w:sz w:val="18"/>
                <w:szCs w:val="18"/>
                <w:color w:val="auto"/>
              </w:rPr>
              <w:t>130.9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136.1</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360"/>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121.3</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360"/>
              <w:spacing w:after="0"/>
              <w:rPr>
                <w:sz w:val="20"/>
                <w:szCs w:val="20"/>
                <w:color w:val="auto"/>
              </w:rPr>
            </w:pPr>
            <w:r>
              <w:rPr>
                <w:rFonts w:ascii="Arial" w:cs="Arial" w:eastAsia="Arial" w:hAnsi="Arial"/>
                <w:sz w:val="18"/>
                <w:szCs w:val="18"/>
                <w:color w:val="auto"/>
              </w:rPr>
              <w:t>140.1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104.7</w:t>
            </w:r>
          </w:p>
        </w:tc>
        <w:tc>
          <w:tcPr>
            <w:tcW w:w="0" w:type="dxa"/>
            <w:vAlign w:val="bottom"/>
          </w:tcPr>
          <w:p>
            <w:pPr>
              <w:spacing w:after="0"/>
              <w:rPr>
                <w:sz w:val="1"/>
                <w:szCs w:val="1"/>
                <w:color w:val="auto"/>
              </w:rPr>
            </w:pPr>
          </w:p>
        </w:tc>
      </w:tr>
      <w:tr>
        <w:trPr>
          <w:trHeight w:val="23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diluted earnings per share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136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$1.94</w:t>
            </w:r>
          </w:p>
        </w:tc>
        <w:tc>
          <w:tcPr>
            <w:tcW w:w="0" w:type="dxa"/>
            <w:vAlign w:val="bottom"/>
          </w:tcPr>
          <w:p>
            <w:pPr>
              <w:spacing w:after="0"/>
              <w:rPr>
                <w:sz w:val="1"/>
                <w:szCs w:val="1"/>
                <w:color w:val="auto"/>
              </w:rPr>
            </w:pPr>
          </w:p>
        </w:tc>
      </w:tr>
      <w:tr>
        <w:trPr>
          <w:trHeight w:val="561"/>
        </w:trPr>
        <w:tc>
          <w:tcPr>
            <w:tcW w:w="648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20" w:type="dxa"/>
            <w:vAlign w:val="bottom"/>
          </w:tcPr>
          <w:p>
            <w:pPr>
              <w:spacing w:after="0"/>
              <w:rPr>
                <w:sz w:val="24"/>
                <w:szCs w:val="24"/>
                <w:color w:val="auto"/>
              </w:rPr>
            </w:pPr>
          </w:p>
        </w:tc>
        <w:tc>
          <w:tcPr>
            <w:tcW w:w="32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rPr>
              <w:t>GAAP Nine Months Ended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Adjusted Nine Months Ended</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9"/>
              </w:rPr>
              <w:t>September 30,</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ind w:left="128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68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322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69.9 %</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68.9 %</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w w:val="99"/>
              </w:rPr>
              <w:t>70.5 %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99"/>
              </w:rPr>
              <w:t>70.4 %</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68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w w:val="99"/>
              </w:rPr>
              <w:t>36.7 %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39.8 %</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R&amp;D</w:t>
            </w:r>
          </w:p>
        </w:tc>
        <w:tc>
          <w:tcPr>
            <w:tcW w:w="68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w w:val="99"/>
              </w:rPr>
              <w:t>14.0 %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16.1 %</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w w:val="99"/>
              </w:rPr>
              <w:t>19.7 %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14.4 %</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w w:val="99"/>
              </w:rPr>
              <w:t>15.0 %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9"/>
              </w:rPr>
              <w:t>12.4 %</w:t>
            </w:r>
          </w:p>
        </w:tc>
        <w:tc>
          <w:tcPr>
            <w:tcW w:w="0" w:type="dxa"/>
            <w:vAlign w:val="bottom"/>
          </w:tcPr>
          <w:p>
            <w:pPr>
              <w:spacing w:after="0"/>
              <w:rPr>
                <w:sz w:val="1"/>
                <w:szCs w:val="1"/>
                <w:color w:val="auto"/>
              </w:rPr>
            </w:pPr>
          </w:p>
        </w:tc>
      </w:tr>
      <w:tr>
        <w:trPr>
          <w:trHeight w:val="23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76.9 %</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1260"/>
              <w:spacing w:after="0"/>
              <w:rPr>
                <w:sz w:val="20"/>
                <w:szCs w:val="20"/>
                <w:color w:val="auto"/>
              </w:rPr>
            </w:pPr>
            <w:r>
              <w:rPr>
                <w:rFonts w:ascii="Arial" w:cs="Arial" w:eastAsia="Arial" w:hAnsi="Arial"/>
                <w:sz w:val="18"/>
                <w:szCs w:val="18"/>
                <w:color w:val="auto"/>
                <w:w w:val="99"/>
              </w:rPr>
              <w:t>21.4 %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7" w:right="339" w:bottom="1440" w:gutter="0" w:footer="0" w:header="0"/>
        </w:sectPr>
      </w:pPr>
    </w:p>
    <w:bookmarkStart w:id="16" w:name="page17"/>
    <w:bookmarkEnd w:id="16"/>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7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8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2"/>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vMerge w:val="continue"/>
          </w:tcPr>
          <w:p>
            <w:pPr>
              <w:spacing w:after="0"/>
              <w:rPr>
                <w:sz w:val="10"/>
                <w:szCs w:val="10"/>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Restructuring</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and</w:t>
            </w:r>
          </w:p>
        </w:tc>
        <w:tc>
          <w:tcPr>
            <w:tcW w:w="9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9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Certain Tax</w:t>
            </w:r>
          </w:p>
        </w:tc>
        <w:tc>
          <w:tcPr>
            <w:tcW w:w="9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Financial</w:t>
            </w:r>
          </w:p>
        </w:tc>
        <w:tc>
          <w:tcPr>
            <w:tcW w:w="1000" w:type="dxa"/>
            <w:vAlign w:val="bottom"/>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60" w:type="dxa"/>
            <w:vAlign w:val="bottom"/>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Interest</w:t>
            </w:r>
          </w:p>
        </w:tc>
        <w:tc>
          <w:tcPr>
            <w:tcW w:w="8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2024</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00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(1)</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96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(3)</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(4)</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4"/>
              </w:rPr>
              <w:t xml:space="preserve">Costs </w:t>
            </w:r>
            <w:r>
              <w:rPr>
                <w:rFonts w:ascii="Arial" w:cs="Arial" w:eastAsia="Arial" w:hAnsi="Arial"/>
                <w:sz w:val="16"/>
                <w:szCs w:val="16"/>
                <w:b w:val="1"/>
                <w:bCs w:val="1"/>
                <w:color w:val="auto"/>
                <w:w w:val="94"/>
                <w:vertAlign w:val="superscript"/>
              </w:rPr>
              <w:t>(5)</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96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6"/>
              </w:rPr>
              <w:t xml:space="preserve">Adjustments </w:t>
            </w:r>
            <w:r>
              <w:rPr>
                <w:rFonts w:ascii="Arial" w:cs="Arial" w:eastAsia="Arial" w:hAnsi="Arial"/>
                <w:sz w:val="16"/>
                <w:szCs w:val="16"/>
                <w:b w:val="1"/>
                <w:bCs w:val="1"/>
                <w:color w:val="auto"/>
                <w:w w:val="96"/>
                <w:vertAlign w:val="superscript"/>
              </w:rPr>
              <w:t>(7)</w:t>
            </w:r>
          </w:p>
        </w:tc>
        <w:tc>
          <w:tcPr>
            <w:tcW w:w="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$92.9</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960" w:type="dxa"/>
            <w:vAlign w:val="bottom"/>
          </w:tcPr>
          <w:p>
            <w:pPr>
              <w:ind w:left="6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9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840" w:type="dxa"/>
            <w:vAlign w:val="bottom"/>
          </w:tcPr>
          <w:p>
            <w:pPr>
              <w:jc w:val="right"/>
              <w:spacing w:after="0"/>
              <w:rPr>
                <w:sz w:val="20"/>
                <w:szCs w:val="20"/>
                <w:color w:val="auto"/>
              </w:rPr>
            </w:pPr>
            <w:r>
              <w:rPr>
                <w:rFonts w:ascii="Arial" w:cs="Arial" w:eastAsia="Arial" w:hAnsi="Arial"/>
                <w:sz w:val="13"/>
                <w:szCs w:val="13"/>
                <w:color w:val="auto"/>
              </w:rPr>
              <w:t>70.8 %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0.6 %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900" w:type="dxa"/>
            <w:vAlign w:val="bottom"/>
          </w:tcPr>
          <w:p>
            <w:pPr>
              <w:ind w:left="480"/>
              <w:spacing w:after="0"/>
              <w:rPr>
                <w:sz w:val="20"/>
                <w:szCs w:val="20"/>
                <w:color w:val="auto"/>
              </w:rPr>
            </w:pPr>
            <w:r>
              <w:rPr>
                <w:rFonts w:ascii="Arial" w:cs="Arial" w:eastAsia="Arial" w:hAnsi="Arial"/>
                <w:sz w:val="13"/>
                <w:szCs w:val="13"/>
                <w:color w:val="auto"/>
              </w:rPr>
              <w:t>(0.2)%</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71.2 %</w:t>
            </w:r>
          </w:p>
        </w:tc>
        <w:tc>
          <w:tcPr>
            <w:tcW w:w="0" w:type="dxa"/>
            <w:vAlign w:val="bottom"/>
          </w:tcPr>
          <w:p>
            <w:pPr>
              <w:spacing w:after="0"/>
              <w:rPr>
                <w:sz w:val="1"/>
                <w:szCs w:val="1"/>
                <w:color w:val="auto"/>
              </w:rPr>
            </w:pPr>
          </w:p>
        </w:tc>
      </w:tr>
      <w:tr>
        <w:trPr>
          <w:trHeight w:val="161"/>
        </w:trPr>
        <w:tc>
          <w:tcPr>
            <w:tcW w:w="17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131.7</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ind w:left="480"/>
              <w:spacing w:after="0"/>
              <w:rPr>
                <w:sz w:val="20"/>
                <w:szCs w:val="20"/>
                <w:color w:val="auto"/>
              </w:rPr>
            </w:pPr>
            <w:r>
              <w:rPr>
                <w:rFonts w:ascii="Arial" w:cs="Arial" w:eastAsia="Arial" w:hAnsi="Arial"/>
                <w:sz w:val="13"/>
                <w:szCs w:val="13"/>
                <w:color w:val="auto"/>
              </w:rPr>
              <w:t>(6.3)</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(6.6)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48"/>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Selling, general, and</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Arial" w:cs="Arial" w:eastAsia="Arial" w:hAnsi="Arial"/>
                <w:sz w:val="14"/>
                <w:szCs w:val="14"/>
                <w:color w:val="auto"/>
              </w:rPr>
              <w:t>administrative as a</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percent of net revenue</w:t>
            </w:r>
          </w:p>
        </w:tc>
        <w:tc>
          <w:tcPr>
            <w:tcW w:w="840" w:type="dxa"/>
            <w:vAlign w:val="bottom"/>
          </w:tcPr>
          <w:p>
            <w:pPr>
              <w:jc w:val="right"/>
              <w:spacing w:after="0"/>
              <w:rPr>
                <w:sz w:val="20"/>
                <w:szCs w:val="20"/>
                <w:color w:val="auto"/>
              </w:rPr>
            </w:pPr>
            <w:r>
              <w:rPr>
                <w:rFonts w:ascii="Arial" w:cs="Arial" w:eastAsia="Arial" w:hAnsi="Arial"/>
                <w:sz w:val="13"/>
                <w:szCs w:val="13"/>
                <w:color w:val="auto"/>
              </w:rPr>
              <w:t>41.4 %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(0.8)%</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ind w:left="480"/>
              <w:spacing w:after="0"/>
              <w:rPr>
                <w:sz w:val="20"/>
                <w:szCs w:val="20"/>
                <w:color w:val="auto"/>
              </w:rPr>
            </w:pPr>
            <w:r>
              <w:rPr>
                <w:rFonts w:ascii="Arial" w:cs="Arial" w:eastAsia="Arial" w:hAnsi="Arial"/>
                <w:sz w:val="13"/>
                <w:szCs w:val="13"/>
                <w:color w:val="auto"/>
              </w:rPr>
              <w:t>(2.0)%</w:t>
            </w: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36.5 %</w:t>
            </w:r>
          </w:p>
        </w:tc>
        <w:tc>
          <w:tcPr>
            <w:tcW w:w="0" w:type="dxa"/>
            <w:vAlign w:val="bottom"/>
          </w:tcPr>
          <w:p>
            <w:pPr>
              <w:spacing w:after="0"/>
              <w:rPr>
                <w:sz w:val="1"/>
                <w:szCs w:val="1"/>
                <w:color w:val="auto"/>
              </w:rPr>
            </w:pPr>
          </w:p>
        </w:tc>
      </w:tr>
      <w:tr>
        <w:trPr>
          <w:trHeight w:val="152"/>
        </w:trPr>
        <w:tc>
          <w:tcPr>
            <w:tcW w:w="178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48.8</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(0.3)</w:t>
            </w:r>
          </w:p>
        </w:tc>
        <w:tc>
          <w:tcPr>
            <w:tcW w:w="900" w:type="dxa"/>
            <w:vAlign w:val="bottom"/>
          </w:tcPr>
          <w:p>
            <w:pPr>
              <w:ind w:left="480"/>
              <w:spacing w:after="0"/>
              <w:rPr>
                <w:sz w:val="20"/>
                <w:szCs w:val="20"/>
                <w:color w:val="auto"/>
              </w:rPr>
            </w:pPr>
            <w:r>
              <w:rPr>
                <w:rFonts w:ascii="Arial" w:cs="Arial" w:eastAsia="Arial" w:hAnsi="Arial"/>
                <w:sz w:val="13"/>
                <w:szCs w:val="13"/>
                <w:color w:val="auto"/>
              </w:rPr>
              <w:t>(0.3)</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48"/>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Arial" w:cs="Arial" w:eastAsia="Arial" w:hAnsi="Arial"/>
                <w:sz w:val="14"/>
                <w:szCs w:val="14"/>
                <w:color w:val="auto"/>
              </w:rPr>
              <w:t>development as a percent</w:t>
            </w: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of net revenue</w:t>
            </w:r>
          </w:p>
        </w:tc>
        <w:tc>
          <w:tcPr>
            <w:tcW w:w="840" w:type="dxa"/>
            <w:vAlign w:val="bottom"/>
          </w:tcPr>
          <w:p>
            <w:pPr>
              <w:jc w:val="right"/>
              <w:spacing w:after="0"/>
              <w:rPr>
                <w:sz w:val="20"/>
                <w:szCs w:val="20"/>
                <w:color w:val="auto"/>
              </w:rPr>
            </w:pPr>
            <w:r>
              <w:rPr>
                <w:rFonts w:ascii="Arial" w:cs="Arial" w:eastAsia="Arial" w:hAnsi="Arial"/>
                <w:sz w:val="13"/>
                <w:szCs w:val="13"/>
                <w:color w:val="auto"/>
              </w:rPr>
              <w:t>15.3 %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900" w:type="dxa"/>
            <w:vAlign w:val="bottom"/>
          </w:tcPr>
          <w:p>
            <w:pPr>
              <w:ind w:left="480"/>
              <w:spacing w:after="0"/>
              <w:rPr>
                <w:sz w:val="20"/>
                <w:szCs w:val="20"/>
                <w:color w:val="auto"/>
              </w:rPr>
            </w:pPr>
            <w:r>
              <w:rPr>
                <w:rFonts w:ascii="Arial" w:cs="Arial" w:eastAsia="Arial" w:hAnsi="Arial"/>
                <w:sz w:val="13"/>
                <w:szCs w:val="13"/>
                <w:color w:val="auto"/>
              </w:rPr>
              <w:t>(0.1)%</w:t>
            </w:r>
          </w:p>
        </w:tc>
        <w:tc>
          <w:tcPr>
            <w:tcW w:w="1000" w:type="dxa"/>
            <w:vAlign w:val="bottom"/>
          </w:tcPr>
          <w:p>
            <w:pPr>
              <w:jc w:val="right"/>
              <w:spacing w:after="0"/>
              <w:rPr>
                <w:sz w:val="20"/>
                <w:szCs w:val="20"/>
                <w:color w:val="auto"/>
              </w:rPr>
            </w:pPr>
            <w:r>
              <w:rPr>
                <w:rFonts w:ascii="Arial" w:cs="Arial" w:eastAsia="Arial" w:hAnsi="Arial"/>
                <w:sz w:val="13"/>
                <w:szCs w:val="13"/>
                <w:color w:val="auto"/>
              </w:rPr>
              <w:t>(0.5)%</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9.2</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ind w:left="480"/>
              <w:spacing w:after="0"/>
              <w:rPr>
                <w:sz w:val="20"/>
                <w:szCs w:val="20"/>
                <w:color w:val="auto"/>
              </w:rPr>
            </w:pPr>
            <w:r>
              <w:rPr>
                <w:rFonts w:ascii="Arial" w:cs="Arial" w:eastAsia="Arial" w:hAnsi="Arial"/>
                <w:sz w:val="13"/>
                <w:szCs w:val="13"/>
                <w:color w:val="auto"/>
              </w:rPr>
              <w:t>(7.7)</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35.6</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4.4</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13.5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840" w:type="dxa"/>
            <w:vAlign w:val="bottom"/>
          </w:tcPr>
          <w:p>
            <w:pPr>
              <w:jc w:val="right"/>
              <w:spacing w:after="0"/>
              <w:rPr>
                <w:sz w:val="20"/>
                <w:szCs w:val="20"/>
                <w:color w:val="auto"/>
              </w:rPr>
            </w:pPr>
            <w:r>
              <w:rPr>
                <w:rFonts w:ascii="Arial" w:cs="Arial" w:eastAsia="Arial" w:hAnsi="Arial"/>
                <w:sz w:val="13"/>
                <w:szCs w:val="13"/>
                <w:color w:val="auto"/>
              </w:rPr>
              <w:t>11.2 %</w:t>
            </w:r>
          </w:p>
        </w:tc>
        <w:tc>
          <w:tcPr>
            <w:tcW w:w="1000" w:type="dxa"/>
            <w:vAlign w:val="bottom"/>
          </w:tcPr>
          <w:p>
            <w:pPr>
              <w:jc w:val="right"/>
              <w:spacing w:after="0"/>
              <w:rPr>
                <w:sz w:val="20"/>
                <w:szCs w:val="20"/>
                <w:color w:val="auto"/>
              </w:rPr>
            </w:pPr>
            <w:r>
              <w:rPr>
                <w:rFonts w:ascii="Arial" w:cs="Arial" w:eastAsia="Arial" w:hAnsi="Arial"/>
                <w:sz w:val="13"/>
                <w:szCs w:val="13"/>
                <w:color w:val="auto"/>
              </w:rPr>
              <w:t>0.5 %</w:t>
            </w:r>
          </w:p>
        </w:tc>
        <w:tc>
          <w:tcPr>
            <w:tcW w:w="940" w:type="dxa"/>
            <w:vAlign w:val="bottom"/>
          </w:tcPr>
          <w:p>
            <w:pPr>
              <w:jc w:val="right"/>
              <w:spacing w:after="0"/>
              <w:rPr>
                <w:sz w:val="20"/>
                <w:szCs w:val="20"/>
                <w:color w:val="auto"/>
              </w:rPr>
            </w:pPr>
            <w:r>
              <w:rPr>
                <w:rFonts w:ascii="Arial" w:cs="Arial" w:eastAsia="Arial" w:hAnsi="Arial"/>
                <w:sz w:val="13"/>
                <w:szCs w:val="13"/>
                <w:color w:val="auto"/>
              </w:rPr>
              <w:t>1.4 %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4.2 %</w:t>
            </w:r>
          </w:p>
        </w:tc>
        <w:tc>
          <w:tcPr>
            <w:tcW w:w="1000" w:type="dxa"/>
            <w:vAlign w:val="bottom"/>
          </w:tcPr>
          <w:p>
            <w:pPr>
              <w:jc w:val="right"/>
              <w:spacing w:after="0"/>
              <w:rPr>
                <w:sz w:val="20"/>
                <w:szCs w:val="20"/>
                <w:color w:val="auto"/>
              </w:rPr>
            </w:pPr>
            <w:r>
              <w:rPr>
                <w:rFonts w:ascii="Arial" w:cs="Arial" w:eastAsia="Arial" w:hAnsi="Arial"/>
                <w:sz w:val="13"/>
                <w:szCs w:val="13"/>
                <w:color w:val="auto"/>
              </w:rPr>
              <w:t>2.7 %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tcPr>
          <w:p>
            <w:pPr>
              <w:jc w:val="right"/>
              <w:spacing w:after="0"/>
              <w:rPr>
                <w:sz w:val="20"/>
                <w:szCs w:val="20"/>
                <w:color w:val="auto"/>
              </w:rPr>
            </w:pPr>
            <w:r>
              <w:rPr>
                <w:rFonts w:ascii="Arial" w:cs="Arial" w:eastAsia="Arial" w:hAnsi="Arial"/>
                <w:sz w:val="13"/>
                <w:szCs w:val="13"/>
                <w:color w:val="auto"/>
              </w:rPr>
              <w:t>20.0 %</w:t>
            </w: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33.0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4.4</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(17.1)</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13.5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8.6</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8.3</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61"/>
        </w:trPr>
        <w:tc>
          <w:tcPr>
            <w:tcW w:w="1780" w:type="dxa"/>
            <w:vAlign w:val="bottom"/>
          </w:tcPr>
          <w:p>
            <w:pPr>
              <w:ind w:left="20"/>
              <w:spacing w:after="0"/>
              <w:rPr>
                <w:sz w:val="20"/>
                <w:szCs w:val="20"/>
                <w:color w:val="auto"/>
              </w:rPr>
            </w:pPr>
            <w:r>
              <w:rPr>
                <w:rFonts w:ascii="Arial" w:cs="Arial" w:eastAsia="Arial" w:hAnsi="Arial"/>
                <w:sz w:val="14"/>
                <w:szCs w:val="14"/>
                <w:color w:val="auto"/>
              </w:rPr>
              <w:t>Net income as a percent</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of net revenue</w:t>
            </w:r>
          </w:p>
        </w:tc>
        <w:tc>
          <w:tcPr>
            <w:tcW w:w="840" w:type="dxa"/>
            <w:vAlign w:val="bottom"/>
          </w:tcPr>
          <w:p>
            <w:pPr>
              <w:jc w:val="right"/>
              <w:spacing w:after="0"/>
              <w:rPr>
                <w:sz w:val="20"/>
                <w:szCs w:val="20"/>
                <w:color w:val="auto"/>
              </w:rPr>
            </w:pPr>
            <w:r>
              <w:rPr>
                <w:rFonts w:ascii="Arial" w:cs="Arial" w:eastAsia="Arial" w:hAnsi="Arial"/>
                <w:sz w:val="13"/>
                <w:szCs w:val="13"/>
                <w:color w:val="auto"/>
              </w:rPr>
              <w:t>10.4 %</w:t>
            </w:r>
          </w:p>
        </w:tc>
        <w:tc>
          <w:tcPr>
            <w:tcW w:w="1000" w:type="dxa"/>
            <w:vAlign w:val="bottom"/>
          </w:tcPr>
          <w:p>
            <w:pPr>
              <w:jc w:val="right"/>
              <w:spacing w:after="0"/>
              <w:rPr>
                <w:sz w:val="20"/>
                <w:szCs w:val="20"/>
                <w:color w:val="auto"/>
              </w:rPr>
            </w:pPr>
            <w:r>
              <w:rPr>
                <w:rFonts w:ascii="Arial" w:cs="Arial" w:eastAsia="Arial" w:hAnsi="Arial"/>
                <w:sz w:val="13"/>
                <w:szCs w:val="13"/>
                <w:color w:val="auto"/>
              </w:rPr>
              <w:t>0.5 %</w:t>
            </w:r>
          </w:p>
        </w:tc>
        <w:tc>
          <w:tcPr>
            <w:tcW w:w="940" w:type="dxa"/>
            <w:vAlign w:val="bottom"/>
          </w:tcPr>
          <w:p>
            <w:pPr>
              <w:jc w:val="right"/>
              <w:spacing w:after="0"/>
              <w:rPr>
                <w:sz w:val="20"/>
                <w:szCs w:val="20"/>
                <w:color w:val="auto"/>
              </w:rPr>
            </w:pPr>
            <w:r>
              <w:rPr>
                <w:rFonts w:ascii="Arial" w:cs="Arial" w:eastAsia="Arial" w:hAnsi="Arial"/>
                <w:sz w:val="13"/>
                <w:szCs w:val="13"/>
                <w:color w:val="auto"/>
              </w:rPr>
              <w:t>1.4 %</w:t>
            </w:r>
          </w:p>
        </w:tc>
        <w:tc>
          <w:tcPr>
            <w:tcW w:w="960" w:type="dxa"/>
            <w:vAlign w:val="bottom"/>
          </w:tcPr>
          <w:p>
            <w:pPr>
              <w:jc w:val="right"/>
              <w:spacing w:after="0"/>
              <w:rPr>
                <w:sz w:val="20"/>
                <w:szCs w:val="20"/>
                <w:color w:val="auto"/>
              </w:rPr>
            </w:pPr>
            <w:r>
              <w:rPr>
                <w:rFonts w:ascii="Arial" w:cs="Arial" w:eastAsia="Arial" w:hAnsi="Arial"/>
                <w:sz w:val="13"/>
                <w:szCs w:val="13"/>
                <w:color w:val="auto"/>
              </w:rPr>
              <w:t>(5.4)%</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4.2 %</w:t>
            </w:r>
          </w:p>
        </w:tc>
        <w:tc>
          <w:tcPr>
            <w:tcW w:w="1000" w:type="dxa"/>
            <w:vAlign w:val="bottom"/>
          </w:tcPr>
          <w:p>
            <w:pPr>
              <w:jc w:val="right"/>
              <w:spacing w:after="0"/>
              <w:rPr>
                <w:sz w:val="20"/>
                <w:szCs w:val="20"/>
                <w:color w:val="auto"/>
              </w:rPr>
            </w:pPr>
            <w:r>
              <w:rPr>
                <w:rFonts w:ascii="Arial" w:cs="Arial" w:eastAsia="Arial" w:hAnsi="Arial"/>
                <w:sz w:val="13"/>
                <w:szCs w:val="13"/>
                <w:color w:val="auto"/>
              </w:rPr>
              <w:t>2.7 %</w:t>
            </w:r>
          </w:p>
        </w:tc>
        <w:tc>
          <w:tcPr>
            <w:tcW w:w="960" w:type="dxa"/>
            <w:vAlign w:val="bottom"/>
          </w:tcPr>
          <w:p>
            <w:pPr>
              <w:jc w:val="right"/>
              <w:spacing w:after="0"/>
              <w:rPr>
                <w:sz w:val="20"/>
                <w:szCs w:val="20"/>
                <w:color w:val="auto"/>
              </w:rPr>
            </w:pPr>
            <w:r>
              <w:rPr>
                <w:rFonts w:ascii="Arial" w:cs="Arial" w:eastAsia="Arial" w:hAnsi="Arial"/>
                <w:sz w:val="13"/>
                <w:szCs w:val="13"/>
                <w:color w:val="auto"/>
              </w:rPr>
              <w:t>(0.9)%</w:t>
            </w:r>
          </w:p>
        </w:tc>
        <w:tc>
          <w:tcPr>
            <w:tcW w:w="960" w:type="dxa"/>
            <w:vAlign w:val="bottom"/>
          </w:tcPr>
          <w:p>
            <w:pPr>
              <w:jc w:val="right"/>
              <w:spacing w:after="0"/>
              <w:rPr>
                <w:sz w:val="20"/>
                <w:szCs w:val="20"/>
                <w:color w:val="auto"/>
              </w:rPr>
            </w:pPr>
            <w:r>
              <w:rPr>
                <w:rFonts w:ascii="Arial" w:cs="Arial" w:eastAsia="Arial" w:hAnsi="Arial"/>
                <w:sz w:val="13"/>
                <w:szCs w:val="13"/>
                <w:color w:val="auto"/>
              </w:rPr>
              <w:t>2.6 %</w:t>
            </w:r>
          </w:p>
        </w:tc>
        <w:tc>
          <w:tcPr>
            <w:tcW w:w="860" w:type="dxa"/>
            <w:vAlign w:val="bottom"/>
          </w:tcPr>
          <w:p>
            <w:pPr>
              <w:jc w:val="right"/>
              <w:spacing w:after="0"/>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$0.60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$0.03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$0.08</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($0.31)</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$0.16</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($0.05)</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$0.15</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$0.90</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September 30, 2024 include:</w:t>
      </w:r>
    </w:p>
    <w:p>
      <w:pPr>
        <w:spacing w:after="0" w:line="10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adjustments for the 2025 and 2029 Notes embedded and capped call derivatives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the ImThera acquisition</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Legal expenses primarily related to 3T Heater-Cooler defense, cybersecurity incident costs, 3T Heater-Cooler litigation provision, and Medical Device Regulation ("MDR") costs</w:t>
      </w:r>
    </w:p>
    <w:p>
      <w:pPr>
        <w:ind w:left="320" w:hanging="312"/>
        <w:spacing w:after="0" w:line="201"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&amp; 2029 Notes and Revolving Credit Facility, and interest income on the collateral for the SNIA litigation guarantee and delayed draw on Term Facilities</w:t>
      </w:r>
    </w:p>
    <w:p>
      <w:pPr>
        <w:spacing w:after="0" w:line="1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Numbers may not add precisely due to rounding.</w:t>
      </w: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05" w:right="339" w:bottom="1440" w:gutter="0" w:footer="0" w:header="0"/>
        </w:sectPr>
      </w:pPr>
    </w:p>
    <w:bookmarkStart w:id="17" w:name="page18"/>
    <w:bookmarkEnd w:id="17"/>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98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10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3"/>
                <w:szCs w:val="13"/>
                <w:b w:val="1"/>
                <w:bCs w:val="1"/>
                <w:color w:val="auto"/>
              </w:rPr>
              <w:t>Certain</w:t>
            </w:r>
          </w:p>
        </w:tc>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and</w:t>
            </w:r>
          </w:p>
        </w:tc>
        <w:tc>
          <w:tcPr>
            <w:tcW w:w="9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102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6"/>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0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(1)</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96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(3)</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(4)</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(5)</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(7)</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9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$84.3</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960" w:type="dxa"/>
            <w:vAlign w:val="bottom"/>
          </w:tcPr>
          <w:p>
            <w:pPr>
              <w:ind w:left="6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$4.2</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$84.4</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70.5 %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(1.5)%</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70.5 %</w:t>
            </w:r>
          </w:p>
        </w:tc>
        <w:tc>
          <w:tcPr>
            <w:tcW w:w="0" w:type="dxa"/>
            <w:vAlign w:val="bottom"/>
          </w:tcPr>
          <w:p>
            <w:pPr>
              <w:spacing w:after="0"/>
              <w:rPr>
                <w:sz w:val="1"/>
                <w:szCs w:val="1"/>
                <w:color w:val="auto"/>
              </w:rPr>
            </w:pPr>
          </w:p>
        </w:tc>
      </w:tr>
      <w:tr>
        <w:trPr>
          <w:trHeight w:val="161"/>
        </w:trPr>
        <w:tc>
          <w:tcPr>
            <w:tcW w:w="19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134.8</w:t>
            </w:r>
          </w:p>
        </w:tc>
        <w:tc>
          <w:tcPr>
            <w:tcW w:w="1020" w:type="dxa"/>
            <w:vAlign w:val="bottom"/>
          </w:tcPr>
          <w:p>
            <w:pPr>
              <w:ind w:left="6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(2.9)</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(7.9)</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(9.3)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Selling, general, and</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tcPr>
          <w:p>
            <w:pPr>
              <w:ind w:left="20"/>
              <w:spacing w:after="0" w:line="145" w:lineRule="exact"/>
              <w:rPr>
                <w:sz w:val="20"/>
                <w:szCs w:val="20"/>
                <w:color w:val="auto"/>
              </w:rPr>
            </w:pPr>
            <w:r>
              <w:rPr>
                <w:rFonts w:ascii="Arial" w:cs="Arial" w:eastAsia="Arial" w:hAnsi="Arial"/>
                <w:sz w:val="14"/>
                <w:szCs w:val="14"/>
                <w:color w:val="auto"/>
              </w:rPr>
              <w:t>administrative as a percent of</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47.1 %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(2.8)%</w:t>
            </w:r>
          </w:p>
        </w:tc>
        <w:tc>
          <w:tcPr>
            <w:tcW w:w="1000" w:type="dxa"/>
            <w:vAlign w:val="bottom"/>
          </w:tcPr>
          <w:p>
            <w:pPr>
              <w:jc w:val="right"/>
              <w:spacing w:after="0"/>
              <w:rPr>
                <w:sz w:val="20"/>
                <w:szCs w:val="20"/>
                <w:color w:val="auto"/>
              </w:rPr>
            </w:pPr>
            <w:r>
              <w:rPr>
                <w:rFonts w:ascii="Arial" w:cs="Arial" w:eastAsia="Arial" w:hAnsi="Arial"/>
                <w:sz w:val="13"/>
                <w:szCs w:val="13"/>
                <w:color w:val="auto"/>
              </w:rPr>
              <w:t>(3.2)%</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40.1 %</w:t>
            </w:r>
          </w:p>
        </w:tc>
        <w:tc>
          <w:tcPr>
            <w:tcW w:w="0" w:type="dxa"/>
            <w:vAlign w:val="bottom"/>
          </w:tcPr>
          <w:p>
            <w:pPr>
              <w:spacing w:after="0"/>
              <w:rPr>
                <w:sz w:val="1"/>
                <w:szCs w:val="1"/>
                <w:color w:val="auto"/>
              </w:rPr>
            </w:pPr>
          </w:p>
        </w:tc>
      </w:tr>
      <w:tr>
        <w:trPr>
          <w:trHeight w:val="193"/>
        </w:trPr>
        <w:tc>
          <w:tcPr>
            <w:tcW w:w="19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46.5</w:t>
            </w:r>
          </w:p>
        </w:tc>
        <w:tc>
          <w:tcPr>
            <w:tcW w:w="1020" w:type="dxa"/>
            <w:vAlign w:val="bottom"/>
          </w:tcPr>
          <w:p>
            <w:pPr>
              <w:ind w:left="6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(1.0)</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61"/>
        </w:trPr>
        <w:tc>
          <w:tcPr>
            <w:tcW w:w="19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as a percent of net 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16.3 %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1000" w:type="dxa"/>
            <w:vAlign w:val="bottom"/>
          </w:tcPr>
          <w:p>
            <w:pPr>
              <w:jc w:val="right"/>
              <w:spacing w:after="0"/>
              <w:rPr>
                <w:sz w:val="20"/>
                <w:szCs w:val="20"/>
                <w:color w:val="auto"/>
              </w:rPr>
            </w:pPr>
            <w:r>
              <w:rPr>
                <w:rFonts w:ascii="Arial" w:cs="Arial" w:eastAsia="Arial" w:hAnsi="Arial"/>
                <w:sz w:val="13"/>
                <w:szCs w:val="13"/>
                <w:color w:val="auto"/>
              </w:rPr>
              <w:t>(0.8)%</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16.0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(15.9)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4.5</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24.8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1.6 %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(1.0)%</w:t>
            </w:r>
          </w:p>
        </w:tc>
        <w:tc>
          <w:tcPr>
            <w:tcW w:w="880" w:type="dxa"/>
            <w:vAlign w:val="bottom"/>
          </w:tcPr>
          <w:p>
            <w:pPr>
              <w:jc w:val="right"/>
              <w:spacing w:after="0"/>
              <w:rPr>
                <w:sz w:val="20"/>
                <w:szCs w:val="20"/>
                <w:color w:val="auto"/>
              </w:rPr>
            </w:pPr>
            <w:r>
              <w:rPr>
                <w:rFonts w:ascii="Arial" w:cs="Arial" w:eastAsia="Arial" w:hAnsi="Arial"/>
                <w:sz w:val="13"/>
                <w:szCs w:val="13"/>
                <w:color w:val="auto"/>
              </w:rPr>
              <w:t>8.7 %</w:t>
            </w:r>
          </w:p>
        </w:tc>
        <w:tc>
          <w:tcPr>
            <w:tcW w:w="1000" w:type="dxa"/>
            <w:vAlign w:val="bottom"/>
          </w:tcPr>
          <w:p>
            <w:pPr>
              <w:jc w:val="right"/>
              <w:spacing w:after="0"/>
              <w:rPr>
                <w:sz w:val="20"/>
                <w:szCs w:val="20"/>
                <w:color w:val="auto"/>
              </w:rPr>
            </w:pPr>
            <w:r>
              <w:rPr>
                <w:rFonts w:ascii="Arial" w:cs="Arial" w:eastAsia="Arial" w:hAnsi="Arial"/>
                <w:sz w:val="13"/>
                <w:szCs w:val="13"/>
                <w:color w:val="auto"/>
              </w:rPr>
              <w:t>4.1 %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15.7 %</w:t>
            </w:r>
          </w:p>
        </w:tc>
        <w:tc>
          <w:tcPr>
            <w:tcW w:w="0" w:type="dxa"/>
            <w:vAlign w:val="bottom"/>
          </w:tcPr>
          <w:p>
            <w:pPr>
              <w:spacing w:after="0"/>
              <w:rPr>
                <w:sz w:val="1"/>
                <w:szCs w:val="1"/>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24.8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0.7</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7.6</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61"/>
        </w:trPr>
        <w:tc>
          <w:tcPr>
            <w:tcW w:w="1980" w:type="dxa"/>
            <w:vAlign w:val="bottom"/>
          </w:tcPr>
          <w:p>
            <w:pPr>
              <w:ind w:left="20"/>
              <w:spacing w:after="0"/>
              <w:rPr>
                <w:sz w:val="20"/>
                <w:szCs w:val="20"/>
                <w:color w:val="auto"/>
              </w:rPr>
            </w:pPr>
            <w:r>
              <w:rPr>
                <w:rFonts w:ascii="Arial" w:cs="Arial" w:eastAsia="Arial" w:hAnsi="Arial"/>
                <w:sz w:val="14"/>
                <w:szCs w:val="14"/>
                <w:color w:val="auto"/>
              </w:rPr>
              <w:t>Net (loss) income as a</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percent of net 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(2.6)%</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jc w:val="right"/>
              <w:spacing w:after="0"/>
              <w:rPr>
                <w:sz w:val="20"/>
                <w:szCs w:val="20"/>
                <w:color w:val="auto"/>
              </w:rPr>
            </w:pPr>
            <w:r>
              <w:rPr>
                <w:rFonts w:ascii="Arial" w:cs="Arial" w:eastAsia="Arial" w:hAnsi="Arial"/>
                <w:sz w:val="13"/>
                <w:szCs w:val="13"/>
                <w:color w:val="auto"/>
              </w:rPr>
              <w:t>(0.7)%</w:t>
            </w:r>
          </w:p>
        </w:tc>
        <w:tc>
          <w:tcPr>
            <w:tcW w:w="1040" w:type="dxa"/>
            <w:vAlign w:val="bottom"/>
          </w:tcPr>
          <w:p>
            <w:pPr>
              <w:jc w:val="right"/>
              <w:spacing w:after="0"/>
              <w:rPr>
                <w:sz w:val="20"/>
                <w:szCs w:val="20"/>
                <w:color w:val="auto"/>
              </w:rPr>
            </w:pPr>
            <w:r>
              <w:rPr>
                <w:rFonts w:ascii="Arial" w:cs="Arial" w:eastAsia="Arial" w:hAnsi="Arial"/>
                <w:sz w:val="13"/>
                <w:szCs w:val="13"/>
                <w:color w:val="auto"/>
              </w:rPr>
              <w:t>(1.0)%</w:t>
            </w:r>
          </w:p>
        </w:tc>
        <w:tc>
          <w:tcPr>
            <w:tcW w:w="880" w:type="dxa"/>
            <w:vAlign w:val="bottom"/>
          </w:tcPr>
          <w:p>
            <w:pPr>
              <w:jc w:val="right"/>
              <w:spacing w:after="0"/>
              <w:rPr>
                <w:sz w:val="20"/>
                <w:szCs w:val="20"/>
                <w:color w:val="auto"/>
              </w:rPr>
            </w:pPr>
            <w:r>
              <w:rPr>
                <w:rFonts w:ascii="Arial" w:cs="Arial" w:eastAsia="Arial" w:hAnsi="Arial"/>
                <w:sz w:val="13"/>
                <w:szCs w:val="13"/>
                <w:color w:val="auto"/>
              </w:rPr>
              <w:t>8.7 %</w:t>
            </w:r>
          </w:p>
        </w:tc>
        <w:tc>
          <w:tcPr>
            <w:tcW w:w="1000" w:type="dxa"/>
            <w:vAlign w:val="bottom"/>
          </w:tcPr>
          <w:p>
            <w:pPr>
              <w:jc w:val="right"/>
              <w:spacing w:after="0"/>
              <w:rPr>
                <w:sz w:val="20"/>
                <w:szCs w:val="20"/>
                <w:color w:val="auto"/>
              </w:rPr>
            </w:pPr>
            <w:r>
              <w:rPr>
                <w:rFonts w:ascii="Arial" w:cs="Arial" w:eastAsia="Arial" w:hAnsi="Arial"/>
                <w:sz w:val="13"/>
                <w:szCs w:val="13"/>
                <w:color w:val="auto"/>
              </w:rPr>
              <w:t>4.1 %</w:t>
            </w:r>
          </w:p>
        </w:tc>
        <w:tc>
          <w:tcPr>
            <w:tcW w:w="940" w:type="dxa"/>
            <w:vAlign w:val="bottom"/>
          </w:tcPr>
          <w:p>
            <w:pPr>
              <w:jc w:val="right"/>
              <w:spacing w:after="0"/>
              <w:rPr>
                <w:sz w:val="20"/>
                <w:szCs w:val="20"/>
                <w:color w:val="auto"/>
              </w:rPr>
            </w:pPr>
            <w:r>
              <w:rPr>
                <w:rFonts w:ascii="Arial" w:cs="Arial" w:eastAsia="Arial" w:hAnsi="Arial"/>
                <w:sz w:val="13"/>
                <w:szCs w:val="13"/>
                <w:color w:val="auto"/>
              </w:rPr>
              <w:t>0.3 %</w:t>
            </w:r>
          </w:p>
        </w:tc>
        <w:tc>
          <w:tcPr>
            <w:tcW w:w="940" w:type="dxa"/>
            <w:vAlign w:val="bottom"/>
          </w:tcPr>
          <w:p>
            <w:pPr>
              <w:jc w:val="right"/>
              <w:spacing w:after="0"/>
              <w:rPr>
                <w:sz w:val="20"/>
                <w:szCs w:val="20"/>
                <w:color w:val="auto"/>
              </w:rPr>
            </w:pPr>
            <w:r>
              <w:rPr>
                <w:rFonts w:ascii="Arial" w:cs="Arial" w:eastAsia="Arial" w:hAnsi="Arial"/>
                <w:sz w:val="13"/>
                <w:szCs w:val="13"/>
                <w:color w:val="auto"/>
              </w:rPr>
              <w:t>2.6 %</w:t>
            </w:r>
          </w:p>
        </w:tc>
        <w:tc>
          <w:tcPr>
            <w:tcW w:w="820" w:type="dxa"/>
            <w:vAlign w:val="bottom"/>
          </w:tcPr>
          <w:p>
            <w:pPr>
              <w:jc w:val="right"/>
              <w:spacing w:after="0"/>
              <w:rPr>
                <w:sz w:val="20"/>
                <w:szCs w:val="20"/>
                <w:color w:val="auto"/>
              </w:rPr>
            </w:pPr>
            <w:r>
              <w:rPr>
                <w:rFonts w:ascii="Arial" w:cs="Arial" w:eastAsia="Arial" w:hAnsi="Arial"/>
                <w:sz w:val="13"/>
                <w:szCs w:val="13"/>
                <w:color w:val="auto"/>
              </w:rPr>
              <w:t>13.8 %</w:t>
            </w: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($0.14)</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$0.12</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($0.04)</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($0.05)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$0.46</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$0.22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$0.14</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September 30, 2023 include:</w:t>
      </w:r>
    </w:p>
    <w:p>
      <w:pPr>
        <w:spacing w:after="0" w:line="10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embedded and capped call derivatives associated with the 2025 Notes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the Saluggia site provision, costs related to the SNIA matter, and MDR costs</w:t>
      </w:r>
    </w:p>
    <w:p>
      <w:pPr>
        <w:ind w:left="320" w:hanging="312"/>
        <w:spacing w:after="0" w:line="201"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Discrete tax items, R&amp;D tax credits,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16" w:lineRule="auto"/>
        <w:tabs>
          <w:tab w:leader="none" w:pos="33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tbl>
      <w:tblPr>
        <w:tblLayout w:type="fixed"/>
        <w:tblInd w:w="0" w:type="dxa"/>
        <w:tblCellMar>
          <w:top w:w="0" w:type="dxa"/>
          <w:left w:w="0" w:type="dxa"/>
          <w:bottom w:w="0" w:type="dxa"/>
          <w:right w:w="0" w:type="dxa"/>
        </w:tblCellMar>
      </w:tblPr>
      <w:tr>
        <w:trPr>
          <w:trHeight w:val="283"/>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vMerge w:val="restart"/>
          </w:tcPr>
          <w:p>
            <w:pPr>
              <w:ind w:left="100"/>
              <w:spacing w:after="0"/>
              <w:rPr>
                <w:sz w:val="20"/>
                <w:szCs w:val="20"/>
                <w:color w:val="auto"/>
              </w:rPr>
            </w:pPr>
            <w:r>
              <w:rPr>
                <w:rFonts w:ascii="Arial" w:cs="Arial" w:eastAsia="Arial" w:hAnsi="Arial"/>
                <w:sz w:val="16"/>
                <w:szCs w:val="16"/>
                <w:color w:val="auto"/>
              </w:rPr>
              <w:t>Numbers may not add precisely due to rounding.</w:t>
            </w:r>
          </w:p>
        </w:tc>
        <w:tc>
          <w:tcPr>
            <w:tcW w:w="112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61"/>
        </w:trPr>
        <w:tc>
          <w:tcPr>
            <w:tcW w:w="160" w:type="dxa"/>
            <w:vAlign w:val="bottom"/>
            <w:vMerge w:val="continue"/>
          </w:tcPr>
          <w:p>
            <w:pPr>
              <w:spacing w:after="0"/>
              <w:rPr>
                <w:sz w:val="5"/>
                <w:szCs w:val="5"/>
                <w:color w:val="auto"/>
              </w:rPr>
            </w:pPr>
          </w:p>
        </w:tc>
        <w:tc>
          <w:tcPr>
            <w:tcW w:w="44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8" w:name="page19"/>
    <w:bookmarkEnd w:id="18"/>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Ended</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Pr>
          <w:p>
            <w:pPr>
              <w:spacing w:after="0"/>
              <w:rPr>
                <w:sz w:val="4"/>
                <w:szCs w:val="4"/>
                <w:color w:val="auto"/>
              </w:rPr>
            </w:pPr>
          </w:p>
        </w:tc>
        <w:tc>
          <w:tcPr>
            <w:tcW w:w="9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Certain</w:t>
            </w:r>
          </w:p>
        </w:tc>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Restructuring</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and</w:t>
            </w:r>
          </w:p>
        </w:tc>
        <w:tc>
          <w:tcPr>
            <w:tcW w:w="840" w:type="dxa"/>
            <w:vAlign w:val="bottom"/>
          </w:tcPr>
          <w:p>
            <w:pPr>
              <w:spacing w:after="0"/>
              <w:rPr>
                <w:sz w:val="10"/>
                <w:szCs w:val="10"/>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Financial</w:t>
            </w:r>
          </w:p>
        </w:tc>
        <w:tc>
          <w:tcPr>
            <w:tcW w:w="100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 xml:space="preserve">Impairment </w:t>
            </w:r>
            <w:r>
              <w:rPr>
                <w:rFonts w:ascii="Arial" w:cs="Arial" w:eastAsia="Arial" w:hAnsi="Arial"/>
                <w:sz w:val="16"/>
                <w:szCs w:val="16"/>
                <w:b w:val="1"/>
                <w:bCs w:val="1"/>
                <w:color w:val="auto"/>
                <w:w w:val="92"/>
                <w:vertAlign w:val="superscript"/>
              </w:rPr>
              <w:t>(3)</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Measures</w:t>
            </w:r>
          </w:p>
        </w:tc>
        <w:tc>
          <w:tcPr>
            <w:tcW w:w="100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(1)</w:t>
            </w:r>
          </w:p>
        </w:tc>
        <w:tc>
          <w:tcPr>
            <w:tcW w:w="9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8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(4)</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4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1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$280.1</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($5.2)</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($0.9)</w:t>
            </w:r>
          </w:p>
        </w:tc>
        <w:tc>
          <w:tcPr>
            <w:tcW w:w="940" w:type="dxa"/>
            <w:vAlign w:val="bottom"/>
          </w:tcPr>
          <w:p>
            <w:pPr>
              <w:ind w:left="58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161"/>
        </w:trPr>
        <w:tc>
          <w:tcPr>
            <w:tcW w:w="11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69.9 %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0.6 %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(0.1)%</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70.5 %</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Selling, general,</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390.6</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(7.9)</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(20.1)</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(20.6)</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342.1</w:t>
            </w:r>
          </w:p>
        </w:tc>
        <w:tc>
          <w:tcPr>
            <w:tcW w:w="0" w:type="dxa"/>
            <w:vAlign w:val="bottom"/>
          </w:tcPr>
          <w:p>
            <w:pPr>
              <w:spacing w:after="0"/>
              <w:rPr>
                <w:sz w:val="1"/>
                <w:szCs w:val="1"/>
                <w:color w:val="auto"/>
              </w:rPr>
            </w:pPr>
          </w:p>
        </w:tc>
      </w:tr>
      <w:tr>
        <w:trPr>
          <w:trHeight w:val="152"/>
        </w:trPr>
        <w:tc>
          <w:tcPr>
            <w:tcW w:w="1140" w:type="dxa"/>
            <w:vAlign w:val="bottom"/>
          </w:tcPr>
          <w:p>
            <w:pPr>
              <w:ind w:left="20"/>
              <w:spacing w:after="0" w:line="151" w:lineRule="exact"/>
              <w:rPr>
                <w:sz w:val="20"/>
                <w:szCs w:val="20"/>
                <w:color w:val="auto"/>
              </w:rPr>
            </w:pPr>
            <w:r>
              <w:rPr>
                <w:rFonts w:ascii="Arial" w:cs="Arial" w:eastAsia="Arial" w:hAnsi="Arial"/>
                <w:sz w:val="14"/>
                <w:szCs w:val="14"/>
                <w:color w:val="auto"/>
              </w:rPr>
              <w:t>Selling, general,</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4"/>
                <w:szCs w:val="14"/>
                <w:color w:val="auto"/>
              </w:rPr>
              <w:t>administrative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as a percent of</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41.9 %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(2.2)%</w:t>
            </w:r>
          </w:p>
        </w:tc>
        <w:tc>
          <w:tcPr>
            <w:tcW w:w="1000" w:type="dxa"/>
            <w:vAlign w:val="bottom"/>
          </w:tcPr>
          <w:p>
            <w:pPr>
              <w:jc w:val="right"/>
              <w:spacing w:after="0"/>
              <w:rPr>
                <w:sz w:val="20"/>
                <w:szCs w:val="20"/>
                <w:color w:val="auto"/>
              </w:rPr>
            </w:pPr>
            <w:r>
              <w:rPr>
                <w:rFonts w:ascii="Arial" w:cs="Arial" w:eastAsia="Arial" w:hAnsi="Arial"/>
                <w:sz w:val="13"/>
                <w:szCs w:val="13"/>
                <w:color w:val="auto"/>
              </w:rPr>
              <w:t>(2.2)%</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36.7 %</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139.2</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(0.7)</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(5.5)</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130.9</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development as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4"/>
                <w:szCs w:val="14"/>
                <w:color w:val="auto"/>
              </w:rPr>
              <w:t>a percent of net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14.9 %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14.0 %</w:t>
            </w:r>
          </w:p>
        </w:tc>
        <w:tc>
          <w:tcPr>
            <w:tcW w:w="0" w:type="dxa"/>
            <w:vAlign w:val="bottom"/>
          </w:tcPr>
          <w:p>
            <w:pPr>
              <w:spacing w:after="0"/>
              <w:rPr>
                <w:sz w:val="1"/>
                <w:szCs w:val="1"/>
                <w:color w:val="auto"/>
              </w:rPr>
            </w:pPr>
          </w:p>
        </w:tc>
      </w:tr>
      <w:tr>
        <w:trPr>
          <w:trHeight w:val="161"/>
        </w:trPr>
        <w:tc>
          <w:tcPr>
            <w:tcW w:w="11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29.6</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(12.8)</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(16.8)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income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92.0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12.8</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12.9</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38.4</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27.0</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183.6</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margin 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9.9 %</w:t>
            </w:r>
          </w:p>
        </w:tc>
        <w:tc>
          <w:tcPr>
            <w:tcW w:w="1000" w:type="dxa"/>
            <w:vAlign w:val="bottom"/>
          </w:tcPr>
          <w:p>
            <w:pPr>
              <w:jc w:val="right"/>
              <w:spacing w:after="0"/>
              <w:rPr>
                <w:sz w:val="20"/>
                <w:szCs w:val="20"/>
                <w:color w:val="auto"/>
              </w:rPr>
            </w:pPr>
            <w:r>
              <w:rPr>
                <w:rFonts w:ascii="Arial" w:cs="Arial" w:eastAsia="Arial" w:hAnsi="Arial"/>
                <w:sz w:val="13"/>
                <w:szCs w:val="13"/>
                <w:color w:val="auto"/>
              </w:rPr>
              <w:t>1.4 %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4.1 %</w:t>
            </w:r>
          </w:p>
        </w:tc>
        <w:tc>
          <w:tcPr>
            <w:tcW w:w="1000" w:type="dxa"/>
            <w:vAlign w:val="bottom"/>
          </w:tcPr>
          <w:p>
            <w:pPr>
              <w:jc w:val="right"/>
              <w:spacing w:after="0"/>
              <w:rPr>
                <w:sz w:val="20"/>
                <w:szCs w:val="20"/>
                <w:color w:val="auto"/>
              </w:rPr>
            </w:pPr>
            <w:r>
              <w:rPr>
                <w:rFonts w:ascii="Arial" w:cs="Arial" w:eastAsia="Arial" w:hAnsi="Arial"/>
                <w:sz w:val="13"/>
                <w:szCs w:val="13"/>
                <w:color w:val="auto"/>
              </w:rPr>
              <w:t>2.9 %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19.7 %</w:t>
            </w: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12.8</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12.9</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5.8</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25.7</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38.4</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27.0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(13.7)</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23.5</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140.1</w:t>
            </w:r>
          </w:p>
        </w:tc>
        <w:tc>
          <w:tcPr>
            <w:tcW w:w="0" w:type="dxa"/>
            <w:vAlign w:val="bottom"/>
          </w:tcPr>
          <w:p>
            <w:pPr>
              <w:spacing w:after="0"/>
              <w:rPr>
                <w:sz w:val="1"/>
                <w:szCs w:val="1"/>
                <w:color w:val="auto"/>
              </w:rPr>
            </w:pPr>
          </w:p>
        </w:tc>
      </w:tr>
      <w:tr>
        <w:trPr>
          <w:trHeight w:val="161"/>
        </w:trPr>
        <w:tc>
          <w:tcPr>
            <w:tcW w:w="1140" w:type="dxa"/>
            <w:vAlign w:val="bottom"/>
          </w:tcPr>
          <w:p>
            <w:pPr>
              <w:ind w:left="20"/>
              <w:spacing w:after="0"/>
              <w:rPr>
                <w:sz w:val="20"/>
                <w:szCs w:val="20"/>
                <w:color w:val="auto"/>
              </w:rPr>
            </w:pPr>
            <w:r>
              <w:rPr>
                <w:rFonts w:ascii="Arial" w:cs="Arial" w:eastAsia="Arial" w:hAnsi="Arial"/>
                <w:sz w:val="14"/>
                <w:szCs w:val="14"/>
                <w:color w:val="auto"/>
              </w:rPr>
              <w:t>Net income as a</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percent of net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0.8 %</w:t>
            </w:r>
          </w:p>
        </w:tc>
        <w:tc>
          <w:tcPr>
            <w:tcW w:w="1000" w:type="dxa"/>
            <w:vAlign w:val="bottom"/>
          </w:tcPr>
          <w:p>
            <w:pPr>
              <w:jc w:val="right"/>
              <w:spacing w:after="0"/>
              <w:rPr>
                <w:sz w:val="20"/>
                <w:szCs w:val="20"/>
                <w:color w:val="auto"/>
              </w:rPr>
            </w:pPr>
            <w:r>
              <w:rPr>
                <w:rFonts w:ascii="Arial" w:cs="Arial" w:eastAsia="Arial" w:hAnsi="Arial"/>
                <w:sz w:val="13"/>
                <w:szCs w:val="13"/>
                <w:color w:val="auto"/>
              </w:rPr>
              <w:t>1.4 %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40" w:type="dxa"/>
            <w:vAlign w:val="bottom"/>
          </w:tcPr>
          <w:p>
            <w:pPr>
              <w:jc w:val="right"/>
              <w:spacing w:after="0"/>
              <w:rPr>
                <w:sz w:val="20"/>
                <w:szCs w:val="20"/>
                <w:color w:val="auto"/>
              </w:rPr>
            </w:pPr>
            <w:r>
              <w:rPr>
                <w:rFonts w:ascii="Arial" w:cs="Arial" w:eastAsia="Arial" w:hAnsi="Arial"/>
                <w:sz w:val="13"/>
                <w:szCs w:val="13"/>
                <w:color w:val="auto"/>
              </w:rPr>
              <w:t>0.6 %</w:t>
            </w:r>
          </w:p>
        </w:tc>
        <w:tc>
          <w:tcPr>
            <w:tcW w:w="960" w:type="dxa"/>
            <w:vAlign w:val="bottom"/>
          </w:tcPr>
          <w:p>
            <w:pPr>
              <w:jc w:val="right"/>
              <w:spacing w:after="0"/>
              <w:rPr>
                <w:sz w:val="20"/>
                <w:szCs w:val="20"/>
                <w:color w:val="auto"/>
              </w:rPr>
            </w:pPr>
            <w:r>
              <w:rPr>
                <w:rFonts w:ascii="Arial" w:cs="Arial" w:eastAsia="Arial" w:hAnsi="Arial"/>
                <w:sz w:val="13"/>
                <w:szCs w:val="13"/>
                <w:color w:val="auto"/>
              </w:rPr>
              <w:t>2.8 %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4.1 %</w:t>
            </w:r>
          </w:p>
        </w:tc>
        <w:tc>
          <w:tcPr>
            <w:tcW w:w="1000" w:type="dxa"/>
            <w:vAlign w:val="bottom"/>
          </w:tcPr>
          <w:p>
            <w:pPr>
              <w:jc w:val="right"/>
              <w:spacing w:after="0"/>
              <w:rPr>
                <w:sz w:val="20"/>
                <w:szCs w:val="20"/>
                <w:color w:val="auto"/>
              </w:rPr>
            </w:pPr>
            <w:r>
              <w:rPr>
                <w:rFonts w:ascii="Arial" w:cs="Arial" w:eastAsia="Arial" w:hAnsi="Arial"/>
                <w:sz w:val="13"/>
                <w:szCs w:val="13"/>
                <w:color w:val="auto"/>
              </w:rPr>
              <w:t>2.9 %</w:t>
            </w: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940" w:type="dxa"/>
            <w:vAlign w:val="bottom"/>
          </w:tcPr>
          <w:p>
            <w:pPr>
              <w:jc w:val="right"/>
              <w:spacing w:after="0"/>
              <w:rPr>
                <w:sz w:val="20"/>
                <w:szCs w:val="20"/>
                <w:color w:val="auto"/>
              </w:rPr>
            </w:pPr>
            <w:r>
              <w:rPr>
                <w:rFonts w:ascii="Arial" w:cs="Arial" w:eastAsia="Arial" w:hAnsi="Arial"/>
                <w:sz w:val="13"/>
                <w:szCs w:val="13"/>
                <w:color w:val="auto"/>
              </w:rPr>
              <w:t>2.5 %</w:t>
            </w:r>
          </w:p>
        </w:tc>
        <w:tc>
          <w:tcPr>
            <w:tcW w:w="820" w:type="dxa"/>
            <w:vAlign w:val="bottom"/>
          </w:tcPr>
          <w:p>
            <w:pPr>
              <w:jc w:val="right"/>
              <w:spacing w:after="0"/>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93"/>
        </w:trPr>
        <w:tc>
          <w:tcPr>
            <w:tcW w:w="11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$0.13</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$0.24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$0.24</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$0.11</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$0.47</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$0.70</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$0.49</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($0.25)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$0.43</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nine months ended September 30, 2024 include:</w:t>
      </w:r>
    </w:p>
    <w:p>
      <w:pPr>
        <w:spacing w:after="0" w:line="10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Impairment of investment in ShiraTronics, Inc.</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Loss on debt extinguishment, as well as mark-to-market adjustments for the 2025 &amp; 2029 Notes embedded and capped call derivatives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the ImThera acquisition</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cybersecurity incident costs, MDR costs, and costs related to the SNIA matter</w:t>
      </w:r>
    </w:p>
    <w:p>
      <w:pPr>
        <w:ind w:left="320" w:hanging="312"/>
        <w:spacing w:after="0" w:line="201"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&amp; 2029 Notes and Revolving Credit Facility, and interest income on the collateral for the SNIA litigation guarantee and delayed draw on Term Facilities</w:t>
      </w:r>
    </w:p>
    <w:p>
      <w:pPr>
        <w:spacing w:after="0" w:line="110"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05" w:right="339" w:bottom="1440" w:gutter="0" w:footer="0" w:header="0"/>
        </w:sectPr>
      </w:pPr>
    </w:p>
    <w:bookmarkStart w:id="19" w:name="page20"/>
    <w:bookmarkEnd w:id="19"/>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Nine Months</w:t>
            </w:r>
          </w:p>
        </w:tc>
        <w:tc>
          <w:tcPr>
            <w:tcW w:w="7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9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Ended</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Pr>
          <w:p>
            <w:pPr>
              <w:spacing w:after="0"/>
              <w:rPr>
                <w:sz w:val="4"/>
                <w:szCs w:val="4"/>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Certain</w:t>
            </w:r>
          </w:p>
        </w:tc>
        <w:tc>
          <w:tcPr>
            <w:tcW w:w="7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8"/>
              </w:rPr>
              <w:t>Restructuring</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and</w:t>
            </w:r>
          </w:p>
        </w:tc>
        <w:tc>
          <w:tcPr>
            <w:tcW w:w="9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6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7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Expenses </w:t>
            </w:r>
            <w:r>
              <w:rPr>
                <w:rFonts w:ascii="Arial" w:cs="Arial" w:eastAsia="Arial" w:hAnsi="Arial"/>
                <w:sz w:val="16"/>
                <w:szCs w:val="16"/>
                <w:b w:val="1"/>
                <w:bCs w:val="1"/>
                <w:color w:val="auto"/>
                <w:w w:val="95"/>
                <w:vertAlign w:val="superscript"/>
              </w:rPr>
              <w:t>(1)</w:t>
            </w:r>
          </w:p>
        </w:tc>
        <w:tc>
          <w:tcPr>
            <w:tcW w:w="96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(2)</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(3)</w:t>
            </w:r>
          </w:p>
        </w:tc>
        <w:tc>
          <w:tcPr>
            <w:tcW w:w="96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(4)</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2"/>
              </w:rPr>
              <w:t xml:space="preserve">Adjustments </w:t>
            </w:r>
            <w:r>
              <w:rPr>
                <w:rFonts w:ascii="Arial" w:cs="Arial" w:eastAsia="Arial" w:hAnsi="Arial"/>
                <w:sz w:val="16"/>
                <w:szCs w:val="16"/>
                <w:b w:val="1"/>
                <w:bCs w:val="1"/>
                <w:color w:val="auto"/>
                <w:w w:val="92"/>
                <w:vertAlign w:val="superscript"/>
              </w:rPr>
              <w:t>(8)</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2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$262.3</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960" w:type="dxa"/>
            <w:vAlign w:val="bottom"/>
          </w:tcPr>
          <w:p>
            <w:pPr>
              <w:ind w:left="6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($0.8)</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68.9 %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0.1 %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70.4 %</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384.8</w:t>
            </w:r>
          </w:p>
        </w:tc>
        <w:tc>
          <w:tcPr>
            <w:tcW w:w="860" w:type="dxa"/>
            <w:vAlign w:val="bottom"/>
          </w:tcPr>
          <w:p>
            <w:pPr>
              <w:ind w:left="5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(17.7)</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(22.4)</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336.1</w:t>
            </w:r>
          </w:p>
        </w:tc>
        <w:tc>
          <w:tcPr>
            <w:tcW w:w="0" w:type="dxa"/>
            <w:vAlign w:val="bottom"/>
          </w:tcPr>
          <w:p>
            <w:pPr>
              <w:spacing w:after="0"/>
              <w:rPr>
                <w:sz w:val="1"/>
                <w:szCs w:val="1"/>
                <w:color w:val="auto"/>
              </w:rPr>
            </w:pPr>
          </w:p>
        </w:tc>
      </w:tr>
      <w:tr>
        <w:trPr>
          <w:trHeight w:val="152"/>
        </w:trPr>
        <w:tc>
          <w:tcPr>
            <w:tcW w:w="1240" w:type="dxa"/>
            <w:vAlign w:val="bottom"/>
          </w:tcPr>
          <w:p>
            <w:pPr>
              <w:ind w:left="20"/>
              <w:spacing w:after="0" w:line="151"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administrative as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a 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45.6 %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c>
          <w:tcPr>
            <w:tcW w:w="1000" w:type="dxa"/>
            <w:vAlign w:val="bottom"/>
          </w:tcPr>
          <w:p>
            <w:pPr>
              <w:jc w:val="right"/>
              <w:spacing w:after="0"/>
              <w:rPr>
                <w:sz w:val="20"/>
                <w:szCs w:val="20"/>
                <w:color w:val="auto"/>
              </w:rPr>
            </w:pPr>
            <w:r>
              <w:rPr>
                <w:rFonts w:ascii="Arial" w:cs="Arial" w:eastAsia="Arial" w:hAnsi="Arial"/>
                <w:sz w:val="13"/>
                <w:szCs w:val="13"/>
                <w:color w:val="auto"/>
              </w:rPr>
              <w:t>(2.7)%</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39.8 %</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147.7</w:t>
            </w:r>
          </w:p>
        </w:tc>
        <w:tc>
          <w:tcPr>
            <w:tcW w:w="860" w:type="dxa"/>
            <w:vAlign w:val="bottom"/>
          </w:tcPr>
          <w:p>
            <w:pPr>
              <w:ind w:left="5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(4.1)</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(2.7)</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development as a</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17.5 %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expense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29.1</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(1.1)</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(28.0)</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19.5</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19.6</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48.5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28.1</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2.3 %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0.5 %</w:t>
            </w:r>
          </w:p>
        </w:tc>
        <w:tc>
          <w:tcPr>
            <w:tcW w:w="880" w:type="dxa"/>
            <w:vAlign w:val="bottom"/>
          </w:tcPr>
          <w:p>
            <w:pPr>
              <w:jc w:val="right"/>
              <w:spacing w:after="0"/>
              <w:rPr>
                <w:sz w:val="20"/>
                <w:szCs w:val="20"/>
                <w:color w:val="auto"/>
              </w:rPr>
            </w:pPr>
            <w:r>
              <w:rPr>
                <w:rFonts w:ascii="Arial" w:cs="Arial" w:eastAsia="Arial" w:hAnsi="Arial"/>
                <w:sz w:val="13"/>
                <w:szCs w:val="13"/>
                <w:color w:val="auto"/>
              </w:rPr>
              <w:t>5.7 %</w:t>
            </w:r>
          </w:p>
        </w:tc>
        <w:tc>
          <w:tcPr>
            <w:tcW w:w="1000" w:type="dxa"/>
            <w:vAlign w:val="bottom"/>
          </w:tcPr>
          <w:p>
            <w:pPr>
              <w:jc w:val="right"/>
              <w:spacing w:after="0"/>
              <w:rPr>
                <w:sz w:val="20"/>
                <w:szCs w:val="20"/>
                <w:color w:val="auto"/>
              </w:rPr>
            </w:pPr>
            <w:r>
              <w:rPr>
                <w:rFonts w:ascii="Arial" w:cs="Arial" w:eastAsia="Arial" w:hAnsi="Arial"/>
                <w:sz w:val="13"/>
                <w:szCs w:val="13"/>
                <w:color w:val="auto"/>
              </w:rPr>
              <w:t>3.3 %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14.4 %</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19.6</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(21.7)</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48.5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28.1</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22.2</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Net income as a</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0.1 %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jc w:val="right"/>
              <w:spacing w:after="0"/>
              <w:rPr>
                <w:sz w:val="20"/>
                <w:szCs w:val="20"/>
                <w:color w:val="auto"/>
              </w:rPr>
            </w:pPr>
            <w:r>
              <w:rPr>
                <w:rFonts w:ascii="Arial" w:cs="Arial" w:eastAsia="Arial" w:hAnsi="Arial"/>
                <w:sz w:val="13"/>
                <w:szCs w:val="13"/>
                <w:color w:val="auto"/>
              </w:rPr>
              <w:t>(2.6)%</w:t>
            </w:r>
          </w:p>
        </w:tc>
        <w:tc>
          <w:tcPr>
            <w:tcW w:w="1040" w:type="dxa"/>
            <w:vAlign w:val="bottom"/>
          </w:tcPr>
          <w:p>
            <w:pPr>
              <w:jc w:val="right"/>
              <w:spacing w:after="0"/>
              <w:rPr>
                <w:sz w:val="20"/>
                <w:szCs w:val="20"/>
                <w:color w:val="auto"/>
              </w:rPr>
            </w:pPr>
            <w:r>
              <w:rPr>
                <w:rFonts w:ascii="Arial" w:cs="Arial" w:eastAsia="Arial" w:hAnsi="Arial"/>
                <w:sz w:val="13"/>
                <w:szCs w:val="13"/>
                <w:color w:val="auto"/>
              </w:rPr>
              <w:t>0.5 %</w:t>
            </w:r>
          </w:p>
        </w:tc>
        <w:tc>
          <w:tcPr>
            <w:tcW w:w="880" w:type="dxa"/>
            <w:vAlign w:val="bottom"/>
          </w:tcPr>
          <w:p>
            <w:pPr>
              <w:jc w:val="right"/>
              <w:spacing w:after="0"/>
              <w:rPr>
                <w:sz w:val="20"/>
                <w:szCs w:val="20"/>
                <w:color w:val="auto"/>
              </w:rPr>
            </w:pPr>
            <w:r>
              <w:rPr>
                <w:rFonts w:ascii="Arial" w:cs="Arial" w:eastAsia="Arial" w:hAnsi="Arial"/>
                <w:sz w:val="13"/>
                <w:szCs w:val="13"/>
                <w:color w:val="auto"/>
              </w:rPr>
              <w:t>5.7 %</w:t>
            </w:r>
          </w:p>
        </w:tc>
        <w:tc>
          <w:tcPr>
            <w:tcW w:w="1000" w:type="dxa"/>
            <w:vAlign w:val="bottom"/>
          </w:tcPr>
          <w:p>
            <w:pPr>
              <w:jc w:val="right"/>
              <w:spacing w:after="0"/>
              <w:rPr>
                <w:sz w:val="20"/>
                <w:szCs w:val="20"/>
                <w:color w:val="auto"/>
              </w:rPr>
            </w:pPr>
            <w:r>
              <w:rPr>
                <w:rFonts w:ascii="Arial" w:cs="Arial" w:eastAsia="Arial" w:hAnsi="Arial"/>
                <w:sz w:val="13"/>
                <w:szCs w:val="13"/>
                <w:color w:val="auto"/>
              </w:rPr>
              <w:t>3.3 %</w:t>
            </w:r>
          </w:p>
        </w:tc>
        <w:tc>
          <w:tcPr>
            <w:tcW w:w="94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2.6 %</w:t>
            </w:r>
          </w:p>
        </w:tc>
        <w:tc>
          <w:tcPr>
            <w:tcW w:w="780" w:type="dxa"/>
            <w:vAlign w:val="bottom"/>
          </w:tcPr>
          <w:p>
            <w:pPr>
              <w:jc w:val="right"/>
              <w:spacing w:after="0"/>
              <w:rPr>
                <w:sz w:val="20"/>
                <w:szCs w:val="20"/>
                <w:color w:val="auto"/>
              </w:rPr>
            </w:pPr>
            <w:r>
              <w:rPr>
                <w:rFonts w:ascii="Arial" w:cs="Arial" w:eastAsia="Arial" w:hAnsi="Arial"/>
                <w:sz w:val="13"/>
                <w:szCs w:val="13"/>
                <w:color w:val="auto"/>
              </w:rPr>
              <w:t>12.4 %</w:t>
            </w:r>
          </w:p>
        </w:tc>
        <w:tc>
          <w:tcPr>
            <w:tcW w:w="0" w:type="dxa"/>
            <w:vAlign w:val="bottom"/>
          </w:tcPr>
          <w:p>
            <w:pPr>
              <w:spacing w:after="0"/>
              <w:rPr>
                <w:sz w:val="1"/>
                <w:szCs w:val="1"/>
                <w:color w:val="auto"/>
              </w:rPr>
            </w:pPr>
          </w:p>
        </w:tc>
      </w:tr>
      <w:tr>
        <w:trPr>
          <w:trHeight w:val="193"/>
        </w:trPr>
        <w:tc>
          <w:tcPr>
            <w:tcW w:w="12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$0.02</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$0.02</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$0.36</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($0.40)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$0.08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$0.90</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$0.52</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$0.02</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$0.41</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nine months ended September 30, 2023 include:</w:t>
      </w:r>
    </w:p>
    <w:p>
      <w:pPr>
        <w:spacing w:after="0" w:line="10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Merger and integration expenses related to the acquisition of ALung Technologies, Inc.</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embedded and capped call derivatives associated with the 2025 Notes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the Saluggia site provision, costs related to the SNIA matter, and MDR costs</w:t>
      </w:r>
    </w:p>
    <w:p>
      <w:pPr>
        <w:ind w:left="320" w:hanging="312"/>
        <w:spacing w:after="0" w:line="201"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Discrete tax items, R&amp;D tax credits,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p>
      <w:pPr>
        <w:spacing w:after="0" w:line="1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Numbers may not add precisely due to rounding.</w:t>
      </w: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819" w:right="339" w:bottom="1440" w:gutter="0" w:footer="0" w:header="0"/>
        </w:sectPr>
      </w:pPr>
    </w:p>
    <w:bookmarkStart w:id="20" w:name="page21"/>
    <w:bookmarkEnd w:id="20"/>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September 30, 2024</w:t>
            </w:r>
          </w:p>
        </w:tc>
        <w:tc>
          <w:tcPr>
            <w:tcW w:w="2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18"/>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gridSpan w:val="2"/>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vMerge w:val="continue"/>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8"/>
                <w:szCs w:val="18"/>
                <w:color w:val="auto"/>
              </w:rPr>
              <w:t>$346.4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160" w:type="dxa"/>
            <w:vAlign w:val="bottom"/>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160" w:type="dxa"/>
            <w:vAlign w:val="bottom"/>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1,093.1</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w:t>
            </w:r>
          </w:p>
        </w:tc>
        <w:tc>
          <w:tcPr>
            <w:tcW w:w="0" w:type="dxa"/>
            <w:vAlign w:val="bottom"/>
          </w:tcPr>
          <w:p>
            <w:pPr>
              <w:spacing w:after="0"/>
              <w:rPr>
                <w:sz w:val="1"/>
                <w:szCs w:val="1"/>
                <w:color w:val="auto"/>
              </w:rPr>
            </w:pPr>
          </w:p>
        </w:tc>
      </w:tr>
      <w:tr>
        <w:trPr>
          <w:trHeight w:val="218"/>
        </w:trPr>
        <w:tc>
          <w:tcPr>
            <w:tcW w:w="68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8"/>
                <w:szCs w:val="18"/>
                <w:color w:val="auto"/>
              </w:rPr>
              <w:t>169.3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160" w:type="dxa"/>
            <w:vAlign w:val="bottom"/>
          </w:tcPr>
          <w:p>
            <w:pPr>
              <w:jc w:val="right"/>
              <w:spacing w:after="0"/>
              <w:rPr>
                <w:sz w:val="20"/>
                <w:szCs w:val="20"/>
                <w:color w:val="auto"/>
              </w:rPr>
            </w:pPr>
            <w:r>
              <w:rPr>
                <w:rFonts w:ascii="Arial" w:cs="Arial" w:eastAsia="Arial" w:hAnsi="Arial"/>
                <w:sz w:val="18"/>
                <w:szCs w:val="18"/>
                <w:color w:val="auto"/>
              </w:rPr>
              <w:t>781.6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Long-term derivative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$2,522.0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82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Accrued employee compensation and related benefits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324.4</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w:t>
            </w:r>
          </w:p>
        </w:tc>
        <w:tc>
          <w:tcPr>
            <w:tcW w:w="0" w:type="dxa"/>
            <w:vAlign w:val="bottom"/>
          </w:tcPr>
          <w:p>
            <w:pPr>
              <w:spacing w:after="0"/>
              <w:rPr>
                <w:sz w:val="1"/>
                <w:szCs w:val="1"/>
                <w:color w:val="auto"/>
              </w:rPr>
            </w:pPr>
          </w:p>
        </w:tc>
      </w:tr>
      <w:tr>
        <w:trPr>
          <w:trHeight w:val="218"/>
        </w:trPr>
        <w:tc>
          <w:tcPr>
            <w:tcW w:w="6820" w:type="dxa"/>
            <w:vAlign w:val="bottom"/>
          </w:tcPr>
          <w:p>
            <w:pPr>
              <w:ind w:left="220"/>
              <w:spacing w:after="0"/>
              <w:rPr>
                <w:sz w:val="20"/>
                <w:szCs w:val="20"/>
                <w:color w:val="auto"/>
              </w:rPr>
            </w:pPr>
            <w:r>
              <w:rPr>
                <w:rFonts w:ascii="Arial" w:cs="Arial" w:eastAsia="Arial" w:hAnsi="Arial"/>
                <w:sz w:val="18"/>
                <w:szCs w:val="18"/>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604.3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1,211.9</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$2,522.0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1" w:name="page22"/>
    <w:bookmarkEnd w:id="21"/>
    <w:tbl>
      <w:tblPr>
        <w:tblLayout w:type="fixed"/>
        <w:tblInd w:w="12" w:type="dxa"/>
        <w:tblCellMar>
          <w:top w:w="0" w:type="dxa"/>
          <w:left w:w="0" w:type="dxa"/>
          <w:bottom w:w="0" w:type="dxa"/>
          <w:right w:w="0" w:type="dxa"/>
        </w:tblCellMar>
      </w:tblP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34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54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Deferred income tax expense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operating lease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Impairment of investments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Remeasurement of derivative instruments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Remeasurement of contingent consideration to fair value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Other current and non-current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Accounts payable and accrued current and non-current liabilities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Taxes payable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Litigation provision liability</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 of investments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long-term debt obligations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Repayment of long-term debt obligations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Payment of debt extinguishment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 of capped calls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unwind of capped calls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Payment of contingent consideration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Shares repurchased from employees for minimum tax withholding</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8"/>
                <w:szCs w:val="18"/>
                <w:color w:val="auto"/>
              </w:rPr>
              <w:t>Repayments of short-term borrowings (maturities greater than 90 days)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542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340" w:type="dxa"/>
            <w:vAlign w:val="bottom"/>
            <w:vMerge w:val="restart"/>
          </w:tcPr>
          <w:p>
            <w:pPr>
              <w:jc w:val="right"/>
              <w:ind w:right="1932"/>
              <w:spacing w:after="0"/>
              <w:rPr>
                <w:sz w:val="20"/>
                <w:szCs w:val="20"/>
                <w:color w:val="auto"/>
              </w:rPr>
            </w:pPr>
            <w:r>
              <w:rPr>
                <w:rFonts w:ascii="Arial" w:cs="Arial" w:eastAsia="Arial" w:hAnsi="Arial"/>
                <w:sz w:val="22"/>
                <w:szCs w:val="22"/>
                <w:color w:val="auto"/>
              </w:rPr>
              <w:t>19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52" w:hanging="252"/>
        <w:spacing w:after="0"/>
        <w:tabs>
          <w:tab w:leader="none" w:pos="252"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ectPr>
          <w:pgSz w:w="11900" w:h="16838" w:orient="portrait"/>
          <w:cols w:equalWidth="0" w:num="1">
            <w:col w:w="11232"/>
          </w:cols>
          <w:pgMar w:left="328" w:top="647" w:right="339" w:bottom="1440" w:gutter="0" w:footer="0" w:header="0"/>
        </w:sectPr>
      </w:pPr>
    </w:p>
    <w:bookmarkStart w:id="22" w:name="page23"/>
    <w:bookmarkEnd w:id="22"/>
    <w:p>
      <w:pPr>
        <w:spacing w:after="0" w:line="27" w:lineRule="exact"/>
        <w:rPr>
          <w:sz w:val="20"/>
          <w:szCs w:val="20"/>
          <w:color w:val="auto"/>
        </w:rPr>
      </w:pPr>
    </w:p>
    <w:p>
      <w:pPr>
        <w:ind w:left="20" w:right="5580"/>
        <w:spacing w:after="0" w:line="256"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w:t>
      </w:r>
    </w:p>
    <w:tbl>
      <w:tblPr>
        <w:tblLayout w:type="fixed"/>
        <w:tblInd w:w="0" w:type="dxa"/>
        <w:tblCellMar>
          <w:top w:w="0" w:type="dxa"/>
          <w:left w:w="0" w:type="dxa"/>
          <w:bottom w:w="0" w:type="dxa"/>
          <w:right w:w="0" w:type="dxa"/>
        </w:tblCellMar>
      </w:tblPr>
      <w:tr>
        <w:trPr>
          <w:trHeight w:val="186"/>
        </w:trPr>
        <w:tc>
          <w:tcPr>
            <w:tcW w:w="32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GAAP Financial</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Certain Tax</w:t>
            </w:r>
          </w:p>
        </w:tc>
        <w:tc>
          <w:tcPr>
            <w:tcW w:w="13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Adjusted</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GAAP Financial</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Certain Tax</w:t>
            </w: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Financial</w:t>
            </w:r>
          </w:p>
        </w:tc>
        <w:tc>
          <w:tcPr>
            <w:tcW w:w="14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auto"/>
              </w:rPr>
              <w:t>Income (loss) before tax</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22.5 %</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(268.4)%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479"/>
        </w:trPr>
        <w:tc>
          <w:tcPr>
            <w:tcW w:w="32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GAAP Financial</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Certain Tax</w:t>
            </w:r>
          </w:p>
        </w:tc>
        <w:tc>
          <w:tcPr>
            <w:tcW w:w="13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Adjusted</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GAAP Financial</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Certain Tax</w:t>
            </w: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Financial</w:t>
            </w:r>
          </w:p>
        </w:tc>
        <w:tc>
          <w:tcPr>
            <w:tcW w:w="14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auto"/>
              </w:rPr>
              <w:t>Income before tax</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4"/>
                <w:szCs w:val="14"/>
                <w:color w:val="auto"/>
              </w:rPr>
              <w:t>Loss from equity method investments</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$140.1</w:t>
            </w:r>
          </w:p>
        </w:tc>
        <w:tc>
          <w:tcPr>
            <w:tcW w:w="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76.9 %</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21.4 %</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90.1 %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38" w:lineRule="exact"/>
        <w:rPr>
          <w:sz w:val="20"/>
          <w:szCs w:val="20"/>
          <w:color w:val="auto"/>
        </w:rPr>
      </w:pPr>
    </w:p>
    <w:p>
      <w:pPr>
        <w:ind w:left="20" w:right="5580"/>
        <w:spacing w:after="0" w:line="273"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Constant-Currency</w:t>
            </w:r>
          </w:p>
        </w:tc>
      </w:tr>
      <w:tr>
        <w:trPr>
          <w:trHeight w:val="197"/>
        </w:trPr>
        <w:tc>
          <w:tcPr>
            <w:tcW w:w="5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060" w:type="dxa"/>
            <w:vAlign w:val="bottom"/>
            <w:gridSpan w:val="2"/>
          </w:tcPr>
          <w:p>
            <w:pPr>
              <w:spacing w:after="0"/>
              <w:rPr>
                <w:sz w:val="20"/>
                <w:szCs w:val="20"/>
                <w:color w:val="auto"/>
              </w:rPr>
            </w:pPr>
            <w:r>
              <w:rPr>
                <w:rFonts w:ascii="Arial" w:cs="Arial" w:eastAsia="Arial" w:hAnsi="Arial"/>
                <w:sz w:val="14"/>
                <w:szCs w:val="14"/>
                <w:color w:val="auto"/>
              </w:rPr>
              <w:t>GAAP net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$318.1</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$286.1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11.2 %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11.2 %</w:t>
            </w:r>
          </w:p>
        </w:tc>
      </w:tr>
      <w:tr>
        <w:trPr>
          <w:trHeight w:val="207"/>
        </w:trPr>
        <w:tc>
          <w:tcPr>
            <w:tcW w:w="5140" w:type="dxa"/>
            <w:vAlign w:val="bottom"/>
          </w:tcPr>
          <w:p>
            <w:pPr>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9"/>
                <w:szCs w:val="9"/>
                <w:color w:val="auto"/>
              </w:rPr>
              <w:t>(1)</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0"/>
        </w:trPr>
        <w:tc>
          <w:tcPr>
            <w:tcW w:w="5140" w:type="dxa"/>
            <w:vAlign w:val="bottom"/>
          </w:tcPr>
          <w:p>
            <w:pPr>
              <w:spacing w:after="0"/>
              <w:rPr>
                <w:sz w:val="20"/>
                <w:szCs w:val="20"/>
                <w:color w:val="auto"/>
              </w:rPr>
            </w:pPr>
            <w:r>
              <w:rPr>
                <w:rFonts w:ascii="Arial" w:cs="Arial" w:eastAsia="Arial" w:hAnsi="Arial"/>
                <w:sz w:val="14"/>
                <w:szCs w:val="14"/>
                <w:color w:val="auto"/>
              </w:rPr>
              <w:t>Net revenue excluding ACS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12.3 %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12.3 %</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46"/>
        </w:trPr>
        <w:tc>
          <w:tcPr>
            <w:tcW w:w="514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Constant-Currency</w:t>
            </w:r>
          </w:p>
        </w:tc>
      </w:tr>
      <w:tr>
        <w:trPr>
          <w:trHeight w:val="197"/>
        </w:trPr>
        <w:tc>
          <w:tcPr>
            <w:tcW w:w="5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060" w:type="dxa"/>
            <w:vAlign w:val="bottom"/>
            <w:gridSpan w:val="2"/>
          </w:tcPr>
          <w:p>
            <w:pPr>
              <w:spacing w:after="0"/>
              <w:rPr>
                <w:sz w:val="20"/>
                <w:szCs w:val="20"/>
                <w:color w:val="auto"/>
              </w:rPr>
            </w:pPr>
            <w:r>
              <w:rPr>
                <w:rFonts w:ascii="Arial" w:cs="Arial" w:eastAsia="Arial" w:hAnsi="Arial"/>
                <w:sz w:val="14"/>
                <w:szCs w:val="14"/>
                <w:color w:val="auto"/>
              </w:rPr>
              <w:t>GAAP net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$931.6</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$843.4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11.0 %</w:t>
            </w:r>
          </w:p>
        </w:tc>
      </w:tr>
      <w:tr>
        <w:trPr>
          <w:trHeight w:val="207"/>
        </w:trPr>
        <w:tc>
          <w:tcPr>
            <w:tcW w:w="5140" w:type="dxa"/>
            <w:vAlign w:val="bottom"/>
          </w:tcPr>
          <w:p>
            <w:pPr>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9"/>
                <w:szCs w:val="9"/>
                <w:color w:val="auto"/>
              </w:rPr>
              <w:t>(1)</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(39.1)%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0"/>
        </w:trPr>
        <w:tc>
          <w:tcPr>
            <w:tcW w:w="6060" w:type="dxa"/>
            <w:vAlign w:val="bottom"/>
            <w:gridSpan w:val="2"/>
          </w:tcPr>
          <w:p>
            <w:pPr>
              <w:spacing w:after="0"/>
              <w:rPr>
                <w:sz w:val="20"/>
                <w:szCs w:val="20"/>
                <w:color w:val="auto"/>
              </w:rPr>
            </w:pPr>
            <w:r>
              <w:rPr>
                <w:rFonts w:ascii="Arial" w:cs="Arial" w:eastAsia="Arial" w:hAnsi="Arial"/>
                <w:sz w:val="14"/>
                <w:szCs w:val="14"/>
                <w:color w:val="auto"/>
              </w:rPr>
              <w:t>Net revenue excluding ACS</w:t>
            </w:r>
          </w:p>
        </w:tc>
        <w:tc>
          <w:tcPr>
            <w:tcW w:w="520" w:type="dxa"/>
            <w:vAlign w:val="bottom"/>
          </w:tcPr>
          <w:p>
            <w:pPr>
              <w:jc w:val="right"/>
              <w:spacing w:after="0"/>
              <w:rPr>
                <w:sz w:val="20"/>
                <w:szCs w:val="20"/>
                <w:color w:val="auto"/>
              </w:rPr>
            </w:pPr>
            <w:r>
              <w:rPr>
                <w:rFonts w:ascii="Arial" w:cs="Arial" w:eastAsia="Arial" w:hAnsi="Arial"/>
                <w:sz w:val="14"/>
                <w:szCs w:val="14"/>
                <w:color w:val="auto"/>
              </w:rPr>
              <w:t>$920.1</w:t>
            </w:r>
          </w:p>
        </w:tc>
        <w:tc>
          <w:tcPr>
            <w:tcW w:w="1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$824.5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11.6 %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12.2 %</w:t>
            </w:r>
          </w:p>
        </w:tc>
      </w:tr>
      <w:tr>
        <w:trPr>
          <w:trHeight w:val="20"/>
        </w:trPr>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net revenue from the Company's former ACS reportable segment.</w:t>
      </w:r>
    </w:p>
    <w:p>
      <w:pPr>
        <w:spacing w:after="0" w:line="3" w:lineRule="exact"/>
        <w:rPr>
          <w:rFonts w:ascii="Arial" w:cs="Arial" w:eastAsia="Arial" w:hAnsi="Arial"/>
          <w:sz w:val="21"/>
          <w:szCs w:val="21"/>
          <w:color w:val="auto"/>
          <w:vertAlign w:val="superscript"/>
        </w:rPr>
      </w:pPr>
    </w:p>
    <w:p>
      <w:pPr>
        <w:spacing w:after="0" w:line="232" w:lineRule="auto"/>
        <w:rPr>
          <w:rFonts w:ascii="Arial" w:cs="Arial" w:eastAsia="Arial" w:hAnsi="Arial"/>
          <w:sz w:val="21"/>
          <w:szCs w:val="21"/>
          <w:color w:val="auto"/>
          <w:vertAlign w:val="superscript"/>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42" w:lineRule="exact"/>
        <w:rPr>
          <w:sz w:val="20"/>
          <w:szCs w:val="20"/>
          <w:color w:val="auto"/>
        </w:rPr>
      </w:pPr>
    </w:p>
    <w:p>
      <w:pPr>
        <w:jc w:val="both"/>
        <w:ind w:right="20"/>
        <w:spacing w:after="0" w:line="365" w:lineRule="auto"/>
        <w:rPr>
          <w:sz w:val="20"/>
          <w:szCs w:val="20"/>
          <w:color w:val="auto"/>
        </w:rPr>
      </w:pPr>
      <w:r>
        <w:rPr>
          <w:rFonts w:ascii="Arial" w:cs="Arial" w:eastAsia="Arial" w:hAnsi="Arial"/>
          <w:sz w:val="20"/>
          <w:szCs w:val="20"/>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sectPr>
          <w:pgSz w:w="11900" w:h="16838" w:orient="portrait"/>
          <w:cols w:equalWidth="0" w:num="1">
            <w:col w:w="11140"/>
          </w:cols>
          <w:pgMar w:left="320" w:top="1440" w:right="439" w:bottom="1440" w:gutter="0" w:footer="0" w:header="0"/>
        </w:sectPr>
      </w:pPr>
    </w:p>
    <w:p>
      <w:pPr>
        <w:spacing w:after="0" w:line="3" w:lineRule="exact"/>
        <w:rPr>
          <w:sz w:val="20"/>
          <w:szCs w:val="20"/>
          <w:color w:val="auto"/>
        </w:rPr>
      </w:pPr>
    </w:p>
    <w:p>
      <w:pPr>
        <w:ind w:left="20" w:right="3220"/>
        <w:spacing w:after="0" w:line="273" w:lineRule="auto"/>
        <w:rPr>
          <w:sz w:val="20"/>
          <w:szCs w:val="20"/>
          <w:color w:val="auto"/>
        </w:rPr>
      </w:pPr>
      <w:r>
        <w:rPr>
          <w:rFonts w:ascii="Arial" w:cs="Arial" w:eastAsia="Arial" w:hAnsi="Arial"/>
          <w:sz w:val="14"/>
          <w:szCs w:val="14"/>
          <w:b w:val="1"/>
          <w:bCs w:val="1"/>
          <w:color w:val="auto"/>
        </w:rPr>
        <w:t>RECONCILIATION OF GAAP TO NON-GAAP FINANCIAL MEASURES - UNAUDITED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diluted weighted average shares outstanding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Effects of stock-based compensation instruments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diluted weighted average shares outstanding</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6350</wp:posOffset>
            </wp:positionV>
            <wp:extent cx="1157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23495</wp:posOffset>
            </wp:positionV>
            <wp:extent cx="1157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23495</wp:posOffset>
            </wp:positionV>
            <wp:extent cx="1157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49530</wp:posOffset>
            </wp:positionV>
            <wp:extent cx="1157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80" w:space="720"/>
            <w:col w:w="1540"/>
          </w:cols>
          <w:pgMar w:left="320" w:top="1440" w:right="439" w:bottom="1440" w:gutter="0" w:footer="0" w:header="0"/>
          <w:type w:val="continuous"/>
        </w:sectPr>
      </w:pPr>
    </w:p>
    <w:p>
      <w:pPr>
        <w:spacing w:after="0" w:line="201"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21</w:t>
      </w:r>
    </w:p>
    <w:sectPr>
      <w:pgSz w:w="11900" w:h="16838" w:orient="portrait"/>
      <w:cols w:equalWidth="0" w:num="1">
        <w:col w:w="11140"/>
      </w:cols>
      <w:pgMar w:left="320" w:top="144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2024-10-30T05:16:28Z</dcterms:created>
  <dcterms:modified xsi:type="dcterms:W3CDTF">2024-10-30T05:16:28Z</dcterms:modified>
</cp:coreProperties>
</file>