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590946.xml.htm"/>
      <w:bookmarkStart w:id="1" w:name="kswkform4_17095909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KOZY WILLIAM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31"/>
        <w:gridCol w:w="454"/>
        <w:gridCol w:w="755"/>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02/29/2024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14,512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32,333</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02/29/2024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4,871</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54.81</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27,462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54.81</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GBP 1.00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referenced shares were withheld from distribution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ordinary share of the Company, GBP 1.00 par value, in accordance with the terms of the LivaNova PLC 2022 Incentive Award Plan (the 2022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December 15, 2023, reporting person was granted RSUs to vest and forfeiture restrictions thereon to lapse upon the earlier of (i) the commencement of employment of a successor Chief Executive Officer and (ii) April 13, 2024, subject to Mr. Kozy's continued employment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1785" TargetMode="External"/><Relationship Id="rId4" Type="http://schemas.openxmlformats.org/officeDocument/2006/relationships/hyperlink" Target="http://www.sec.gov/cgi-bin/browse-edgar?action=getcompany&amp;CIK=000163969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3765</Characters>
  <CharactersWithSpaces>4386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