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Date of Report (Date of earliest event reported): May 1, 2024 </w:t>
      </w:r>
    </w:p>
    <w:p>
      <w:pPr>
        <w:pStyle w:val="TextBody"/>
        <w:bidi w:val="0"/>
        <w:spacing w:before="0" w:after="0"/>
        <w:jc w:val="center"/>
        <w:rPr/>
      </w:pPr>
      <w:r>
        <w:rPr/>
      </w:r>
    </w:p>
    <w:p>
      <w:pPr>
        <w:pStyle w:val="TextBody"/>
        <w:bidi w:val="0"/>
        <w:spacing w:before="0" w:after="0"/>
        <w:jc w:val="center"/>
        <w:rPr/>
      </w:pPr>
      <w:r>
        <w:rPr/>
        <w:drawing>
          <wp:inline distT="0" distB="0" distL="0" distR="0">
            <wp:extent cx="163830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38300" cy="51435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LivaNova PLC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5827" w:type="dxa"/>
        <w:jc w:val="center"/>
        <w:tblInd w:w="0" w:type="dxa"/>
        <w:tblLayout w:type="fixed"/>
        <w:tblCellMar>
          <w:top w:w="28" w:type="dxa"/>
          <w:left w:w="28" w:type="dxa"/>
          <w:bottom w:w="28" w:type="dxa"/>
          <w:right w:w="28" w:type="dxa"/>
        </w:tblCellMar>
      </w:tblPr>
      <w:tblGrid>
        <w:gridCol w:w="830"/>
        <w:gridCol w:w="731"/>
        <w:gridCol w:w="734"/>
        <w:gridCol w:w="109"/>
        <w:gridCol w:w="109"/>
        <w:gridCol w:w="109"/>
        <w:gridCol w:w="408"/>
        <w:gridCol w:w="408"/>
        <w:gridCol w:w="413"/>
        <w:gridCol w:w="109"/>
        <w:gridCol w:w="109"/>
        <w:gridCol w:w="109"/>
        <w:gridCol w:w="481"/>
        <w:gridCol w:w="481"/>
        <w:gridCol w:w="687"/>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England and Wales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001-37599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98-1268150</w:t>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w:t>
              <w:br/>
              <w:t>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(IRS Employer </w:t>
              <w:br/>
              <w:t>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20 Eastbourne Terrace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London, W2 6LG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United Kingdom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+44 20 33250660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is intended to simultaneously satisfy the filing obligation of the registrant under any of the following provisions (see General Instructions A.2. below):</w:t>
      </w:r>
    </w:p>
    <w:p>
      <w:pPr>
        <w:pStyle w:val="TextBody"/>
        <w:bidi w:val="0"/>
        <w:spacing w:before="0" w:after="0"/>
        <w:jc w:val="left"/>
        <w:rPr/>
      </w:pPr>
      <w:r>
        <w:rPr/>
      </w:r>
    </w:p>
    <w:p>
      <w:pPr>
        <w:pStyle w:val="TextBody"/>
        <w:bidi w:val="0"/>
        <w:spacing w:lineRule="auto" w:line="288" w:before="0" w:after="0"/>
        <w:jc w:val="both"/>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ans-serif" w:hAnsi="Times New Roman;sans-serif"/>
          <w:b w:val="false"/>
          <w:color w:val="000000"/>
          <w:sz w:val="20"/>
        </w:rPr>
        <w:t>Soliciting material pursuant to Rule 14a-12 under the Exchange Act (17 CFR 240.14a-12)</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953" w:type="dxa"/>
        <w:jc w:val="left"/>
        <w:tblInd w:w="0" w:type="dxa"/>
        <w:tblLayout w:type="fixed"/>
        <w:tblCellMar>
          <w:top w:w="28" w:type="dxa"/>
          <w:left w:w="28" w:type="dxa"/>
          <w:bottom w:w="28" w:type="dxa"/>
          <w:right w:w="28" w:type="dxa"/>
        </w:tblCellMar>
      </w:tblPr>
      <w:tblGrid>
        <w:gridCol w:w="1298"/>
        <w:gridCol w:w="1136"/>
        <w:gridCol w:w="1150"/>
        <w:gridCol w:w="539"/>
        <w:gridCol w:w="539"/>
        <w:gridCol w:w="541"/>
        <w:gridCol w:w="1098"/>
        <w:gridCol w:w="1098"/>
        <w:gridCol w:w="1554"/>
      </w:tblGrid>
      <w:tr>
        <w:trPr/>
        <w:tc>
          <w:tcPr>
            <w:tcW w:w="1298"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on each exchange on which registered</w:t>
            </w:r>
          </w:p>
        </w:tc>
      </w:tr>
      <w:tr>
        <w:trPr/>
        <w:tc>
          <w:tcPr>
            <w:tcW w:w="35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Ordinary Shares - £1.00 par value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LIVN</w:t>
            </w:r>
          </w:p>
        </w:tc>
        <w:tc>
          <w:tcPr>
            <w:tcW w:w="375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Market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3024" w:type="dxa"/>
        <w:jc w:val="left"/>
        <w:tblInd w:w="0" w:type="dxa"/>
        <w:tblLayout w:type="fixed"/>
        <w:tblCellMar>
          <w:top w:w="28" w:type="dxa"/>
          <w:left w:w="28" w:type="dxa"/>
          <w:bottom w:w="28" w:type="dxa"/>
          <w:right w:w="28" w:type="dxa"/>
        </w:tblCellMar>
      </w:tblPr>
      <w:tblGrid>
        <w:gridCol w:w="124"/>
        <w:gridCol w:w="109"/>
        <w:gridCol w:w="109"/>
        <w:gridCol w:w="769"/>
        <w:gridCol w:w="769"/>
        <w:gridCol w:w="7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2.02 Results of Operations and Financial Condition.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On May 1, 2024, LivaNova PLC (the “Company”) issued a press release announcing financial results for the quarter ended March 31, 2024. The Company will host a business update conference call and webcast today, May 1, 2024, at 1 p.m. London time (8 a.m. Eastern Time), during which the Company will discuss the financial results. The conference call will be available through the LivaNova website at </w:t>
      </w:r>
      <w:r>
        <w:rPr>
          <w:rFonts w:ascii="Times New Roman;sans-serif" w:hAnsi="Times New Roman;sans-serif"/>
          <w:b w:val="false"/>
          <w:color w:val="3051F2"/>
          <w:sz w:val="20"/>
        </w:rPr>
        <w:t>www.livanova.com/events</w:t>
      </w:r>
      <w:r>
        <w:rPr>
          <w:rFonts w:ascii="Times New Roman;sans-serif" w:hAnsi="Times New Roman;sans-serif"/>
          <w:b w:val="false"/>
          <w:color w:val="000000"/>
          <w:sz w:val="2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copy of the Company’s press release related to the foregoing matters is attached hereto as Exhibit 99.1. The information in Exhibit 99.1 is being furnished and shall not be deemed “filed” for purposes of Section 18 of the Securities Exchange Act of 1934, as amended (the “Exchange Act”), and is not to be incorporated by reference into any filing by the Company under the Securities Act of 1933, as amended or the Exchange Act, regardless of any general incorporation language contained in such filing, unless otherwise expressly stated in such filing.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disclosed, during the first quarter of fiscal year 2024, the Company transitioned to a new strategic operating model, which aligns its businesses to enhance the Company’s focus on its core Cardiopulmonary and Neuromodulation segments. The Company is winding down the Advanced Circulatory Support (“ACS”) segment, which is anticipated to be substantially complete by the end of 2024. Additionally, the Company transitioned all ACS standalone cannulae and accessories, including ProtekDuo™ and transseptal (TandemHeart™) cannulae, into its Cardiopulmonary segment. As a result, the Company transitioned from three reportable segments (Cardiopulmonary, Neuromodulation and ACS) to two reportable segments (Cardiopulmonary and Neuromodulation), effective January 1, 2024. The new reportable segments align with how the chief operating decision maker assesses performance and allocates resources.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filing this Current Report on Form 8-K to provide investors supplemental information related to the change in segment reporting in 2024. Specifically, attached as Exhibit 99.2 is certain unaudited historical financial information, which has been recast to align with the Company's new segment structure. This recast financial information is being provided to aid in comparability and has no impact on previously reported consolidated financial statements for any period.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p>
      <w:pPr>
        <w:pStyle w:val="TextBody"/>
        <w:bidi w:val="0"/>
        <w:spacing w:before="0" w:after="0"/>
        <w:jc w:val="left"/>
        <w:rPr/>
      </w:pPr>
      <w:r>
        <w:rPr/>
      </w:r>
    </w:p>
    <w:tbl>
      <w:tblPr>
        <w:tblW w:w="8488"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165"/>
        <w:gridCol w:w="2165"/>
        <w:gridCol w:w="3080"/>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q2024earningspressrelease.htm">
              <w:r>
                <w:rPr>
                  <w:rStyle w:val="InternetLink"/>
                  <w:rFonts w:ascii="Times New Roman;sans-serif" w:hAnsi="Times New Roman;sans-serif"/>
                  <w:b w:val="false"/>
                  <w:color w:val="0000FF"/>
                  <w:sz w:val="20"/>
                  <w:u w:val="single"/>
                </w:rPr>
                <w:t>Press Release of LivaNova PLC dated May 1, 2024</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q12024changein.htm">
              <w:r>
                <w:rPr>
                  <w:rStyle w:val="InternetLink"/>
                  <w:rFonts w:ascii="Times New Roman;sans-serif" w:hAnsi="Times New Roman;sans-serif"/>
                  <w:b w:val="false"/>
                  <w:color w:val="0000FF"/>
                  <w:sz w:val="20"/>
                  <w:u w:val="single"/>
                </w:rPr>
                <w:t>Unaudited recast segment information of LivaNova PLC (furnished pursuant to Item 7.01)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6104" w:type="dxa"/>
        <w:jc w:val="left"/>
        <w:tblInd w:w="0" w:type="dxa"/>
        <w:tblLayout w:type="fixed"/>
        <w:tblCellMar>
          <w:top w:w="28" w:type="dxa"/>
          <w:left w:w="28" w:type="dxa"/>
          <w:bottom w:w="28" w:type="dxa"/>
          <w:right w:w="28" w:type="dxa"/>
        </w:tblCellMar>
      </w:tblPr>
      <w:tblGrid>
        <w:gridCol w:w="591"/>
        <w:gridCol w:w="520"/>
        <w:gridCol w:w="523"/>
        <w:gridCol w:w="1306"/>
        <w:gridCol w:w="1306"/>
        <w:gridCol w:w="1858"/>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LivaNova PLC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May 1, 2024</w:t>
            </w:r>
          </w:p>
        </w:tc>
        <w:tc>
          <w:tcPr>
            <w:tcW w:w="447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Michael Hutchinson </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 Michael Hutchinson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Title: SVP, Company Secretary &amp; Chief Legal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Franklin Gothic Demi;sans-serif" w:hAnsi="Franklin Gothic Demi;sans-serif"/>
          <w:b/>
          <w:color w:val="000000"/>
          <w:sz w:val="22"/>
          <w:u w:val="single"/>
        </w:rPr>
      </w:pPr>
      <w:r>
        <w:rPr>
          <w:rFonts w:ascii="Franklin Gothic Demi;sans-serif" w:hAnsi="Franklin Gothic Demi;sans-serif"/>
          <w:b/>
          <w:color w:val="000000"/>
          <w:sz w:val="22"/>
          <w:u w:val="single"/>
        </w:rPr>
        <w:t>EXHIBIT 99.1</w:t>
      </w:r>
    </w:p>
    <w:p>
      <w:pPr>
        <w:pStyle w:val="TextBody"/>
        <w:bidi w:val="0"/>
        <w:spacing w:before="0" w:after="0"/>
        <w:jc w:val="right"/>
        <w:rPr/>
      </w:pPr>
      <w:r>
        <w:rPr/>
      </w:r>
    </w:p>
    <w:p>
      <w:pPr>
        <w:pStyle w:val="TextBody"/>
        <w:bidi w:val="0"/>
        <w:spacing w:lineRule="auto" w:line="288" w:before="0" w:after="0"/>
        <w:jc w:val="left"/>
        <w:rPr/>
      </w:pPr>
      <w:r>
        <w:rPr/>
        <w:drawing>
          <wp:inline distT="0" distB="0" distL="0" distR="0">
            <wp:extent cx="1866900" cy="5334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866900" cy="533400"/>
                    </a:xfrm>
                    <a:prstGeom prst="rect">
                      <a:avLst/>
                    </a:prstGeom>
                  </pic:spPr>
                </pic:pic>
              </a:graphicData>
            </a:graphic>
          </wp:inline>
        </w:drawing>
      </w:r>
      <w:r>
        <w:rPr>
          <w:color w:val="000000"/>
        </w:rPr>
        <w:t xml:space="preserve"> </w:t>
      </w:r>
    </w:p>
    <w:p>
      <w:pPr>
        <w:pStyle w:val="TextBody"/>
        <w:bidi w:val="0"/>
        <w:spacing w:lineRule="auto" w:line="288" w:before="0" w:after="0"/>
        <w:jc w:val="right"/>
        <w:rPr>
          <w:rFonts w:ascii="Franklin Gothic Demi;sans-serif" w:hAnsi="Franklin Gothic Demi;sans-serif"/>
          <w:b w:val="false"/>
          <w:color w:val="6D2077"/>
          <w:sz w:val="22"/>
        </w:rPr>
      </w:pPr>
      <w:r>
        <w:rPr>
          <w:rFonts w:ascii="Franklin Gothic Demi;sans-serif" w:hAnsi="Franklin Gothic Demi;sans-serif"/>
          <w:b w:val="false"/>
          <w:color w:val="6D2077"/>
          <w:sz w:val="22"/>
        </w:rPr>
        <w:t>NEWS RELEASE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240"/>
        <w:jc w:val="center"/>
        <w:rPr>
          <w:rFonts w:ascii="Franklin Gothic Demi;sans-serif" w:hAnsi="Franklin Gothic Demi;sans-serif"/>
          <w:b w:val="false"/>
          <w:color w:val="6D2077"/>
          <w:sz w:val="32"/>
        </w:rPr>
      </w:pPr>
      <w:r>
        <w:rPr>
          <w:rFonts w:ascii="Franklin Gothic Demi;sans-serif" w:hAnsi="Franklin Gothic Demi;sans-serif"/>
          <w:b w:val="false"/>
          <w:color w:val="6D2077"/>
          <w:sz w:val="32"/>
        </w:rPr>
        <w:t>LivaNova Reports First-Quarter 2024 Results</w:t>
      </w:r>
    </w:p>
    <w:p>
      <w:pPr>
        <w:pStyle w:val="TextBody"/>
        <w:bidi w:val="0"/>
        <w:spacing w:before="0" w:after="0"/>
        <w:jc w:val="center"/>
        <w:rPr/>
      </w:pPr>
      <w:r>
        <w:rPr/>
      </w:r>
    </w:p>
    <w:p>
      <w:pPr>
        <w:pStyle w:val="TextBody"/>
        <w:bidi w:val="0"/>
        <w:spacing w:lineRule="auto" w:line="417" w:before="120" w:after="240"/>
        <w:jc w:val="both"/>
        <w:rPr/>
      </w:pPr>
      <w:r>
        <w:rPr>
          <w:rFonts w:ascii="Franklin Gothic Demi;sans-serif" w:hAnsi="Franklin Gothic Demi;sans-serif"/>
          <w:b/>
          <w:color w:val="000000"/>
          <w:sz w:val="22"/>
        </w:rPr>
        <w:t>London, May 1, 2024</w:t>
      </w:r>
      <w:r>
        <w:rPr>
          <w:color w:val="000000"/>
        </w:rPr>
        <w:t xml:space="preserve"> – </w:t>
      </w:r>
      <w:r>
        <w:rPr>
          <w:rFonts w:ascii="Franklin Gothic Book;sans-serif" w:hAnsi="Franklin Gothic Book;sans-serif"/>
          <w:b w:val="false"/>
          <w:color w:val="000000"/>
          <w:sz w:val="22"/>
        </w:rPr>
        <w:t xml:space="preserve">LivaNova PLC (Nasdaq: LIVN), a market-leading medical technology company, today reported results for the quarter ended March 31, 2024 and raised full-year 2024 revenue and adjusted diluted earnings per share guidance. </w:t>
      </w:r>
    </w:p>
    <w:p>
      <w:pPr>
        <w:pStyle w:val="TextBody"/>
        <w:bidi w:val="0"/>
        <w:spacing w:lineRule="auto" w:line="288" w:before="120" w:after="240"/>
        <w:jc w:val="both"/>
        <w:rPr/>
      </w:pPr>
      <w:r>
        <w:rPr>
          <w:rFonts w:ascii="Franklin Gothic Book;sans-serif" w:hAnsi="Franklin Gothic Book;sans-serif"/>
          <w:b/>
          <w:color w:val="000000"/>
          <w:sz w:val="22"/>
          <w:u w:val="single"/>
        </w:rPr>
        <w:t>Financial Summary and Highlights</w:t>
      </w:r>
      <w:r>
        <w:rPr>
          <w:rFonts w:ascii="Franklin Gothic Book;sans-serif" w:hAnsi="Franklin Gothic Book;sans-serif"/>
          <w:b/>
          <w:color w:val="000000"/>
          <w:sz w:val="14"/>
        </w:rPr>
        <w:t>(1)</w:t>
      </w:r>
    </w:p>
    <w:p>
      <w:pPr>
        <w:pStyle w:val="TextBody"/>
        <w:bidi w:val="0"/>
        <w:spacing w:lineRule="auto" w:line="312" w:before="140" w:after="120"/>
        <w:ind w:left="0" w:right="0" w:hanging="270"/>
        <w:jc w:val="both"/>
        <w:rPr/>
      </w:pPr>
      <w:r>
        <w:rPr>
          <w:color w:val="000000"/>
        </w:rPr>
        <w:t>•</w:t>
      </w:r>
      <w:r>
        <w:rPr>
          <w:rFonts w:ascii="Franklin Gothic Book;sans-serif" w:hAnsi="Franklin Gothic Book;sans-serif"/>
          <w:b w:val="false"/>
          <w:color w:val="000000"/>
          <w:sz w:val="22"/>
        </w:rPr>
        <w:t>First-quarter revenue of $294.9 million increased 12.0% on a reported basis and 12.4% on a constant-currency basis, as compared to the prior-year period. Excluding the impact of the Advanced Circulatory Support (ACS) segment wind down, revenue increased 13.5% on a constant-currency basis</w:t>
      </w:r>
    </w:p>
    <w:p>
      <w:pPr>
        <w:pStyle w:val="TextBody"/>
        <w:bidi w:val="0"/>
        <w:spacing w:lineRule="auto" w:line="312" w:before="140" w:after="120"/>
        <w:ind w:left="0" w:right="0" w:hanging="270"/>
        <w:jc w:val="both"/>
        <w:rPr/>
      </w:pPr>
      <w:r>
        <w:rPr>
          <w:color w:val="000000"/>
        </w:rPr>
        <w:t>•</w:t>
      </w:r>
      <w:r>
        <w:rPr>
          <w:rFonts w:ascii="Franklin Gothic Book;sans-serif" w:hAnsi="Franklin Gothic Book;sans-serif"/>
          <w:b w:val="false"/>
          <w:color w:val="000000"/>
          <w:sz w:val="22"/>
        </w:rPr>
        <w:t>First-quarter U.S. GAAP diluted loss per share was $0.78 and adjusted diluted earnings per share was $0.73</w:t>
      </w:r>
    </w:p>
    <w:p>
      <w:pPr>
        <w:pStyle w:val="TextBody"/>
        <w:bidi w:val="0"/>
        <w:spacing w:lineRule="auto" w:line="312" w:before="140" w:after="120"/>
        <w:ind w:left="0" w:right="0" w:hanging="270"/>
        <w:jc w:val="both"/>
        <w:rPr/>
      </w:pPr>
      <w:r>
        <w:rPr>
          <w:color w:val="000000"/>
        </w:rPr>
        <w:t>•</w:t>
      </w:r>
      <w:r>
        <w:rPr>
          <w:rFonts w:ascii="Franklin Gothic Book;sans-serif" w:hAnsi="Franklin Gothic Book;sans-serif"/>
          <w:b w:val="false"/>
          <w:color w:val="000000"/>
          <w:sz w:val="22"/>
        </w:rPr>
        <w:t>Closed private offering of $345.0 million 2.50% convertible senior notes due 2029 and repurchased $230.0 million 3.00% exchangeable senior notes due 2025</w:t>
      </w:r>
    </w:p>
    <w:p>
      <w:pPr>
        <w:pStyle w:val="TextBody"/>
        <w:bidi w:val="0"/>
        <w:spacing w:lineRule="auto" w:line="312" w:before="140" w:after="120"/>
        <w:ind w:left="0" w:right="0" w:hanging="270"/>
        <w:jc w:val="both"/>
        <w:rPr/>
      </w:pPr>
      <w:r>
        <w:rPr>
          <w:color w:val="000000"/>
        </w:rPr>
        <w:t>•</w:t>
      </w:r>
      <w:r>
        <w:rPr>
          <w:rFonts w:ascii="Franklin Gothic Book;sans-serif" w:hAnsi="Franklin Gothic Book;sans-serif"/>
          <w:b w:val="false"/>
          <w:color w:val="000000"/>
          <w:sz w:val="22"/>
        </w:rPr>
        <w:t>Achieved a positive predictive outcome of trial success in the OSPREY clinical study for moderate to severe obstructive sleep apnea (OSA) and concluded enrollment</w:t>
      </w:r>
    </w:p>
    <w:p>
      <w:pPr>
        <w:pStyle w:val="TextBody"/>
        <w:bidi w:val="0"/>
        <w:spacing w:lineRule="auto" w:line="417" w:before="4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"In the first quarter, LivaNova achieved double-digit revenue and operating income growth in both the Cardiopulmonary and Neuromodulation segments,” said Vladimir Makatsaria, Chief Executive Officer of LivaNova. "I am grateful to our teams around the world for their exceptional work and dedication to serving our patients and customers. Looking ahead, our priorities continue to emphasize execution, innovation and talent development. We are confident that by delivering in each of these areas, we will improve patient outcomes and create shareholder value.”</w:t>
      </w:r>
    </w:p>
    <w:p>
      <w:pPr>
        <w:pStyle w:val="TextBody"/>
        <w:bidi w:val="0"/>
        <w:spacing w:before="420" w:after="240"/>
        <w:jc w:val="both"/>
        <w:rPr/>
      </w:pPr>
      <w:r>
        <w:rPr/>
      </w:r>
    </w:p>
    <w:p>
      <w:pPr>
        <w:pStyle w:val="TextBody"/>
        <w:bidi w:val="0"/>
        <w:spacing w:lineRule="auto" w:line="288"/>
        <w:jc w:val="left"/>
        <w:rPr/>
      </w:pPr>
      <w:r>
        <w:rPr>
          <w:rFonts w:ascii="Franklin Gothic Book;sans-serif" w:hAnsi="Franklin Gothic Book;sans-serif"/>
          <w:b w:val="false"/>
          <w:color w:val="000000"/>
          <w:sz w:val="8"/>
        </w:rPr>
        <w:t>(1)</w:t>
      </w:r>
      <w:r>
        <w:rPr>
          <w:color w:val="000000"/>
        </w:rPr>
        <w:t xml:space="preserve"> </w:t>
      </w:r>
      <w:r>
        <w:rPr>
          <w:rFonts w:ascii="Franklin Gothic Book;sans-serif" w:hAnsi="Franklin Gothic Book;sans-serif"/>
          <w:b w:val="false"/>
          <w:color w:val="000000"/>
          <w:sz w:val="12"/>
        </w:rPr>
        <w:t>Constant-currency percent change, total revenue excluding revenue from the ACS segment wind down, adjusted operating income, adjusted diluted earnings per share and adjusted free cash flow are non-GAAP measures. Constant-currency percent change excludes the impact from fluctuations in the various currencies in which the Company operates as compared to reported percent change. For an explanation of these and other non-GAAP measures used in this news release, see the section entitled "Use of Non-GAAP Financial Measures." For reconciliations of certain non-GAAP measures, see the tables that accompany this news release.</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60705"/>
                <wp:effectExtent l="0" t="0" r="0" b="0"/>
                <wp:wrapNone/>
                <wp:docPr id="6" name="Frame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417" w:before="420" w:after="240"/>
        <w:jc w:val="both"/>
        <w:rPr>
          <w:rFonts w:ascii="Franklin Gothic Book;sans-serif" w:hAnsi="Franklin Gothic Book;sans-serif"/>
          <w:b/>
          <w:color w:val="000000"/>
          <w:sz w:val="22"/>
          <w:u w:val="single"/>
        </w:rPr>
      </w:pPr>
      <w:r>
        <w:rPr>
          <w:rFonts w:ascii="Franklin Gothic Book;sans-serif" w:hAnsi="Franklin Gothic Book;sans-serif"/>
          <w:b/>
          <w:color w:val="000000"/>
          <w:sz w:val="22"/>
          <w:u w:val="single"/>
        </w:rPr>
        <w:t>First-Quarter 2024 Results</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The following table summarizes revenue for the first quarter of 2024 by segment (in millions):</w:t>
      </w:r>
    </w:p>
    <w:tbl>
      <w:tblPr>
        <w:tblW w:w="10205" w:type="dxa"/>
        <w:jc w:val="left"/>
        <w:tblInd w:w="0" w:type="dxa"/>
        <w:tblLayout w:type="fixed"/>
        <w:tblCellMar>
          <w:top w:w="28" w:type="dxa"/>
          <w:left w:w="28" w:type="dxa"/>
          <w:bottom w:w="28" w:type="dxa"/>
          <w:right w:w="28" w:type="dxa"/>
        </w:tblCellMar>
      </w:tblPr>
      <w:tblGrid>
        <w:gridCol w:w="357"/>
        <w:gridCol w:w="314"/>
        <w:gridCol w:w="314"/>
        <w:gridCol w:w="387"/>
        <w:gridCol w:w="387"/>
        <w:gridCol w:w="394"/>
        <w:gridCol w:w="122"/>
        <w:gridCol w:w="122"/>
        <w:gridCol w:w="122"/>
        <w:gridCol w:w="395"/>
        <w:gridCol w:w="395"/>
        <w:gridCol w:w="259"/>
        <w:gridCol w:w="151"/>
        <w:gridCol w:w="151"/>
        <w:gridCol w:w="151"/>
        <w:gridCol w:w="395"/>
        <w:gridCol w:w="395"/>
        <w:gridCol w:w="259"/>
        <w:gridCol w:w="122"/>
        <w:gridCol w:w="122"/>
        <w:gridCol w:w="122"/>
        <w:gridCol w:w="342"/>
        <w:gridCol w:w="343"/>
        <w:gridCol w:w="869"/>
        <w:gridCol w:w="122"/>
        <w:gridCol w:w="122"/>
        <w:gridCol w:w="122"/>
        <w:gridCol w:w="562"/>
        <w:gridCol w:w="562"/>
        <w:gridCol w:w="1725"/>
      </w:tblGrid>
      <w:tr>
        <w:trPr/>
        <w:tc>
          <w:tcPr>
            <w:tcW w:w="35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 xml:space="preserve">Three Months Ended </w:t>
              <w:br/>
              <w:t>March 31,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2"/>
              </w:rPr>
            </w:pPr>
            <w:r>
              <w:rPr>
                <w:rFonts w:ascii="Franklin Gothic Book;sans-serif" w:hAnsi="Franklin Gothic Book;sans-serif"/>
                <w:b/>
                <w:color w:val="000000"/>
                <w:sz w:val="22"/>
              </w:rPr>
              <w:t>% Change</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color w:val="000000"/>
                <w:sz w:val="22"/>
              </w:rPr>
            </w:pPr>
            <w:r>
              <w:rPr>
                <w:rFonts w:ascii="Franklin Gothic Book;sans-serif" w:hAnsi="Franklin Gothic Book;sans-serif"/>
                <w:b/>
                <w:color w:val="000000"/>
                <w:sz w:val="22"/>
              </w:rPr>
              <w:t xml:space="preserve">Constant-Currency </w:t>
            </w:r>
          </w:p>
          <w:p>
            <w:pPr>
              <w:pStyle w:val="TableContents"/>
              <w:bidi w:val="0"/>
              <w:spacing w:lineRule="auto" w:line="240" w:before="0" w:after="0"/>
              <w:jc w:val="center"/>
              <w:rPr/>
            </w:pPr>
            <w:r>
              <w:rPr>
                <w:rFonts w:ascii="Franklin Gothic Book;sans-serif" w:hAnsi="Franklin Gothic Book;sans-serif"/>
                <w:b/>
                <w:color w:val="000000"/>
                <w:sz w:val="22"/>
              </w:rPr>
              <w:t xml:space="preserve">% Change </w:t>
            </w:r>
            <w:r>
              <w:rPr>
                <w:rFonts w:ascii="Franklin Gothic Book;sans-serif" w:hAnsi="Franklin Gothic Book;sans-serif"/>
                <w:b/>
                <w:color w:val="000000"/>
                <w:sz w:val="14"/>
              </w:rPr>
              <w:t>(1)</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2024</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2023</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vMerge w:val="continue"/>
            <w:tcBorders/>
            <w:tcMar>
              <w:top w:w="0" w:type="dxa"/>
              <w:left w:w="0" w:type="dxa"/>
              <w:bottom w:w="0" w:type="dxa"/>
              <w:right w:w="0" w:type="dxa"/>
            </w:tcMar>
            <w:vAlign w:val="center"/>
          </w:tcPr>
          <w:p>
            <w:pPr>
              <w:pStyle w:val="Normal"/>
              <w:bidi w:val="0"/>
              <w:jc w:val="left"/>
              <w:rPr/>
            </w:pPr>
            <w:r>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Cardiopulmonary</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$155.9</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$135.7</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14.8 </w:t>
            </w:r>
          </w:p>
        </w:tc>
        <w:tc>
          <w:tcPr>
            <w:tcW w:w="8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15.7 </w:t>
            </w:r>
          </w:p>
        </w:tc>
        <w:tc>
          <w:tcPr>
            <w:tcW w:w="17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1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Neuromodulation</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133.9 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120.7 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10.9 </w:t>
            </w:r>
          </w:p>
        </w:tc>
        <w:tc>
          <w:tcPr>
            <w:tcW w:w="8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11.0 </w:t>
            </w:r>
          </w:p>
        </w:tc>
        <w:tc>
          <w:tcPr>
            <w:tcW w:w="172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15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Other </w:t>
            </w:r>
            <w:r>
              <w:rPr>
                <w:rFonts w:ascii="Franklin Gothic Book;sans-serif" w:hAnsi="Franklin Gothic Book;sans-serif"/>
                <w:b w:val="false"/>
                <w:color w:val="000000"/>
                <w:sz w:val="13"/>
              </w:rPr>
              <w:t>(2)</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5.1 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7.0 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(25.9)</w:t>
            </w:r>
          </w:p>
        </w:tc>
        <w:tc>
          <w:tcPr>
            <w:tcW w:w="8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(26.5)</w:t>
            </w:r>
          </w:p>
        </w:tc>
        <w:tc>
          <w:tcPr>
            <w:tcW w:w="172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15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Net Revenue</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$294.9</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$263.4</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12.0 </w:t>
            </w:r>
          </w:p>
        </w:tc>
        <w:tc>
          <w:tcPr>
            <w:tcW w:w="8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12.4 </w:t>
            </w:r>
          </w:p>
        </w:tc>
        <w:tc>
          <w:tcPr>
            <w:tcW w:w="17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15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Less: ACS </w:t>
            </w:r>
            <w:r>
              <w:rPr>
                <w:rFonts w:ascii="Franklin Gothic Book;sans-serif" w:hAnsi="Franklin Gothic Book;sans-serif"/>
                <w:b w:val="false"/>
                <w:color w:val="000000"/>
                <w:sz w:val="13"/>
              </w:rPr>
              <w:t>(3)</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4.1 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6.2 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(33.2)</w:t>
            </w:r>
          </w:p>
        </w:tc>
        <w:tc>
          <w:tcPr>
            <w:tcW w:w="8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(33.6)</w:t>
            </w:r>
          </w:p>
        </w:tc>
        <w:tc>
          <w:tcPr>
            <w:tcW w:w="172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15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Total Net Revenue, Excluding ACS </w:t>
            </w:r>
            <w:r>
              <w:rPr>
                <w:rFonts w:ascii="Franklin Gothic Book;sans-serif" w:hAnsi="Franklin Gothic Book;sans-serif"/>
                <w:b w:val="false"/>
                <w:color w:val="000000"/>
                <w:sz w:val="13"/>
              </w:rPr>
              <w:t>(1)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$290.8</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$257.2</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13.0 </w:t>
            </w:r>
          </w:p>
        </w:tc>
        <w:tc>
          <w:tcPr>
            <w:tcW w:w="86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13.5 </w:t>
            </w:r>
          </w:p>
        </w:tc>
        <w:tc>
          <w:tcPr>
            <w:tcW w:w="172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985"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(1)</w:t>
            </w:r>
          </w:p>
        </w:tc>
        <w:tc>
          <w:tcPr>
            <w:tcW w:w="9220" w:type="dxa"/>
            <w:gridSpan w:val="27"/>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both"/>
              <w:rPr/>
            </w:pPr>
            <w:r>
              <w:rPr>
                <w:rFonts w:ascii="Franklin Gothic Book;sans-serif" w:hAnsi="Franklin Gothic Book;sans-serif"/>
                <w:b w:val="false"/>
                <w:color w:val="000000"/>
                <w:sz w:val="18"/>
              </w:rPr>
              <w:t>Constant-currency percent change and total revenue excluding revenue from the ACS segment wind down are non-GAAP measures.</w:t>
            </w:r>
            <w:r>
              <w:rPr>
                <w:color w:val="000000"/>
              </w:rPr>
              <w:t xml:space="preserve"> </w:t>
            </w:r>
            <w:r>
              <w:rPr>
                <w:rFonts w:ascii="Franklin Gothic Book;sans-serif" w:hAnsi="Franklin Gothic Book;sans-serif"/>
                <w:b w:val="false"/>
                <w:color w:val="000000"/>
                <w:sz w:val="18"/>
              </w:rPr>
              <w:t>Constant-currency percent change excludes the impact from fluctuations in the various currencies in which the Company operates as compared to reported percent change.</w:t>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(2)</w:t>
            </w:r>
          </w:p>
        </w:tc>
        <w:tc>
          <w:tcPr>
            <w:tcW w:w="9220"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Includes revenue from the Company’s former ACS reportable segment, and rental and site services income not allocated to segments.</w:t>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(3)</w:t>
            </w:r>
          </w:p>
        </w:tc>
        <w:tc>
          <w:tcPr>
            <w:tcW w:w="9220"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Includes the results from the wind down portion of the Company's former ACS reportable segment.</w:t>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0"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Numbers may not add precisely due to rounding. Segment financial information presented herein reflects LivaNova's change in segments, effective in the first quarter 2024, for all periods presented.</w:t>
            </w:r>
          </w:p>
        </w:tc>
      </w:tr>
    </w:tbl>
    <w:p>
      <w:pPr>
        <w:pStyle w:val="TextBody"/>
        <w:bidi w:val="0"/>
        <w:spacing w:before="60" w:after="283"/>
        <w:ind w:left="0" w:right="0" w:firstLine="90"/>
        <w:jc w:val="both"/>
        <w:rPr/>
      </w:pPr>
      <w:r>
        <w:rPr/>
      </w:r>
    </w:p>
    <w:p>
      <w:pPr>
        <w:pStyle w:val="TextBody"/>
        <w:bidi w:val="0"/>
        <w:spacing w:lineRule="auto" w:line="417" w:before="120" w:after="240"/>
        <w:jc w:val="both"/>
        <w:rPr/>
      </w:pPr>
      <w:r>
        <w:rPr>
          <w:rFonts w:ascii="Franklin Gothic Book;sans-serif" w:hAnsi="Franklin Gothic Book;sans-serif"/>
          <w:b/>
          <w:color w:val="000000"/>
          <w:sz w:val="22"/>
        </w:rPr>
        <w:t>Cardiopulmonary</w:t>
      </w:r>
      <w:r>
        <w:rPr>
          <w:color w:val="000000"/>
        </w:rPr>
        <w:t xml:space="preserve"> </w:t>
      </w:r>
      <w:r>
        <w:rPr>
          <w:rFonts w:ascii="Franklin Gothic Book;sans-serif" w:hAnsi="Franklin Gothic Book;sans-serif"/>
          <w:b w:val="false"/>
          <w:color w:val="000000"/>
          <w:sz w:val="22"/>
        </w:rPr>
        <w:t>revenue increased 14.8% on a reported basis and increased 15.7%</w:t>
      </w:r>
      <w:r>
        <w:rPr>
          <w:rFonts w:ascii="Franklin Gothic Book;sans-serif" w:hAnsi="Franklin Gothic Book;sans-serif"/>
          <w:b w:val="false"/>
          <w:color w:val="000000"/>
          <w:sz w:val="14"/>
        </w:rPr>
        <w:t>(1)</w:t>
      </w:r>
      <w:r>
        <w:rPr>
          <w:color w:val="000000"/>
        </w:rPr>
        <w:t xml:space="preserve"> </w:t>
      </w:r>
      <w:r>
        <w:rPr>
          <w:rFonts w:ascii="Franklin Gothic Book;sans-serif" w:hAnsi="Franklin Gothic Book;sans-serif"/>
          <w:b w:val="false"/>
          <w:color w:val="000000"/>
          <w:sz w:val="22"/>
        </w:rPr>
        <w:t>on a constant-currency basis versus the first quarter of 2023 with growth across all regions, driven by Essenz</w:t>
      </w:r>
      <w:r>
        <w:rPr>
          <w:rFonts w:ascii="Franklin Gothic Book;sans-serif" w:hAnsi="Franklin Gothic Book;sans-serif"/>
          <w:b w:val="false"/>
          <w:color w:val="000000"/>
          <w:sz w:val="14"/>
        </w:rPr>
        <w:t xml:space="preserve">TM </w:t>
      </w:r>
      <w:r>
        <w:rPr>
          <w:rFonts w:ascii="Franklin Gothic Book;sans-serif" w:hAnsi="Franklin Gothic Book;sans-serif"/>
          <w:b w:val="false"/>
          <w:color w:val="000000"/>
          <w:sz w:val="22"/>
        </w:rPr>
        <w:t>Perfusion System sales in the U.S. and Europe regions, and strong consumables demand worldwide.</w:t>
      </w:r>
    </w:p>
    <w:p>
      <w:pPr>
        <w:pStyle w:val="TextBody"/>
        <w:bidi w:val="0"/>
        <w:spacing w:lineRule="auto" w:line="417" w:before="120" w:after="240"/>
        <w:jc w:val="both"/>
        <w:rPr/>
      </w:pPr>
      <w:r>
        <w:rPr>
          <w:rFonts w:ascii="Franklin Gothic Book;sans-serif" w:hAnsi="Franklin Gothic Book;sans-serif"/>
          <w:b/>
          <w:color w:val="000000"/>
          <w:sz w:val="22"/>
        </w:rPr>
        <w:t>Neuromodulation</w:t>
      </w:r>
      <w:r>
        <w:rPr>
          <w:color w:val="000000"/>
        </w:rPr>
        <w:t xml:space="preserve"> </w:t>
      </w:r>
      <w:r>
        <w:rPr>
          <w:rFonts w:ascii="Franklin Gothic Book;sans-serif" w:hAnsi="Franklin Gothic Book;sans-serif"/>
          <w:b w:val="false"/>
          <w:color w:val="000000"/>
          <w:sz w:val="22"/>
        </w:rPr>
        <w:t>revenue increased 10.9% on a reported basis and increased 11.0%</w:t>
      </w:r>
      <w:r>
        <w:rPr>
          <w:rFonts w:ascii="Franklin Gothic Book;sans-serif" w:hAnsi="Franklin Gothic Book;sans-serif"/>
          <w:b w:val="false"/>
          <w:color w:val="000000"/>
          <w:sz w:val="14"/>
        </w:rPr>
        <w:t>(1)</w:t>
      </w:r>
      <w:r>
        <w:rPr>
          <w:color w:val="000000"/>
        </w:rPr>
        <w:t xml:space="preserve"> </w:t>
      </w:r>
      <w:r>
        <w:rPr>
          <w:rFonts w:ascii="Franklin Gothic Book;sans-serif" w:hAnsi="Franklin Gothic Book;sans-serif"/>
          <w:b w:val="false"/>
          <w:color w:val="000000"/>
          <w:sz w:val="22"/>
        </w:rPr>
        <w:t>on a constant-currency basis versus the first quarter of 2023 with double-digit growth in the U.S. and Rest of World regions.</w:t>
      </w:r>
    </w:p>
    <w:p>
      <w:pPr>
        <w:pStyle w:val="TextBody"/>
        <w:bidi w:val="0"/>
        <w:spacing w:lineRule="auto" w:line="417" w:before="120" w:after="240"/>
        <w:jc w:val="both"/>
        <w:rPr>
          <w:rFonts w:ascii="Franklin Gothic Book;sans-serif" w:hAnsi="Franklin Gothic Book;sans-serif"/>
          <w:b/>
          <w:i/>
          <w:color w:val="000000"/>
          <w:sz w:val="22"/>
        </w:rPr>
      </w:pPr>
      <w:r>
        <w:rPr>
          <w:rFonts w:ascii="Franklin Gothic Book;sans-serif" w:hAnsi="Franklin Gothic Book;sans-serif"/>
          <w:b/>
          <w:i/>
          <w:color w:val="000000"/>
          <w:sz w:val="22"/>
        </w:rPr>
        <w:t>Earnings Analysis</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 xml:space="preserve">On a U.S. GAAP basis, first-quarter 2024 operating income was $16.2 million, as compared to operating loss of $2.3 million for the first quarter of 2023. Adjusted operating income for the first quarter of 2024 was $53.1 million, as compared to adjusted operating income of $26.8 million for the first quarter of 2023. </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On a U.S. GAAP basis, first-quarter 2024 diluted loss per share was $0.78, as compared to diluted earnings per share of $0.14 in the first quarter of 2023. First-quarter 2024 adjusted diluted earnings per share was $0.73, as compared to adjusted diluted earnings per share of $0.43 in the first quarter of 2023.</w:t>
      </w:r>
    </w:p>
    <w:p>
      <w:pPr>
        <w:pStyle w:val="TextBody"/>
        <w:bidi w:val="0"/>
        <w:spacing w:before="120" w:after="240"/>
        <w:jc w:val="both"/>
        <w:rPr/>
      </w:pPr>
      <w:r>
        <w:rPr/>
      </w:r>
    </w:p>
    <w:p>
      <w:pPr>
        <w:pStyle w:val="TextBody"/>
        <w:bidi w:val="0"/>
        <w:spacing w:before="12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39140"/>
                <wp:effectExtent l="0" t="0" r="0" b="0"/>
                <wp:wrapNone/>
                <wp:docPr id="7" name="Frame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417" w:before="120" w:after="240"/>
        <w:jc w:val="both"/>
        <w:rPr/>
      </w:pPr>
      <w:r>
        <w:rPr>
          <w:rFonts w:ascii="Franklin Gothic Book;sans-serif" w:hAnsi="Franklin Gothic Book;sans-serif"/>
          <w:b/>
          <w:color w:val="000000"/>
          <w:sz w:val="22"/>
          <w:u w:val="single"/>
        </w:rPr>
        <w:t>Full-Year 2024 Guidance</w:t>
      </w:r>
      <w:r>
        <w:rPr>
          <w:color w:val="000000"/>
        </w:rPr>
        <w:t xml:space="preserve"> </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LivaNova now expects revenue for full-year 2024 to grow between 6 and 7 percent on a constant-currency basis. When excluding the impact of the ACS segment wind down, the Company now expects revenue for full-year 2024 to grow between 8 and 9 percent on a constant-currency basis. Foreign currency is now expected to be a 1 percent headwind based on current exchange rates.</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Adjusted diluted earnings per share for 2024 are now expected to be in the range of $3.05 to $3.15, assuming a share count of approximately 55 million for full-year 2024. In 2024, the Company continues to estimate that adjusted free cash flow will be in the range of $95 to $115 million.</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As discussed in the section entitled "Use of Non-GAAP Financial Measures" below, the Company is unable to predict with a reasonable degree of certainty the type and extent of certain items that would be expected to impact GAAP measures but would not impact the non-GAAP measures. Accordingly, the Company is unable to reconcile the forward-looking non-GAAP financial measures included in this section to their most directly comparable forward-looking GAAP financial measures without unreasonable efforts.</w:t>
      </w:r>
    </w:p>
    <w:p>
      <w:pPr>
        <w:pStyle w:val="TextBody"/>
        <w:bidi w:val="0"/>
        <w:spacing w:lineRule="auto" w:line="417" w:before="120" w:after="240"/>
        <w:jc w:val="both"/>
        <w:rPr>
          <w:rFonts w:ascii="Franklin Gothic Book;sans-serif" w:hAnsi="Franklin Gothic Book;sans-serif"/>
          <w:b/>
          <w:color w:val="000000"/>
          <w:sz w:val="22"/>
          <w:u w:val="single"/>
        </w:rPr>
      </w:pPr>
      <w:r>
        <w:rPr>
          <w:rFonts w:ascii="Franklin Gothic Book;sans-serif" w:hAnsi="Franklin Gothic Book;sans-serif"/>
          <w:b/>
          <w:color w:val="000000"/>
          <w:sz w:val="22"/>
          <w:u w:val="single"/>
        </w:rPr>
        <w:t>Webcast and Conference Call Instructions</w:t>
      </w:r>
    </w:p>
    <w:p>
      <w:pPr>
        <w:pStyle w:val="TextBody"/>
        <w:bidi w:val="0"/>
        <w:spacing w:lineRule="auto" w:line="417" w:before="120" w:after="240"/>
        <w:jc w:val="both"/>
        <w:rPr/>
      </w:pPr>
      <w:r>
        <w:rPr>
          <w:rFonts w:ascii="Franklin Gothic Book;sans-serif" w:hAnsi="Franklin Gothic Book;sans-serif"/>
          <w:b w:val="false"/>
          <w:color w:val="000000"/>
          <w:sz w:val="22"/>
        </w:rPr>
        <w:t>The Company will host a live audiocast at 1 p.m. London time (8 a.m. Eastern Time) on Wednesday, May 1, 2024 that will be accessible at</w:t>
      </w:r>
      <w:r>
        <w:rPr>
          <w:color w:val="000000"/>
        </w:rPr>
        <w:t xml:space="preserve"> </w:t>
      </w:r>
      <w:r>
        <w:rPr>
          <w:rFonts w:ascii="Franklin Gothic Book;sans-serif" w:hAnsi="Franklin Gothic Book;sans-serif"/>
          <w:b w:val="false"/>
          <w:color w:val="0E32E1"/>
          <w:sz w:val="22"/>
          <w:u w:val="single"/>
        </w:rPr>
        <w:t>www.livanova.com/events</w:t>
      </w:r>
      <w:r>
        <w:rPr>
          <w:rFonts w:ascii="Franklin Gothic Book;sans-serif" w:hAnsi="Franklin Gothic Book;sans-serif"/>
          <w:b w:val="false"/>
          <w:color w:val="000000"/>
          <w:sz w:val="22"/>
        </w:rPr>
        <w:t xml:space="preserve">. Listeners should register in advance and log on approximately 10 minutes early to ensure proper setup. To listen to the conference call by telephone, dial +1 833 470 1428 (if dialing from within the U.S.) or +1 929 526 1599 (if dialing from outside the U.S.). The conference call access code is 556837. Within 24 hours of the audiocast, a replay will be available at </w:t>
      </w:r>
      <w:r>
        <w:rPr>
          <w:rFonts w:ascii="Franklin Gothic Book;sans-serif" w:hAnsi="Franklin Gothic Book;sans-serif"/>
          <w:b w:val="false"/>
          <w:color w:val="0E32E1"/>
          <w:sz w:val="22"/>
          <w:u w:val="single"/>
        </w:rPr>
        <w:t>www.livanova.com/events</w:t>
      </w:r>
      <w:r>
        <w:rPr>
          <w:rFonts w:ascii="Franklin Gothic Book;sans-serif" w:hAnsi="Franklin Gothic Book;sans-serif"/>
          <w:b w:val="false"/>
          <w:color w:val="000000"/>
          <w:sz w:val="22"/>
        </w:rPr>
        <w:t>, where it will be archived and accessible for approximately 90 days.</w:t>
      </w:r>
    </w:p>
    <w:p>
      <w:pPr>
        <w:pStyle w:val="TextBody"/>
        <w:bidi w:val="0"/>
        <w:spacing w:lineRule="auto" w:line="417" w:before="120" w:after="240"/>
        <w:jc w:val="both"/>
        <w:rPr>
          <w:rFonts w:ascii="Franklin Gothic Demi;sans-serif" w:hAnsi="Franklin Gothic Demi;sans-serif"/>
          <w:b w:val="false"/>
          <w:color w:val="6D2077"/>
          <w:sz w:val="22"/>
        </w:rPr>
      </w:pPr>
      <w:r>
        <w:rPr>
          <w:rFonts w:ascii="Franklin Gothic Demi;sans-serif" w:hAnsi="Franklin Gothic Demi;sans-serif"/>
          <w:b w:val="false"/>
          <w:color w:val="6D2077"/>
          <w:sz w:val="22"/>
        </w:rPr>
        <w:t>About LivaNova</w:t>
      </w:r>
    </w:p>
    <w:p>
      <w:pPr>
        <w:pStyle w:val="TextBody"/>
        <w:bidi w:val="0"/>
        <w:spacing w:lineRule="auto" w:line="417" w:before="120" w:after="240"/>
        <w:jc w:val="both"/>
        <w:rPr/>
      </w:pPr>
      <w:r>
        <w:rPr>
          <w:rFonts w:ascii="Franklin Gothic Book;sans-serif" w:hAnsi="Franklin Gothic Book;sans-serif"/>
          <w:b w:val="false"/>
          <w:color w:val="000000"/>
          <w:sz w:val="22"/>
        </w:rPr>
        <w:t>LivaNova PLC is a global medical technology company built on nearly five decades of experience and a relentless commitment to provide hope for patients and their families through medical technologies, delivering life-changing solutions in select neurological and cardiac conditions. Headquartered in London, LivaNova employs approximately 2,900 employees and has a presence in more than 100 countries for the benefit of patients, healthcare professionals and healthcare systems worldwide. For more information, please visit</w:t>
      </w:r>
      <w:r>
        <w:rPr>
          <w:color w:val="0E32E1"/>
        </w:rPr>
        <w:t xml:space="preserve"> </w:t>
      </w:r>
      <w:r>
        <w:rPr>
          <w:rFonts w:ascii="Franklin Gothic Book;sans-serif" w:hAnsi="Franklin Gothic Book;sans-serif"/>
          <w:b w:val="false"/>
          <w:color w:val="0E32E1"/>
          <w:sz w:val="22"/>
          <w:u w:val="single"/>
        </w:rPr>
        <w:t>www.livanova.com</w:t>
      </w:r>
      <w:r>
        <w:rPr>
          <w:rFonts w:ascii="Franklin Gothic Book;sans-serif" w:hAnsi="Franklin Gothic Book;sans-serif"/>
          <w:b w:val="false"/>
          <w:color w:val="000000"/>
          <w:sz w:val="22"/>
        </w:rPr>
        <w:t>.</w:t>
      </w:r>
    </w:p>
    <w:p>
      <w:pPr>
        <w:pStyle w:val="TextBody"/>
        <w:bidi w:val="0"/>
        <w:spacing w:before="12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39140"/>
                <wp:effectExtent l="0" t="0" r="0" b="0"/>
                <wp:wrapNone/>
                <wp:docPr id="8" name="Frame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417" w:before="120" w:after="240"/>
        <w:jc w:val="both"/>
        <w:rPr>
          <w:rFonts w:ascii="Franklin Gothic Demi;sans-serif" w:hAnsi="Franklin Gothic Demi;sans-serif"/>
          <w:b w:val="false"/>
          <w:color w:val="6D2077"/>
          <w:sz w:val="22"/>
        </w:rPr>
      </w:pPr>
      <w:r>
        <w:rPr>
          <w:rFonts w:ascii="Franklin Gothic Demi;sans-serif" w:hAnsi="Franklin Gothic Demi;sans-serif"/>
          <w:b w:val="false"/>
          <w:color w:val="6D2077"/>
          <w:sz w:val="22"/>
        </w:rPr>
        <w:t>Use of Non-GAAP Financial Measures</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In this news release, management has disclosed financial measurements that present financial information not in accordance with GAAP. Company management uses these measurements as aids in monitoring the Company’s ongoing financial performance from quarter to quarter and year to year on a regular basis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operating performance measures as prescribed by GAAP.</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In this news release, the Company refers to comparable, constant-currency percent change in revenue. Management believes that referring to comparable, constant-currency percent change is the most useful way to evaluate the revenue performance of LivaNova and to compare the revenue performance of current periods to prior periods on a consistent basis. Constant-currency percent change, a non-GAAP financial measure, measures the change in revenue between current and prior-year periods using average exchange rates in effect during the applicable prior-year period.</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 xml:space="preserve">LivaNova calculates forward-looking non-GAAP financial measures based on internal forecasts that omit certain amounts that would be included in GAAP financial measures. For example, forward-looking net revenue growth projections are estimated on a constant-currency basis and exclude the impact of foreign currency fluctuations. Forward-looking non-GAAP adjusted diluted earnings per share guidance exclude other items such as, but not limited to, changes in fair value of derivatives and contingent consideration arrangements and asset impairment charges that would be included in comparable GAAP financial measures. The most directly comparable GAAP measure for constant-currency net revenue, non-GAAP adjusted tax rate and adjusted diluted earnings per share are net revenue, the effective tax rate and earnings per share, respectively. The most directly comparable GAAP measure for adjusted free cash flow is net cash provided by operating activities. Adjusted free cash flow is defined as net cash provided by operating activities less cash used for the purchase of property, plant and equipment excluding the impact of 3T litigation settlement payments, CARES Act tax stimulus benefits and gains related to dividends received from investments and further adjusted as needed for other one-time, nonrecurring, unusual or infrequent charges, expenses or gains, including associated expenses, that may not be indicative of the Company's core business. However, non-GAAP financial adjustments on a forward-looking basis are subject to uncertainty and variability as they are dependent on many factors, including but not limited to, the effect of foreign currency exchange fluctuations, impacts from potential acquisitions or divestitures, the ultimate outcome of legal proceedings, gains or losses on the potential sale of businesses or other assets, restructuring costs, merger and integration activities, changes in fair value of derivatives and contingent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39140"/>
                <wp:effectExtent l="0" t="0" r="0" b="0"/>
                <wp:wrapNone/>
                <wp:docPr id="9" name="Frame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 xml:space="preserve">consideration arrangements, asset impairment charges and the tax impact of the aforementioned items, tax law changes or other tax matters. Accordingly, forward-looking non-GAAP financial measures and reconciliations to the most directly comparable forward-looking GAAP financial measures are not available without unreasonable effort. </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The Company also believes adjusted financial measures such as adjusted gross profit percentage, adjusted selling, general and administrative expense, adjusted research and development expense, adjusted other operating expenses, adjusted operating income, adjusted income tax expense, adjusted net income and adjusted diluted earnings per share, are measures by which LivaNova generally uses to facilitate management review of the operational performance of the company, to serve as a basis for strategic planning and to assist in the design of compensation incentive plans. Additionally, the Company also uses the non-GAAP liquidity measure adjusted free cash flow. Furthermore, adjusted financial measures allow investors to evaluate the Company’s core performance for different periods on a more comparable and consistent basis, and with other entities in the medical technology industry by adjusting for items that are not related to the ongoing operations of the Company or incurred in the ordinary course of business.</w:t>
      </w:r>
    </w:p>
    <w:p>
      <w:pPr>
        <w:pStyle w:val="TextBody"/>
        <w:bidi w:val="0"/>
        <w:spacing w:lineRule="auto" w:line="417" w:before="120" w:after="240"/>
        <w:jc w:val="both"/>
        <w:rPr>
          <w:rFonts w:ascii="Franklin Gothic Demi;sans-serif" w:hAnsi="Franklin Gothic Demi;sans-serif"/>
          <w:b w:val="false"/>
          <w:color w:val="6D2077"/>
          <w:sz w:val="22"/>
        </w:rPr>
      </w:pPr>
      <w:r>
        <w:rPr>
          <w:rFonts w:ascii="Franklin Gothic Demi;sans-serif" w:hAnsi="Franklin Gothic Demi;sans-serif"/>
          <w:b w:val="false"/>
          <w:color w:val="6D2077"/>
          <w:sz w:val="22"/>
        </w:rPr>
        <w:t xml:space="preserve">Safe Harbor Statement </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 xml:space="preserve">Certain statements in this news release, other than statements of historical or current fact, are “forward-looking statements” within the meaning of the Private Securities Litigation Reform Act of 1995, Section 27A of the Securities Act and Section 21E of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the Company’s actual financial results, performance, achievements or prospects may differ materially from those expressed or implied by these forward-looking statements. Generally,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the Company’s control, that could cause the Company’s actual results to differ materially from the forward-looking statements contained in this news release, and include, but are not limited to, the following risks and uncertainties: volatility in the global market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39140"/>
                <wp:effectExtent l="0" t="0" r="0" b="0"/>
                <wp:wrapNone/>
                <wp:docPr id="10" name="Frame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and worldwide economic conditions, including as caused by the invasion of Ukraine, the evolving instability in the Middle East, inflation, changing interest rates, foreign exchange fluctuations, changes to existing trade agreements and relationships between the U.S. and other countries including the implementation of sanctions; cyber-attacks or other disruptions to the Company’s information technology systems or those of third parties with which the Company interacts; costs of complying with privacy and security of personal information requirements and laws; risks relating to supply chain pressures; changes in technology, including the development of superior or alternative technology or devices by competitors and/or competition from providers of alternative medical therapies; failure to obtain approvals or reimbursement in relation to the Company’s products; failure to establish, expand or maintain market acceptance of the Company’s products for the treatment of the Company’s approved indications; failure to develop and commercialize new products and the rate and degree of market acceptance of such products; unfavorable results from clinical studies or failure to meet milestones; failure to comply with, or changes in, laws, regulations or administrative practices affecting government regulation of the Company’s products; risks relating to recalls, enforcement actions or product liability claims; changes or reduction in reimbursement for the Company’s products or failure to comply with rules relating to reimbursement of healthcare goods and services; failure to comply with anti-bribery laws; losses or costs from pending or future lawsuits and governmental investigations, including in the case of the Company’s 3T Heater-Cooler and SNIA litigations; risks associated with environmental laws and regulations as well as environmental liabilities, violations, protest voting and litigation; product liability, intellectual property, shareholder-related, environmental-related, income tax and other litigation, disputes, losses and costs; failure to retain key personnel, prevent labor shortages, or manage labor costs; the failure of the Company’s R&amp;D efforts to keep up with the rapid pace of technological development in the medical device industry; the risks relating to the impact of climate change and the risk of ESG pressures from internal and external stakeholders; the risk of quality concerns and the impacts thereof; failure to protect the Company’s proprietary intellectual property; failure of new acquisitions to further the Company’s strategic objectives or strengthen the Company’s existing businesses; the potential for impairments of intangible assets, goodwill and other long-lived assets; risks relating to the Company’s indebtedness; effectiveness of the Company’s internal controls over financial reporting; changes in the Company’s profitability and/or failure to manage costs and expenses; fluctuations in future quarterly operating results and/or variations in revenue and operating expenses relative to estimates; changes in tax laws and regulations, including exposure to additional income tax liabilities; and other unknown or unpredictable factors that could harm the Company’s financial performance.</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 xml:space="preserve">The foregoing list of factors is not exhaustive. You should carefully consider the foregoing factors and the other risks and uncertainties that affect the Company’s business, including those described in the “Risk Factors” section of the Annual Report on Form 10-K, Quarterly Reports on Form 10-Q, Current Reports on Form 8-K and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39140"/>
                <wp:effectExtent l="0" t="0" r="0" b="0"/>
                <wp:wrapNone/>
                <wp:docPr id="11" name="Frame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other documents filed from time to time with the United States Securities and Exchange Commission by LivaNova.</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Readers are cautioned not to place undue reliance on the Company's forward-looking statements, which speak only as of the date of this news release. The Company undertakes no obligation to update publicly any of the forward-looking statements in this news release to reflect actual results, new information or future events, changes in assumptions or changes in other factors affecting forward-looking statements, except to the extent required by applicable law. If LivaNova updates one or more forward-looking statements, no inference should be drawn that the Company will make additional updates with respect to those or other forward-looking statements.</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 xml:space="preserve">Essenz is a trademark of LivaNova USA, Inc. </w:t>
      </w:r>
    </w:p>
    <w:p>
      <w:pPr>
        <w:pStyle w:val="TextBody"/>
        <w:bidi w:val="0"/>
        <w:spacing w:before="0" w:after="0"/>
        <w:jc w:val="both"/>
        <w:rPr/>
      </w:pPr>
      <w:r>
        <w:rPr/>
      </w:r>
    </w:p>
    <w:p>
      <w:pPr>
        <w:pStyle w:val="TextBody"/>
        <w:bidi w:val="0"/>
        <w:spacing w:lineRule="auto" w:line="288" w:before="0" w:after="0"/>
        <w:jc w:val="both"/>
        <w:rPr>
          <w:rFonts w:ascii="Franklin Gothic Medium;sans-serif" w:hAnsi="Franklin Gothic Medium;sans-serif"/>
          <w:b w:val="false"/>
          <w:color w:val="000000"/>
          <w:sz w:val="24"/>
        </w:rPr>
      </w:pPr>
      <w:r>
        <w:rPr>
          <w:rFonts w:ascii="Franklin Gothic Medium;sans-serif" w:hAnsi="Franklin Gothic Medium;sans-serif"/>
          <w:b w:val="false"/>
          <w:color w:val="000000"/>
          <w:sz w:val="24"/>
        </w:rPr>
        <w:t>Briana Gotlin</w:t>
      </w:r>
    </w:p>
    <w:p>
      <w:pPr>
        <w:pStyle w:val="TextBody"/>
        <w:bidi w:val="0"/>
        <w:spacing w:lineRule="auto" w:line="288" w:before="0" w:after="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Director, Investor Relations</w:t>
      </w:r>
    </w:p>
    <w:p>
      <w:pPr>
        <w:pStyle w:val="TextBody"/>
        <w:bidi w:val="0"/>
        <w:spacing w:lineRule="auto" w:line="288" w:before="0" w:after="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Phone: +1 281 895 2382</w:t>
      </w:r>
    </w:p>
    <w:p>
      <w:pPr>
        <w:pStyle w:val="TextBody"/>
        <w:bidi w:val="0"/>
        <w:spacing w:lineRule="auto" w:line="288" w:before="0" w:after="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e-mail: InvestorRelations@livanova.com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39140"/>
                <wp:effectExtent l="0" t="0" r="0" b="0"/>
                <wp:wrapNone/>
                <wp:docPr id="12" name="Frame1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372"/>
        <w:gridCol w:w="326"/>
        <w:gridCol w:w="326"/>
        <w:gridCol w:w="364"/>
        <w:gridCol w:w="364"/>
        <w:gridCol w:w="374"/>
        <w:gridCol w:w="121"/>
        <w:gridCol w:w="121"/>
        <w:gridCol w:w="121"/>
        <w:gridCol w:w="460"/>
        <w:gridCol w:w="460"/>
        <w:gridCol w:w="240"/>
        <w:gridCol w:w="129"/>
        <w:gridCol w:w="129"/>
        <w:gridCol w:w="129"/>
        <w:gridCol w:w="460"/>
        <w:gridCol w:w="460"/>
        <w:gridCol w:w="240"/>
        <w:gridCol w:w="129"/>
        <w:gridCol w:w="129"/>
        <w:gridCol w:w="129"/>
        <w:gridCol w:w="343"/>
        <w:gridCol w:w="344"/>
        <w:gridCol w:w="762"/>
        <w:gridCol w:w="129"/>
        <w:gridCol w:w="129"/>
        <w:gridCol w:w="129"/>
        <w:gridCol w:w="549"/>
        <w:gridCol w:w="549"/>
        <w:gridCol w:w="1688"/>
      </w:tblGrid>
      <w:tr>
        <w:trPr/>
        <w:tc>
          <w:tcPr>
            <w:tcW w:w="37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LIVANOVA PLC</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NET REVENUE - UNAUDITED</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(U.S. dollars in millions)</w:t>
            </w:r>
          </w:p>
        </w:tc>
      </w:tr>
      <w:tr>
        <w:trPr/>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Three Months Ended March 31,</w:t>
            </w:r>
          </w:p>
        </w:tc>
      </w:tr>
      <w:tr>
        <w:trPr/>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 Change</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20"/>
              </w:rPr>
              <w:t xml:space="preserve">Constant-Currency % Change </w:t>
            </w:r>
            <w:r>
              <w:rPr>
                <w:rFonts w:ascii="Franklin Gothic Book;sans-serif" w:hAnsi="Franklin Gothic Book;sans-serif"/>
                <w:b/>
                <w:color w:val="000000"/>
                <w:sz w:val="13"/>
              </w:rPr>
              <w:t>(1)</w:t>
            </w:r>
          </w:p>
        </w:tc>
      </w:tr>
      <w:tr>
        <w:trPr/>
        <w:tc>
          <w:tcPr>
            <w:tcW w:w="21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Cardiopulmonary</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U.S.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$50.6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$39.6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27.7 </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27.7 </w:t>
            </w:r>
          </w:p>
        </w:tc>
        <w:tc>
          <w:tcPr>
            <w:tcW w:w="168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126"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Europe </w:t>
            </w:r>
            <w:r>
              <w:rPr>
                <w:rFonts w:ascii="Franklin Gothic Book;sans-serif" w:hAnsi="Franklin Gothic Book;sans-serif"/>
                <w:b w:val="false"/>
                <w:color w:val="000000"/>
                <w:sz w:val="13"/>
              </w:rPr>
              <w:t>(2)</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40.9 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36.4 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12.5 </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10.3 </w:t>
            </w:r>
          </w:p>
        </w:tc>
        <w:tc>
          <w:tcPr>
            <w:tcW w:w="168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1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Rest of World</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64.4 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59.8 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7.8 </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11.0 </w:t>
            </w:r>
          </w:p>
        </w:tc>
        <w:tc>
          <w:tcPr>
            <w:tcW w:w="168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1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155.9 </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135.7 </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14.8 </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15.7 </w:t>
            </w:r>
          </w:p>
        </w:tc>
        <w:tc>
          <w:tcPr>
            <w:tcW w:w="168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1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Neuromodulation</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U.S.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105.9 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94.5 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12.1 </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12.1 </w:t>
            </w:r>
          </w:p>
        </w:tc>
        <w:tc>
          <w:tcPr>
            <w:tcW w:w="168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126"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Europe </w:t>
            </w:r>
            <w:r>
              <w:rPr>
                <w:rFonts w:ascii="Franklin Gothic Book;sans-serif" w:hAnsi="Franklin Gothic Book;sans-serif"/>
                <w:b w:val="false"/>
                <w:color w:val="000000"/>
                <w:sz w:val="13"/>
              </w:rPr>
              <w:t>(2)</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13.4 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13.3 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1.0 </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w:t>
            </w:r>
          </w:p>
        </w:tc>
        <w:tc>
          <w:tcPr>
            <w:tcW w:w="168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1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Rest of World</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14.5 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13.0 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12.2 </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15.5 </w:t>
            </w:r>
          </w:p>
        </w:tc>
        <w:tc>
          <w:tcPr>
            <w:tcW w:w="168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1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133.9 </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120.7 </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10.9 </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11.0 </w:t>
            </w:r>
          </w:p>
        </w:tc>
        <w:tc>
          <w:tcPr>
            <w:tcW w:w="168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126"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color w:val="000000"/>
                <w:sz w:val="20"/>
              </w:rPr>
              <w:t xml:space="preserve">Other Revenue </w:t>
            </w:r>
            <w:r>
              <w:rPr>
                <w:rFonts w:ascii="Franklin Gothic Book;sans-serif" w:hAnsi="Franklin Gothic Book;sans-serif"/>
                <w:b/>
                <w:color w:val="000000"/>
                <w:sz w:val="13"/>
              </w:rPr>
              <w:t>(3)</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5.1 </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7.0 </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(25.9)</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(26.5)</w:t>
            </w:r>
          </w:p>
        </w:tc>
        <w:tc>
          <w:tcPr>
            <w:tcW w:w="168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1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Totals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U.S.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160.6 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140.3 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14.5 </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14.5 </w:t>
            </w:r>
          </w:p>
        </w:tc>
        <w:tc>
          <w:tcPr>
            <w:tcW w:w="168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126"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Europe </w:t>
            </w:r>
            <w:r>
              <w:rPr>
                <w:rFonts w:ascii="Franklin Gothic Book;sans-serif" w:hAnsi="Franklin Gothic Book;sans-serif"/>
                <w:b w:val="false"/>
                <w:color w:val="000000"/>
                <w:sz w:val="13"/>
              </w:rPr>
              <w:t>(2)</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54.3 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49.6 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9.5 </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7.2 </w:t>
            </w:r>
          </w:p>
        </w:tc>
        <w:tc>
          <w:tcPr>
            <w:tcW w:w="168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1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Rest of World</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80.0 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73.5 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8.8 </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12.0 </w:t>
            </w:r>
          </w:p>
        </w:tc>
        <w:tc>
          <w:tcPr>
            <w:tcW w:w="168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1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$294.9 </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$263.4 </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12.0 </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12.4 </w:t>
            </w:r>
          </w:p>
        </w:tc>
        <w:tc>
          <w:tcPr>
            <w:tcW w:w="168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(1)</w:t>
            </w:r>
          </w:p>
        </w:tc>
        <w:tc>
          <w:tcPr>
            <w:tcW w:w="9181" w:type="dxa"/>
            <w:gridSpan w:val="27"/>
            <w:tcBorders/>
            <w:tcMar>
              <w:top w:w="0" w:type="dxa"/>
              <w:left w:w="0" w:type="dxa"/>
              <w:bottom w:w="0" w:type="dxa"/>
              <w:right w:w="0" w:type="dxa"/>
            </w:tcMar>
            <w:vAlign w:val="center"/>
          </w:tcPr>
          <w:p>
            <w:pPr>
              <w:pStyle w:val="TableContents"/>
              <w:bidi w:val="0"/>
              <w:spacing w:lineRule="auto" w:line="240" w:before="0" w:after="283"/>
              <w:jc w:val="both"/>
              <w:rPr>
                <w:rFonts w:ascii="Franklin Gothic Book;sans-serif" w:hAnsi="Franklin Gothic Book;sans-serif"/>
                <w:b w:val="false"/>
                <w:color w:val="000000"/>
                <w:sz w:val="18"/>
              </w:rPr>
            </w:pPr>
            <w:r>
              <w:rPr>
                <w:rFonts w:ascii="Franklin Gothic Book;sans-serif" w:hAnsi="Franklin Gothic Book;sans-serif"/>
                <w:b w:val="false"/>
                <w:color w:val="000000"/>
                <w:sz w:val="18"/>
              </w:rPr>
              <w:t>Constant-currency percent change, a non-GAAP financial measure, measures the change in revenue between current and prior-year periods using average exchange rates in effect during the applicable prior-year period.</w:t>
            </w:r>
          </w:p>
        </w:tc>
      </w:tr>
      <w:tr>
        <w:trPr/>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(2)</w:t>
            </w:r>
          </w:p>
        </w:tc>
        <w:tc>
          <w:tcPr>
            <w:tcW w:w="9181" w:type="dxa"/>
            <w:gridSpan w:val="27"/>
            <w:tcBorders/>
            <w:tcMar>
              <w:top w:w="0" w:type="dxa"/>
              <w:left w:w="0" w:type="dxa"/>
              <w:bottom w:w="0" w:type="dxa"/>
              <w:right w:w="0" w:type="dxa"/>
            </w:tcMar>
            <w:vAlign w:val="center"/>
          </w:tcPr>
          <w:p>
            <w:pPr>
              <w:pStyle w:val="TableContents"/>
              <w:bidi w:val="0"/>
              <w:spacing w:lineRule="auto" w:line="240" w:before="0" w:after="0"/>
              <w:jc w:val="both"/>
              <w:rPr>
                <w:rFonts w:ascii="Franklin Gothic Book;sans-serif" w:hAnsi="Franklin Gothic Book;sans-serif"/>
                <w:b w:val="false"/>
                <w:color w:val="000000"/>
                <w:sz w:val="18"/>
              </w:rPr>
            </w:pPr>
            <w:r>
              <w:rPr>
                <w:rFonts w:ascii="Franklin Gothic Book;sans-serif" w:hAnsi="Franklin Gothic Book;sans-serif"/>
                <w:b w:val="false"/>
                <w:color w:val="000000"/>
                <w:sz w:val="18"/>
              </w:rPr>
              <w:t>Includes countries in Europe where the Company has a direct sales presence. Countries in Europe where sales are made through distributors are included in “Rest of World.”</w:t>
            </w:r>
          </w:p>
        </w:tc>
      </w:tr>
      <w:tr>
        <w:trPr/>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(3)</w:t>
            </w:r>
          </w:p>
        </w:tc>
        <w:tc>
          <w:tcPr>
            <w:tcW w:w="9181" w:type="dxa"/>
            <w:gridSpan w:val="27"/>
            <w:tcBorders/>
            <w:tcMar>
              <w:top w:w="0" w:type="dxa"/>
              <w:left w:w="0" w:type="dxa"/>
              <w:bottom w:w="0" w:type="dxa"/>
              <w:right w:w="0" w:type="dxa"/>
            </w:tcMar>
            <w:vAlign w:val="center"/>
          </w:tcPr>
          <w:p>
            <w:pPr>
              <w:pStyle w:val="TableContents"/>
              <w:bidi w:val="0"/>
              <w:spacing w:lineRule="auto" w:line="240" w:before="0" w:after="283"/>
              <w:jc w:val="both"/>
              <w:rPr>
                <w:rFonts w:ascii="Franklin Gothic Book;sans-serif" w:hAnsi="Franklin Gothic Book;sans-serif"/>
                <w:b w:val="false"/>
                <w:color w:val="000000"/>
                <w:sz w:val="18"/>
              </w:rPr>
            </w:pPr>
            <w:r>
              <w:rPr>
                <w:rFonts w:ascii="Franklin Gothic Book;sans-serif" w:hAnsi="Franklin Gothic Book;sans-serif"/>
                <w:b w:val="false"/>
                <w:color w:val="000000"/>
                <w:sz w:val="18"/>
              </w:rPr>
              <w:t>Other revenue primarily includes revenue from the Company’s former ACS reportable segment and rental and site services income not allocated to segments.</w:t>
            </w:r>
          </w:p>
        </w:tc>
      </w:tr>
      <w:tr>
        <w:trPr/>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1" w:type="dxa"/>
            <w:gridSpan w:val="27"/>
            <w:tcBorders/>
            <w:tcMar>
              <w:top w:w="0" w:type="dxa"/>
              <w:left w:w="0" w:type="dxa"/>
              <w:bottom w:w="0" w:type="dxa"/>
              <w:right w:w="0" w:type="dxa"/>
            </w:tcMar>
            <w:vAlign w:val="center"/>
          </w:tcPr>
          <w:p>
            <w:pPr>
              <w:pStyle w:val="TableContents"/>
              <w:bidi w:val="0"/>
              <w:spacing w:lineRule="auto" w:line="240" w:before="0" w:after="0"/>
              <w:jc w:val="both"/>
              <w:rPr>
                <w:rFonts w:ascii="Franklin Gothic Book;sans-serif" w:hAnsi="Franklin Gothic Book;sans-serif"/>
                <w:b w:val="false"/>
                <w:color w:val="000000"/>
                <w:sz w:val="18"/>
              </w:rPr>
            </w:pPr>
            <w:r>
              <w:rPr>
                <w:rFonts w:ascii="Franklin Gothic Book;sans-serif" w:hAnsi="Franklin Gothic Book;sans-serif"/>
                <w:b w:val="false"/>
                <w:color w:val="000000"/>
                <w:sz w:val="18"/>
              </w:rPr>
              <w:t>Numbers may not add precisely due to rounding. Segment financial information presented herein reflects LivaNova's change in segments, effective in the first quarter 2024, for all periods presented.</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39140"/>
                <wp:effectExtent l="0" t="0" r="0" b="0"/>
                <wp:wrapNone/>
                <wp:docPr id="13" name="Frame1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382"/>
        <w:gridCol w:w="1096"/>
        <w:gridCol w:w="937"/>
        <w:gridCol w:w="484"/>
        <w:gridCol w:w="484"/>
        <w:gridCol w:w="484"/>
        <w:gridCol w:w="719"/>
        <w:gridCol w:w="515"/>
        <w:gridCol w:w="524"/>
        <w:gridCol w:w="158"/>
        <w:gridCol w:w="158"/>
        <w:gridCol w:w="158"/>
        <w:gridCol w:w="413"/>
        <w:gridCol w:w="413"/>
        <w:gridCol w:w="216"/>
        <w:gridCol w:w="109"/>
        <w:gridCol w:w="109"/>
        <w:gridCol w:w="109"/>
        <w:gridCol w:w="380"/>
        <w:gridCol w:w="381"/>
        <w:gridCol w:w="706"/>
        <w:gridCol w:w="109"/>
        <w:gridCol w:w="161"/>
      </w:tblGrid>
      <w:tr>
        <w:trPr/>
        <w:tc>
          <w:tcPr>
            <w:tcW w:w="1382"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2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LIVANOVA PLC AND SUBSIDIARIES</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14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CONDENSED CONSOLIDATED STATEMENTS OF INCOME -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2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(U.S. dollars in millions, except per share amounts)</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2024</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 xml:space="preserve">% Change </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Net revenue</w:t>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$294.9 </w:t>
            </w:r>
          </w:p>
        </w:tc>
        <w:tc>
          <w:tcPr>
            <w:tcW w:w="5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$263.4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Cost of sales</w:t>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87.5 </w:t>
            </w:r>
          </w:p>
        </w:tc>
        <w:tc>
          <w:tcPr>
            <w:tcW w:w="5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Gross profit</w:t>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207.4</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174.1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19.1 </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Operating expenses:</w:t>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Selling, general and administrative</w:t>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129.9 </w:t>
            </w:r>
          </w:p>
        </w:tc>
        <w:tc>
          <w:tcPr>
            <w:tcW w:w="5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124.1 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Research and development</w:t>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45.7 </w:t>
            </w:r>
          </w:p>
        </w:tc>
        <w:tc>
          <w:tcPr>
            <w:tcW w:w="5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50.0 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Other operating expense</w:t>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15.6 </w:t>
            </w:r>
          </w:p>
        </w:tc>
        <w:tc>
          <w:tcPr>
            <w:tcW w:w="5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2.3 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Operating income (loss)</w:t>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16.2 </w:t>
            </w:r>
          </w:p>
        </w:tc>
        <w:tc>
          <w:tcPr>
            <w:tcW w:w="5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(2.3)</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(793.7)</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Interest expense</w:t>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(15.9)</w:t>
            </w:r>
          </w:p>
        </w:tc>
        <w:tc>
          <w:tcPr>
            <w:tcW w:w="5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(13.4)</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Loss on debt extinguishment</w:t>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(25.5)</w:t>
            </w:r>
          </w:p>
        </w:tc>
        <w:tc>
          <w:tcPr>
            <w:tcW w:w="5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Foreign exchange and other income/(expense)</w:t>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(9.1)</w:t>
            </w:r>
          </w:p>
        </w:tc>
        <w:tc>
          <w:tcPr>
            <w:tcW w:w="5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25.5 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(Loss) income before tax</w:t>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(34.2)</w:t>
            </w:r>
          </w:p>
        </w:tc>
        <w:tc>
          <w:tcPr>
            <w:tcW w:w="5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9.8 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(450.1)</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Income tax expense</w:t>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7.7 </w:t>
            </w:r>
          </w:p>
        </w:tc>
        <w:tc>
          <w:tcPr>
            <w:tcW w:w="5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2.4 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Net (loss) income</w:t>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($41.9)</w:t>
            </w:r>
          </w:p>
        </w:tc>
        <w:tc>
          <w:tcPr>
            <w:tcW w:w="5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$7.4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(669.1)</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Basic (loss) income per share</w:t>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($0.78)</w:t>
            </w:r>
          </w:p>
        </w:tc>
        <w:tc>
          <w:tcPr>
            <w:tcW w:w="5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$0.14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Diluted (loss) income per share</w:t>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($0.78)</w:t>
            </w:r>
          </w:p>
        </w:tc>
        <w:tc>
          <w:tcPr>
            <w:tcW w:w="5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$0.14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Weighted average common shares outstanding:</w:t>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Basic</w:t>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54.0 </w:t>
            </w:r>
          </w:p>
        </w:tc>
        <w:tc>
          <w:tcPr>
            <w:tcW w:w="5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53.6 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Diluted</w:t>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54.0 </w:t>
            </w:r>
          </w:p>
        </w:tc>
        <w:tc>
          <w:tcPr>
            <w:tcW w:w="5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53.9 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Franklin Gothic Book;sans-serif" w:hAnsi="Franklin Gothic Book;sans-serif"/>
                <w:b w:val="false"/>
                <w:color w:val="000000"/>
                <w:sz w:val="18"/>
              </w:rPr>
              <w:t>Numbers may not add precisely due to rounding.</w:t>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39140"/>
                <wp:effectExtent l="0" t="0" r="0" b="0"/>
                <wp:wrapNone/>
                <wp:docPr id="14" name="Frame1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525"/>
        <w:gridCol w:w="304"/>
        <w:gridCol w:w="268"/>
        <w:gridCol w:w="441"/>
        <w:gridCol w:w="441"/>
        <w:gridCol w:w="441"/>
        <w:gridCol w:w="319"/>
        <w:gridCol w:w="319"/>
        <w:gridCol w:w="319"/>
        <w:gridCol w:w="536"/>
        <w:gridCol w:w="533"/>
        <w:gridCol w:w="330"/>
        <w:gridCol w:w="330"/>
        <w:gridCol w:w="330"/>
        <w:gridCol w:w="330"/>
        <w:gridCol w:w="536"/>
        <w:gridCol w:w="533"/>
        <w:gridCol w:w="330"/>
        <w:gridCol w:w="319"/>
        <w:gridCol w:w="319"/>
        <w:gridCol w:w="319"/>
        <w:gridCol w:w="512"/>
        <w:gridCol w:w="512"/>
        <w:gridCol w:w="1059"/>
      </w:tblGrid>
      <w:tr>
        <w:trPr/>
        <w:tc>
          <w:tcPr>
            <w:tcW w:w="52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Adjusted Financial Measures (U.S. dollars in millions, except per share amounts) - Unaudited</w:t>
            </w:r>
          </w:p>
        </w:tc>
      </w:tr>
      <w:tr>
        <w:trPr/>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8"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20"/>
              </w:rPr>
              <w:t xml:space="preserve">Adjusted </w:t>
            </w:r>
            <w:r>
              <w:rPr>
                <w:rFonts w:ascii="Franklin Gothic Book;sans-serif" w:hAnsi="Franklin Gothic Book;sans-serif"/>
                <w:b/>
                <w:color w:val="000000"/>
                <w:sz w:val="13"/>
              </w:rPr>
              <w:t xml:space="preserve">(1) </w:t>
            </w:r>
            <w:r>
              <w:rPr>
                <w:rFonts w:ascii="Franklin Gothic Book;sans-serif" w:hAnsi="Franklin Gothic Book;sans-serif"/>
                <w:b/>
                <w:color w:val="000000"/>
                <w:sz w:val="20"/>
              </w:rPr>
              <w:t xml:space="preserve">Three Months Ended </w:t>
            </w:r>
          </w:p>
          <w:p>
            <w:pPr>
              <w:pStyle w:val="TableContents"/>
              <w:bidi w:val="0"/>
              <w:spacing w:lineRule="auto" w:line="240" w:before="0" w:after="0"/>
              <w:jc w:val="center"/>
              <w:rPr>
                <w:rFonts w:ascii="Franklin Gothic Book;sans-serif" w:hAnsi="Franklin Gothic Book;sans-serif"/>
                <w:b/>
                <w:color w:val="000000"/>
                <w:sz w:val="20"/>
              </w:rPr>
            </w:pPr>
            <w:r>
              <w:rPr>
                <w:rFonts w:ascii="Franklin Gothic Book;sans-serif" w:hAnsi="Franklin Gothic Book;sans-serif"/>
                <w:b/>
                <w:color w:val="000000"/>
                <w:sz w:val="20"/>
              </w:rPr>
              <w:t>March 31,</w:t>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2024</w:t>
            </w:r>
          </w:p>
        </w:tc>
        <w:tc>
          <w:tcPr>
            <w:tcW w:w="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2023</w:t>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 Change</w:t>
            </w:r>
          </w:p>
        </w:tc>
      </w:tr>
      <w:tr>
        <w:trPr/>
        <w:tc>
          <w:tcPr>
            <w:tcW w:w="24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Adjusted SG&amp;A </w:t>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$113.3 </w:t>
            </w:r>
          </w:p>
        </w:tc>
        <w:tc>
          <w:tcPr>
            <w:tcW w:w="3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$108.3 </w:t>
            </w:r>
          </w:p>
        </w:tc>
        <w:tc>
          <w:tcPr>
            <w:tcW w:w="3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4.6 </w:t>
            </w:r>
          </w:p>
        </w:tc>
        <w:tc>
          <w:tcPr>
            <w:tcW w:w="10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4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Adjusted R&amp;D </w:t>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42.9 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46.2 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(7.1)</w:t>
            </w:r>
          </w:p>
        </w:tc>
        <w:tc>
          <w:tcPr>
            <w:tcW w:w="105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4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Adjusted operating income </w:t>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53.1 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26.8 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98.3 </w:t>
            </w:r>
          </w:p>
        </w:tc>
        <w:tc>
          <w:tcPr>
            <w:tcW w:w="105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4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Adjusted net income</w:t>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40.0 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23.3 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71.4 </w:t>
            </w:r>
          </w:p>
        </w:tc>
        <w:tc>
          <w:tcPr>
            <w:tcW w:w="105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4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Adjusted diluted earnings per share </w:t>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$0.73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$0.43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69.8 </w:t>
            </w:r>
          </w:p>
        </w:tc>
        <w:tc>
          <w:tcPr>
            <w:tcW w:w="105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(1)</w:t>
            </w:r>
          </w:p>
        </w:tc>
        <w:tc>
          <w:tcPr>
            <w:tcW w:w="9108" w:type="dxa"/>
            <w:gridSpan w:val="21"/>
            <w:tcBorders/>
            <w:tcMar>
              <w:top w:w="0" w:type="dxa"/>
              <w:left w:w="0" w:type="dxa"/>
              <w:bottom w:w="0" w:type="dxa"/>
              <w:right w:w="0" w:type="dxa"/>
            </w:tcMar>
            <w:vAlign w:val="center"/>
          </w:tcPr>
          <w:p>
            <w:pPr>
              <w:pStyle w:val="TableContents"/>
              <w:bidi w:val="0"/>
              <w:spacing w:lineRule="auto" w:line="240" w:before="0" w:after="0"/>
              <w:jc w:val="both"/>
              <w:rPr>
                <w:rFonts w:ascii="Franklin Gothic Book;sans-serif" w:hAnsi="Franklin Gothic Book;sans-serif"/>
                <w:b w:val="false"/>
                <w:color w:val="000000"/>
                <w:sz w:val="18"/>
              </w:rPr>
            </w:pPr>
            <w:r>
              <w:rPr>
                <w:rFonts w:ascii="Franklin Gothic Book;sans-serif" w:hAnsi="Franklin Gothic Book;sans-serif"/>
                <w:b w:val="false"/>
                <w:color w:val="000000"/>
                <w:sz w:val="18"/>
              </w:rPr>
              <w:t>Adjusted financial measures are non-GAAP measures and exclude specified items as described and reconciled in the “Reconciliation of GAAP to non-GAAP Financial Measures” contained in the news release.</w:t>
            </w:r>
          </w:p>
        </w:tc>
      </w:tr>
    </w:tbl>
    <w:tbl>
      <w:tblPr>
        <w:tblW w:w="10205" w:type="dxa"/>
        <w:jc w:val="center"/>
        <w:tblInd w:w="0" w:type="dxa"/>
        <w:tblLayout w:type="fixed"/>
        <w:tblCellMar>
          <w:top w:w="28" w:type="dxa"/>
          <w:left w:w="28" w:type="dxa"/>
          <w:bottom w:w="28" w:type="dxa"/>
          <w:right w:w="28" w:type="dxa"/>
        </w:tblCellMar>
      </w:tblPr>
      <w:tblGrid>
        <w:gridCol w:w="316"/>
        <w:gridCol w:w="277"/>
        <w:gridCol w:w="277"/>
        <w:gridCol w:w="320"/>
        <w:gridCol w:w="285"/>
        <w:gridCol w:w="285"/>
        <w:gridCol w:w="192"/>
        <w:gridCol w:w="192"/>
        <w:gridCol w:w="192"/>
        <w:gridCol w:w="500"/>
        <w:gridCol w:w="270"/>
        <w:gridCol w:w="550"/>
        <w:gridCol w:w="209"/>
        <w:gridCol w:w="209"/>
        <w:gridCol w:w="209"/>
        <w:gridCol w:w="497"/>
        <w:gridCol w:w="257"/>
        <w:gridCol w:w="550"/>
        <w:gridCol w:w="192"/>
        <w:gridCol w:w="192"/>
        <w:gridCol w:w="192"/>
        <w:gridCol w:w="470"/>
        <w:gridCol w:w="341"/>
        <w:gridCol w:w="729"/>
        <w:gridCol w:w="277"/>
        <w:gridCol w:w="277"/>
        <w:gridCol w:w="277"/>
        <w:gridCol w:w="470"/>
        <w:gridCol w:w="341"/>
        <w:gridCol w:w="860"/>
      </w:tblGrid>
      <w:tr>
        <w:trPr/>
        <w:tc>
          <w:tcPr>
            <w:tcW w:w="31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Statistics (as a % of net revenue, except for income tax rate) - Unaudited</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 xml:space="preserve">GAAP Three Months Ended </w:t>
              <w:br/>
              <w:t>March 31,</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2"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20"/>
              </w:rPr>
              <w:t xml:space="preserve">Adjusted </w:t>
            </w:r>
            <w:r>
              <w:rPr>
                <w:rFonts w:ascii="Franklin Gothic Book;sans-serif" w:hAnsi="Franklin Gothic Book;sans-serif"/>
                <w:b/>
                <w:color w:val="000000"/>
                <w:sz w:val="13"/>
              </w:rPr>
              <w:t>(1)</w:t>
            </w:r>
            <w:r>
              <w:rPr>
                <w:color w:val="000000"/>
              </w:rPr>
              <w:t xml:space="preserve"> </w:t>
            </w:r>
            <w:r>
              <w:rPr>
                <w:rFonts w:ascii="Franklin Gothic Book;sans-serif" w:hAnsi="Franklin Gothic Book;sans-serif"/>
                <w:b/>
                <w:color w:val="000000"/>
                <w:sz w:val="20"/>
              </w:rPr>
              <w:t>Three Months Ended March 31,</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2024</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2023</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2024</w:t>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2023</w:t>
            </w:r>
          </w:p>
        </w:tc>
      </w:tr>
      <w:tr>
        <w:trPr/>
        <w:tc>
          <w:tcPr>
            <w:tcW w:w="17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Gross profit</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70.3 </w:t>
            </w:r>
          </w:p>
        </w:tc>
        <w:tc>
          <w:tcPr>
            <w:tcW w:w="5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66.1 </w:t>
            </w:r>
          </w:p>
        </w:tc>
        <w:tc>
          <w:tcPr>
            <w:tcW w:w="5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71.0 </w:t>
            </w:r>
          </w:p>
        </w:tc>
        <w:tc>
          <w:tcPr>
            <w:tcW w:w="7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68.8 </w:t>
            </w:r>
          </w:p>
        </w:tc>
        <w:tc>
          <w:tcPr>
            <w:tcW w:w="8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7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SG&amp;A</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44.0 </w:t>
            </w:r>
          </w:p>
        </w:tc>
        <w:tc>
          <w:tcPr>
            <w:tcW w:w="55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47.1 </w:t>
            </w:r>
          </w:p>
        </w:tc>
        <w:tc>
          <w:tcPr>
            <w:tcW w:w="55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38.4 </w:t>
            </w:r>
          </w:p>
        </w:tc>
        <w:tc>
          <w:tcPr>
            <w:tcW w:w="72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41.1 </w:t>
            </w:r>
          </w:p>
        </w:tc>
        <w:tc>
          <w:tcPr>
            <w:tcW w:w="8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7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R&amp;D</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15.5 </w:t>
            </w:r>
          </w:p>
        </w:tc>
        <w:tc>
          <w:tcPr>
            <w:tcW w:w="55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19.0 </w:t>
            </w:r>
          </w:p>
        </w:tc>
        <w:tc>
          <w:tcPr>
            <w:tcW w:w="55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14.5 </w:t>
            </w:r>
          </w:p>
        </w:tc>
        <w:tc>
          <w:tcPr>
            <w:tcW w:w="72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17.5 </w:t>
            </w:r>
          </w:p>
        </w:tc>
        <w:tc>
          <w:tcPr>
            <w:tcW w:w="8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7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Operating income (loss)</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5.5 </w:t>
            </w:r>
          </w:p>
        </w:tc>
        <w:tc>
          <w:tcPr>
            <w:tcW w:w="55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(0.9)</w:t>
            </w:r>
          </w:p>
        </w:tc>
        <w:tc>
          <w:tcPr>
            <w:tcW w:w="55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18.0 </w:t>
            </w:r>
          </w:p>
        </w:tc>
        <w:tc>
          <w:tcPr>
            <w:tcW w:w="72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10.2 </w:t>
            </w:r>
          </w:p>
        </w:tc>
        <w:tc>
          <w:tcPr>
            <w:tcW w:w="8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7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Net (loss) income</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(14.2)</w:t>
            </w:r>
          </w:p>
        </w:tc>
        <w:tc>
          <w:tcPr>
            <w:tcW w:w="55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2.8 </w:t>
            </w:r>
          </w:p>
        </w:tc>
        <w:tc>
          <w:tcPr>
            <w:tcW w:w="55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13.6 </w:t>
            </w:r>
          </w:p>
        </w:tc>
        <w:tc>
          <w:tcPr>
            <w:tcW w:w="72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8.9 </w:t>
            </w:r>
          </w:p>
        </w:tc>
        <w:tc>
          <w:tcPr>
            <w:tcW w:w="8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7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Income tax rate</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(22.6)</w:t>
            </w:r>
          </w:p>
        </w:tc>
        <w:tc>
          <w:tcPr>
            <w:tcW w:w="55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24.3 </w:t>
            </w:r>
          </w:p>
        </w:tc>
        <w:tc>
          <w:tcPr>
            <w:tcW w:w="55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20.8 </w:t>
            </w:r>
          </w:p>
        </w:tc>
        <w:tc>
          <w:tcPr>
            <w:tcW w:w="72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6.2 </w:t>
            </w:r>
          </w:p>
        </w:tc>
        <w:tc>
          <w:tcPr>
            <w:tcW w:w="8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(1)</w:t>
            </w:r>
          </w:p>
        </w:tc>
        <w:tc>
          <w:tcPr>
            <w:tcW w:w="9335" w:type="dxa"/>
            <w:gridSpan w:val="27"/>
            <w:tcBorders/>
            <w:tcMar>
              <w:top w:w="0" w:type="dxa"/>
              <w:left w:w="0" w:type="dxa"/>
              <w:bottom w:w="0" w:type="dxa"/>
              <w:right w:w="0" w:type="dxa"/>
            </w:tcMar>
            <w:vAlign w:val="center"/>
          </w:tcPr>
          <w:p>
            <w:pPr>
              <w:pStyle w:val="TableContents"/>
              <w:bidi w:val="0"/>
              <w:spacing w:lineRule="auto" w:line="240" w:before="0" w:after="283"/>
              <w:jc w:val="both"/>
              <w:rPr>
                <w:rFonts w:ascii="Franklin Gothic Book;sans-serif" w:hAnsi="Franklin Gothic Book;sans-serif"/>
                <w:b w:val="false"/>
                <w:color w:val="000000"/>
                <w:sz w:val="18"/>
              </w:rPr>
            </w:pPr>
            <w:r>
              <w:rPr>
                <w:rFonts w:ascii="Franklin Gothic Book;sans-serif" w:hAnsi="Franklin Gothic Book;sans-serif"/>
                <w:b w:val="false"/>
                <w:color w:val="000000"/>
                <w:sz w:val="18"/>
              </w:rPr>
              <w:t>Adjusted financial measures are non-GAAP measures and exclude specified items as described and reconciled in the “Reconciliation of GAAP to non-GAAP Financial Measures” contained in the news release.</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39140"/>
                <wp:effectExtent l="0" t="0" r="0" b="0"/>
                <wp:wrapNone/>
                <wp:docPr id="15" name="Frame1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2333" w:type="dxa"/>
        <w:jc w:val="left"/>
        <w:tblInd w:w="0" w:type="dxa"/>
        <w:tblLayout w:type="fixed"/>
        <w:tblCellMar>
          <w:top w:w="28" w:type="dxa"/>
          <w:left w:w="28" w:type="dxa"/>
          <w:bottom w:w="28" w:type="dxa"/>
          <w:right w:w="28" w:type="dxa"/>
        </w:tblCellMar>
      </w:tblPr>
      <w:tblGrid>
        <w:gridCol w:w="744"/>
        <w:gridCol w:w="328"/>
        <w:gridCol w:w="264"/>
        <w:gridCol w:w="379"/>
        <w:gridCol w:w="192"/>
        <w:gridCol w:w="427"/>
        <w:gridCol w:w="296"/>
        <w:gridCol w:w="260"/>
        <w:gridCol w:w="576"/>
        <w:gridCol w:w="307"/>
        <w:gridCol w:w="249"/>
        <w:gridCol w:w="553"/>
        <w:gridCol w:w="310"/>
        <w:gridCol w:w="246"/>
        <w:gridCol w:w="544"/>
        <w:gridCol w:w="267"/>
        <w:gridCol w:w="267"/>
        <w:gridCol w:w="592"/>
        <w:gridCol w:w="300"/>
        <w:gridCol w:w="256"/>
        <w:gridCol w:w="569"/>
        <w:gridCol w:w="282"/>
        <w:gridCol w:w="274"/>
        <w:gridCol w:w="608"/>
        <w:gridCol w:w="329"/>
        <w:gridCol w:w="242"/>
        <w:gridCol w:w="537"/>
        <w:gridCol w:w="314"/>
        <w:gridCol w:w="242"/>
        <w:gridCol w:w="537"/>
        <w:gridCol w:w="371"/>
        <w:gridCol w:w="185"/>
        <w:gridCol w:w="486"/>
      </w:tblGrid>
      <w:tr>
        <w:trPr/>
        <w:tc>
          <w:tcPr>
            <w:tcW w:w="74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2333"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RECONCILIATION OF GAAP TO NON-GAAP FINANCIAL MEASURES - UNAUDITED</w:t>
              <w:br/>
              <w:t>(U.S. dollars in millions, except per share amounts)</w:t>
            </w:r>
          </w:p>
        </w:tc>
      </w:tr>
      <w:tr>
        <w:trPr/>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2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Specified Items</w:t>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Three Months Ended</w:t>
              <w:br/>
              <w:t>March 31, 2024</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GAAP Financial Measures</w:t>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Restructuring Expenses </w:t>
              <w:br/>
              <w:t>(A)</w:t>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Depreciation and Amortization Expenses </w:t>
              <w:br/>
              <w:t>(B)</w:t>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Financing Transactions</w:t>
              <w:br/>
              <w:t>(C)</w:t>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Contingent Consideration</w:t>
              <w:br/>
              <w:t>(D)</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Certain Legal &amp; Regulatory Costs</w:t>
              <w:br/>
              <w:t>(E)</w:t>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Stock-based Compensation Costs </w:t>
              <w:br/>
              <w:t>(F)</w:t>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Certain Tax Adjustments </w:t>
              <w:br/>
              <w:t>(G)</w:t>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Certain Interest Adjustments </w:t>
              <w:br/>
              <w:t>(H)</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Adjusted Financial Measures</w:t>
            </w:r>
          </w:p>
        </w:tc>
      </w:tr>
      <w:tr>
        <w:trPr/>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Cost of sales</w:t>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$87.5 </w:t>
            </w:r>
          </w:p>
        </w:tc>
        <w:tc>
          <w:tcPr>
            <w:tcW w:w="4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($1.7)</w:t>
            </w:r>
          </w:p>
        </w:tc>
        <w:tc>
          <w:tcPr>
            <w:tcW w:w="5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$0.2 </w:t>
            </w:r>
          </w:p>
        </w:tc>
        <w:tc>
          <w:tcPr>
            <w:tcW w:w="5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($0.4)</w:t>
            </w:r>
          </w:p>
        </w:tc>
        <w:tc>
          <w:tcPr>
            <w:tcW w:w="6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$85.6 </w:t>
            </w:r>
          </w:p>
        </w:tc>
        <w:tc>
          <w:tcPr>
            <w:tcW w:w="4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Gross profit percent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70.3 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0.6 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0.1 </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71.0 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129.9 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(2.6)</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(6.1)</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(7.8)</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113.3 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 as a percent of net revenue</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44.0 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(0.9)</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(2.1)</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(2.7)</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38.4 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45.7 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(0.8)</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(2.0)</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42.9 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 as a percent of net revenue</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15.5 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(0.3)</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(0.7)</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14.5 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operating expense</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15.6 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(9.2)</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(6.4)</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income</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16.2 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9.2 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4.3 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13.2 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10.2 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53.1 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margin percent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5.5 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3.1 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1.5 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4.5 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3.5 </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18.0 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(loss) income</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(41.9)</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9.2 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4.3 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40.3 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13.2 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10.2 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(2.8)</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7.6 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40.0 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(loss) income as a percent of net revenue</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(14.2)</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3.1 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1.5 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13.7 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4.5 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3.5 </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(1.0)</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2.6 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13.6 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Diluted EPS</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($0.78)</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$0.17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$0.08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$0.74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$0.24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$0.19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($0.05)</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$0.14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$0.73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77"/>
        <w:gridCol w:w="418"/>
        <w:gridCol w:w="418"/>
        <w:gridCol w:w="3353"/>
        <w:gridCol w:w="2612"/>
        <w:gridCol w:w="2662"/>
        <w:gridCol w:w="109"/>
        <w:gridCol w:w="156"/>
      </w:tblGrid>
      <w:tr>
        <w:trPr/>
        <w:tc>
          <w:tcPr>
            <w:tcW w:w="47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9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GAAP results for the three months ended March 31, 2024 include:</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(A)</w:t>
            </w:r>
          </w:p>
        </w:tc>
        <w:tc>
          <w:tcPr>
            <w:tcW w:w="8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Restructuring expenses related to organizational changes</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(B)</w:t>
            </w:r>
          </w:p>
        </w:tc>
        <w:tc>
          <w:tcPr>
            <w:tcW w:w="8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Includes depreciation and amortization associated with purchase price accounting</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(C)</w:t>
            </w:r>
          </w:p>
        </w:tc>
        <w:tc>
          <w:tcPr>
            <w:tcW w:w="8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Loss on debt extinguishment, as well as mark-to-market adjustments for the embedded derivative features and capped call derivatives</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(D)</w:t>
            </w:r>
          </w:p>
        </w:tc>
        <w:tc>
          <w:tcPr>
            <w:tcW w:w="8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Remeasurement of contingent consideration related to ImThera acquisition</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(E)</w:t>
            </w:r>
          </w:p>
        </w:tc>
        <w:tc>
          <w:tcPr>
            <w:tcW w:w="8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3T Heater-Cooler litigation provision, cybersecurity incident costs, legal expenses primarily related to 3T Heater-Cooler defense, costs related to the SNIA matter, and Medical Device Regulation ("MDR") costs</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(F)</w:t>
            </w:r>
          </w:p>
        </w:tc>
        <w:tc>
          <w:tcPr>
            <w:tcW w:w="8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Non-cash expenses associated with stock-based compensation costs</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(G)</w:t>
            </w:r>
          </w:p>
        </w:tc>
        <w:tc>
          <w:tcPr>
            <w:tcW w:w="8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The impact of valuation allowances, discrete tax items, the tax impact of intercompany transactions and the tax impact on non-GAAP adjustments</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(H)</w:t>
            </w:r>
          </w:p>
        </w:tc>
        <w:tc>
          <w:tcPr>
            <w:tcW w:w="8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Non-cash interest expense on the 2025 cash exchangeable senior notes, 2029 convertible senior notes and 2021 Revolving Credit Facility, interest expense on the Term Facilities and interest income on the collateral for the SNIA litigation guarantee and delayed draw on Term Facilities</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940"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Franklin Gothic Book;sans-serif" w:hAnsi="Franklin Gothic Book;sans-serif"/>
                <w:b w:val="false"/>
                <w:color w:val="000000"/>
                <w:sz w:val="16"/>
              </w:rPr>
              <w:t>Numbers may not add precisely due to rounding.</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739140"/>
                <wp:effectExtent l="0" t="0" r="0" b="0"/>
                <wp:wrapNone/>
                <wp:docPr id="16" name="Frame1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3378" w:type="dxa"/>
        <w:jc w:val="left"/>
        <w:tblInd w:w="0" w:type="dxa"/>
        <w:tblLayout w:type="fixed"/>
        <w:tblCellMar>
          <w:top w:w="28" w:type="dxa"/>
          <w:left w:w="28" w:type="dxa"/>
          <w:bottom w:w="28" w:type="dxa"/>
          <w:right w:w="28" w:type="dxa"/>
        </w:tblCellMar>
      </w:tblPr>
      <w:tblGrid>
        <w:gridCol w:w="744"/>
        <w:gridCol w:w="328"/>
        <w:gridCol w:w="264"/>
        <w:gridCol w:w="364"/>
        <w:gridCol w:w="192"/>
        <w:gridCol w:w="427"/>
        <w:gridCol w:w="339"/>
        <w:gridCol w:w="217"/>
        <w:gridCol w:w="482"/>
        <w:gridCol w:w="296"/>
        <w:gridCol w:w="260"/>
        <w:gridCol w:w="576"/>
        <w:gridCol w:w="307"/>
        <w:gridCol w:w="249"/>
        <w:gridCol w:w="553"/>
        <w:gridCol w:w="325"/>
        <w:gridCol w:w="246"/>
        <w:gridCol w:w="544"/>
        <w:gridCol w:w="289"/>
        <w:gridCol w:w="267"/>
        <w:gridCol w:w="592"/>
        <w:gridCol w:w="300"/>
        <w:gridCol w:w="256"/>
        <w:gridCol w:w="569"/>
        <w:gridCol w:w="282"/>
        <w:gridCol w:w="274"/>
        <w:gridCol w:w="608"/>
        <w:gridCol w:w="314"/>
        <w:gridCol w:w="242"/>
        <w:gridCol w:w="537"/>
        <w:gridCol w:w="314"/>
        <w:gridCol w:w="242"/>
        <w:gridCol w:w="537"/>
        <w:gridCol w:w="371"/>
        <w:gridCol w:w="185"/>
        <w:gridCol w:w="486"/>
      </w:tblGrid>
      <w:tr>
        <w:trPr/>
        <w:tc>
          <w:tcPr>
            <w:tcW w:w="74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233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RECONCILIATION OF GAAP TO NON-GAAP FINANCIAL MEASURES - UNAUDITED</w:t>
              <w:br/>
              <w:t>(U.S. dollars in millions, except per share amounts)</w:t>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7"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Specified Items</w:t>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Three Months Ended</w:t>
              <w:br/>
              <w:t>March 31, 2023</w:t>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GAAP Financial Measures</w:t>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Merger and Integration Expenses (A)</w:t>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Restructuring Expenses </w:t>
              <w:br/>
              <w:t>(B)</w:t>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Depreciation and Amortization Expenses </w:t>
              <w:br/>
              <w:t>(C)</w:t>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Financing Transactions</w:t>
              <w:br/>
              <w:t>(D)</w:t>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Contingent Consideration</w:t>
              <w:br/>
              <w:t>(E)</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Certain Legal &amp; Regulatory Costs</w:t>
              <w:br/>
              <w:t>(F)</w:t>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Stock-based Compensation Costs </w:t>
              <w:br/>
              <w:t>(G)</w:t>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Certain Tax Adjustments </w:t>
              <w:br/>
              <w:t>(H)</w:t>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Certain Interest Adjustments </w:t>
              <w:br/>
              <w:t>(I)</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Adjusted Financial Measures</w:t>
            </w:r>
          </w:p>
        </w:tc>
      </w:tr>
      <w:tr>
        <w:trPr/>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Cost of sales</w:t>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$89.3 </w:t>
            </w:r>
          </w:p>
        </w:tc>
        <w:tc>
          <w:tcPr>
            <w:tcW w:w="4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4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($3.6)</w:t>
            </w:r>
          </w:p>
        </w:tc>
        <w:tc>
          <w:tcPr>
            <w:tcW w:w="5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($3.1)</w:t>
            </w:r>
          </w:p>
        </w:tc>
        <w:tc>
          <w:tcPr>
            <w:tcW w:w="5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($0.4)</w:t>
            </w:r>
          </w:p>
        </w:tc>
        <w:tc>
          <w:tcPr>
            <w:tcW w:w="6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$82.2 </w:t>
            </w:r>
          </w:p>
        </w:tc>
        <w:tc>
          <w:tcPr>
            <w:tcW w:w="4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Gross profit percent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66.1 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1.4 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1.2 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0.2 </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68.8 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124.1 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(2.9)</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(4.5)</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(8.5)</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108.3 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 as a percent of net revenue</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47.1 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(1.1)</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(1.7)</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(3.2)</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41.1 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50.0 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(1.8)</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(0.5)</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(1.6)</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46.2 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 as a percent of net revenue</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19.0 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(0.7)</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(0.2)</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(0.6)</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17.5 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operating expense</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2.3 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(0.3)</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(0.7)</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(1.3)</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(loss) income</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(2.3)</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0.3 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0.7 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6.4 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4.8 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6.3 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10.6 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26.8 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margin percent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(0.9)</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0.1 </w:t>
            </w:r>
          </w:p>
        </w:tc>
        <w:tc>
          <w:tcPr>
            <w:tcW w:w="48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0.3 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2.4 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1.8 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2.4 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4.0 </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10.2 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income</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7.4 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0.3 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0.7 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6.4 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(21.0)</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4.8 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6.3 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10.6 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0.8 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7.0 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23.3 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income as a percent of net revenue</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2.8 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0.1 </w:t>
            </w:r>
          </w:p>
        </w:tc>
        <w:tc>
          <w:tcPr>
            <w:tcW w:w="48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0.3 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2.4 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(8.0)</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1.8 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2.4 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4.0 </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0.3 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2.7 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8.9 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Diluted EPS</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$0.14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$0.01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$0.01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$0.12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($0.39)</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$0.09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$0.12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$0.20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$0.02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$0.13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$0.43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57"/>
        <w:gridCol w:w="487"/>
        <w:gridCol w:w="487"/>
        <w:gridCol w:w="2950"/>
        <w:gridCol w:w="2337"/>
        <w:gridCol w:w="3387"/>
      </w:tblGrid>
      <w:tr>
        <w:trPr/>
        <w:tc>
          <w:tcPr>
            <w:tcW w:w="55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3387"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GAAP results for the three months ended March 31, 2023 include:</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(A)</w:t>
            </w:r>
          </w:p>
        </w:tc>
        <w:tc>
          <w:tcPr>
            <w:tcW w:w="8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Merger and integration expenses related to the acquisition of ALung Technologies, Inc.</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(B)</w:t>
            </w:r>
          </w:p>
        </w:tc>
        <w:tc>
          <w:tcPr>
            <w:tcW w:w="8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Restructuring expenses related to organizational changes</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(C)</w:t>
            </w:r>
          </w:p>
        </w:tc>
        <w:tc>
          <w:tcPr>
            <w:tcW w:w="8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Includes depreciation and amortization associated with purchase price accounting</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(D)</w:t>
            </w:r>
          </w:p>
        </w:tc>
        <w:tc>
          <w:tcPr>
            <w:tcW w:w="8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Mark-to-market adjustment for the exchangeable option feature and capped call derivatives</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(E)</w:t>
            </w:r>
          </w:p>
        </w:tc>
        <w:tc>
          <w:tcPr>
            <w:tcW w:w="8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Remeasurement of contingent consideration related to acquisitions</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(F)</w:t>
            </w:r>
          </w:p>
        </w:tc>
        <w:tc>
          <w:tcPr>
            <w:tcW w:w="8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3T Heater-Cooler litigation provision, legal expenses primarily related to 3T Heater-Cooler defense, costs related to the SNIA matter and MDR costs</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(G)</w:t>
            </w:r>
          </w:p>
        </w:tc>
        <w:tc>
          <w:tcPr>
            <w:tcW w:w="8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Non-cash expenses associated with stock-based compensation costs</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(H)</w:t>
            </w:r>
          </w:p>
        </w:tc>
        <w:tc>
          <w:tcPr>
            <w:tcW w:w="8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Discrete tax items, R&amp;D tax credits and the tax impact of intercompany transactions</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6D2077"/>
                <w:sz w:val="16"/>
              </w:rPr>
            </w:pPr>
            <w:r>
              <w:rPr>
                <w:rFonts w:ascii="Franklin Gothic Book;sans-serif" w:hAnsi="Franklin Gothic Book;sans-serif"/>
                <w:b/>
                <w:color w:val="6D2077"/>
                <w:sz w:val="16"/>
              </w:rPr>
              <w:t>(I)</w:t>
            </w:r>
          </w:p>
        </w:tc>
        <w:tc>
          <w:tcPr>
            <w:tcW w:w="8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Non-cash interest expense on the 2025 cash exchangeable senior notes and 2021 Revolving Credit Facility, interest expense on the Term Facilities and interest income on the collateral for the SNIA litigation guarantee</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Franklin Gothic Book;sans-serif" w:hAnsi="Franklin Gothic Book;sans-serif"/>
                <w:b w:val="false"/>
                <w:color w:val="000000"/>
                <w:sz w:val="16"/>
              </w:rPr>
              <w:t>Numbers may not add precisely due to rounding.</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39140"/>
                <wp:effectExtent l="0" t="0" r="0" b="0"/>
                <wp:wrapNone/>
                <wp:docPr id="17" name="Frame1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793"/>
        <w:gridCol w:w="1392"/>
        <w:gridCol w:w="1285"/>
        <w:gridCol w:w="339"/>
        <w:gridCol w:w="339"/>
        <w:gridCol w:w="339"/>
        <w:gridCol w:w="605"/>
        <w:gridCol w:w="578"/>
        <w:gridCol w:w="450"/>
        <w:gridCol w:w="339"/>
        <w:gridCol w:w="339"/>
        <w:gridCol w:w="339"/>
        <w:gridCol w:w="676"/>
        <w:gridCol w:w="605"/>
        <w:gridCol w:w="787"/>
      </w:tblGrid>
      <w:tr>
        <w:trPr/>
        <w:tc>
          <w:tcPr>
            <w:tcW w:w="1793"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 xml:space="preserve">LIVANOVA PLC AND SUBSIDIARIES </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CONDENSED CONSOLIDATED BALANCE SHEETS - UNAUDITED</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(U.S. dollars in millions)</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March 31, 2024</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December 31, 2023</w:t>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ASSETS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00000"/>
                <w:sz w:val="20"/>
              </w:rPr>
            </w:pPr>
            <w:r>
              <w:rPr>
                <w:rFonts w:ascii="Franklin Gothic Book;sans-serif" w:hAnsi="Franklin Gothic Book;sans-serif"/>
                <w:b w:val="false"/>
                <w:i/>
                <w:color w:val="000000"/>
                <w:sz w:val="20"/>
              </w:rPr>
              <w:t>Current Assets: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Cash and cash equivalents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$309.2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$266.5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Restricted cash</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306.5 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311.4 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Accounts receivable, net of allowance</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209.4 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215.1 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Inventories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153.2 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147.9 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Prepaid and refundable taxes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22.5 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20.1 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2068"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2068"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Prepaid expenses and other current assets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39.2 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27.2 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Current Assets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Franklin Gothic Book;sans-serif" w:hAnsi="Franklin Gothic Book;sans-serif"/>
                <w:b/>
                <w:color w:val="000000"/>
                <w:sz w:val="20"/>
              </w:rPr>
              <w:t>1,040.0</w:t>
            </w:r>
            <w:r>
              <w:rPr>
                <w:color w:val="000000"/>
              </w:rPr>
              <w:t> </w:t>
            </w:r>
          </w:p>
        </w:tc>
        <w:tc>
          <w:tcPr>
            <w:tcW w:w="4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Franklin Gothic Book;sans-serif" w:hAnsi="Franklin Gothic Book;sans-serif"/>
                <w:b/>
                <w:color w:val="000000"/>
                <w:sz w:val="20"/>
              </w:rPr>
              <w:t>988.2</w:t>
            </w:r>
            <w:r>
              <w:rPr>
                <w:color w:val="000000"/>
              </w:rPr>
              <w:t> </w:t>
            </w:r>
          </w:p>
        </w:tc>
        <w:tc>
          <w:tcPr>
            <w:tcW w:w="7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Property, plant and equipment, net</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152.2 </w:t>
            </w:r>
          </w:p>
        </w:tc>
        <w:tc>
          <w:tcPr>
            <w:tcW w:w="4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154.2 </w:t>
            </w:r>
          </w:p>
        </w:tc>
        <w:tc>
          <w:tcPr>
            <w:tcW w:w="7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Goodwill</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771.8 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782.9 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Intangible assets, net</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253.9 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261.2 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Operating lease assets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50.3 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50.8 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Investments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22.7 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22.8 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Deferred tax assets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113.7 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118.9 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Long-term derivative assets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41.6 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38.5 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Other assets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13.4 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12.1 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Assets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Franklin Gothic Book;sans-serif" w:hAnsi="Franklin Gothic Book;sans-serif"/>
                <w:b/>
                <w:color w:val="000000"/>
                <w:sz w:val="20"/>
              </w:rPr>
              <w:t>$2,459.6</w:t>
            </w:r>
            <w:r>
              <w:rPr>
                <w:color w:val="000000"/>
              </w:rPr>
              <w:t> </w:t>
            </w:r>
          </w:p>
        </w:tc>
        <w:tc>
          <w:tcPr>
            <w:tcW w:w="4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Franklin Gothic Book;sans-serif" w:hAnsi="Franklin Gothic Book;sans-serif"/>
                <w:b/>
                <w:color w:val="000000"/>
                <w:sz w:val="20"/>
              </w:rPr>
              <w:t>$2,429.6</w:t>
            </w:r>
            <w:r>
              <w:rPr>
                <w:color w:val="000000"/>
              </w:rPr>
              <w:t> </w:t>
            </w:r>
          </w:p>
        </w:tc>
        <w:tc>
          <w:tcPr>
            <w:tcW w:w="7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LIABILITIES AND STOCKHOLDERS' EQUITY</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00000"/>
                <w:sz w:val="20"/>
              </w:rPr>
            </w:pPr>
            <w:r>
              <w:rPr>
                <w:rFonts w:ascii="Franklin Gothic Book;sans-serif" w:hAnsi="Franklin Gothic Book;sans-serif"/>
                <w:b w:val="false"/>
                <w:i/>
                <w:color w:val="000000"/>
                <w:sz w:val="20"/>
              </w:rPr>
              <w:t>Current Liabilities: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Current debt obligations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$19.7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$18.1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Accounts payable</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75.9 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80.8 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Accrued liabilities and other</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94.0 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107.3 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2068"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Current litigation provision liability</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17.0 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10.8 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Taxes payable</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29.8 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23.3 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Accrued employee compensation and related benefits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91.4 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94.6 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2068"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Current Liabilities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Franklin Gothic Book;sans-serif" w:hAnsi="Franklin Gothic Book;sans-serif"/>
                <w:b/>
                <w:color w:val="000000"/>
                <w:sz w:val="20"/>
              </w:rPr>
              <w:t>327.8</w:t>
            </w:r>
            <w:r>
              <w:rPr>
                <w:color w:val="000000"/>
              </w:rPr>
              <w:t> </w:t>
            </w:r>
          </w:p>
        </w:tc>
        <w:tc>
          <w:tcPr>
            <w:tcW w:w="4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Franklin Gothic Book;sans-serif" w:hAnsi="Franklin Gothic Book;sans-serif"/>
                <w:b/>
                <w:color w:val="000000"/>
                <w:sz w:val="20"/>
              </w:rPr>
              <w:t>335.0</w:t>
            </w:r>
            <w:r>
              <w:rPr>
                <w:color w:val="000000"/>
              </w:rPr>
              <w:t> </w:t>
            </w:r>
          </w:p>
        </w:tc>
        <w:tc>
          <w:tcPr>
            <w:tcW w:w="7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Long-term debt obligations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604.8 </w:t>
            </w:r>
          </w:p>
        </w:tc>
        <w:tc>
          <w:tcPr>
            <w:tcW w:w="4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568.5 </w:t>
            </w:r>
          </w:p>
        </w:tc>
        <w:tc>
          <w:tcPr>
            <w:tcW w:w="7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Contingent consideration</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80.8 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80.9 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2068"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Deferred tax liabilities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11.0 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11.6 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Long-term operating lease liabilities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43.7 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45.4 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Long-term employee compensation and related benefits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17.1 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17.3 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Long-term derivative liabilities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104.9 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45.6 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Other long-term liabilities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48.1 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47.7 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Liabilities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1,238.1 </w:t>
            </w:r>
          </w:p>
        </w:tc>
        <w:tc>
          <w:tcPr>
            <w:tcW w:w="4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1,151.9 </w:t>
            </w:r>
          </w:p>
        </w:tc>
        <w:tc>
          <w:tcPr>
            <w:tcW w:w="7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Stockholders’ Equity</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1,221.5 </w:t>
            </w:r>
          </w:p>
        </w:tc>
        <w:tc>
          <w:tcPr>
            <w:tcW w:w="4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1,277.6 </w:t>
            </w:r>
          </w:p>
        </w:tc>
        <w:tc>
          <w:tcPr>
            <w:tcW w:w="7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Liabilities and Stockholders’ Equity</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Franklin Gothic Book;sans-serif" w:hAnsi="Franklin Gothic Book;sans-serif"/>
                <w:b/>
                <w:color w:val="000000"/>
                <w:sz w:val="20"/>
              </w:rPr>
              <w:t>$2,459.6</w:t>
            </w:r>
            <w:r>
              <w:rPr>
                <w:color w:val="000000"/>
              </w:rPr>
              <w:t> </w:t>
            </w:r>
          </w:p>
        </w:tc>
        <w:tc>
          <w:tcPr>
            <w:tcW w:w="4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Franklin Gothic Book;sans-serif" w:hAnsi="Franklin Gothic Book;sans-serif"/>
                <w:b/>
                <w:color w:val="000000"/>
                <w:sz w:val="20"/>
              </w:rPr>
              <w:t>$2,429.6</w:t>
            </w:r>
            <w:r>
              <w:rPr>
                <w:color w:val="000000"/>
              </w:rPr>
              <w:t> </w:t>
            </w:r>
          </w:p>
        </w:tc>
        <w:tc>
          <w:tcPr>
            <w:tcW w:w="7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Franklin Gothic Book;sans-serif" w:hAnsi="Franklin Gothic Book;sans-serif"/>
                <w:b w:val="false"/>
                <w:color w:val="000000"/>
                <w:sz w:val="20"/>
              </w:rPr>
              <w:t>Numbers may not add precisely due to rounding.</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739140"/>
                <wp:effectExtent l="0" t="0" r="0" b="0"/>
                <wp:wrapNone/>
                <wp:docPr id="18" name="Frame1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430"/>
        <w:gridCol w:w="2084"/>
        <w:gridCol w:w="2092"/>
        <w:gridCol w:w="109"/>
        <w:gridCol w:w="109"/>
        <w:gridCol w:w="109"/>
        <w:gridCol w:w="435"/>
        <w:gridCol w:w="395"/>
        <w:gridCol w:w="298"/>
        <w:gridCol w:w="298"/>
        <w:gridCol w:w="298"/>
        <w:gridCol w:w="298"/>
        <w:gridCol w:w="444"/>
        <w:gridCol w:w="382"/>
        <w:gridCol w:w="424"/>
      </w:tblGrid>
      <w:tr>
        <w:trPr/>
        <w:tc>
          <w:tcPr>
            <w:tcW w:w="2430"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LIVANOVA PLC AND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CONDENSED CONSOLIDATED STATEMENTS OF CASH FLOWS -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(U.S. 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Three Months Ended March 31,</w:t>
            </w:r>
          </w:p>
        </w:tc>
      </w:tr>
      <w:tr>
        <w:trPr/>
        <w:tc>
          <w:tcPr>
            <w:tcW w:w="6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2024</w:t>
            </w:r>
          </w:p>
        </w:tc>
        <w:tc>
          <w:tcPr>
            <w:tcW w:w="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2023</w:t>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Net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($41.9)</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$7.4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Adjustments to reconcile net (loss) income to net cash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Loss on debt extinguishment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25.5 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Remeasurement of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11.6 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(26.3)</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10.2 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10.6 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6.3 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6.0 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Amortization of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4.9 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5.0 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Amortization of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4.3 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6.4 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Deferred 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4.8 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(0.1)</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Amortization of operating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2.5 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2.6 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Remeasurement of contingent consideration to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(0.1)</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4.8 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(0.5)</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(0.1)</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Changes in operating assets and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Accounts receivable,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2.0 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7.6 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Inventories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(8.1)</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(11.3)</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Other current and non-current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(8.9)</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(3.8)</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Accounts payable and accrued current and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(15.6)</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21.4 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Taxes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6.9 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Litigation provision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6.2 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(10.3)</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Net cash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10.0 </w:t>
            </w:r>
          </w:p>
        </w:tc>
        <w:tc>
          <w:tcPr>
            <w:tcW w:w="2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20.8 </w:t>
            </w:r>
          </w:p>
        </w:tc>
        <w:tc>
          <w:tcPr>
            <w:tcW w:w="4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Purchases of property, plant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(6.4)</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(7.7)</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Purchase of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(5.1)</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Net cash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(6.4)</w:t>
            </w:r>
          </w:p>
        </w:tc>
        <w:tc>
          <w:tcPr>
            <w:tcW w:w="2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(11.5)</w:t>
            </w:r>
          </w:p>
        </w:tc>
        <w:tc>
          <w:tcPr>
            <w:tcW w:w="4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Proceeds from long-term debt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335.5 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Repayment of long-term debt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(234.4)</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(1.9)</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Payment of debt extinguishment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(39.0)</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Purchase of capped calls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(31.6)</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Proceeds from unwind of capped calls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22.5 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Payment of 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(13.8)</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Shares repurchased from employees for minimum tax withholding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(0.3)</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Payment of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(1.9)</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Repayments of short-term borrowings (maturities greater than 90 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(2.0)</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0.2 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Net cash provided by (used in)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37.1 </w:t>
            </w:r>
          </w:p>
        </w:tc>
        <w:tc>
          <w:tcPr>
            <w:tcW w:w="2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(5.2)</w:t>
            </w:r>
          </w:p>
        </w:tc>
        <w:tc>
          <w:tcPr>
            <w:tcW w:w="4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Effect of exchange rate changes on cash, cash equivalents and 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(3.0)</w:t>
            </w:r>
          </w:p>
        </w:tc>
        <w:tc>
          <w:tcPr>
            <w:tcW w:w="2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3.3 </w:t>
            </w:r>
          </w:p>
        </w:tc>
        <w:tc>
          <w:tcPr>
            <w:tcW w:w="4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Net increase in cash, cash equivalents and 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37.8 </w:t>
            </w:r>
          </w:p>
        </w:tc>
        <w:tc>
          <w:tcPr>
            <w:tcW w:w="2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7.3 </w:t>
            </w:r>
          </w:p>
        </w:tc>
        <w:tc>
          <w:tcPr>
            <w:tcW w:w="4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Cash, cash equivalents and restricted cash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577.9 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515.6 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Cash, cash equivalents and restricted cash at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$615.7 </w:t>
            </w:r>
          </w:p>
        </w:tc>
        <w:tc>
          <w:tcPr>
            <w:tcW w:w="2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$523.0 </w:t>
            </w:r>
          </w:p>
        </w:tc>
        <w:tc>
          <w:tcPr>
            <w:tcW w:w="4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Franklin Gothic Book;sans-serif" w:hAnsi="Franklin Gothic Book;sans-serif"/>
                <w:b w:val="false"/>
                <w:color w:val="000000"/>
                <w:sz w:val="20"/>
              </w:rPr>
              <w:t>Numbers may not add precisely due to rounding.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39140"/>
                <wp:effectExtent l="0" t="0" r="0" b="0"/>
                <wp:wrapNone/>
                <wp:docPr id="19" name="Frame1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98"/>
        <w:gridCol w:w="114"/>
        <w:gridCol w:w="114"/>
        <w:gridCol w:w="114"/>
        <w:gridCol w:w="114"/>
        <w:gridCol w:w="114"/>
        <w:gridCol w:w="110"/>
        <w:gridCol w:w="110"/>
        <w:gridCol w:w="110"/>
        <w:gridCol w:w="407"/>
        <w:gridCol w:w="234"/>
        <w:gridCol w:w="555"/>
        <w:gridCol w:w="110"/>
        <w:gridCol w:w="110"/>
        <w:gridCol w:w="110"/>
        <w:gridCol w:w="438"/>
        <w:gridCol w:w="438"/>
        <w:gridCol w:w="439"/>
        <w:gridCol w:w="110"/>
        <w:gridCol w:w="110"/>
        <w:gridCol w:w="110"/>
        <w:gridCol w:w="394"/>
        <w:gridCol w:w="236"/>
        <w:gridCol w:w="558"/>
        <w:gridCol w:w="110"/>
        <w:gridCol w:w="110"/>
        <w:gridCol w:w="110"/>
        <w:gridCol w:w="290"/>
        <w:gridCol w:w="234"/>
        <w:gridCol w:w="555"/>
        <w:gridCol w:w="110"/>
        <w:gridCol w:w="110"/>
        <w:gridCol w:w="110"/>
        <w:gridCol w:w="438"/>
        <w:gridCol w:w="438"/>
        <w:gridCol w:w="439"/>
        <w:gridCol w:w="110"/>
        <w:gridCol w:w="110"/>
        <w:gridCol w:w="110"/>
        <w:gridCol w:w="403"/>
        <w:gridCol w:w="225"/>
        <w:gridCol w:w="636"/>
      </w:tblGrid>
      <w:tr>
        <w:trPr/>
        <w:tc>
          <w:tcPr>
            <w:tcW w:w="29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10205" w:type="dxa"/>
            <w:gridSpan w:val="4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RECONCILIATION OF GAAP TO NON-GAAP FINANCIAL MEASURES - UNAUDITED</w:t>
              <w:br/>
              <w:t>(U.S. dollars in millions)</w:t>
            </w:r>
          </w:p>
        </w:tc>
      </w:tr>
      <w:tr>
        <w:trPr/>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Three Months Ended March 31,</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2023</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GAAP Financial Measures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Certain Tax Adjustments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Adjusted Financial Measures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GAAP Financial Measures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Certain Tax Adjustments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Adjusted Financial Measures</w:t>
            </w:r>
          </w:p>
        </w:tc>
      </w:tr>
      <w:tr>
        <w:trPr/>
        <w:tc>
          <w:tcPr>
            <w:tcW w:w="86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(Loss) income before tax</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($34.2)</w:t>
            </w:r>
          </w:p>
        </w:tc>
        <w:tc>
          <w:tcPr>
            <w:tcW w:w="5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 </w:t>
            </w:r>
          </w:p>
        </w:tc>
        <w:tc>
          <w:tcPr>
            <w:tcW w:w="4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$50.5 </w:t>
            </w:r>
          </w:p>
        </w:tc>
        <w:tc>
          <w:tcPr>
            <w:tcW w:w="5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$9.8 </w:t>
            </w:r>
          </w:p>
        </w:tc>
        <w:tc>
          <w:tcPr>
            <w:tcW w:w="5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 </w:t>
            </w:r>
          </w:p>
        </w:tc>
        <w:tc>
          <w:tcPr>
            <w:tcW w:w="4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$24.9 </w:t>
            </w:r>
          </w:p>
        </w:tc>
        <w:tc>
          <w:tcPr>
            <w:tcW w:w="6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Income tax expense</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7.7 </w:t>
            </w:r>
          </w:p>
        </w:tc>
        <w:tc>
          <w:tcPr>
            <w:tcW w:w="5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2.8 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10.5 </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2.4 </w:t>
            </w:r>
          </w:p>
        </w:tc>
        <w:tc>
          <w:tcPr>
            <w:tcW w:w="5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(0.8)</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1.5 </w:t>
            </w:r>
          </w:p>
        </w:tc>
        <w:tc>
          <w:tcPr>
            <w:tcW w:w="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(loss) income</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($41.9)</w:t>
            </w:r>
          </w:p>
        </w:tc>
        <w:tc>
          <w:tcPr>
            <w:tcW w:w="5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($2.8)</w:t>
            </w:r>
          </w:p>
        </w:tc>
        <w:tc>
          <w:tcPr>
            <w:tcW w:w="4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$40.0 </w:t>
            </w:r>
          </w:p>
        </w:tc>
        <w:tc>
          <w:tcPr>
            <w:tcW w:w="5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$7.4 </w:t>
            </w:r>
          </w:p>
        </w:tc>
        <w:tc>
          <w:tcPr>
            <w:tcW w:w="5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$0.8 </w:t>
            </w:r>
          </w:p>
        </w:tc>
        <w:tc>
          <w:tcPr>
            <w:tcW w:w="4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$23.3 </w:t>
            </w:r>
          </w:p>
        </w:tc>
        <w:tc>
          <w:tcPr>
            <w:tcW w:w="6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Income tax rate</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(22.6)</w:t>
            </w:r>
          </w:p>
        </w:tc>
        <w:tc>
          <w:tcPr>
            <w:tcW w:w="55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20.8 </w:t>
            </w:r>
          </w:p>
        </w:tc>
        <w:tc>
          <w:tcPr>
            <w:tcW w:w="55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24.3 </w:t>
            </w:r>
          </w:p>
        </w:tc>
        <w:tc>
          <w:tcPr>
            <w:tcW w:w="55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6.2 </w:t>
            </w:r>
          </w:p>
        </w:tc>
        <w:tc>
          <w:tcPr>
            <w:tcW w:w="63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679" w:type="dxa"/>
            <w:gridSpan w:val="39"/>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Numbers may not add precisely due to rounding.</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3"/>
        <w:gridCol w:w="239"/>
        <w:gridCol w:w="181"/>
        <w:gridCol w:w="254"/>
        <w:gridCol w:w="254"/>
        <w:gridCol w:w="254"/>
        <w:gridCol w:w="180"/>
        <w:gridCol w:w="180"/>
        <w:gridCol w:w="180"/>
        <w:gridCol w:w="600"/>
        <w:gridCol w:w="307"/>
        <w:gridCol w:w="229"/>
        <w:gridCol w:w="229"/>
        <w:gridCol w:w="229"/>
        <w:gridCol w:w="229"/>
        <w:gridCol w:w="600"/>
        <w:gridCol w:w="307"/>
        <w:gridCol w:w="229"/>
        <w:gridCol w:w="180"/>
        <w:gridCol w:w="180"/>
        <w:gridCol w:w="180"/>
        <w:gridCol w:w="323"/>
        <w:gridCol w:w="326"/>
        <w:gridCol w:w="669"/>
        <w:gridCol w:w="180"/>
        <w:gridCol w:w="180"/>
        <w:gridCol w:w="180"/>
        <w:gridCol w:w="581"/>
        <w:gridCol w:w="581"/>
        <w:gridCol w:w="1621"/>
      </w:tblGrid>
      <w:tr>
        <w:trPr/>
        <w:tc>
          <w:tcPr>
            <w:tcW w:w="34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RECONCILIATION OF GAAP TO NON-GAAP FINANCIAL MEASURES - UNAUDITED</w:t>
              <w:br/>
              <w:t>(U.S. dollars in millions)</w:t>
            </w:r>
          </w:p>
        </w:tc>
      </w:tr>
      <w:tr>
        <w:trPr/>
        <w:tc>
          <w:tcPr>
            <w:tcW w:w="7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Three Months Ended March 31,</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 xml:space="preserve">% Change </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6"/>
              </w:rPr>
              <w:t xml:space="preserve">Constant-Currency % Change </w:t>
            </w:r>
            <w:r>
              <w:rPr>
                <w:rFonts w:ascii="Franklin Gothic Book;sans-serif" w:hAnsi="Franklin Gothic Book;sans-serif"/>
                <w:b/>
                <w:color w:val="000000"/>
                <w:sz w:val="10"/>
              </w:rPr>
              <w:t>(1)</w:t>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2023</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GAAP net revenue</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$294.9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$263.4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12.0 </w:t>
            </w:r>
          </w:p>
        </w:tc>
        <w:tc>
          <w:tcPr>
            <w:tcW w:w="6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12.4 </w:t>
            </w:r>
          </w:p>
        </w:tc>
        <w:tc>
          <w:tcPr>
            <w:tcW w:w="16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1525"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 xml:space="preserve">Less: ACS </w:t>
            </w:r>
            <w:r>
              <w:rPr>
                <w:rFonts w:ascii="Franklin Gothic Book;sans-serif" w:hAnsi="Franklin Gothic Book;sans-serif"/>
                <w:b w:val="false"/>
                <w:color w:val="000000"/>
                <w:sz w:val="10"/>
              </w:rPr>
              <w:t>(2)</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4.1 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6.2 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(33.2)</w:t>
            </w:r>
          </w:p>
        </w:tc>
        <w:tc>
          <w:tcPr>
            <w:tcW w:w="6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(33.6)</w:t>
            </w:r>
          </w:p>
        </w:tc>
        <w:tc>
          <w:tcPr>
            <w:tcW w:w="162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15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revenue excluding ACS</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$290.8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$257.2 </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13.0 </w:t>
            </w:r>
          </w:p>
        </w:tc>
        <w:tc>
          <w:tcPr>
            <w:tcW w:w="6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13.5 </w:t>
            </w:r>
          </w:p>
        </w:tc>
        <w:tc>
          <w:tcPr>
            <w:tcW w:w="16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(1)</w:t>
            </w:r>
          </w:p>
        </w:tc>
        <w:tc>
          <w:tcPr>
            <w:tcW w:w="9442"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Constant-currency percent change, a non-GAAP financial measure, measures the change in revenue between current and prior-year periods using average exchange rates in effect during the applicable prior-year period.</w:t>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(2)</w:t>
            </w:r>
          </w:p>
        </w:tc>
        <w:tc>
          <w:tcPr>
            <w:tcW w:w="9442"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Includes net revenue from the Company's former ACS reportable segment.</w:t>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42"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Numbers may not add precisely due to rounding.</w:t>
            </w:r>
          </w:p>
        </w:tc>
      </w:tr>
    </w:tbl>
    <w:p>
      <w:pPr>
        <w:pStyle w:val="TextBody"/>
        <w:bidi w:val="0"/>
        <w:spacing w:before="0" w:after="0"/>
        <w:jc w:val="left"/>
        <w:rPr/>
      </w:pPr>
      <w:r>
        <w:rPr/>
      </w:r>
    </w:p>
    <w:p>
      <w:pPr>
        <w:pStyle w:val="TextBody"/>
        <w:bidi w:val="0"/>
        <w:spacing w:lineRule="auto" w:line="432"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The following table presents the reconciliation of GAAP diluted weighted average shares outstanding, used in the computation of GAAP diluted net loss per common share, to adjusted diluted weighted average shares outstanding, used in the computation of adjusted diluted earnings per common share (in millions of shares):</w:t>
      </w:r>
    </w:p>
    <w:tbl>
      <w:tblPr>
        <w:tblW w:w="10205" w:type="dxa"/>
        <w:jc w:val="left"/>
        <w:tblInd w:w="0" w:type="dxa"/>
        <w:tblLayout w:type="fixed"/>
        <w:tblCellMar>
          <w:top w:w="28" w:type="dxa"/>
          <w:left w:w="28" w:type="dxa"/>
          <w:bottom w:w="28" w:type="dxa"/>
          <w:right w:w="28" w:type="dxa"/>
        </w:tblCellMar>
      </w:tblPr>
      <w:tblGrid>
        <w:gridCol w:w="749"/>
        <w:gridCol w:w="442"/>
        <w:gridCol w:w="442"/>
        <w:gridCol w:w="953"/>
        <w:gridCol w:w="953"/>
        <w:gridCol w:w="953"/>
        <w:gridCol w:w="748"/>
        <w:gridCol w:w="748"/>
        <w:gridCol w:w="748"/>
        <w:gridCol w:w="1047"/>
        <w:gridCol w:w="838"/>
        <w:gridCol w:w="875"/>
        <w:gridCol w:w="109"/>
        <w:gridCol w:w="109"/>
        <w:gridCol w:w="109"/>
        <w:gridCol w:w="109"/>
        <w:gridCol w:w="109"/>
        <w:gridCol w:w="164"/>
      </w:tblGrid>
      <w:tr>
        <w:trPr/>
        <w:tc>
          <w:tcPr>
            <w:tcW w:w="7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496"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RECONCILIATION OF GAAP TO NON-GAAP FINANCIAL MEASURES - UNAUDITED</w:t>
              <w:br/>
              <w:t>(shares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1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44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GAAP diluted weighted average shares outstanding</w:t>
            </w:r>
          </w:p>
        </w:tc>
        <w:tc>
          <w:tcPr>
            <w:tcW w:w="2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54.0 </w:t>
            </w:r>
          </w:p>
        </w:tc>
        <w:tc>
          <w:tcPr>
            <w:tcW w:w="8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Add: Effects of stock-based compensation instruments</w:t>
            </w:r>
          </w:p>
        </w:tc>
        <w:tc>
          <w:tcPr>
            <w:tcW w:w="2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0.4 </w:t>
            </w:r>
          </w:p>
        </w:tc>
        <w:tc>
          <w:tcPr>
            <w:tcW w:w="8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92"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 xml:space="preserve">Adjusted diluted weighted average shares outstanding </w:t>
            </w:r>
            <w:r>
              <w:rPr>
                <w:rFonts w:ascii="Franklin Gothic Book;sans-serif" w:hAnsi="Franklin Gothic Book;sans-serif"/>
                <w:b w:val="false"/>
                <w:color w:val="000000"/>
                <w:sz w:val="10"/>
              </w:rPr>
              <w:t>(1)</w:t>
            </w:r>
          </w:p>
        </w:tc>
        <w:tc>
          <w:tcPr>
            <w:tcW w:w="2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54.4 </w:t>
            </w:r>
          </w:p>
        </w:tc>
        <w:tc>
          <w:tcPr>
            <w:tcW w:w="8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Franklin Gothic Book;sans-serif" w:hAnsi="Franklin Gothic Book;sans-serif"/>
                <w:b w:val="false"/>
                <w:color w:val="000000"/>
                <w:sz w:val="16"/>
              </w:rPr>
            </w:pPr>
            <w:r>
              <w:rPr>
                <w:rFonts w:ascii="Franklin Gothic Book;sans-serif" w:hAnsi="Franklin Gothic Book;sans-serif"/>
                <w:b w:val="false"/>
                <w:color w:val="000000"/>
                <w:sz w:val="16"/>
              </w:rPr>
              <w:t>(1)</w:t>
            </w:r>
          </w:p>
        </w:tc>
        <w:tc>
          <w:tcPr>
            <w:tcW w:w="78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Adjusted diluted weighted average shares outstanding is a non-GAAP measure and includes the effects of stock-based compensation instruments, as reconciled in the above table.</w:t>
            </w:r>
          </w:p>
        </w:tc>
        <w:tc>
          <w:tcPr>
            <w:tcW w:w="709" w:type="dxa"/>
            <w:gridSpan w:val="6"/>
            <w:tcBorders/>
          </w:tcPr>
          <w:p>
            <w:pPr>
              <w:pStyle w:val="TableContents"/>
              <w:bidi w:val="0"/>
              <w:spacing w:before="0" w:after="283"/>
              <w:jc w:val="left"/>
              <w:rPr>
                <w:sz w:val="4"/>
                <w:szCs w:val="4"/>
              </w:rPr>
            </w:pPr>
            <w:r>
              <w:rPr>
                <w:sz w:val="4"/>
                <w:szCs w:val="4"/>
              </w:rPr>
            </w:r>
          </w:p>
        </w:tc>
      </w:tr>
      <w:tr>
        <w:trPr/>
        <w:tc>
          <w:tcPr>
            <w:tcW w:w="16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8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Numbers may not add precisely due to rounding.</w:t>
            </w:r>
          </w:p>
        </w:tc>
        <w:tc>
          <w:tcPr>
            <w:tcW w:w="709" w:type="dxa"/>
            <w:gridSpan w:val="6"/>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exhibit99-q12024changein.htm"/>
      <w:bookmarkStart w:id="1" w:name="ksexhibit99q12024changein"/>
      <w:bookmarkEnd w:id="0"/>
      <w:bookmarkEnd w:id="1"/>
      <w:r>
        <w:rPr/>
        <w:drawing>
          <wp:inline distT="0" distB="0" distL="0" distR="0">
            <wp:extent cx="10048875" cy="13001625"/>
            <wp:effectExtent l="0" t="0" r="0" b="0"/>
            <wp:docPr id="2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739140"/>
                <wp:effectExtent l="0" t="0" r="0" b="0"/>
                <wp:wrapNone/>
                <wp:docPr id="21" name="Frame1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Net Revenue (in thousands, unaudited) Three Months Ended March 31, 2023 Three Months Ended June 30, 2023 Six Months Ended June 30, 2023 Three Months Ended September 30, 2023 Nine Months Ended September 30, 2023 Three Months Ended December 31, 2023 Twelve Months Ended December 31, 2023 Cardiopulmonary United States $ 39,609 $ 50,001 $ 89,610 $ 52,281 $ 141,891 $ 60,467 $ 202,358 Europe 36,385 39,339 75,724 35,484 111,208 46,206 157,414 Rest of World 59,750 64,773 124,523 61,190 185,713 58,627 244,340 135,744 154,113 289,857 148,955 438,812 165,300 604,112 Neuromodulation United States 94,489 104,065 198,554 102,475 301,029 106,464 407,493 Europe 13,280 15,125 28,405 12,661 41,066 16,369 57,435 Rest of World 12,954 13,991 26,945 13,744 40,689 14,093 54,782 120,723 133,181 253,904 128,880 382,784 136,926 519,710 Other Revenue 6,951 6,588 13,539 8,278 21,817 7,906 29,723 Totals United States 140,267 159,973 300,240 161,583 461,823 173,221 635,044 Europe 49,643 54,459 104,102 48,129 152,231 62,561 214,792 Rest of World 73,508 79,450 152,958 76,401 229,359 74,350 303,709 $ 263,418 $ 293,882 $ 557,300 $ 286,113 $ 843,413 $ 310,132 $ 1,153,545 Net Revenue (in thousands, unaudited) Three Months Ended March 31, 2022 Three Months Ended June 30, 2022 Six Months Ended June 30, 2022 Three Months Ended September 30, 2022 Nine Months Ended September 30, 2022 Three Months Ended December 31, 2022 Twelve Months Ended December 31, 2022 Cardiopulmonary United States $ 41,264 $ 40,404 $ 81,668 $ 41,374 $ 123,042 $ 48,590 $ 171,632 Europe 32,670 33,684 66,354 28,871 95,225 33,320 128,545 Rest of World 46,990 54,828 101,818 53,812 155,630 58,391 214,021 120,924 128,916 249,840 124,057 373,897 140,301 514,198 Neuromodulation United States 87,210 91,431 178,641 96,504 275,145 99,397 374,542 Europe 12,456 13,710 26,166 11,130 37,296 12,995 50,291 Rest of World 10,561 12,654 23,215 14,201 37,416 14,744 52,160 110,227 117,795 228,022 121,835 349,857 127,136 476,993 Other Revenue 9,024 7,440 16,464 6,713 23,177 7,437 30,614 Totals United States 136,269 138,086 274,355 143,410 417,765 153,793 571,558 Europe 45,126 47,372 92,498 39,998 132,496 46,306 178,802 Rest of World 58,780 68,693 127,473 69,197 196,670 74,775 271,445 $ 240,175 $ 254,151 $ 494,326 $ 252,605 $ 746,931 $ 274,874 $ 1,021,805 Exhibit 99.2 LivaNova PLC Historical Recast of Segment Data Unaudited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Segment Income (Loss) (in thousands, unaudited) Three Months Ended March 31, 2023 Three Months Ended June 30, 2023 Six Months Ended June 30, 2023 Three Months Ended September 30, 2023 Nine Months Ended September 30, 2023 Three Months Ended December 31, 2023 Twelve Months Ended December 31, 2023 Cardiopulmonary $ 9,174 $ 12,812 $ 21,986 $ (2,193) $ 19,794 $ 6,613 $ 26,407 Neuromodulation 27,006 38,148 65,154 41,930 107,084 46,300 153,384 Segment income 36,180 50,960 87,140 39,737 126,878 52,913 179,791 Other income/ (expense) (38,522) (33,584) (72,106) (35,279) (107,386) (140,903) (248,289) Operating (loss) income $ (2,342) $ 17,376 $ 15,034 $ 4,458 $ 19,492 $ (87,990) $ (68,498) Segment Income (Loss) (in thousands, unaudited) Three Months Ended March 31, 2022 Three Months Ended June 30, 2022 Six Months Ended June 30, 2022 Three Months Ended September 30, 2022 Nine Months Ended September 30, 2022 Three Months Ended December 31, 2022 Twelve Months Ended December 31, 2022 Cardiopulmonary $ 8,549 $ 4,884 $ 13,433 $ (9,048) $ 4,385 $ 12,721 $ 17,106 Neuromodulation 37,478 51,360 88,838 43,281 132,119 40,656 172,775 Segment income 46,027 56,244 102,271 34,233 136,504 53,377 189,881 Other income/ (expense) (36,522) (24,488) (61,010) (166,206) (227,216) (39,417) (266,633) Operating income (loss) $ 9,505 $ 31,756 $ 41,261 $ (131,973) $ (90,712) $ 13,960 $ (76,752) Exhibit 99.2 LivaNova PLC Historical Recast of Segment Data Unaudited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Franklin Gothic Demi">
    <w:altName w:val="sans-serif"/>
    <w:charset w:val="01"/>
    <w:family w:val="auto"/>
    <w:pitch w:val="default"/>
  </w:font>
  <w:font w:name="Franklin Gothic Book">
    <w:altName w:val="sans-serif"/>
    <w:charset w:val="01"/>
    <w:family w:val="auto"/>
    <w:pitch w:val="default"/>
  </w:font>
  <w:font w:name="Arial">
    <w:altName w:val="sans-serif"/>
    <w:charset w:val="01"/>
    <w:family w:val="auto"/>
    <w:pitch w:val="default"/>
  </w:font>
  <w:font w:name="Franklin Gothic Medium">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6216</Words>
  <Characters>34962</Characters>
  <CharactersWithSpaces>40576</CharactersWithSpaces>
  <Paragraphs>1227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exhibit99-q12024changein</dc:title>
</cp:coreProperties>
</file>