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431800</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t>UNITED STATES</w:t>
      </w:r>
    </w:p>
    <w:p>
      <w:pPr>
        <w:spacing w:after="0" w:line="3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SECURITIES AND EXCHANGE COMMISSION</w:t>
      </w:r>
    </w:p>
    <w:p>
      <w:pPr>
        <w:spacing w:after="0" w:line="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30"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FORM 8-K</w:t>
      </w:r>
    </w:p>
    <w:p>
      <w:pPr>
        <w:spacing w:after="0" w:line="252"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CURRENT REPORT</w:t>
      </w:r>
    </w:p>
    <w:p>
      <w:pPr>
        <w:spacing w:after="0" w:line="252"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Pursuant to Section 13 or 15(d) of the Securities Exchange Act of 1934</w:t>
      </w:r>
    </w:p>
    <w:p>
      <w:pPr>
        <w:spacing w:after="0" w:line="256"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Date of Report (Date of earliest event reported): March 14, 2025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2834005</wp:posOffset>
            </wp:positionH>
            <wp:positionV relativeFrom="paragraph">
              <wp:posOffset>171450</wp:posOffset>
            </wp:positionV>
            <wp:extent cx="1474470" cy="46291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474470" cy="46291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38"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LivaNova PLC</w:t>
      </w:r>
    </w:p>
    <w:p>
      <w:pPr>
        <w:spacing w:after="0" w:line="3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pacing w:after="0" w:line="135" w:lineRule="exact"/>
        <w:rPr>
          <w:sz w:val="24"/>
          <w:szCs w:val="24"/>
          <w:color w:val="auto"/>
        </w:rPr>
      </w:pPr>
    </w:p>
    <w:tbl>
      <w:tblPr>
        <w:tblLayout w:type="fixed"/>
        <w:tblInd w:w="1320" w:type="dxa"/>
        <w:tblCellMar>
          <w:top w:w="0" w:type="dxa"/>
          <w:left w:w="0" w:type="dxa"/>
          <w:bottom w:w="0" w:type="dxa"/>
          <w:right w:w="0" w:type="dxa"/>
        </w:tblCellMar>
      </w:tblPr>
      <w:tr>
        <w:trPr>
          <w:trHeight w:val="238"/>
        </w:trPr>
        <w:tc>
          <w:tcPr>
            <w:tcW w:w="2120" w:type="dxa"/>
            <w:vAlign w:val="bottom"/>
          </w:tcPr>
          <w:p>
            <w:pPr>
              <w:jc w:val="center"/>
              <w:ind w:right="70"/>
              <w:spacing w:after="0"/>
              <w:rPr>
                <w:sz w:val="20"/>
                <w:szCs w:val="20"/>
                <w:color w:val="auto"/>
              </w:rPr>
            </w:pPr>
            <w:r>
              <w:rPr>
                <w:rFonts w:ascii="Times New Roman" w:cs="Times New Roman" w:eastAsia="Times New Roman" w:hAnsi="Times New Roman"/>
                <w:sz w:val="18"/>
                <w:szCs w:val="18"/>
                <w:b w:val="1"/>
                <w:bCs w:val="1"/>
                <w:color w:val="auto"/>
                <w:w w:val="98"/>
              </w:rPr>
              <w:t>England and Wales</w:t>
            </w:r>
          </w:p>
        </w:tc>
        <w:tc>
          <w:tcPr>
            <w:tcW w:w="4500" w:type="dxa"/>
            <w:vAlign w:val="bottom"/>
          </w:tcPr>
          <w:p>
            <w:pPr>
              <w:jc w:val="center"/>
              <w:ind w:right="70"/>
              <w:spacing w:after="0"/>
              <w:rPr>
                <w:sz w:val="20"/>
                <w:szCs w:val="20"/>
                <w:color w:val="auto"/>
              </w:rPr>
            </w:pPr>
            <w:r>
              <w:rPr>
                <w:rFonts w:ascii="Times New Roman" w:cs="Times New Roman" w:eastAsia="Times New Roman" w:hAnsi="Times New Roman"/>
                <w:sz w:val="18"/>
                <w:szCs w:val="18"/>
                <w:b w:val="1"/>
                <w:bCs w:val="1"/>
                <w:color w:val="auto"/>
                <w:w w:val="99"/>
              </w:rPr>
              <w:t>001-37599</w:t>
            </w:r>
          </w:p>
        </w:tc>
        <w:tc>
          <w:tcPr>
            <w:tcW w:w="1660" w:type="dxa"/>
            <w:vAlign w:val="bottom"/>
          </w:tcPr>
          <w:p>
            <w:pPr>
              <w:jc w:val="center"/>
              <w:ind w:left="250"/>
              <w:spacing w:after="0"/>
              <w:rPr>
                <w:sz w:val="20"/>
                <w:szCs w:val="20"/>
                <w:color w:val="auto"/>
              </w:rPr>
            </w:pPr>
            <w:r>
              <w:rPr>
                <w:rFonts w:ascii="Times New Roman" w:cs="Times New Roman" w:eastAsia="Times New Roman" w:hAnsi="Times New Roman"/>
                <w:sz w:val="18"/>
                <w:szCs w:val="18"/>
                <w:b w:val="1"/>
                <w:bCs w:val="1"/>
                <w:color w:val="auto"/>
              </w:rPr>
              <w:t>98-1268150</w:t>
            </w:r>
          </w:p>
        </w:tc>
      </w:tr>
      <w:tr>
        <w:trPr>
          <w:trHeight w:val="252"/>
        </w:trPr>
        <w:tc>
          <w:tcPr>
            <w:tcW w:w="2120" w:type="dxa"/>
            <w:vAlign w:val="bottom"/>
          </w:tcPr>
          <w:p>
            <w:pPr>
              <w:jc w:val="center"/>
              <w:ind w:right="70"/>
              <w:spacing w:after="0"/>
              <w:rPr>
                <w:sz w:val="20"/>
                <w:szCs w:val="20"/>
                <w:color w:val="auto"/>
              </w:rPr>
            </w:pPr>
            <w:r>
              <w:rPr>
                <w:rFonts w:ascii="Times New Roman" w:cs="Times New Roman" w:eastAsia="Times New Roman" w:hAnsi="Times New Roman"/>
                <w:sz w:val="18"/>
                <w:szCs w:val="18"/>
                <w:color w:val="auto"/>
              </w:rPr>
              <w:t>(State or Other Jurisdiction</w:t>
            </w:r>
          </w:p>
        </w:tc>
        <w:tc>
          <w:tcPr>
            <w:tcW w:w="4500" w:type="dxa"/>
            <w:vAlign w:val="bottom"/>
          </w:tcPr>
          <w:p>
            <w:pPr>
              <w:ind w:left="1660"/>
              <w:spacing w:after="0"/>
              <w:rPr>
                <w:sz w:val="20"/>
                <w:szCs w:val="20"/>
                <w:color w:val="auto"/>
              </w:rPr>
            </w:pPr>
            <w:r>
              <w:rPr>
                <w:rFonts w:ascii="Times New Roman" w:cs="Times New Roman" w:eastAsia="Times New Roman" w:hAnsi="Times New Roman"/>
                <w:sz w:val="18"/>
                <w:szCs w:val="18"/>
                <w:color w:val="auto"/>
              </w:rPr>
              <w:t>(Commission</w:t>
            </w:r>
          </w:p>
        </w:tc>
        <w:tc>
          <w:tcPr>
            <w:tcW w:w="1660" w:type="dxa"/>
            <w:vAlign w:val="bottom"/>
          </w:tcPr>
          <w:p>
            <w:pPr>
              <w:jc w:val="center"/>
              <w:ind w:left="190"/>
              <w:spacing w:after="0"/>
              <w:rPr>
                <w:sz w:val="20"/>
                <w:szCs w:val="20"/>
                <w:color w:val="auto"/>
              </w:rPr>
            </w:pPr>
            <w:r>
              <w:rPr>
                <w:rFonts w:ascii="Times New Roman" w:cs="Times New Roman" w:eastAsia="Times New Roman" w:hAnsi="Times New Roman"/>
                <w:sz w:val="18"/>
                <w:szCs w:val="18"/>
                <w:color w:val="auto"/>
              </w:rPr>
              <w:t>(IRS Employer</w:t>
            </w:r>
          </w:p>
        </w:tc>
      </w:tr>
      <w:tr>
        <w:trPr>
          <w:trHeight w:val="234"/>
        </w:trPr>
        <w:tc>
          <w:tcPr>
            <w:tcW w:w="2120" w:type="dxa"/>
            <w:vAlign w:val="bottom"/>
          </w:tcPr>
          <w:p>
            <w:pPr>
              <w:jc w:val="center"/>
              <w:ind w:right="30"/>
              <w:spacing w:after="0"/>
              <w:rPr>
                <w:sz w:val="20"/>
                <w:szCs w:val="20"/>
                <w:color w:val="auto"/>
              </w:rPr>
            </w:pPr>
            <w:r>
              <w:rPr>
                <w:rFonts w:ascii="Times New Roman" w:cs="Times New Roman" w:eastAsia="Times New Roman" w:hAnsi="Times New Roman"/>
                <w:sz w:val="18"/>
                <w:szCs w:val="18"/>
                <w:color w:val="auto"/>
              </w:rPr>
              <w:t>of Incorporation)</w:t>
            </w:r>
          </w:p>
        </w:tc>
        <w:tc>
          <w:tcPr>
            <w:tcW w:w="4500" w:type="dxa"/>
            <w:vAlign w:val="bottom"/>
          </w:tcPr>
          <w:p>
            <w:pPr>
              <w:jc w:val="center"/>
              <w:ind w:right="70"/>
              <w:spacing w:after="0"/>
              <w:rPr>
                <w:sz w:val="20"/>
                <w:szCs w:val="20"/>
                <w:color w:val="auto"/>
              </w:rPr>
            </w:pPr>
            <w:r>
              <w:rPr>
                <w:rFonts w:ascii="Times New Roman" w:cs="Times New Roman" w:eastAsia="Times New Roman" w:hAnsi="Times New Roman"/>
                <w:sz w:val="18"/>
                <w:szCs w:val="18"/>
                <w:color w:val="auto"/>
              </w:rPr>
              <w:t>File Number)</w:t>
            </w:r>
          </w:p>
        </w:tc>
        <w:tc>
          <w:tcPr>
            <w:tcW w:w="1660" w:type="dxa"/>
            <w:vAlign w:val="bottom"/>
          </w:tcPr>
          <w:p>
            <w:pPr>
              <w:jc w:val="center"/>
              <w:ind w:left="230"/>
              <w:spacing w:after="0"/>
              <w:rPr>
                <w:sz w:val="20"/>
                <w:szCs w:val="20"/>
                <w:color w:val="auto"/>
              </w:rPr>
            </w:pPr>
            <w:r>
              <w:rPr>
                <w:rFonts w:ascii="Times New Roman" w:cs="Times New Roman" w:eastAsia="Times New Roman" w:hAnsi="Times New Roman"/>
                <w:sz w:val="18"/>
                <w:szCs w:val="18"/>
                <w:color w:val="auto"/>
                <w:w w:val="99"/>
              </w:rPr>
              <w:t>Identification No.)</w:t>
            </w:r>
          </w:p>
        </w:tc>
      </w:tr>
      <w:tr>
        <w:trPr>
          <w:trHeight w:val="558"/>
        </w:trPr>
        <w:tc>
          <w:tcPr>
            <w:tcW w:w="2120" w:type="dxa"/>
            <w:vAlign w:val="bottom"/>
          </w:tcPr>
          <w:p>
            <w:pPr>
              <w:spacing w:after="0"/>
              <w:rPr>
                <w:sz w:val="24"/>
                <w:szCs w:val="24"/>
                <w:color w:val="auto"/>
              </w:rPr>
            </w:pPr>
          </w:p>
        </w:tc>
        <w:tc>
          <w:tcPr>
            <w:tcW w:w="4500" w:type="dxa"/>
            <w:vAlign w:val="bottom"/>
          </w:tcPr>
          <w:p>
            <w:pPr>
              <w:jc w:val="center"/>
              <w:ind w:right="50"/>
              <w:spacing w:after="0"/>
              <w:rPr>
                <w:sz w:val="20"/>
                <w:szCs w:val="20"/>
                <w:color w:val="auto"/>
              </w:rPr>
            </w:pPr>
            <w:r>
              <w:rPr>
                <w:rFonts w:ascii="Times New Roman" w:cs="Times New Roman" w:eastAsia="Times New Roman" w:hAnsi="Times New Roman"/>
                <w:sz w:val="18"/>
                <w:szCs w:val="18"/>
                <w:b w:val="1"/>
                <w:bCs w:val="1"/>
                <w:color w:val="auto"/>
                <w:w w:val="99"/>
              </w:rPr>
              <w:t>20 Eastbourne Terrace</w:t>
            </w:r>
          </w:p>
        </w:tc>
        <w:tc>
          <w:tcPr>
            <w:tcW w:w="1660" w:type="dxa"/>
            <w:vAlign w:val="bottom"/>
          </w:tcPr>
          <w:p>
            <w:pPr>
              <w:spacing w:after="0"/>
              <w:rPr>
                <w:sz w:val="24"/>
                <w:szCs w:val="24"/>
                <w:color w:val="auto"/>
              </w:rPr>
            </w:pPr>
          </w:p>
        </w:tc>
      </w:tr>
      <w:tr>
        <w:trPr>
          <w:trHeight w:val="216"/>
        </w:trPr>
        <w:tc>
          <w:tcPr>
            <w:tcW w:w="2120" w:type="dxa"/>
            <w:vAlign w:val="bottom"/>
          </w:tcPr>
          <w:p>
            <w:pPr>
              <w:spacing w:after="0"/>
              <w:rPr>
                <w:sz w:val="18"/>
                <w:szCs w:val="18"/>
                <w:color w:val="auto"/>
              </w:rPr>
            </w:pPr>
          </w:p>
        </w:tc>
        <w:tc>
          <w:tcPr>
            <w:tcW w:w="4500" w:type="dxa"/>
            <w:vAlign w:val="bottom"/>
          </w:tcPr>
          <w:p>
            <w:pPr>
              <w:jc w:val="center"/>
              <w:ind w:right="50"/>
              <w:spacing w:after="0"/>
              <w:rPr>
                <w:sz w:val="20"/>
                <w:szCs w:val="20"/>
                <w:color w:val="auto"/>
              </w:rPr>
            </w:pPr>
            <w:r>
              <w:rPr>
                <w:rFonts w:ascii="Times New Roman" w:cs="Times New Roman" w:eastAsia="Times New Roman" w:hAnsi="Times New Roman"/>
                <w:sz w:val="18"/>
                <w:szCs w:val="18"/>
                <w:b w:val="1"/>
                <w:bCs w:val="1"/>
                <w:color w:val="auto"/>
              </w:rPr>
              <w:t>London, W2 6LG</w:t>
            </w:r>
          </w:p>
        </w:tc>
        <w:tc>
          <w:tcPr>
            <w:tcW w:w="1660" w:type="dxa"/>
            <w:vAlign w:val="bottom"/>
          </w:tcPr>
          <w:p>
            <w:pPr>
              <w:spacing w:after="0"/>
              <w:rPr>
                <w:sz w:val="18"/>
                <w:szCs w:val="18"/>
                <w:color w:val="auto"/>
              </w:rPr>
            </w:pPr>
          </w:p>
        </w:tc>
      </w:tr>
      <w:tr>
        <w:trPr>
          <w:trHeight w:val="220"/>
        </w:trPr>
        <w:tc>
          <w:tcPr>
            <w:tcW w:w="2120" w:type="dxa"/>
            <w:vAlign w:val="bottom"/>
          </w:tcPr>
          <w:p>
            <w:pPr>
              <w:spacing w:after="0"/>
              <w:rPr>
                <w:sz w:val="19"/>
                <w:szCs w:val="19"/>
                <w:color w:val="auto"/>
              </w:rPr>
            </w:pPr>
          </w:p>
        </w:tc>
        <w:tc>
          <w:tcPr>
            <w:tcW w:w="4500" w:type="dxa"/>
            <w:vAlign w:val="bottom"/>
          </w:tcPr>
          <w:p>
            <w:pPr>
              <w:jc w:val="center"/>
              <w:ind w:right="50"/>
              <w:spacing w:after="0"/>
              <w:rPr>
                <w:sz w:val="20"/>
                <w:szCs w:val="20"/>
                <w:color w:val="auto"/>
              </w:rPr>
            </w:pPr>
            <w:r>
              <w:rPr>
                <w:rFonts w:ascii="Times New Roman" w:cs="Times New Roman" w:eastAsia="Times New Roman" w:hAnsi="Times New Roman"/>
                <w:sz w:val="18"/>
                <w:szCs w:val="18"/>
                <w:b w:val="1"/>
                <w:bCs w:val="1"/>
                <w:color w:val="auto"/>
                <w:w w:val="99"/>
              </w:rPr>
              <w:t>United Kingdom</w:t>
            </w:r>
          </w:p>
        </w:tc>
        <w:tc>
          <w:tcPr>
            <w:tcW w:w="1660" w:type="dxa"/>
            <w:vAlign w:val="bottom"/>
          </w:tcPr>
          <w:p>
            <w:pPr>
              <w:spacing w:after="0"/>
              <w:rPr>
                <w:sz w:val="19"/>
                <w:szCs w:val="19"/>
                <w:color w:val="auto"/>
              </w:rPr>
            </w:pPr>
          </w:p>
        </w:tc>
      </w:tr>
      <w:tr>
        <w:trPr>
          <w:trHeight w:val="234"/>
        </w:trPr>
        <w:tc>
          <w:tcPr>
            <w:tcW w:w="2120" w:type="dxa"/>
            <w:vAlign w:val="bottom"/>
          </w:tcPr>
          <w:p>
            <w:pPr>
              <w:spacing w:after="0"/>
              <w:rPr>
                <w:sz w:val="20"/>
                <w:szCs w:val="20"/>
                <w:color w:val="auto"/>
              </w:rPr>
            </w:pPr>
          </w:p>
        </w:tc>
        <w:tc>
          <w:tcPr>
            <w:tcW w:w="4500" w:type="dxa"/>
            <w:vAlign w:val="bottom"/>
          </w:tcPr>
          <w:p>
            <w:pPr>
              <w:jc w:val="center"/>
              <w:ind w:right="30"/>
              <w:spacing w:after="0"/>
              <w:rPr>
                <w:sz w:val="20"/>
                <w:szCs w:val="20"/>
                <w:color w:val="auto"/>
              </w:rPr>
            </w:pPr>
            <w:r>
              <w:rPr>
                <w:rFonts w:ascii="Times New Roman" w:cs="Times New Roman" w:eastAsia="Times New Roman" w:hAnsi="Times New Roman"/>
                <w:sz w:val="18"/>
                <w:szCs w:val="18"/>
                <w:color w:val="auto"/>
              </w:rPr>
              <w:t>(Address of Principal Executive Offices)</w:t>
            </w:r>
          </w:p>
        </w:tc>
        <w:tc>
          <w:tcPr>
            <w:tcW w:w="1660" w:type="dxa"/>
            <w:vAlign w:val="bottom"/>
          </w:tcPr>
          <w:p>
            <w:pPr>
              <w:spacing w:after="0"/>
              <w:rPr>
                <w:sz w:val="20"/>
                <w:szCs w:val="20"/>
                <w:color w:val="auto"/>
              </w:rPr>
            </w:pPr>
          </w:p>
        </w:tc>
      </w:tr>
      <w:tr>
        <w:trPr>
          <w:trHeight w:val="441"/>
        </w:trPr>
        <w:tc>
          <w:tcPr>
            <w:tcW w:w="2120" w:type="dxa"/>
            <w:vAlign w:val="bottom"/>
          </w:tcPr>
          <w:p>
            <w:pPr>
              <w:spacing w:after="0"/>
              <w:rPr>
                <w:sz w:val="24"/>
                <w:szCs w:val="24"/>
                <w:color w:val="auto"/>
              </w:rPr>
            </w:pPr>
          </w:p>
        </w:tc>
        <w:tc>
          <w:tcPr>
            <w:tcW w:w="4500" w:type="dxa"/>
            <w:vAlign w:val="bottom"/>
          </w:tcPr>
          <w:p>
            <w:pPr>
              <w:jc w:val="center"/>
              <w:ind w:right="50"/>
              <w:spacing w:after="0"/>
              <w:rPr>
                <w:sz w:val="20"/>
                <w:szCs w:val="20"/>
                <w:color w:val="auto"/>
              </w:rPr>
            </w:pPr>
            <w:r>
              <w:rPr>
                <w:rFonts w:ascii="Times New Roman" w:cs="Times New Roman" w:eastAsia="Times New Roman" w:hAnsi="Times New Roman"/>
                <w:sz w:val="18"/>
                <w:szCs w:val="18"/>
                <w:b w:val="1"/>
                <w:bCs w:val="1"/>
                <w:color w:val="auto"/>
              </w:rPr>
              <w:t>+44 20 33250660</w:t>
            </w:r>
          </w:p>
        </w:tc>
        <w:tc>
          <w:tcPr>
            <w:tcW w:w="1660" w:type="dxa"/>
            <w:vAlign w:val="bottom"/>
          </w:tcPr>
          <w:p>
            <w:pPr>
              <w:spacing w:after="0"/>
              <w:rPr>
                <w:sz w:val="24"/>
                <w:szCs w:val="24"/>
                <w:color w:val="auto"/>
              </w:rPr>
            </w:pPr>
          </w:p>
        </w:tc>
      </w:tr>
      <w:tr>
        <w:trPr>
          <w:trHeight w:val="234"/>
        </w:trPr>
        <w:tc>
          <w:tcPr>
            <w:tcW w:w="2120" w:type="dxa"/>
            <w:vAlign w:val="bottom"/>
          </w:tcPr>
          <w:p>
            <w:pPr>
              <w:spacing w:after="0"/>
              <w:rPr>
                <w:sz w:val="20"/>
                <w:szCs w:val="20"/>
                <w:color w:val="auto"/>
              </w:rPr>
            </w:pPr>
          </w:p>
        </w:tc>
        <w:tc>
          <w:tcPr>
            <w:tcW w:w="4500" w:type="dxa"/>
            <w:vAlign w:val="bottom"/>
          </w:tcPr>
          <w:p>
            <w:pPr>
              <w:jc w:val="center"/>
              <w:ind w:right="50"/>
              <w:spacing w:after="0"/>
              <w:rPr>
                <w:sz w:val="20"/>
                <w:szCs w:val="20"/>
                <w:color w:val="auto"/>
              </w:rPr>
            </w:pPr>
            <w:r>
              <w:rPr>
                <w:rFonts w:ascii="Times New Roman" w:cs="Times New Roman" w:eastAsia="Times New Roman" w:hAnsi="Times New Roman"/>
                <w:sz w:val="18"/>
                <w:szCs w:val="18"/>
                <w:color w:val="auto"/>
                <w:w w:val="99"/>
              </w:rPr>
              <w:t>(Registrant’s Telephone Number, Including Area Code)</w:t>
            </w:r>
          </w:p>
        </w:tc>
        <w:tc>
          <w:tcPr>
            <w:tcW w:w="1660" w:type="dxa"/>
            <w:vAlign w:val="bottom"/>
          </w:tcPr>
          <w:p>
            <w:pPr>
              <w:spacing w:after="0"/>
              <w:rPr>
                <w:sz w:val="20"/>
                <w:szCs w:val="20"/>
                <w:color w:val="auto"/>
              </w:rPr>
            </w:pPr>
          </w:p>
        </w:tc>
      </w:tr>
    </w:tbl>
    <w:p>
      <w:pPr>
        <w:spacing w:after="0" w:line="22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N/A</w:t>
      </w:r>
    </w:p>
    <w:p>
      <w:pPr>
        <w:spacing w:after="0" w:line="3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(Former Name or Former Address, if Changed Since Last Report)</w:t>
      </w:r>
    </w:p>
    <w:p>
      <w:pPr>
        <w:spacing w:after="0" w:line="234" w:lineRule="exact"/>
        <w:rPr>
          <w:sz w:val="24"/>
          <w:szCs w:val="24"/>
          <w:color w:val="auto"/>
        </w:rPr>
      </w:pPr>
    </w:p>
    <w:p>
      <w:pPr>
        <w:ind w:right="38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is intended to simultaneously satisfy the filing obligation of the registrant under any of the following provisions (see General Instructions A.2. below):</w:t>
      </w:r>
    </w:p>
    <w:p>
      <w:pPr>
        <w:spacing w:after="0" w:line="229" w:lineRule="exact"/>
        <w:rPr>
          <w:sz w:val="24"/>
          <w:szCs w:val="24"/>
          <w:color w:val="auto"/>
        </w:rPr>
      </w:pPr>
    </w:p>
    <w:p>
      <w:pPr>
        <w:ind w:left="240" w:hanging="232"/>
        <w:spacing w:after="0"/>
        <w:tabs>
          <w:tab w:leader="none" w:pos="240" w:val="left"/>
        </w:tabs>
        <w:numPr>
          <w:ilvl w:val="0"/>
          <w:numId w:val="1"/>
        </w:numPr>
        <w:rPr>
          <w:rFonts w:ascii="MS PGothic" w:cs="MS PGothic" w:eastAsia="MS PGothic" w:hAnsi="MS PGothic"/>
          <w:sz w:val="22"/>
          <w:szCs w:val="22"/>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271" w:lineRule="exact"/>
        <w:rPr>
          <w:rFonts w:ascii="MS PGothic" w:cs="MS PGothic" w:eastAsia="MS PGothic" w:hAnsi="MS PGothic"/>
          <w:sz w:val="22"/>
          <w:szCs w:val="22"/>
          <w:color w:val="auto"/>
        </w:rPr>
      </w:pPr>
    </w:p>
    <w:p>
      <w:pPr>
        <w:ind w:left="240" w:hanging="232"/>
        <w:spacing w:after="0"/>
        <w:tabs>
          <w:tab w:leader="none" w:pos="240" w:val="left"/>
        </w:tabs>
        <w:numPr>
          <w:ilvl w:val="0"/>
          <w:numId w:val="1"/>
        </w:numPr>
        <w:rPr>
          <w:rFonts w:ascii="MS PGothic" w:cs="MS PGothic" w:eastAsia="MS PGothic" w:hAnsi="MS PGothic"/>
          <w:sz w:val="22"/>
          <w:szCs w:val="22"/>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271" w:lineRule="exact"/>
        <w:rPr>
          <w:rFonts w:ascii="MS PGothic" w:cs="MS PGothic" w:eastAsia="MS PGothic" w:hAnsi="MS PGothic"/>
          <w:sz w:val="22"/>
          <w:szCs w:val="22"/>
          <w:color w:val="auto"/>
        </w:rPr>
      </w:pPr>
    </w:p>
    <w:p>
      <w:pPr>
        <w:ind w:left="240" w:hanging="232"/>
        <w:spacing w:after="0"/>
        <w:tabs>
          <w:tab w:leader="none" w:pos="240" w:val="left"/>
        </w:tabs>
        <w:numPr>
          <w:ilvl w:val="0"/>
          <w:numId w:val="1"/>
        </w:numPr>
        <w:rPr>
          <w:rFonts w:ascii="MS PGothic" w:cs="MS PGothic" w:eastAsia="MS PGothic" w:hAnsi="MS PGothic"/>
          <w:sz w:val="22"/>
          <w:szCs w:val="22"/>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271" w:lineRule="exact"/>
        <w:rPr>
          <w:rFonts w:ascii="MS PGothic" w:cs="MS PGothic" w:eastAsia="MS PGothic" w:hAnsi="MS PGothic"/>
          <w:sz w:val="22"/>
          <w:szCs w:val="22"/>
          <w:color w:val="auto"/>
        </w:rPr>
      </w:pPr>
    </w:p>
    <w:p>
      <w:pPr>
        <w:ind w:right="2960" w:firstLine="8"/>
        <w:spacing w:after="0" w:line="397" w:lineRule="auto"/>
        <w:tabs>
          <w:tab w:leader="none" w:pos="234" w:val="left"/>
        </w:tabs>
        <w:numPr>
          <w:ilvl w:val="0"/>
          <w:numId w:val="1"/>
        </w:numPr>
        <w:rPr>
          <w:rFonts w:ascii="MS PGothic" w:cs="MS PGothic" w:eastAsia="MS PGothic" w:hAnsi="MS PGothic"/>
          <w:sz w:val="22"/>
          <w:szCs w:val="22"/>
          <w:color w:val="auto"/>
        </w:rPr>
      </w:pPr>
      <w:r>
        <w:rPr>
          <w:rFonts w:ascii="Times New Roman" w:cs="Times New Roman" w:eastAsia="Times New Roman" w:hAnsi="Times New Roman"/>
          <w:sz w:val="18"/>
          <w:szCs w:val="18"/>
          <w:color w:val="auto"/>
        </w:rPr>
        <w:t>Pre-commencement communications pursuant to Rule 13e-4(c) under the Exchange Act (17 CFR 240.13e-4(c)) Securities registered pursuant to Section 12(b) of the Act:</w:t>
      </w:r>
    </w:p>
    <w:tbl>
      <w:tblPr>
        <w:tblLayout w:type="fixed"/>
        <w:tblInd w:w="10" w:type="dxa"/>
        <w:tblCellMar>
          <w:top w:w="0" w:type="dxa"/>
          <w:left w:w="0" w:type="dxa"/>
          <w:bottom w:w="0" w:type="dxa"/>
          <w:right w:w="0" w:type="dxa"/>
        </w:tblCellMar>
      </w:tblPr>
      <w:tr>
        <w:trPr>
          <w:trHeight w:val="224"/>
        </w:trPr>
        <w:tc>
          <w:tcPr>
            <w:tcW w:w="4180" w:type="dxa"/>
            <w:vAlign w:val="bottom"/>
            <w:tcBorders>
              <w:top w:val="single" w:sz="8" w:color="auto"/>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Title of each class</w:t>
            </w:r>
          </w:p>
        </w:tc>
        <w:tc>
          <w:tcPr>
            <w:tcW w:w="1980" w:type="dxa"/>
            <w:vAlign w:val="bottom"/>
            <w:tcBorders>
              <w:top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Trading Symbol(s)</w:t>
            </w:r>
          </w:p>
        </w:tc>
        <w:tc>
          <w:tcPr>
            <w:tcW w:w="4880" w:type="dxa"/>
            <w:vAlign w:val="bottom"/>
            <w:tcBorders>
              <w:top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Name on each exchange on which registered</w:t>
            </w:r>
          </w:p>
        </w:tc>
      </w:tr>
      <w:tr>
        <w:trPr>
          <w:trHeight w:val="223"/>
        </w:trPr>
        <w:tc>
          <w:tcPr>
            <w:tcW w:w="418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Ordinary Shares - £1.00 par value per share</w:t>
            </w:r>
          </w:p>
        </w:tc>
        <w:tc>
          <w:tcPr>
            <w:tcW w:w="19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7"/>
              </w:rPr>
              <w:t>LIVN</w:t>
            </w:r>
          </w:p>
        </w:tc>
        <w:tc>
          <w:tcPr>
            <w:tcW w:w="48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NASDAQ Global Market</w:t>
            </w:r>
          </w:p>
        </w:tc>
      </w:tr>
    </w:tbl>
    <w:p>
      <w:pPr>
        <w:spacing w:after="0" w:line="319" w:lineRule="exact"/>
        <w:rPr>
          <w:sz w:val="24"/>
          <w:szCs w:val="24"/>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23" w:lineRule="exact"/>
        <w:rPr>
          <w:sz w:val="24"/>
          <w:szCs w:val="24"/>
          <w:color w:val="auto"/>
        </w:rPr>
      </w:pPr>
    </w:p>
    <w:p>
      <w:pPr>
        <w:ind w:left="7780"/>
        <w:spacing w:after="0" w:line="207" w:lineRule="exact"/>
        <w:tabs>
          <w:tab w:leader="none" w:pos="10720" w:val="left"/>
        </w:tabs>
        <w:rPr>
          <w:sz w:val="20"/>
          <w:szCs w:val="20"/>
          <w:color w:val="auto"/>
        </w:rPr>
      </w:pPr>
      <w:r>
        <w:rPr>
          <w:rFonts w:ascii="Times New Roman" w:cs="Times New Roman" w:eastAsia="Times New Roman" w:hAnsi="Times New Roman"/>
          <w:sz w:val="18"/>
          <w:szCs w:val="18"/>
          <w:color w:val="auto"/>
        </w:rPr>
        <w:t>Emerging growth company</w:t>
      </w:r>
      <w:r>
        <w:rPr>
          <w:sz w:val="20"/>
          <w:szCs w:val="20"/>
          <w:color w:val="auto"/>
        </w:rPr>
        <w:tab/>
      </w:r>
      <w:r>
        <w:rPr>
          <w:rFonts w:ascii="MS PGothic" w:cs="MS PGothic" w:eastAsia="MS PGothic" w:hAnsi="MS PGothic"/>
          <w:sz w:val="18"/>
          <w:szCs w:val="18"/>
          <w:color w:val="auto"/>
        </w:rPr>
        <w:t>☐</w:t>
      </w:r>
    </w:p>
    <w:p>
      <w:pPr>
        <w:spacing w:after="0" w:line="200" w:lineRule="exact"/>
        <w:rPr>
          <w:sz w:val="24"/>
          <w:szCs w:val="24"/>
          <w:color w:val="auto"/>
        </w:rPr>
      </w:pPr>
    </w:p>
    <w:p>
      <w:pPr>
        <w:spacing w:after="0" w:line="231" w:lineRule="exact"/>
        <w:rPr>
          <w:sz w:val="24"/>
          <w:szCs w:val="24"/>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If an emerging growth company, indicate by check mark if the registrant has elected not to use the extended transition period for complying with any new or revised financial accounting standards provided pursuant to Section 13(a) of the Exchange Act.</w:t>
      </w:r>
    </w:p>
    <w:p>
      <w:pPr>
        <w:sectPr>
          <w:pgSz w:w="11900" w:h="16838" w:orient="portrait"/>
          <w:cols w:equalWidth="0" w:num="1">
            <w:col w:w="11240"/>
          </w:cols>
          <w:pgMar w:left="320" w:top="779" w:right="339" w:bottom="1440" w:gutter="0" w:footer="0" w:header="0"/>
        </w:sectPr>
      </w:pPr>
    </w:p>
    <w:p>
      <w:pPr>
        <w:spacing w:after="0" w:line="23" w:lineRule="exact"/>
        <w:rPr>
          <w:sz w:val="24"/>
          <w:szCs w:val="24"/>
          <w:color w:val="auto"/>
        </w:rPr>
      </w:pPr>
    </w:p>
    <w:p>
      <w:pPr>
        <w:ind w:left="10740"/>
        <w:spacing w:after="0" w:line="181" w:lineRule="exact"/>
        <w:rPr>
          <w:sz w:val="20"/>
          <w:szCs w:val="20"/>
          <w:color w:val="auto"/>
        </w:rPr>
      </w:pP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503555</wp:posOffset>
            </wp:positionV>
            <wp:extent cx="715772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224790</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79" w:right="339" w:bottom="1440" w:gutter="0" w:footer="0" w:header="0"/>
          <w:type w:val="continuous"/>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color w:val="auto"/>
        </w:rPr>
        <w:t>Item 7.01 Regulation FD Disclosure.</w:t>
      </w:r>
    </w:p>
    <w:p>
      <w:pPr>
        <w:spacing w:after="0" w:line="256"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As previously disclosed, LivaNova PLC (the “Company”) has been engaged in a civil action whereby the Court of Appeal of Milan previously declared the Company (formed through a merger with Sorin) jointly and severally liable with SNIA (a former parent of Sorin) for environmental liabilities incurred by SNIA’s other subsidiaries in the amount of €454 million ($493 million as of March 14, 2025). On February 26, 2025, the Italian Supreme Court held a public hearing in connection with the SNIA litigation, and on March 14, 2025, the Italian Supreme Court issued its decision in response to all of the appeals of the Company and counter-appeals submitted by the Ministry of Ecological Transition, the Ministry of Economy and Finance, and the Prime Minister’s Office.</w:t>
      </w:r>
    </w:p>
    <w:p>
      <w:pPr>
        <w:spacing w:after="0" w:line="214"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Pursuant to the decision, the Italian Supreme Court determined that the Company can be held jointly and severally liable for the established liabilities of SNIA at the time of demerger as well as the environmental liabilities of the demerged company that materialized after the demerger which are derived from actions performed prior to the demerger; however, the Italian Supreme Court also ruled that the Company should not be held responsible for certain payments previously approved by the Court of Appeal of Milan in the amount of €157 million ($171 million as of March 14, 2025). The case is now referred back to the Court of Appeal of Milan to implement the decisions respecting costs and damages in accordance with the judgment of the Italian Supreme Court.</w:t>
      </w:r>
    </w:p>
    <w:p>
      <w:pPr>
        <w:spacing w:after="0" w:line="214"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As a result of the decision by the Italian Supreme Court, the Company expects to record a liability of approximately €333 million (approximately $363 million as of March 14, 2025) for the three months ended March 31, 2025 as the best estimate of the liability inclusive of estimated costs, fees, interest, and taxes. Given its cash and cash equivalents of $429 million and restricted cash of $295 million as of December 31, 2024, the Company has determined that it has sufficient resources to cover the liability and will provide further details on its upcoming first-quarter 2025 earnings call.</w:t>
      </w:r>
    </w:p>
    <w:p>
      <w:pPr>
        <w:spacing w:after="0" w:line="207"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Certain statements in this Current Report on Form 8-K, other than statements of historical or current fact, are “forward-looking statements” within the meaning of the Private Securities Litigation Reform Act of 1995, Section 27A of the Securities Act, and Section 21E of the Exchange Act including statements regarding the status and timing of final resolution of the Company’s SNIA litigation and the projected impact of the SNIA litigation on the Company’s financial results. As a result, the Company’s actual financial results, performance, achievements, or prospects may differ materially from those expressed or implied by these forward-looking statements. Generally, forward-looking statements can be identified by the use of words such as “may,” “could,” “seek,” “guidance,” “predict,” “potential,” “likely,” “believe,” “will,” “should,” “expect,” “anticipate,” “estimate,” “plan,” “intend,” “forecast,” “foresee,” or variations of these terms and similar expressions, or the negative of these terms or similar expressions. Such forward-looking statements are necessarily based on estimates and assumptions that, while considered reasonable by the Company and its management based on their knowledge and understanding of the business and industry, are inherently uncertain. You should carefully consider the foregoing factors and the other risks and uncertainties that affect the Company’s business, including those described in the “Risk Factors” section of the Annual Report on Form 10-K, Quarterly Reports on Form 10-Q, Current Reports on Form 8-K, and other documents filed from time to time with the U.S. Securities and Exchange Commission by the Company. Readers are cautioned not to place undue reliance on the Company’s forward-looking statements, which speak only as of the date of this Current Report on Form 8-K. The Company undertakes no obligation to update publicly any of the forward-looking statements in this Current Report on Form 8-K to reflect actual results, new information or future events, changes in assumptions, or changes in other factors affecting forward-looking statements, except to the extent required by applicable law. If the Company updates one or more forward-looking statements, no inference should be drawn that the Company will make additional updates with respect to those or other forward-looking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876935</wp:posOffset>
            </wp:positionV>
            <wp:extent cx="715772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08" w:right="339" w:bottom="1440" w:gutter="0" w:footer="0" w:header="0"/>
        </w:sectPr>
      </w:pPr>
    </w:p>
    <w:bookmarkStart w:id="2" w:name="page3"/>
    <w:bookmarkEnd w:id="2"/>
    <w:p>
      <w:pPr>
        <w:ind w:left="5100"/>
        <w:spacing w:after="0"/>
        <w:rPr>
          <w:sz w:val="20"/>
          <w:szCs w:val="20"/>
          <w:color w:val="auto"/>
        </w:rPr>
      </w:pPr>
      <w:r>
        <w:rPr>
          <w:rFonts w:ascii="Times New Roman" w:cs="Times New Roman" w:eastAsia="Times New Roman" w:hAnsi="Times New Roman"/>
          <w:sz w:val="18"/>
          <w:szCs w:val="18"/>
          <w:b w:val="1"/>
          <w:bCs w:val="1"/>
          <w:color w:val="auto"/>
        </w:rPr>
        <w:t>SIGNATURE</w:t>
      </w:r>
    </w:p>
    <w:p>
      <w:pPr>
        <w:spacing w:after="0" w:line="256"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243" w:lineRule="exact"/>
        <w:rPr>
          <w:sz w:val="20"/>
          <w:szCs w:val="20"/>
          <w:color w:val="auto"/>
        </w:rPr>
      </w:pPr>
    </w:p>
    <w:p>
      <w:pPr>
        <w:ind w:left="3420"/>
        <w:spacing w:after="0"/>
        <w:rPr>
          <w:sz w:val="20"/>
          <w:szCs w:val="20"/>
          <w:color w:val="auto"/>
        </w:rPr>
      </w:pPr>
      <w:r>
        <w:rPr>
          <w:rFonts w:ascii="Times New Roman" w:cs="Times New Roman" w:eastAsia="Times New Roman" w:hAnsi="Times New Roman"/>
          <w:sz w:val="18"/>
          <w:szCs w:val="18"/>
          <w:color w:val="auto"/>
        </w:rPr>
        <w:t>LivaNova PLC</w:t>
      </w:r>
    </w:p>
    <w:p>
      <w:pPr>
        <w:spacing w:after="0" w:line="200" w:lineRule="exact"/>
        <w:rPr>
          <w:sz w:val="20"/>
          <w:szCs w:val="20"/>
          <w:color w:val="auto"/>
        </w:rPr>
      </w:pPr>
    </w:p>
    <w:p>
      <w:pPr>
        <w:spacing w:after="0" w:line="336" w:lineRule="exact"/>
        <w:rPr>
          <w:sz w:val="20"/>
          <w:szCs w:val="20"/>
          <w:color w:val="auto"/>
        </w:rPr>
      </w:pPr>
    </w:p>
    <w:p>
      <w:pPr>
        <w:ind w:left="20"/>
        <w:spacing w:after="0"/>
        <w:tabs>
          <w:tab w:leader="none" w:pos="3400" w:val="left"/>
        </w:tabs>
        <w:rPr>
          <w:sz w:val="20"/>
          <w:szCs w:val="20"/>
          <w:color w:val="auto"/>
        </w:rPr>
      </w:pPr>
      <w:r>
        <w:rPr>
          <w:rFonts w:ascii="Times New Roman" w:cs="Times New Roman" w:eastAsia="Times New Roman" w:hAnsi="Times New Roman"/>
          <w:sz w:val="18"/>
          <w:szCs w:val="18"/>
          <w:color w:val="auto"/>
        </w:rPr>
        <w:t>Date: March 17, 2025</w:t>
      </w:r>
      <w:r>
        <w:rPr>
          <w:sz w:val="20"/>
          <w:szCs w:val="20"/>
          <w:color w:val="auto"/>
        </w:rPr>
        <w:tab/>
      </w:r>
      <w:r>
        <w:rPr>
          <w:rFonts w:ascii="Times New Roman" w:cs="Times New Roman" w:eastAsia="Times New Roman" w:hAnsi="Times New Roman"/>
          <w:sz w:val="18"/>
          <w:szCs w:val="18"/>
          <w:color w:val="auto"/>
        </w:rPr>
        <w:t xml:space="preserve">By: </w:t>
      </w:r>
      <w:r>
        <w:rPr>
          <w:rFonts w:ascii="Times New Roman" w:cs="Times New Roman" w:eastAsia="Times New Roman" w:hAnsi="Times New Roman"/>
          <w:sz w:val="18"/>
          <w:szCs w:val="18"/>
          <w:u w:val="single" w:color="auto"/>
          <w:color w:val="auto"/>
        </w:rPr>
        <w:t>/s/ Michael Hutchinson</w:t>
      </w:r>
    </w:p>
    <w:p>
      <w:pPr>
        <w:spacing w:after="0" w:line="63" w:lineRule="exact"/>
        <w:rPr>
          <w:sz w:val="20"/>
          <w:szCs w:val="20"/>
          <w:color w:val="auto"/>
        </w:rPr>
      </w:pPr>
    </w:p>
    <w:p>
      <w:pPr>
        <w:ind w:left="3420"/>
        <w:spacing w:after="0"/>
        <w:rPr>
          <w:sz w:val="20"/>
          <w:szCs w:val="20"/>
          <w:color w:val="auto"/>
        </w:rPr>
      </w:pPr>
      <w:r>
        <w:rPr>
          <w:rFonts w:ascii="Times New Roman" w:cs="Times New Roman" w:eastAsia="Times New Roman" w:hAnsi="Times New Roman"/>
          <w:sz w:val="18"/>
          <w:szCs w:val="18"/>
          <w:color w:val="auto"/>
        </w:rPr>
        <w:t>Name: Michael Hutchinson</w:t>
      </w:r>
    </w:p>
    <w:p>
      <w:pPr>
        <w:spacing w:after="0" w:line="27" w:lineRule="exact"/>
        <w:rPr>
          <w:sz w:val="20"/>
          <w:szCs w:val="20"/>
          <w:color w:val="auto"/>
        </w:rPr>
      </w:pPr>
    </w:p>
    <w:p>
      <w:pPr>
        <w:ind w:left="3420"/>
        <w:spacing w:after="0"/>
        <w:rPr>
          <w:sz w:val="20"/>
          <w:szCs w:val="20"/>
          <w:color w:val="auto"/>
        </w:rPr>
      </w:pPr>
      <w:r>
        <w:rPr>
          <w:rFonts w:ascii="Times New Roman" w:cs="Times New Roman" w:eastAsia="Times New Roman" w:hAnsi="Times New Roman"/>
          <w:sz w:val="18"/>
          <w:szCs w:val="18"/>
          <w:color w:val="auto"/>
        </w:rPr>
        <w:t>Title: SVP, Company Secretary &amp; Chief Legal Officer</w:t>
      </w:r>
    </w:p>
    <w:sectPr>
      <w:pgSz w:w="11900" w:h="16838" w:orient="portrait"/>
      <w:cols w:equalWidth="0" w:num="1">
        <w:col w:w="10340"/>
      </w:cols>
      <w:pgMar w:left="320" w:top="1008" w:right="1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2025-03-17T05:17:44Z</dcterms:created>
  <dcterms:modified xsi:type="dcterms:W3CDTF">2025-03-17T05:17:44Z</dcterms:modified>
</cp:coreProperties>
</file>