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SCHEDULE 13G/A</w:t>
      </w:r>
    </w:p>
    <w:p>
      <w:pPr>
        <w:spacing w:after="0" w:line="200" w:lineRule="exact"/>
        <w:rPr>
          <w:sz w:val="24"/>
          <w:szCs w:val="24"/>
          <w:color w:val="auto"/>
        </w:rPr>
      </w:pPr>
    </w:p>
    <w:p>
      <w:pPr>
        <w:spacing w:after="0" w:line="35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37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(Amendment No. 3)*</w:t>
      </w:r>
    </w:p>
    <w:p>
      <w:pPr>
        <w:spacing w:after="0" w:line="200" w:lineRule="exact"/>
        <w:rPr>
          <w:sz w:val="24"/>
          <w:szCs w:val="24"/>
          <w:color w:val="auto"/>
        </w:rPr>
      </w:pPr>
    </w:p>
    <w:p>
      <w:pPr>
        <w:spacing w:after="0" w:line="373"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LivaNova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6985</wp:posOffset>
            </wp:positionV>
            <wp:extent cx="5709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(Name of Issuer)</w:t>
      </w: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Ordinary Shares - Â£1.00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6985</wp:posOffset>
            </wp:positionV>
            <wp:extent cx="5709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(Title of Class of Securities)</w:t>
      </w: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G5509L101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6985</wp:posOffset>
            </wp:positionV>
            <wp:extent cx="5709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(CUSIP Number)</w:t>
      </w: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December 31 ,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6985</wp:posOffset>
            </wp:positionV>
            <wp:extent cx="5709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Event Which Requires Filing of this Statement)</w:t>
      </w:r>
    </w:p>
    <w:p>
      <w:pPr>
        <w:spacing w:after="0" w:line="322"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620" w:hanging="95"/>
        <w:spacing w:after="0"/>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 Rule 13d-1(b)</w:t>
      </w:r>
    </w:p>
    <w:p>
      <w:pPr>
        <w:spacing w:after="0" w:line="225" w:lineRule="exact"/>
        <w:rPr>
          <w:rFonts w:ascii="Arial" w:cs="Arial" w:eastAsia="Arial" w:hAnsi="Arial"/>
          <w:sz w:val="18"/>
          <w:szCs w:val="18"/>
          <w:color w:val="auto"/>
        </w:rPr>
      </w:pPr>
    </w:p>
    <w:p>
      <w:pPr>
        <w:ind w:left="1720" w:hanging="195"/>
        <w:spacing w:after="0"/>
        <w:tabs>
          <w:tab w:leader="none" w:pos="1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13d-1(c)</w:t>
      </w:r>
    </w:p>
    <w:p>
      <w:pPr>
        <w:spacing w:after="0" w:line="225" w:lineRule="exact"/>
        <w:rPr>
          <w:rFonts w:ascii="Arial" w:cs="Arial" w:eastAsia="Arial" w:hAnsi="Arial"/>
          <w:sz w:val="18"/>
          <w:szCs w:val="18"/>
          <w:color w:val="auto"/>
        </w:rPr>
      </w:pPr>
    </w:p>
    <w:p>
      <w:pPr>
        <w:ind w:left="1720" w:hanging="195"/>
        <w:spacing w:after="0"/>
        <w:tabs>
          <w:tab w:leader="none" w:pos="1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both"/>
        <w:ind w:left="1120" w:right="1440"/>
        <w:spacing w:after="0" w:line="263"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400" w:lineRule="exact"/>
        <w:rPr>
          <w:sz w:val="24"/>
          <w:szCs w:val="24"/>
          <w:color w:val="auto"/>
        </w:rPr>
      </w:pPr>
    </w:p>
    <w:p>
      <w:pPr>
        <w:ind w:left="1120" w:right="120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7136130" cy="2862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862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G5509L101</w:t>
      </w:r>
    </w:p>
    <w:p>
      <w:pPr>
        <w:spacing w:after="0" w:line="32" w:lineRule="exact"/>
        <w:rPr>
          <w:sz w:val="24"/>
          <w:szCs w:val="24"/>
          <w:color w:val="auto"/>
        </w:rPr>
      </w:pPr>
    </w:p>
    <w:p>
      <w:pPr>
        <w:ind w:left="220"/>
        <w:spacing w:after="0"/>
        <w:tabs>
          <w:tab w:leader="none" w:pos="5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 I.R.S. Identification Nos. of Above Persons (Entities Only)</w:t>
      </w:r>
    </w:p>
    <w:p>
      <w:pPr>
        <w:spacing w:after="0" w:line="206" w:lineRule="exact"/>
        <w:rPr>
          <w:sz w:val="24"/>
          <w:szCs w:val="24"/>
          <w:color w:val="auto"/>
        </w:rPr>
      </w:pPr>
    </w:p>
    <w:p>
      <w:pPr>
        <w:ind w:left="760"/>
        <w:spacing w:after="0"/>
        <w:rPr>
          <w:sz w:val="20"/>
          <w:szCs w:val="20"/>
          <w:color w:val="auto"/>
        </w:rPr>
      </w:pPr>
      <w:r>
        <w:rPr>
          <w:rFonts w:ascii="Arial" w:cs="Arial" w:eastAsia="Arial" w:hAnsi="Arial"/>
          <w:sz w:val="18"/>
          <w:szCs w:val="18"/>
          <w:color w:val="auto"/>
        </w:rPr>
        <w:t>Harris Associates L.P.</w:t>
      </w:r>
    </w:p>
    <w:p>
      <w:pPr>
        <w:spacing w:after="0" w:line="23" w:lineRule="exact"/>
        <w:rPr>
          <w:sz w:val="24"/>
          <w:szCs w:val="24"/>
          <w:color w:val="auto"/>
        </w:rPr>
      </w:pPr>
    </w:p>
    <w:p>
      <w:pPr>
        <w:ind w:left="760"/>
        <w:spacing w:after="0"/>
        <w:rPr>
          <w:sz w:val="20"/>
          <w:szCs w:val="20"/>
          <w:color w:val="auto"/>
        </w:rPr>
      </w:pPr>
      <w:r>
        <w:rPr>
          <w:rFonts w:ascii="Arial" w:cs="Arial" w:eastAsia="Arial" w:hAnsi="Arial"/>
          <w:sz w:val="18"/>
          <w:szCs w:val="18"/>
          <w:color w:val="auto"/>
        </w:rPr>
        <w:t>04-3276558</w:t>
      </w:r>
    </w:p>
    <w:p>
      <w:pPr>
        <w:spacing w:after="0" w:line="28" w:lineRule="exact"/>
        <w:rPr>
          <w:sz w:val="24"/>
          <w:szCs w:val="24"/>
          <w:color w:val="auto"/>
        </w:rPr>
      </w:pPr>
    </w:p>
    <w:p>
      <w:pPr>
        <w:ind w:left="580" w:hanging="363"/>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7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(a)</w:t>
      </w:r>
    </w:p>
    <w:p>
      <w:pPr>
        <w:spacing w:after="0" w:line="7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(b)</w:t>
      </w:r>
    </w:p>
    <w:p>
      <w:pPr>
        <w:spacing w:after="0" w:line="90" w:lineRule="exact"/>
        <w:rPr>
          <w:rFonts w:ascii="Arial" w:cs="Arial" w:eastAsia="Arial" w:hAnsi="Arial"/>
          <w:sz w:val="18"/>
          <w:szCs w:val="18"/>
          <w:color w:val="auto"/>
        </w:rPr>
      </w:pPr>
    </w:p>
    <w:p>
      <w:pPr>
        <w:ind w:left="580" w:hanging="363"/>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580" w:hanging="363"/>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6" w:lineRule="exact"/>
        <w:rPr>
          <w:sz w:val="24"/>
          <w:szCs w:val="24"/>
          <w:color w:val="auto"/>
        </w:rPr>
      </w:pPr>
    </w:p>
    <w:p>
      <w:pPr>
        <w:ind w:left="760"/>
        <w:spacing w:after="0"/>
        <w:rPr>
          <w:sz w:val="20"/>
          <w:szCs w:val="20"/>
          <w:color w:val="auto"/>
        </w:rPr>
      </w:pPr>
      <w:r>
        <w:rPr>
          <w:rFonts w:ascii="Arial" w:cs="Arial" w:eastAsia="Arial" w:hAnsi="Arial"/>
          <w:sz w:val="18"/>
          <w:szCs w:val="18"/>
          <w:color w:val="auto"/>
        </w:rPr>
        <w:t>US</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Borders>
              <w:top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0"/>
              </w:rPr>
              <w:t>Number of</w:t>
            </w:r>
          </w:p>
        </w:tc>
        <w:tc>
          <w:tcPr>
            <w:tcW w:w="3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7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tcPr>
          <w:p>
            <w:pPr>
              <w:jc w:val="center"/>
              <w:ind w:left="12"/>
              <w:spacing w:after="0"/>
              <w:rPr>
                <w:sz w:val="20"/>
                <w:szCs w:val="20"/>
                <w:color w:val="auto"/>
              </w:rPr>
            </w:pPr>
            <w:r>
              <w:rPr>
                <w:rFonts w:ascii="Arial" w:cs="Arial" w:eastAsia="Arial" w:hAnsi="Arial"/>
                <w:sz w:val="18"/>
                <w:szCs w:val="18"/>
                <w:color w:val="auto"/>
                <w:w w:val="84"/>
              </w:rPr>
              <w:t>Shares</w:t>
            </w:r>
          </w:p>
        </w:tc>
        <w:tc>
          <w:tcPr>
            <w:tcW w:w="360" w:type="dxa"/>
            <w:vAlign w:val="bottom"/>
            <w:tcBorders>
              <w:right w:val="single" w:sz="8" w:color="auto"/>
            </w:tcBorders>
          </w:tcPr>
          <w:p>
            <w:pPr>
              <w:spacing w:after="0"/>
              <w:rPr>
                <w:sz w:val="18"/>
                <w:szCs w:val="18"/>
                <w:color w:val="auto"/>
              </w:rPr>
            </w:pPr>
          </w:p>
        </w:tc>
        <w:tc>
          <w:tcPr>
            <w:tcW w:w="9740" w:type="dxa"/>
            <w:vAlign w:val="bottom"/>
            <w:vMerge w:val="restart"/>
          </w:tcPr>
          <w:p>
            <w:pPr>
              <w:jc w:val="right"/>
              <w:ind w:right="8672"/>
              <w:spacing w:after="0"/>
              <w:rPr>
                <w:sz w:val="20"/>
                <w:szCs w:val="20"/>
                <w:color w:val="auto"/>
              </w:rPr>
            </w:pPr>
            <w:r>
              <w:rPr>
                <w:rFonts w:ascii="Arial" w:cs="Arial" w:eastAsia="Arial" w:hAnsi="Arial"/>
                <w:sz w:val="18"/>
                <w:szCs w:val="18"/>
                <w:color w:val="auto"/>
              </w:rPr>
              <w:t>2,008,159</w:t>
            </w:r>
          </w:p>
        </w:tc>
        <w:tc>
          <w:tcPr>
            <w:tcW w:w="0" w:type="dxa"/>
            <w:vAlign w:val="bottom"/>
          </w:tcPr>
          <w:p>
            <w:pPr>
              <w:spacing w:after="0"/>
              <w:rPr>
                <w:sz w:val="1"/>
                <w:szCs w:val="1"/>
                <w:color w:val="auto"/>
              </w:rPr>
            </w:pPr>
          </w:p>
        </w:tc>
      </w:tr>
      <w:tr>
        <w:trPr>
          <w:trHeight w:val="222"/>
        </w:trPr>
        <w:tc>
          <w:tcPr>
            <w:tcW w:w="1140" w:type="dxa"/>
            <w:vAlign w:val="bottom"/>
            <w:tcBorders>
              <w:right w:val="single" w:sz="8" w:color="auto"/>
            </w:tcBorders>
          </w:tcPr>
          <w:p>
            <w:pPr>
              <w:jc w:val="center"/>
              <w:ind w:left="32"/>
              <w:spacing w:after="0"/>
              <w:rPr>
                <w:sz w:val="20"/>
                <w:szCs w:val="20"/>
                <w:color w:val="auto"/>
              </w:rPr>
            </w:pPr>
            <w:r>
              <w:rPr>
                <w:rFonts w:ascii="Arial" w:cs="Arial" w:eastAsia="Arial" w:hAnsi="Arial"/>
                <w:sz w:val="18"/>
                <w:szCs w:val="18"/>
                <w:color w:val="auto"/>
                <w:w w:val="94"/>
              </w:rPr>
              <w:t>Beneficially</w:t>
            </w:r>
          </w:p>
        </w:tc>
        <w:tc>
          <w:tcPr>
            <w:tcW w:w="360" w:type="dxa"/>
            <w:vAlign w:val="bottom"/>
            <w:tcBorders>
              <w:bottom w:val="single" w:sz="8" w:color="auto"/>
              <w:right w:val="single" w:sz="8" w:color="auto"/>
            </w:tcBorders>
          </w:tcPr>
          <w:p>
            <w:pPr>
              <w:spacing w:after="0"/>
              <w:rPr>
                <w:sz w:val="19"/>
                <w:szCs w:val="19"/>
                <w:color w:val="auto"/>
              </w:rPr>
            </w:pPr>
          </w:p>
        </w:tc>
        <w:tc>
          <w:tcPr>
            <w:tcW w:w="9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40" w:type="dxa"/>
            <w:vAlign w:val="bottom"/>
            <w:tcBorders>
              <w:right w:val="single" w:sz="8" w:color="auto"/>
            </w:tcBorders>
          </w:tcPr>
          <w:p>
            <w:pPr>
              <w:jc w:val="center"/>
              <w:ind w:left="12"/>
              <w:spacing w:after="0" w:line="202" w:lineRule="exact"/>
              <w:rPr>
                <w:sz w:val="20"/>
                <w:szCs w:val="20"/>
                <w:color w:val="auto"/>
              </w:rPr>
            </w:pPr>
            <w:r>
              <w:rPr>
                <w:rFonts w:ascii="Arial" w:cs="Arial" w:eastAsia="Arial" w:hAnsi="Arial"/>
                <w:sz w:val="18"/>
                <w:szCs w:val="18"/>
                <w:color w:val="auto"/>
                <w:w w:val="88"/>
              </w:rPr>
              <w:t>Owned by</w:t>
            </w: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97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3"/>
        </w:trPr>
        <w:tc>
          <w:tcPr>
            <w:tcW w:w="114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974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801" w:right="339" w:bottom="0" w:gutter="0" w:footer="0" w:header="0"/>
        </w:sectPr>
      </w:pPr>
    </w:p>
    <w:bookmarkStart w:id="1" w:name="page2"/>
    <w:bookmarkEnd w:id="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1140" w:type="dxa"/>
            <w:vAlign w:val="bottom"/>
            <w:tcBorders>
              <w:left w:val="single" w:sz="8" w:color="auto"/>
              <w:right w:val="single" w:sz="8" w:color="auto"/>
            </w:tcBorders>
            <w:gridSpan w:val="2"/>
          </w:tcPr>
          <w:p>
            <w:pPr>
              <w:jc w:val="center"/>
              <w:ind w:left="12"/>
              <w:spacing w:after="0"/>
              <w:rPr>
                <w:sz w:val="20"/>
                <w:szCs w:val="20"/>
                <w:color w:val="auto"/>
              </w:rPr>
            </w:pPr>
            <w:r>
              <w:rPr>
                <w:rFonts w:ascii="Arial" w:cs="Arial" w:eastAsia="Arial" w:hAnsi="Arial"/>
                <w:sz w:val="18"/>
                <w:szCs w:val="18"/>
                <w:color w:val="auto"/>
                <w:w w:val="87"/>
              </w:rPr>
              <w:t>Each</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7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97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40" w:type="dxa"/>
            <w:vAlign w:val="bottom"/>
            <w:tcBorders>
              <w:left w:val="single" w:sz="8" w:color="auto"/>
              <w:right w:val="single" w:sz="8" w:color="auto"/>
            </w:tcBorders>
            <w:gridSpan w:val="2"/>
          </w:tcPr>
          <w:p>
            <w:pPr>
              <w:jc w:val="center"/>
              <w:ind w:left="12"/>
              <w:spacing w:after="0" w:line="189" w:lineRule="exact"/>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16"/>
                <w:szCs w:val="16"/>
                <w:color w:val="auto"/>
              </w:rPr>
            </w:pPr>
          </w:p>
        </w:tc>
        <w:tc>
          <w:tcPr>
            <w:tcW w:w="32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8"/>
                <w:szCs w:val="18"/>
                <w:color w:val="auto"/>
                <w:w w:val="99"/>
              </w:rPr>
              <w:t>(7)</w:t>
            </w:r>
          </w:p>
        </w:tc>
        <w:tc>
          <w:tcPr>
            <w:tcW w:w="974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4"/>
              </w:rPr>
              <w:t>With</w:t>
            </w:r>
          </w:p>
        </w:tc>
        <w:tc>
          <w:tcPr>
            <w:tcW w:w="4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97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2,008,159</w:t>
            </w:r>
          </w:p>
        </w:tc>
        <w:tc>
          <w:tcPr>
            <w:tcW w:w="0" w:type="dxa"/>
            <w:vAlign w:val="bottom"/>
          </w:tcPr>
          <w:p>
            <w:pPr>
              <w:spacing w:after="0"/>
              <w:rPr>
                <w:sz w:val="1"/>
                <w:szCs w:val="1"/>
                <w:color w:val="auto"/>
              </w:rPr>
            </w:pPr>
          </w:p>
        </w:tc>
      </w:tr>
      <w:tr>
        <w:trPr>
          <w:trHeight w:val="225"/>
        </w:trPr>
        <w:tc>
          <w:tcPr>
            <w:tcW w:w="480" w:type="dxa"/>
            <w:vAlign w:val="bottom"/>
            <w:tcBorders>
              <w:lef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97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(8)</w:t>
            </w:r>
          </w:p>
        </w:tc>
        <w:tc>
          <w:tcPr>
            <w:tcW w:w="9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7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w w:val="87"/>
              </w:rPr>
              <w:t>2,008,159</w:t>
            </w:r>
          </w:p>
        </w:tc>
        <w:tc>
          <w:tcPr>
            <w:tcW w:w="9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9"/>
              </w:rPr>
              <w:t>(10)</w:t>
            </w: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(9) Excludes Certain Shares  [  ]</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280"/>
              <w:spacing w:after="0"/>
              <w:rPr>
                <w:sz w:val="20"/>
                <w:szCs w:val="20"/>
                <w:color w:val="auto"/>
              </w:rPr>
            </w:pPr>
            <w:r>
              <w:rPr>
                <w:rFonts w:ascii="Arial" w:cs="Arial" w:eastAsia="Arial" w:hAnsi="Arial"/>
                <w:sz w:val="18"/>
                <w:szCs w:val="18"/>
                <w:color w:val="auto"/>
              </w:rPr>
              <w:t>(See Instructions)</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9"/>
              </w:rPr>
              <w:t>(11)</w:t>
            </w: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97"/>
              </w:rPr>
              <w:t>3.8%</w:t>
            </w:r>
          </w:p>
        </w:tc>
        <w:tc>
          <w:tcPr>
            <w:tcW w:w="320" w:type="dxa"/>
            <w:vAlign w:val="bottom"/>
            <w:tcBorders>
              <w:bottom w:val="single" w:sz="8" w:color="auto"/>
            </w:tcBorders>
          </w:tcPr>
          <w:p>
            <w:pPr>
              <w:spacing w:after="0"/>
              <w:rPr>
                <w:sz w:val="24"/>
                <w:szCs w:val="24"/>
                <w:color w:val="auto"/>
              </w:rPr>
            </w:pPr>
          </w:p>
        </w:tc>
        <w:tc>
          <w:tcPr>
            <w:tcW w:w="9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9"/>
              </w:rPr>
              <w:t>(12)</w:t>
            </w:r>
          </w:p>
        </w:tc>
        <w:tc>
          <w:tcPr>
            <w:tcW w:w="10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IA</w:t>
            </w:r>
          </w:p>
        </w:tc>
        <w:tc>
          <w:tcPr>
            <w:tcW w:w="320" w:type="dxa"/>
            <w:vAlign w:val="bottom"/>
            <w:tcBorders>
              <w:bottom w:val="single" w:sz="8" w:color="auto"/>
            </w:tcBorders>
          </w:tcPr>
          <w:p>
            <w:pPr>
              <w:spacing w:after="0"/>
              <w:rPr>
                <w:sz w:val="24"/>
                <w:szCs w:val="24"/>
                <w:color w:val="auto"/>
              </w:rPr>
            </w:pPr>
          </w:p>
        </w:tc>
        <w:tc>
          <w:tcPr>
            <w:tcW w:w="9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383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38353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G5509L101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right w:val="single" w:sz="8" w:color="auto"/>
            </w:tcBorders>
          </w:tcPr>
          <w:p>
            <w:pPr>
              <w:spacing w:after="0"/>
              <w:rPr>
                <w:sz w:val="19"/>
                <w:szCs w:val="19"/>
                <w:color w:val="auto"/>
              </w:rPr>
            </w:pPr>
          </w:p>
        </w:tc>
        <w:tc>
          <w:tcPr>
            <w:tcW w:w="1076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 I.R.S. Identification Nos. of Above Persons (Entities Only)</w:t>
            </w: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0760" w:type="dxa"/>
            <w:vAlign w:val="bottom"/>
            <w:gridSpan w:val="4"/>
          </w:tcPr>
          <w:p>
            <w:pPr>
              <w:ind w:left="280"/>
              <w:spacing w:after="0"/>
              <w:rPr>
                <w:sz w:val="20"/>
                <w:szCs w:val="20"/>
                <w:color w:val="auto"/>
              </w:rPr>
            </w:pPr>
            <w:r>
              <w:rPr>
                <w:rFonts w:ascii="Arial" w:cs="Arial" w:eastAsia="Arial" w:hAnsi="Arial"/>
                <w:sz w:val="18"/>
                <w:szCs w:val="18"/>
                <w:color w:val="auto"/>
              </w:rPr>
              <w:t>Harris Associates, Inc.</w:t>
            </w:r>
          </w:p>
        </w:tc>
        <w:tc>
          <w:tcPr>
            <w:tcW w:w="0" w:type="dxa"/>
            <w:vAlign w:val="bottom"/>
          </w:tcPr>
          <w:p>
            <w:pPr>
              <w:spacing w:after="0"/>
              <w:rPr>
                <w:sz w:val="1"/>
                <w:szCs w:val="1"/>
                <w:color w:val="auto"/>
              </w:rPr>
            </w:pPr>
          </w:p>
        </w:tc>
      </w:tr>
      <w:tr>
        <w:trPr>
          <w:trHeight w:val="237"/>
        </w:trPr>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color w:val="auto"/>
              </w:rPr>
              <w:t>04-3276549</w:t>
            </w:r>
          </w:p>
        </w:tc>
        <w:tc>
          <w:tcPr>
            <w:tcW w:w="0" w:type="dxa"/>
            <w:vAlign w:val="bottom"/>
          </w:tcPr>
          <w:p>
            <w:pPr>
              <w:spacing w:after="0"/>
              <w:rPr>
                <w:sz w:val="1"/>
                <w:szCs w:val="1"/>
                <w:color w:val="auto"/>
              </w:rPr>
            </w:pPr>
          </w:p>
        </w:tc>
      </w:tr>
      <w:tr>
        <w:trPr>
          <w:trHeight w:val="222"/>
        </w:trPr>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4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20" w:type="dxa"/>
            <w:vAlign w:val="bottom"/>
          </w:tcPr>
          <w:p>
            <w:pPr>
              <w:spacing w:after="0"/>
              <w:rPr>
                <w:sz w:val="23"/>
                <w:szCs w:val="23"/>
                <w:color w:val="auto"/>
              </w:rPr>
            </w:pPr>
          </w:p>
        </w:tc>
        <w:tc>
          <w:tcPr>
            <w:tcW w:w="9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(b)</w:t>
            </w:r>
          </w:p>
        </w:tc>
        <w:tc>
          <w:tcPr>
            <w:tcW w:w="320" w:type="dxa"/>
            <w:vAlign w:val="bottom"/>
          </w:tcPr>
          <w:p>
            <w:pPr>
              <w:spacing w:after="0"/>
              <w:rPr>
                <w:sz w:val="24"/>
                <w:szCs w:val="24"/>
                <w:color w:val="auto"/>
              </w:rPr>
            </w:pPr>
          </w:p>
        </w:tc>
        <w:tc>
          <w:tcPr>
            <w:tcW w:w="9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44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gridSpan w:val="2"/>
          </w:tcPr>
          <w:p>
            <w:pPr>
              <w:spacing w:after="0"/>
              <w:rPr>
                <w:sz w:val="6"/>
                <w:szCs w:val="6"/>
                <w:color w:val="auto"/>
              </w:rPr>
            </w:pPr>
          </w:p>
        </w:tc>
        <w:tc>
          <w:tcPr>
            <w:tcW w:w="9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8"/>
                <w:szCs w:val="18"/>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spacing w:after="0"/>
              <w:rPr>
                <w:sz w:val="18"/>
                <w:szCs w:val="18"/>
                <w:color w:val="auto"/>
              </w:rPr>
            </w:pPr>
          </w:p>
        </w:tc>
        <w:tc>
          <w:tcPr>
            <w:tcW w:w="9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8"/>
                <w:szCs w:val="18"/>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US</w:t>
            </w:r>
          </w:p>
        </w:tc>
        <w:tc>
          <w:tcPr>
            <w:tcW w:w="32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(5)</w:t>
            </w:r>
          </w:p>
        </w:tc>
        <w:tc>
          <w:tcPr>
            <w:tcW w:w="97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14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0"/>
              </w:rPr>
              <w:t>Number of</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7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2,008,159</w:t>
            </w:r>
          </w:p>
        </w:tc>
        <w:tc>
          <w:tcPr>
            <w:tcW w:w="0" w:type="dxa"/>
            <w:vAlign w:val="bottom"/>
          </w:tcPr>
          <w:p>
            <w:pPr>
              <w:spacing w:after="0"/>
              <w:rPr>
                <w:sz w:val="1"/>
                <w:szCs w:val="1"/>
                <w:color w:val="auto"/>
              </w:rPr>
            </w:pPr>
          </w:p>
        </w:tc>
      </w:tr>
      <w:tr>
        <w:trPr>
          <w:trHeight w:val="201"/>
        </w:trPr>
        <w:tc>
          <w:tcPr>
            <w:tcW w:w="1140" w:type="dxa"/>
            <w:vAlign w:val="bottom"/>
            <w:tcBorders>
              <w:right w:val="single" w:sz="8" w:color="auto"/>
            </w:tcBorders>
            <w:gridSpan w:val="3"/>
          </w:tcPr>
          <w:p>
            <w:pPr>
              <w:jc w:val="center"/>
              <w:ind w:left="12"/>
              <w:spacing w:after="0" w:line="201" w:lineRule="exact"/>
              <w:rPr>
                <w:sz w:val="20"/>
                <w:szCs w:val="20"/>
                <w:color w:val="auto"/>
              </w:rPr>
            </w:pPr>
            <w:r>
              <w:rPr>
                <w:rFonts w:ascii="Arial" w:cs="Arial" w:eastAsia="Arial" w:hAnsi="Arial"/>
                <w:sz w:val="18"/>
                <w:szCs w:val="18"/>
                <w:color w:val="auto"/>
                <w:w w:val="84"/>
              </w:rPr>
              <w:t>Shares</w:t>
            </w:r>
          </w:p>
        </w:tc>
        <w:tc>
          <w:tcPr>
            <w:tcW w:w="40" w:type="dxa"/>
            <w:vAlign w:val="bottom"/>
          </w:tcPr>
          <w:p>
            <w:pPr>
              <w:spacing w:after="0"/>
              <w:rPr>
                <w:sz w:val="17"/>
                <w:szCs w:val="17"/>
                <w:color w:val="auto"/>
              </w:rPr>
            </w:pPr>
          </w:p>
        </w:tc>
        <w:tc>
          <w:tcPr>
            <w:tcW w:w="3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(6)</w:t>
            </w:r>
          </w:p>
        </w:tc>
        <w:tc>
          <w:tcPr>
            <w:tcW w:w="9740" w:type="dxa"/>
            <w:vAlign w:val="bottom"/>
          </w:tcPr>
          <w:p>
            <w:pPr>
              <w:ind w:left="8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4"/>
              </w:rPr>
              <w:t>Beneficially</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740" w:type="dxa"/>
            <w:vAlign w:val="bottom"/>
            <w:vMerge w:val="restart"/>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14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88"/>
              </w:rPr>
              <w:t>Owned by</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9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700" w:type="dxa"/>
            <w:vAlign w:val="bottom"/>
            <w:tcBorders>
              <w:right w:val="single" w:sz="8" w:color="auto"/>
            </w:tcBorders>
            <w:gridSpan w:val="2"/>
          </w:tcPr>
          <w:p>
            <w:pPr>
              <w:jc w:val="center"/>
              <w:ind w:right="251"/>
              <w:spacing w:after="0" w:line="189" w:lineRule="exact"/>
              <w:rPr>
                <w:sz w:val="20"/>
                <w:szCs w:val="20"/>
                <w:color w:val="auto"/>
              </w:rPr>
            </w:pPr>
            <w:r>
              <w:rPr>
                <w:rFonts w:ascii="Arial" w:cs="Arial" w:eastAsia="Arial" w:hAnsi="Arial"/>
                <w:sz w:val="18"/>
                <w:szCs w:val="18"/>
                <w:color w:val="auto"/>
                <w:w w:val="87"/>
              </w:rPr>
              <w:t>Each</w:t>
            </w:r>
          </w:p>
        </w:tc>
        <w:tc>
          <w:tcPr>
            <w:tcW w:w="40" w:type="dxa"/>
            <w:vAlign w:val="bottom"/>
          </w:tcPr>
          <w:p>
            <w:pPr>
              <w:spacing w:after="0"/>
              <w:rPr>
                <w:sz w:val="16"/>
                <w:szCs w:val="16"/>
                <w:color w:val="auto"/>
              </w:rPr>
            </w:pPr>
          </w:p>
        </w:tc>
        <w:tc>
          <w:tcPr>
            <w:tcW w:w="32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8"/>
                <w:szCs w:val="18"/>
                <w:color w:val="auto"/>
                <w:w w:val="99"/>
              </w:rPr>
              <w:t>(7)</w:t>
            </w:r>
          </w:p>
        </w:tc>
        <w:tc>
          <w:tcPr>
            <w:tcW w:w="9740" w:type="dxa"/>
            <w:vAlign w:val="bottom"/>
          </w:tcPr>
          <w:p>
            <w:pPr>
              <w:ind w:left="8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740" w:type="dxa"/>
            <w:vAlign w:val="bottom"/>
            <w:vMerge w:val="restart"/>
          </w:tcPr>
          <w:p>
            <w:pPr>
              <w:ind w:left="260"/>
              <w:spacing w:after="0"/>
              <w:rPr>
                <w:sz w:val="20"/>
                <w:szCs w:val="20"/>
                <w:color w:val="auto"/>
              </w:rPr>
            </w:pPr>
            <w:r>
              <w:rPr>
                <w:rFonts w:ascii="Arial" w:cs="Arial" w:eastAsia="Arial" w:hAnsi="Arial"/>
                <w:sz w:val="18"/>
                <w:szCs w:val="18"/>
                <w:color w:val="auto"/>
              </w:rPr>
              <w:t>2,008,159</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40" w:type="dxa"/>
            <w:vAlign w:val="bottom"/>
          </w:tcPr>
          <w:p>
            <w:pPr>
              <w:spacing w:after="0" w:line="20" w:lineRule="exact"/>
              <w:rPr>
                <w:sz w:val="1"/>
                <w:szCs w:val="1"/>
                <w:color w:val="auto"/>
              </w:rPr>
            </w:pPr>
          </w:p>
        </w:tc>
        <w:tc>
          <w:tcPr>
            <w:tcW w:w="700" w:type="dxa"/>
            <w:vAlign w:val="bottom"/>
            <w:tcBorders>
              <w:right w:val="single" w:sz="8" w:color="auto"/>
            </w:tcBorders>
            <w:gridSpan w:val="2"/>
            <w:vMerge w:val="restart"/>
          </w:tcPr>
          <w:p>
            <w:pPr>
              <w:jc w:val="center"/>
              <w:ind w:right="231"/>
              <w:spacing w:after="0"/>
              <w:rPr>
                <w:sz w:val="20"/>
                <w:szCs w:val="20"/>
                <w:color w:val="auto"/>
              </w:rPr>
            </w:pPr>
            <w:r>
              <w:rPr>
                <w:rFonts w:ascii="Arial" w:cs="Arial" w:eastAsia="Arial" w:hAnsi="Arial"/>
                <w:sz w:val="18"/>
                <w:szCs w:val="18"/>
                <w:color w:val="auto"/>
                <w:w w:val="94"/>
              </w:rPr>
              <w:t>With</w:t>
            </w: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9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0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(8)</w:t>
            </w:r>
          </w:p>
        </w:tc>
        <w:tc>
          <w:tcPr>
            <w:tcW w:w="97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7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44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9"/>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w w:val="87"/>
              </w:rPr>
              <w:t>2,008,159</w:t>
            </w:r>
          </w:p>
        </w:tc>
        <w:tc>
          <w:tcPr>
            <w:tcW w:w="9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Check if the Aggregate Amount in Row (9) Excludes Certain Shares  [  ]</w:t>
            </w:r>
          </w:p>
        </w:tc>
        <w:tc>
          <w:tcPr>
            <w:tcW w:w="0" w:type="dxa"/>
            <w:vAlign w:val="bottom"/>
          </w:tcPr>
          <w:p>
            <w:pPr>
              <w:spacing w:after="0"/>
              <w:rPr>
                <w:sz w:val="1"/>
                <w:szCs w:val="1"/>
                <w:color w:val="auto"/>
              </w:rPr>
            </w:pPr>
          </w:p>
        </w:tc>
      </w:tr>
      <w:tr>
        <w:trPr>
          <w:trHeight w:val="419"/>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color w:val="auto"/>
              </w:rPr>
              <w:t>(See Instructions)</w:t>
            </w:r>
          </w:p>
        </w:tc>
        <w:tc>
          <w:tcPr>
            <w:tcW w:w="0" w:type="dxa"/>
            <w:vAlign w:val="bottom"/>
          </w:tcPr>
          <w:p>
            <w:pPr>
              <w:spacing w:after="0"/>
              <w:rPr>
                <w:sz w:val="1"/>
                <w:szCs w:val="1"/>
                <w:color w:val="auto"/>
              </w:rPr>
            </w:pPr>
          </w:p>
        </w:tc>
      </w:tr>
      <w:tr>
        <w:trPr>
          <w:trHeight w:val="222"/>
        </w:trPr>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97"/>
              </w:rPr>
              <w:t>3.8%</w:t>
            </w:r>
          </w:p>
        </w:tc>
        <w:tc>
          <w:tcPr>
            <w:tcW w:w="32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9"/>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39" w:lineRule="exact"/>
        <w:rPr>
          <w:sz w:val="20"/>
          <w:szCs w:val="20"/>
          <w:color w:val="auto"/>
        </w:rPr>
      </w:pPr>
    </w:p>
    <w:p>
      <w:pPr>
        <w:ind w:left="280" w:right="9540" w:hanging="2"/>
        <w:spacing w:after="0" w:line="405" w:lineRule="auto"/>
        <w:tabs>
          <w:tab w:leader="none" w:pos="53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Issuer </w:t>
      </w:r>
      <w:r>
        <w:rPr>
          <w:rFonts w:ascii="Arial" w:cs="Arial" w:eastAsia="Arial" w:hAnsi="Arial"/>
          <w:sz w:val="16"/>
          <w:szCs w:val="16"/>
          <w:color w:val="auto"/>
        </w:rPr>
        <w:t>LivaNova PLC</w:t>
      </w:r>
    </w:p>
    <w:p>
      <w:pPr>
        <w:ind w:left="540" w:hanging="262"/>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20 Eastbourne Terrace</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London, United Kingdom, W2 6LG</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 Name of Person Filing</w:t>
      </w:r>
    </w:p>
    <w:p>
      <w:pPr>
        <w:sectPr>
          <w:pgSz w:w="11900" w:h="16838" w:orient="portrait"/>
          <w:cols w:equalWidth="0" w:num="1">
            <w:col w:w="11240"/>
          </w:cols>
          <w:pgMar w:left="320" w:top="140" w:right="339" w:bottom="0" w:gutter="0" w:footer="0" w:header="0"/>
        </w:sectPr>
      </w:pPr>
    </w:p>
    <w:bookmarkStart w:id="2" w:name="page3"/>
    <w:bookmarkEnd w:id="2"/>
    <w:p>
      <w:pPr>
        <w:spacing w:after="0" w:line="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Harris Associates L.P.("Harris")</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Harris Associates, Inc. ("General Partner")</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**Harris Associates, Inc., for itself and as General Partner</w:t>
      </w:r>
    </w:p>
    <w:p>
      <w:pPr>
        <w:spacing w:after="0" w:line="100" w:lineRule="exact"/>
        <w:rPr>
          <w:sz w:val="20"/>
          <w:szCs w:val="20"/>
          <w:color w:val="auto"/>
        </w:rPr>
      </w:pPr>
    </w:p>
    <w:p>
      <w:pPr>
        <w:ind w:left="540" w:hanging="262"/>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107"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8"/>
          <w:szCs w:val="18"/>
          <w:color w:val="auto"/>
        </w:rPr>
        <w:t>111 South Wacker Drive Suite 4600, Chicago, IL 60606</w:t>
      </w:r>
    </w:p>
    <w:p>
      <w:pPr>
        <w:spacing w:after="0" w:line="99" w:lineRule="exact"/>
        <w:rPr>
          <w:rFonts w:ascii="Arial" w:cs="Arial" w:eastAsia="Arial" w:hAnsi="Arial"/>
          <w:sz w:val="18"/>
          <w:szCs w:val="18"/>
          <w:b w:val="1"/>
          <w:bCs w:val="1"/>
          <w:color w:val="auto"/>
        </w:rPr>
      </w:pPr>
    </w:p>
    <w:p>
      <w:pPr>
        <w:ind w:left="520" w:hanging="24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See Item 4 on the cover page(s) hereto.</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(d) Title of Class of Securities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Ordinary Shares - Â£1.00 par value per share</w:t>
      </w:r>
    </w:p>
    <w:p>
      <w:pPr>
        <w:spacing w:after="0" w:line="100" w:lineRule="exact"/>
        <w:rPr>
          <w:sz w:val="20"/>
          <w:szCs w:val="20"/>
          <w:color w:val="auto"/>
        </w:rPr>
      </w:pPr>
    </w:p>
    <w:p>
      <w:pPr>
        <w:ind w:left="280" w:right="9300" w:hanging="2"/>
        <w:spacing w:after="0" w:line="428" w:lineRule="auto"/>
        <w:tabs>
          <w:tab w:leader="none" w:pos="52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G5509L101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900" w:type="dxa"/>
            <w:vAlign w:val="bottom"/>
            <w:gridSpan w:val="2"/>
          </w:tcPr>
          <w:p>
            <w:pPr>
              <w:ind w:left="80"/>
              <w:spacing w:after="0"/>
              <w:rPr>
                <w:sz w:val="20"/>
                <w:szCs w:val="20"/>
                <w:color w:val="auto"/>
              </w:rPr>
            </w:pPr>
            <w:r>
              <w:rPr>
                <w:rFonts w:ascii="Arial" w:cs="Arial" w:eastAsia="Arial" w:hAnsi="Arial"/>
                <w:sz w:val="18"/>
                <w:szCs w:val="18"/>
                <w:color w:val="auto"/>
              </w:rPr>
              <w:t>] Broker or dealer registered under section 15 of the Act (15 U.S.C. 78o);</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(b)</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900" w:type="dxa"/>
            <w:vAlign w:val="bottom"/>
            <w:gridSpan w:val="2"/>
          </w:tcPr>
          <w:p>
            <w:pPr>
              <w:ind w:left="80"/>
              <w:spacing w:after="0"/>
              <w:rPr>
                <w:sz w:val="20"/>
                <w:szCs w:val="20"/>
                <w:color w:val="auto"/>
              </w:rPr>
            </w:pPr>
            <w:r>
              <w:rPr>
                <w:rFonts w:ascii="Arial" w:cs="Arial" w:eastAsia="Arial" w:hAnsi="Arial"/>
                <w:sz w:val="18"/>
                <w:szCs w:val="18"/>
                <w:color w:val="auto"/>
              </w:rPr>
              <w:t>] Bank as defined in section 3(a)(6) of the Act (15 U.S.C. 78c);</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(c)</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7720" w:type="dxa"/>
            <w:vAlign w:val="bottom"/>
          </w:tcPr>
          <w:p>
            <w:pPr>
              <w:ind w:left="4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7720" w:type="dxa"/>
            <w:vAlign w:val="bottom"/>
          </w:tcPr>
          <w:p>
            <w:pPr>
              <w:ind w:left="40"/>
              <w:spacing w:after="0"/>
              <w:rPr>
                <w:sz w:val="20"/>
                <w:szCs w:val="20"/>
                <w:color w:val="auto"/>
              </w:rPr>
            </w:pPr>
            <w:r>
              <w:rPr>
                <w:rFonts w:ascii="Arial" w:cs="Arial" w:eastAsia="Arial" w:hAnsi="Arial"/>
                <w:sz w:val="18"/>
                <w:szCs w:val="18"/>
                <w:color w:val="auto"/>
                <w:w w:val="90"/>
              </w:rPr>
              <w:t>Investment company registered under section 8 of the Investment Company Act of 1940 (15 U.S.C 80a-8);</w:t>
            </w:r>
          </w:p>
        </w:tc>
      </w:tr>
    </w:tbl>
    <w:p>
      <w:pPr>
        <w:ind w:left="620" w:hanging="342"/>
        <w:spacing w:after="0"/>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 x ] An investment adviser in accordance with §240.13d-1(b)(1)(ii)(E);</w:t>
      </w:r>
    </w:p>
    <w:p>
      <w:pPr>
        <w:spacing w:after="0" w:line="26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(f)</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 An employee benefit plan or endowment fund in accordance with §240.13d-1(b)(1)(ii)(F);</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(g)</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 A parent holding company or control person in accordance with § 240.13d-1(b)(1)(ii)(G);</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(h)</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9280" w:type="dxa"/>
            <w:vAlign w:val="bottom"/>
          </w:tcPr>
          <w:p>
            <w:pPr>
              <w:ind w:left="40"/>
              <w:spacing w:after="0"/>
              <w:rPr>
                <w:sz w:val="20"/>
                <w:szCs w:val="20"/>
                <w:color w:val="auto"/>
              </w:rPr>
            </w:pPr>
            <w:r>
              <w:rPr>
                <w:rFonts w:ascii="Arial" w:cs="Arial" w:eastAsia="Arial" w:hAnsi="Arial"/>
                <w:sz w:val="18"/>
                <w:szCs w:val="18"/>
                <w:color w:val="auto"/>
              </w:rPr>
              <w:t>A savings associations as defined in Section 3(b) of the Federal Deposit Insurance Act (12 U.S.C. 1813);</w:t>
            </w:r>
          </w:p>
        </w:tc>
      </w:tr>
      <w:tr>
        <w:trPr>
          <w:trHeight w:val="220"/>
        </w:trPr>
        <w:tc>
          <w:tcPr>
            <w:tcW w:w="280" w:type="dxa"/>
            <w:vAlign w:val="bottom"/>
          </w:tcPr>
          <w:p>
            <w:pPr>
              <w:spacing w:after="0"/>
              <w:rPr>
                <w:sz w:val="20"/>
                <w:szCs w:val="20"/>
                <w:color w:val="auto"/>
              </w:rPr>
            </w:pPr>
            <w:r>
              <w:rPr>
                <w:rFonts w:ascii="Arial" w:cs="Arial" w:eastAsia="Arial" w:hAnsi="Arial"/>
                <w:sz w:val="18"/>
                <w:szCs w:val="18"/>
                <w:b w:val="1"/>
                <w:bCs w:val="1"/>
                <w:color w:val="auto"/>
              </w:rPr>
              <w:t>(i)</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9280" w:type="dxa"/>
            <w:vAlign w:val="bottom"/>
          </w:tcPr>
          <w:p>
            <w:pPr>
              <w:ind w:left="40"/>
              <w:spacing w:after="0"/>
              <w:rPr>
                <w:sz w:val="20"/>
                <w:szCs w:val="20"/>
                <w:color w:val="auto"/>
              </w:rPr>
            </w:pPr>
            <w:r>
              <w:rPr>
                <w:rFonts w:ascii="Arial" w:cs="Arial" w:eastAsia="Arial" w:hAnsi="Arial"/>
                <w:sz w:val="18"/>
                <w:szCs w:val="18"/>
                <w:color w:val="auto"/>
                <w:w w:val="91"/>
              </w:rPr>
              <w:t>A church plan that is excluded from the definition of an investment company under section 3(c)(14) of the Investment Company</w:t>
            </w:r>
          </w:p>
        </w:tc>
      </w:tr>
      <w:tr>
        <w:trPr>
          <w:trHeight w:val="230"/>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80" w:type="dxa"/>
            <w:vAlign w:val="bottom"/>
          </w:tcPr>
          <w:p>
            <w:pPr>
              <w:ind w:left="40"/>
              <w:spacing w:after="0"/>
              <w:rPr>
                <w:sz w:val="20"/>
                <w:szCs w:val="20"/>
                <w:color w:val="auto"/>
              </w:rPr>
            </w:pPr>
            <w:r>
              <w:rPr>
                <w:rFonts w:ascii="Arial" w:cs="Arial" w:eastAsia="Arial" w:hAnsi="Arial"/>
                <w:sz w:val="18"/>
                <w:szCs w:val="18"/>
                <w:color w:val="auto"/>
              </w:rPr>
              <w:t>Act of 1940 (15 U.S.C. 80a-3);</w:t>
            </w:r>
          </w:p>
        </w:tc>
      </w:tr>
    </w:tbl>
    <w:p>
      <w:pPr>
        <w:ind w:left="620" w:hanging="342"/>
        <w:spacing w:after="0"/>
        <w:tabs>
          <w:tab w:leader="none" w:pos="6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  ] Group, in accordance with §240.13d-1(b)(1)(ii)(J).</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 Amount beneficially owned:</w:t>
      </w:r>
    </w:p>
    <w:p>
      <w:pPr>
        <w:spacing w:after="0" w:line="108" w:lineRule="exact"/>
        <w:rPr>
          <w:sz w:val="20"/>
          <w:szCs w:val="20"/>
          <w:color w:val="auto"/>
        </w:rPr>
      </w:pPr>
    </w:p>
    <w:p>
      <w:pPr>
        <w:ind w:left="280"/>
        <w:spacing w:after="0" w:line="259" w:lineRule="auto"/>
        <w:rPr>
          <w:sz w:val="20"/>
          <w:szCs w:val="20"/>
          <w:color w:val="auto"/>
        </w:rPr>
      </w:pPr>
      <w:r>
        <w:rPr>
          <w:rFonts w:ascii="Arial" w:cs="Arial" w:eastAsia="Arial" w:hAnsi="Arial"/>
          <w:sz w:val="18"/>
          <w:szCs w:val="18"/>
          <w:color w:val="auto"/>
        </w:rPr>
        <w:t>By reason of advisory and other relationships with the person who owns the Shares, Harris may be deemed to be the beneficial owner of the shares specified in Item 9 on the cover page(s) hereto. Harris has been granted the power to vote Shares in circumstances it determines to be appropriate in connection with assisting its advised clients to whom it renders financial advice in the ordinary course of business, by either providing information or advice to the persons having such power, or by exercising the power to vote.</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(b) Percent of class: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See Item 11 on the cover page(s) hereto.</w:t>
      </w:r>
    </w:p>
    <w:p>
      <w:pPr>
        <w:spacing w:after="0" w:line="100" w:lineRule="exact"/>
        <w:rPr>
          <w:sz w:val="20"/>
          <w:szCs w:val="20"/>
          <w:color w:val="auto"/>
        </w:rPr>
      </w:pPr>
    </w:p>
    <w:p>
      <w:pPr>
        <w:ind w:left="520" w:hanging="24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98" w:lineRule="exact"/>
        <w:rPr>
          <w:rFonts w:ascii="Arial" w:cs="Arial" w:eastAsia="Arial" w:hAnsi="Arial"/>
          <w:sz w:val="18"/>
          <w:szCs w:val="18"/>
          <w:b w:val="1"/>
          <w:bCs w:val="1"/>
          <w:color w:val="auto"/>
        </w:rPr>
      </w:pPr>
    </w:p>
    <w:p>
      <w:pPr>
        <w:ind w:left="540" w:right="7320" w:firstLine="8"/>
        <w:spacing w:after="0" w:line="405" w:lineRule="auto"/>
        <w:tabs>
          <w:tab w:leader="none" w:pos="755" w:val="left"/>
        </w:tabs>
        <w:numPr>
          <w:ilvl w:val="1"/>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vote or to direct the vote </w:t>
      </w:r>
      <w:r>
        <w:rPr>
          <w:rFonts w:ascii="Arial" w:cs="Arial" w:eastAsia="Arial" w:hAnsi="Arial"/>
          <w:sz w:val="16"/>
          <w:szCs w:val="16"/>
          <w:color w:val="auto"/>
        </w:rPr>
        <w:t>See Item 5 on the cover page(s) hereto.</w:t>
      </w:r>
    </w:p>
    <w:p>
      <w:pPr>
        <w:ind w:left="540" w:right="7040" w:firstLine="8"/>
        <w:spacing w:after="0" w:line="381" w:lineRule="auto"/>
        <w:tabs>
          <w:tab w:leader="none" w:pos="805"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Shared power to vote or to direct the vote </w:t>
      </w:r>
      <w:r>
        <w:rPr>
          <w:rFonts w:ascii="Arial" w:cs="Arial" w:eastAsia="Arial" w:hAnsi="Arial"/>
          <w:sz w:val="17"/>
          <w:szCs w:val="17"/>
          <w:color w:val="auto"/>
        </w:rPr>
        <w:t>See Item 6 on the cover page(s) hereto.</w:t>
      </w:r>
    </w:p>
    <w:p>
      <w:pPr>
        <w:ind w:left="540" w:right="6280" w:firstLine="8"/>
        <w:spacing w:after="0" w:line="381" w:lineRule="auto"/>
        <w:tabs>
          <w:tab w:leader="none" w:pos="855"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Sole power to dispose or to direct the disposition of </w:t>
      </w:r>
      <w:r>
        <w:rPr>
          <w:rFonts w:ascii="Arial" w:cs="Arial" w:eastAsia="Arial" w:hAnsi="Arial"/>
          <w:sz w:val="17"/>
          <w:szCs w:val="17"/>
          <w:color w:val="auto"/>
        </w:rPr>
        <w:t>See Item 7 on the cover page(s) hereto.</w:t>
      </w:r>
    </w:p>
    <w:p>
      <w:pPr>
        <w:ind w:left="540" w:right="6060" w:firstLine="8"/>
        <w:spacing w:after="0" w:line="391" w:lineRule="auto"/>
        <w:tabs>
          <w:tab w:leader="none" w:pos="845"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dispose or to direct the disposition of </w:t>
      </w:r>
      <w:r>
        <w:rPr>
          <w:rFonts w:ascii="Arial" w:cs="Arial" w:eastAsia="Arial" w:hAnsi="Arial"/>
          <w:sz w:val="18"/>
          <w:szCs w:val="18"/>
          <w:color w:val="auto"/>
        </w:rPr>
        <w:t>See Item 8 on the cover page(s) hereto.</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x ]</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3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Item 7. Identification and Classification of the Subsidiary Which Acquired the Security Being Reported on By the Parent Holding Company. </w:t>
      </w:r>
      <w:r>
        <w:rPr>
          <w:rFonts w:ascii="Arial" w:cs="Arial" w:eastAsia="Arial" w:hAnsi="Arial"/>
          <w:sz w:val="18"/>
          <w:szCs w:val="18"/>
          <w:color w:val="auto"/>
        </w:rPr>
        <w:t>N/A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This schedule is not being filed pursuant to Rule 13d-1(b)(1)(ii)(J) or Rule 13d-1(d).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ectPr>
          <w:pgSz w:w="11900" w:h="16864" w:orient="portrait"/>
          <w:cols w:equalWidth="0" w:num="1">
            <w:col w:w="11040"/>
          </w:cols>
          <w:pgMar w:left="320" w:top="125" w:right="539" w:bottom="0" w:gutter="0" w:footer="0" w:header="0"/>
        </w:sectPr>
      </w:pPr>
    </w:p>
    <w:bookmarkStart w:id="3" w:name="page4"/>
    <w:bookmarkEnd w:id="3"/>
    <w:p>
      <w:pPr>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361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387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10" w:lineRule="exact"/>
        <w:rPr>
          <w:sz w:val="20"/>
          <w:szCs w:val="20"/>
          <w:color w:val="auto"/>
        </w:rPr>
      </w:pPr>
    </w:p>
    <w:p>
      <w:pPr>
        <w:spacing w:after="0"/>
        <w:tabs>
          <w:tab w:leader="none" w:pos="622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i w:val="1"/>
          <w:iCs w:val="1"/>
          <w:color w:val="auto"/>
        </w:rPr>
        <w:t>February 14, 2023</w:t>
      </w:r>
      <w:r>
        <w:rPr>
          <w:sz w:val="20"/>
          <w:szCs w:val="20"/>
          <w:color w:val="auto"/>
        </w:rPr>
        <w:tab/>
      </w:r>
      <w:r>
        <w:rPr>
          <w:rFonts w:ascii="Arial" w:cs="Arial" w:eastAsia="Arial" w:hAnsi="Arial"/>
          <w:sz w:val="16"/>
          <w:szCs w:val="16"/>
          <w:color w:val="auto"/>
        </w:rPr>
        <w:t>Harris Associates L.P.</w:t>
      </w:r>
    </w:p>
    <w:p>
      <w:pPr>
        <w:spacing w:after="0" w:line="77" w:lineRule="exact"/>
        <w:rPr>
          <w:sz w:val="20"/>
          <w:szCs w:val="20"/>
          <w:color w:val="auto"/>
        </w:rPr>
      </w:pPr>
    </w:p>
    <w:p>
      <w:pPr>
        <w:ind w:left="6240"/>
        <w:spacing w:after="0"/>
        <w:tabs>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Rana J.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4210050</wp:posOffset>
            </wp:positionH>
            <wp:positionV relativeFrom="paragraph">
              <wp:posOffset>1905</wp:posOffset>
            </wp:positionV>
            <wp:extent cx="233997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39975" cy="425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Name: Rana J. Wright</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Title: Chief Administrative Officer, General</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3613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sectPr>
      <w:pgSz w:w="11900" w:h="16838" w:orient="portrait"/>
      <w:cols w:equalWidth="0" w:num="1">
        <w:col w:w="11200"/>
      </w:cols>
      <w:pgMar w:left="320" w:top="12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5"/>
    </w:lvl>
  </w:abstractNum>
  <w:abstractNum w:abstractNumId="6">
    <w:nsid w:val="79E2A9E3"/>
    <w:multiLevelType w:val="hybridMultilevel"/>
    <w:lvl w:ilvl="0">
      <w:lvlJc w:val="left"/>
      <w:lvlText w:val="(%1)"/>
      <w:numFmt w:val="lowerLetter"/>
      <w:start w:val="10"/>
    </w:lvl>
  </w:abstractNum>
  <w:abstractNum w:abstractNumId="7">
    <w:nsid w:val="7545E146"/>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2023-02-14T20:16:37Z</dcterms:created>
  <dcterms:modified xsi:type="dcterms:W3CDTF">2023-02-14T20:16:37Z</dcterms:modified>
</cp:coreProperties>
</file>