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6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UNITED STATES</w:t>
      </w:r>
    </w:p>
    <w:p>
      <w:pPr>
        <w:spacing w:after="0" w:line="3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SCHEDULE 14A</w:t>
      </w:r>
    </w:p>
    <w:p>
      <w:pPr>
        <w:spacing w:after="0" w:line="318"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Securities Exchange Act of 1934</w:t>
      </w:r>
    </w:p>
    <w:p>
      <w:pPr>
        <w:spacing w:after="0" w:line="64" w:lineRule="exact"/>
        <w:rPr>
          <w:sz w:val="24"/>
          <w:szCs w:val="24"/>
          <w:color w:val="auto"/>
        </w:rPr>
      </w:pPr>
    </w:p>
    <w:p>
      <w:pPr>
        <w:ind w:left="1960"/>
        <w:spacing w:after="0" w:line="368" w:lineRule="exact"/>
        <w:tabs>
          <w:tab w:leader="none" w:pos="5900" w:val="left"/>
        </w:tabs>
        <w:rPr>
          <w:sz w:val="20"/>
          <w:szCs w:val="20"/>
          <w:color w:val="auto"/>
        </w:rPr>
      </w:pPr>
      <w:r>
        <w:rPr>
          <w:rFonts w:ascii="MS PGothic" w:cs="MS PGothic" w:eastAsia="MS PGothic" w:hAnsi="MS PGothic"/>
          <w:sz w:val="32"/>
          <w:szCs w:val="32"/>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32"/>
          <w:szCs w:val="32"/>
          <w:color w:val="auto"/>
        </w:rPr>
        <w:t xml:space="preserve">☐ </w:t>
      </w:r>
      <w:r>
        <w:rPr>
          <w:rFonts w:ascii="Arial" w:cs="Arial" w:eastAsia="Arial" w:hAnsi="Arial"/>
          <w:sz w:val="17"/>
          <w:szCs w:val="17"/>
          <w:color w:val="auto"/>
        </w:rPr>
        <w:t>Filed by a Party other than the Registrant</w:t>
      </w:r>
    </w:p>
    <w:p>
      <w:pPr>
        <w:spacing w:after="0" w:line="202"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5829300" cy="130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1303020"/>
                    </a:xfrm>
                    <a:prstGeom prst="rect">
                      <a:avLst/>
                    </a:prstGeom>
                    <a:noFill/>
                  </pic:spPr>
                </pic:pic>
              </a:graphicData>
            </a:graphic>
          </wp:anchor>
        </w:drawing>
      </w:r>
    </w:p>
    <w:p>
      <w:pPr>
        <w:ind w:left="1400" w:hanging="569"/>
        <w:spacing w:after="0" w:line="236" w:lineRule="auto"/>
        <w:tabs>
          <w:tab w:leader="none" w:pos="1400" w:val="left"/>
        </w:tabs>
        <w:numPr>
          <w:ilvl w:val="0"/>
          <w:numId w:val="1"/>
        </w:numPr>
        <w:rPr>
          <w:rFonts w:ascii="MS PGothic" w:cs="MS PGothic" w:eastAsia="MS PGothic" w:hAnsi="MS PGothic"/>
          <w:sz w:val="32"/>
          <w:szCs w:val="32"/>
          <w:color w:val="auto"/>
        </w:rPr>
      </w:pPr>
      <w:r>
        <w:rPr>
          <w:rFonts w:ascii="Arial" w:cs="Arial" w:eastAsia="Arial" w:hAnsi="Arial"/>
          <w:sz w:val="18"/>
          <w:szCs w:val="18"/>
          <w:color w:val="auto"/>
        </w:rPr>
        <w:t>Preliminary Proxy Statement</w:t>
      </w:r>
    </w:p>
    <w:p>
      <w:pPr>
        <w:spacing w:after="0" w:line="45" w:lineRule="exact"/>
        <w:rPr>
          <w:sz w:val="24"/>
          <w:szCs w:val="24"/>
          <w:color w:val="auto"/>
        </w:rPr>
      </w:pPr>
    </w:p>
    <w:p>
      <w:pPr>
        <w:ind w:left="1400" w:hanging="569"/>
        <w:spacing w:after="0"/>
        <w:tabs>
          <w:tab w:leader="none" w:pos="1400" w:val="left"/>
        </w:tabs>
        <w:numPr>
          <w:ilvl w:val="0"/>
          <w:numId w:val="2"/>
        </w:numPr>
        <w:rPr>
          <w:rFonts w:ascii="MS PGothic" w:cs="MS PGothic" w:eastAsia="MS PGothic" w:hAnsi="MS PGothic"/>
          <w:sz w:val="32"/>
          <w:szCs w:val="32"/>
          <w:color w:val="auto"/>
        </w:rPr>
      </w:pPr>
      <w:r>
        <w:rPr>
          <w:rFonts w:ascii="Arial" w:cs="Arial" w:eastAsia="Arial" w:hAnsi="Arial"/>
          <w:sz w:val="18"/>
          <w:szCs w:val="18"/>
          <w:b w:val="1"/>
          <w:bCs w:val="1"/>
          <w:color w:val="auto"/>
        </w:rPr>
        <w:t>Confidential, for Use of the Commission Only (as permitted by Rule 14a-6(e)(2))</w:t>
      </w:r>
    </w:p>
    <w:p>
      <w:pPr>
        <w:spacing w:after="0" w:line="134" w:lineRule="exact"/>
        <w:rPr>
          <w:rFonts w:ascii="MS PGothic" w:cs="MS PGothic" w:eastAsia="MS PGothic" w:hAnsi="MS PGothic"/>
          <w:sz w:val="32"/>
          <w:szCs w:val="32"/>
          <w:color w:val="auto"/>
        </w:rPr>
      </w:pPr>
    </w:p>
    <w:p>
      <w:pPr>
        <w:ind w:left="1400" w:hanging="569"/>
        <w:spacing w:after="0" w:line="184" w:lineRule="auto"/>
        <w:tabs>
          <w:tab w:leader="none" w:pos="1400" w:val="left"/>
        </w:tabs>
        <w:numPr>
          <w:ilvl w:val="0"/>
          <w:numId w:val="2"/>
        </w:numPr>
        <w:rPr>
          <w:rFonts w:ascii="MS PGothic" w:cs="MS PGothic" w:eastAsia="MS PGothic" w:hAnsi="MS PGothic"/>
          <w:sz w:val="30"/>
          <w:szCs w:val="30"/>
          <w:color w:val="auto"/>
        </w:rPr>
      </w:pPr>
      <w:r>
        <w:rPr>
          <w:rFonts w:ascii="Arial" w:cs="Arial" w:eastAsia="Arial" w:hAnsi="Arial"/>
          <w:sz w:val="17"/>
          <w:szCs w:val="17"/>
          <w:color w:val="auto"/>
        </w:rPr>
        <w:t>Definitive Proxy Statement</w:t>
      </w:r>
    </w:p>
    <w:p>
      <w:pPr>
        <w:spacing w:after="0" w:line="134" w:lineRule="exact"/>
        <w:rPr>
          <w:rFonts w:ascii="MS PGothic" w:cs="MS PGothic" w:eastAsia="MS PGothic" w:hAnsi="MS PGothic"/>
          <w:sz w:val="30"/>
          <w:szCs w:val="30"/>
          <w:color w:val="auto"/>
        </w:rPr>
      </w:pPr>
    </w:p>
    <w:p>
      <w:pPr>
        <w:ind w:left="1400" w:hanging="569"/>
        <w:spacing w:after="0" w:line="184" w:lineRule="auto"/>
        <w:tabs>
          <w:tab w:leader="none" w:pos="1400" w:val="left"/>
        </w:tabs>
        <w:numPr>
          <w:ilvl w:val="0"/>
          <w:numId w:val="2"/>
        </w:numPr>
        <w:rPr>
          <w:rFonts w:ascii="MS PGothic" w:cs="MS PGothic" w:eastAsia="MS PGothic" w:hAnsi="MS PGothic"/>
          <w:sz w:val="30"/>
          <w:szCs w:val="30"/>
          <w:color w:val="auto"/>
        </w:rPr>
      </w:pPr>
      <w:r>
        <w:rPr>
          <w:rFonts w:ascii="Arial" w:cs="Arial" w:eastAsia="Arial" w:hAnsi="Arial"/>
          <w:sz w:val="17"/>
          <w:szCs w:val="17"/>
          <w:color w:val="auto"/>
        </w:rPr>
        <w:t>Definitive Additional Materials</w:t>
      </w:r>
    </w:p>
    <w:p>
      <w:pPr>
        <w:spacing w:after="0" w:line="134" w:lineRule="exact"/>
        <w:rPr>
          <w:rFonts w:ascii="MS PGothic" w:cs="MS PGothic" w:eastAsia="MS PGothic" w:hAnsi="MS PGothic"/>
          <w:sz w:val="30"/>
          <w:szCs w:val="30"/>
          <w:color w:val="auto"/>
        </w:rPr>
      </w:pPr>
    </w:p>
    <w:p>
      <w:pPr>
        <w:ind w:left="1400" w:hanging="569"/>
        <w:spacing w:after="0" w:line="184" w:lineRule="auto"/>
        <w:tabs>
          <w:tab w:leader="none" w:pos="1400" w:val="left"/>
        </w:tabs>
        <w:numPr>
          <w:ilvl w:val="0"/>
          <w:numId w:val="2"/>
        </w:numPr>
        <w:rPr>
          <w:rFonts w:ascii="MS PGothic" w:cs="MS PGothic" w:eastAsia="MS PGothic" w:hAnsi="MS PGothic"/>
          <w:sz w:val="30"/>
          <w:szCs w:val="30"/>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64" w:lineRule="exact"/>
        <w:rPr>
          <w:sz w:val="24"/>
          <w:szCs w:val="24"/>
          <w:color w:val="auto"/>
        </w:rPr>
      </w:pPr>
    </w:p>
    <w:p>
      <w:pPr>
        <w:jc w:val="center"/>
        <w:ind w:right="-580"/>
        <w:spacing w:after="0"/>
        <w:rPr>
          <w:sz w:val="20"/>
          <w:szCs w:val="20"/>
          <w:color w:val="auto"/>
        </w:rPr>
      </w:pPr>
      <w:r>
        <w:rPr>
          <w:rFonts w:ascii="Arial" w:cs="Arial" w:eastAsia="Arial" w:hAnsi="Arial"/>
          <w:sz w:val="47"/>
          <w:szCs w:val="47"/>
          <w:b w:val="1"/>
          <w:bCs w:val="1"/>
          <w:color w:val="6A2887"/>
        </w:rPr>
        <w:t>LivaNova Plc</w:t>
      </w:r>
    </w:p>
    <w:p>
      <w:pPr>
        <w:spacing w:after="0" w:line="143" w:lineRule="exact"/>
        <w:rPr>
          <w:sz w:val="24"/>
          <w:szCs w:val="24"/>
          <w:color w:val="auto"/>
        </w:rPr>
      </w:pPr>
    </w:p>
    <w:p>
      <w:pPr>
        <w:ind w:left="36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31"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-125095</wp:posOffset>
            </wp:positionV>
            <wp:extent cx="5829300" cy="3291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3291840"/>
                    </a:xfrm>
                    <a:prstGeom prst="rect">
                      <a:avLst/>
                    </a:prstGeom>
                    <a:noFill/>
                  </pic:spPr>
                </pic:pic>
              </a:graphicData>
            </a:graphic>
          </wp:anchor>
        </w:drawing>
      </w:r>
    </w:p>
    <w:p>
      <w:pPr>
        <w:ind w:left="1360" w:hanging="542"/>
        <w:spacing w:after="0" w:line="236" w:lineRule="auto"/>
        <w:tabs>
          <w:tab w:leader="none" w:pos="1360" w:val="left"/>
        </w:tabs>
        <w:numPr>
          <w:ilvl w:val="0"/>
          <w:numId w:val="3"/>
        </w:numPr>
        <w:rPr>
          <w:rFonts w:ascii="MS PGothic" w:cs="MS PGothic" w:eastAsia="MS PGothic" w:hAnsi="MS PGothic"/>
          <w:sz w:val="32"/>
          <w:szCs w:val="32"/>
          <w:color w:val="auto"/>
        </w:rPr>
      </w:pPr>
      <w:r>
        <w:rPr>
          <w:rFonts w:ascii="Arial" w:cs="Arial" w:eastAsia="Arial" w:hAnsi="Arial"/>
          <w:sz w:val="18"/>
          <w:szCs w:val="18"/>
          <w:b w:val="1"/>
          <w:bCs w:val="1"/>
          <w:color w:val="auto"/>
        </w:rPr>
        <w:t>No fee required.</w:t>
      </w:r>
    </w:p>
    <w:p>
      <w:pPr>
        <w:ind w:left="1360" w:hanging="542"/>
        <w:spacing w:after="0" w:line="183" w:lineRule="auto"/>
        <w:tabs>
          <w:tab w:leader="none" w:pos="1360" w:val="left"/>
        </w:tabs>
        <w:numPr>
          <w:ilvl w:val="0"/>
          <w:numId w:val="4"/>
        </w:numPr>
        <w:rPr>
          <w:rFonts w:ascii="MS PGothic" w:cs="MS PGothic" w:eastAsia="MS PGothic" w:hAnsi="MS PGothic"/>
          <w:sz w:val="46"/>
          <w:szCs w:val="46"/>
          <w:color w:val="auto"/>
          <w:vertAlign w:val="subscript"/>
        </w:rPr>
      </w:pPr>
      <w:r>
        <w:rPr>
          <w:rFonts w:ascii="Arial" w:cs="Arial" w:eastAsia="Arial" w:hAnsi="Arial"/>
          <w:sz w:val="16"/>
          <w:szCs w:val="16"/>
          <w:b w:val="1"/>
          <w:bCs w:val="1"/>
          <w:color w:val="auto"/>
        </w:rPr>
        <w:t>Fee computed on table below per Exchange Act Rules 14a-6(i)(1) and 0-11.</w:t>
      </w:r>
    </w:p>
    <w:p>
      <w:pPr>
        <w:spacing w:after="0" w:line="108" w:lineRule="exact"/>
        <w:rPr>
          <w:rFonts w:ascii="MS PGothic" w:cs="MS PGothic" w:eastAsia="MS PGothic" w:hAnsi="MS PGothic"/>
          <w:sz w:val="46"/>
          <w:szCs w:val="46"/>
          <w:color w:val="auto"/>
          <w:vertAlign w:val="subscript"/>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1720" w:right="599" w:hanging="362"/>
        <w:spacing w:after="0" w:line="261" w:lineRule="auto"/>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16"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 w:lineRule="exact"/>
        <w:rPr>
          <w:rFonts w:ascii="Arial" w:cs="Arial" w:eastAsia="Arial" w:hAnsi="Arial"/>
          <w:sz w:val="18"/>
          <w:szCs w:val="18"/>
          <w:color w:val="auto"/>
        </w:rPr>
      </w:pPr>
    </w:p>
    <w:p>
      <w:pPr>
        <w:ind w:left="1360" w:hanging="542"/>
        <w:spacing w:after="0"/>
        <w:tabs>
          <w:tab w:leader="none" w:pos="1360" w:val="left"/>
        </w:tabs>
        <w:numPr>
          <w:ilvl w:val="0"/>
          <w:numId w:val="4"/>
        </w:numPr>
        <w:rPr>
          <w:rFonts w:ascii="MS PGothic" w:cs="MS PGothic" w:eastAsia="MS PGothic" w:hAnsi="MS PGothic"/>
          <w:sz w:val="32"/>
          <w:szCs w:val="32"/>
          <w:color w:val="auto"/>
        </w:rPr>
      </w:pPr>
      <w:r>
        <w:rPr>
          <w:rFonts w:ascii="Arial" w:cs="Arial" w:eastAsia="Arial" w:hAnsi="Arial"/>
          <w:sz w:val="18"/>
          <w:szCs w:val="18"/>
          <w:b w:val="1"/>
          <w:bCs w:val="1"/>
          <w:color w:val="auto"/>
        </w:rPr>
        <w:t>Fee paid previously with preliminary materials.</w:t>
      </w:r>
    </w:p>
    <w:p>
      <w:pPr>
        <w:spacing w:after="0" w:line="93" w:lineRule="exact"/>
        <w:rPr>
          <w:rFonts w:ascii="MS PGothic" w:cs="MS PGothic" w:eastAsia="MS PGothic" w:hAnsi="MS PGothic"/>
          <w:sz w:val="32"/>
          <w:szCs w:val="32"/>
          <w:color w:val="auto"/>
        </w:rPr>
      </w:pPr>
    </w:p>
    <w:p>
      <w:pPr>
        <w:ind w:left="1360" w:right="319" w:hanging="542"/>
        <w:spacing w:after="0" w:line="181" w:lineRule="auto"/>
        <w:tabs>
          <w:tab w:leader="none" w:pos="1360" w:val="left"/>
        </w:tabs>
        <w:numPr>
          <w:ilvl w:val="0"/>
          <w:numId w:val="4"/>
        </w:numPr>
        <w:rPr>
          <w:rFonts w:ascii="MS PGothic" w:cs="MS PGothic" w:eastAsia="MS PGothic" w:hAnsi="MS PGothic"/>
          <w:sz w:val="49"/>
          <w:szCs w:val="49"/>
          <w:color w:val="auto"/>
          <w:vertAlign w:val="subscript"/>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49"/>
          <w:szCs w:val="49"/>
          <w:color w:val="auto"/>
          <w:vertAlign w:val="subscript"/>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03"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1720" w:hanging="362"/>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306070</wp:posOffset>
            </wp:positionV>
            <wp:extent cx="582041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right="1300"/>
        <w:spacing w:after="0" w:line="224" w:lineRule="auto"/>
        <w:rPr>
          <w:sz w:val="20"/>
          <w:szCs w:val="20"/>
          <w:color w:val="auto"/>
        </w:rPr>
      </w:pPr>
      <w:r>
        <w:rPr>
          <w:rFonts w:ascii="Arial" w:cs="Arial" w:eastAsia="Arial" w:hAnsi="Arial"/>
          <w:sz w:val="76"/>
          <w:szCs w:val="76"/>
          <w:b w:val="1"/>
          <w:bCs w:val="1"/>
          <w:color w:val="6A2887"/>
        </w:rPr>
        <w:t xml:space="preserve">Notice </w:t>
      </w:r>
      <w:r>
        <w:rPr>
          <w:rFonts w:ascii="Arial" w:cs="Arial" w:eastAsia="Arial" w:hAnsi="Arial"/>
          <w:sz w:val="50"/>
          <w:szCs w:val="50"/>
          <w:b w:val="1"/>
          <w:bCs w:val="1"/>
          <w:color w:val="666666"/>
        </w:rPr>
        <w:t>of 2020 Annual General</w:t>
      </w:r>
      <w:r>
        <w:rPr>
          <w:rFonts w:ascii="Arial" w:cs="Arial" w:eastAsia="Arial" w:hAnsi="Arial"/>
          <w:sz w:val="76"/>
          <w:szCs w:val="76"/>
          <w:b w:val="1"/>
          <w:bCs w:val="1"/>
          <w:color w:val="6A2887"/>
        </w:rPr>
        <w:t xml:space="preserve"> </w:t>
      </w:r>
      <w:r>
        <w:rPr>
          <w:rFonts w:ascii="Arial" w:cs="Arial" w:eastAsia="Arial" w:hAnsi="Arial"/>
          <w:sz w:val="50"/>
          <w:szCs w:val="50"/>
          <w:b w:val="1"/>
          <w:bCs w:val="1"/>
          <w:color w:val="666666"/>
        </w:rPr>
        <w:t>Meeting of Shareholders</w:t>
      </w:r>
    </w:p>
    <w:p>
      <w:pPr>
        <w:spacing w:after="0" w:line="104" w:lineRule="exact"/>
        <w:rPr>
          <w:sz w:val="20"/>
          <w:szCs w:val="20"/>
          <w:color w:val="auto"/>
        </w:rPr>
      </w:pPr>
    </w:p>
    <w:p>
      <w:pPr>
        <w:ind w:left="760" w:right="540"/>
        <w:spacing w:after="0" w:line="252" w:lineRule="auto"/>
        <w:rPr>
          <w:sz w:val="20"/>
          <w:szCs w:val="20"/>
          <w:color w:val="auto"/>
        </w:rPr>
      </w:pPr>
      <w:r>
        <w:rPr>
          <w:rFonts w:ascii="Arial" w:cs="Arial" w:eastAsia="Arial" w:hAnsi="Arial"/>
          <w:sz w:val="15"/>
          <w:szCs w:val="15"/>
          <w:color w:val="auto"/>
        </w:rPr>
        <w:t>Notice is hereby given that the 2020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Date: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Monday, June 29, 2020</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Time: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13:00 British Summer Time</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Virtual Meeting:</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www.meetingcenter.io/260382039</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(Password: LIVN2020)</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Record Date:</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May 4, 2020 (at the close of The Nasdaq Stock Market LLC (“Nasdaq”) exchange)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Who Can Attend:</w:t>
      </w:r>
    </w:p>
    <w:p>
      <w:pPr>
        <w:spacing w:after="0" w:line="114" w:lineRule="exact"/>
        <w:rPr>
          <w:sz w:val="20"/>
          <w:szCs w:val="20"/>
          <w:color w:val="auto"/>
        </w:rPr>
      </w:pPr>
    </w:p>
    <w:p>
      <w:pPr>
        <w:ind w:left="760" w:right="220"/>
        <w:spacing w:after="0" w:line="249" w:lineRule="auto"/>
        <w:rPr>
          <w:sz w:val="20"/>
          <w:szCs w:val="20"/>
          <w:color w:val="auto"/>
        </w:rPr>
      </w:pPr>
      <w:r>
        <w:rPr>
          <w:rFonts w:ascii="Arial" w:cs="Arial" w:eastAsia="Arial" w:hAnsi="Arial"/>
          <w:sz w:val="15"/>
          <w:szCs w:val="15"/>
          <w:color w:val="auto"/>
        </w:rPr>
        <w:t xml:space="preserve">Record and beneficial holders as of the Record Date may attend. A member who is entitled to attend and vote is entitled to appoint another person to vote on his/her behalf the ordinary shares with nominal value £1 per share held by him/her, as his/her proxy to exercise all or any of his/her rights to attend and vote at the meeting. For information on appointing a proxy, see our </w:t>
      </w:r>
      <w:r>
        <w:rPr>
          <w:rFonts w:ascii="Arial" w:cs="Arial" w:eastAsia="Arial" w:hAnsi="Arial"/>
          <w:sz w:val="15"/>
          <w:szCs w:val="15"/>
          <w:i w:val="1"/>
          <w:iCs w:val="1"/>
          <w:color w:val="auto"/>
        </w:rPr>
        <w:t>Frequently Asked Questions about the</w:t>
      </w:r>
      <w:r>
        <w:rPr>
          <w:rFonts w:ascii="Arial" w:cs="Arial" w:eastAsia="Arial" w:hAnsi="Arial"/>
          <w:sz w:val="15"/>
          <w:szCs w:val="15"/>
          <w:color w:val="auto"/>
        </w:rPr>
        <w:t xml:space="preserve"> </w:t>
      </w:r>
      <w:r>
        <w:rPr>
          <w:rFonts w:ascii="Arial" w:cs="Arial" w:eastAsia="Arial" w:hAnsi="Arial"/>
          <w:sz w:val="15"/>
          <w:szCs w:val="15"/>
          <w:i w:val="1"/>
          <w:iCs w:val="1"/>
          <w:color w:val="auto"/>
        </w:rPr>
        <w:t>AGM.</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Number of Votes Outstanding:</w:t>
      </w:r>
    </w:p>
    <w:p>
      <w:pPr>
        <w:sectPr>
          <w:pgSz w:w="11900" w:h="16838" w:orient="portrait"/>
          <w:cols w:equalWidth="0" w:num="1">
            <w:col w:w="10160"/>
          </w:cols>
          <w:pgMar w:left="320" w:top="131" w:right="1419" w:bottom="1440" w:gutter="0" w:footer="0" w:header="0"/>
        </w:sectPr>
      </w:pPr>
    </w:p>
    <w:p>
      <w:pPr>
        <w:spacing w:after="0" w:line="10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 has only one class of voting shares, namely that of ordinary shares. At [May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 2020], there were [</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 total ordinary</w:t>
      </w:r>
    </w:p>
    <w:p>
      <w:pPr>
        <w:spacing w:after="0" w:line="23" w:lineRule="exact"/>
        <w:rPr>
          <w:sz w:val="20"/>
          <w:szCs w:val="20"/>
          <w:color w:val="auto"/>
        </w:rPr>
      </w:pPr>
    </w:p>
    <w:p>
      <w:pPr>
        <w:sectPr>
          <w:pgSz w:w="11900" w:h="16838" w:orient="portrait"/>
          <w:cols w:equalWidth="0" w:num="3">
            <w:col w:w="6760" w:space="200"/>
            <w:col w:w="1340" w:space="420"/>
            <w:col w:w="1440"/>
          </w:cols>
          <w:pgMar w:left="320" w:top="131" w:right="1419" w:bottom="1440" w:gutter="0" w:footer="0" w:header="0"/>
          <w:type w:val="continuous"/>
        </w:sectPr>
      </w:pPr>
    </w:p>
    <w:p>
      <w:pPr>
        <w:ind w:left="760"/>
        <w:spacing w:after="0"/>
        <w:rPr>
          <w:sz w:val="20"/>
          <w:szCs w:val="20"/>
          <w:color w:val="auto"/>
        </w:rPr>
      </w:pPr>
      <w:r>
        <w:rPr>
          <w:rFonts w:ascii="Arial" w:cs="Arial" w:eastAsia="Arial" w:hAnsi="Arial"/>
          <w:sz w:val="15"/>
          <w:szCs w:val="15"/>
          <w:color w:val="auto"/>
        </w:rPr>
        <w:t>shares outstanding, each carrying one vote.</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Date of Mailing:</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This notice and proxy statement is being mailed or made available to shareholders on or about [May 20, 2020].</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Items of Business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You will be asked to consider and, if thought fit, pass the following resolutions:</w:t>
      </w:r>
    </w:p>
    <w:p>
      <w:pPr>
        <w:sectPr>
          <w:pgSz w:w="11900" w:h="16838" w:orient="portrait"/>
          <w:cols w:equalWidth="0" w:num="1">
            <w:col w:w="10160"/>
          </w:cols>
          <w:pgMar w:left="320" w:top="131" w:right="1419" w:bottom="1440" w:gutter="0" w:footer="0" w:header="0"/>
          <w:type w:val="continuous"/>
        </w:sectPr>
      </w:pPr>
    </w:p>
    <w:p>
      <w:pPr>
        <w:spacing w:after="0" w:line="84" w:lineRule="exact"/>
        <w:rPr>
          <w:sz w:val="20"/>
          <w:szCs w:val="20"/>
          <w:color w:val="auto"/>
        </w:rPr>
      </w:pPr>
    </w:p>
    <w:p>
      <w:pPr>
        <w:ind w:left="1060" w:right="520" w:hanging="296"/>
        <w:spacing w:after="0" w:line="260" w:lineRule="auto"/>
        <w:tabs>
          <w:tab w:leader="none" w:pos="1060" w:val="left"/>
        </w:tabs>
        <w:numPr>
          <w:ilvl w:val="0"/>
          <w:numId w:val="5"/>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elect, by separate resolutions, each of the following ten (10) directors for a term expiring at the AGM to be held in 2021:</w:t>
      </w:r>
    </w:p>
    <w:p>
      <w:pPr>
        <w:spacing w:after="0" w:line="71"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Francesco Bianchi</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Ms. Stacy Enxing Seng</w:t>
      </w:r>
    </w:p>
    <w:p>
      <w:pPr>
        <w:spacing w:after="0" w:line="30"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William Kozy</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Damien McDonald</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Daniel Moore</w:t>
      </w:r>
    </w:p>
    <w:p>
      <w:pPr>
        <w:spacing w:after="0" w:line="30"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Hugh Morrison</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Mr. Alfred Novak</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Dr. Sharon O’Kane</w:t>
      </w:r>
    </w:p>
    <w:p>
      <w:pPr>
        <w:spacing w:after="0" w:line="30"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Dr. Arthur Rosenthal</w:t>
      </w:r>
    </w:p>
    <w:p>
      <w:pPr>
        <w:spacing w:after="0" w:line="43" w:lineRule="exact"/>
        <w:rPr>
          <w:rFonts w:ascii="Arial" w:cs="Arial" w:eastAsia="Arial" w:hAnsi="Arial"/>
          <w:sz w:val="15"/>
          <w:szCs w:val="15"/>
          <w:color w:val="6A2887"/>
        </w:rPr>
      </w:pPr>
    </w:p>
    <w:p>
      <w:pPr>
        <w:ind w:left="1260" w:hanging="208"/>
        <w:spacing w:after="0"/>
        <w:tabs>
          <w:tab w:leader="none" w:pos="1260" w:val="left"/>
        </w:tabs>
        <w:numPr>
          <w:ilvl w:val="1"/>
          <w:numId w:val="5"/>
        </w:numPr>
        <w:rPr>
          <w:rFonts w:ascii="Arial" w:cs="Arial" w:eastAsia="Arial" w:hAnsi="Arial"/>
          <w:sz w:val="15"/>
          <w:szCs w:val="15"/>
          <w:color w:val="6A2887"/>
        </w:rPr>
      </w:pPr>
      <w:r>
        <w:rPr>
          <w:rFonts w:ascii="Arial" w:cs="Arial" w:eastAsia="Arial" w:hAnsi="Arial"/>
          <w:sz w:val="15"/>
          <w:szCs w:val="15"/>
          <w:color w:val="auto"/>
        </w:rPr>
        <w:t>Ms. Andrea Saia</w:t>
      </w:r>
    </w:p>
    <w:p>
      <w:pPr>
        <w:spacing w:after="0" w:line="84" w:lineRule="exact"/>
        <w:rPr>
          <w:rFonts w:ascii="Arial" w:cs="Arial" w:eastAsia="Arial" w:hAnsi="Arial"/>
          <w:sz w:val="15"/>
          <w:szCs w:val="15"/>
          <w:color w:val="6A2887"/>
        </w:rPr>
      </w:pPr>
    </w:p>
    <w:p>
      <w:pPr>
        <w:ind w:left="1060" w:right="500" w:hanging="296"/>
        <w:spacing w:after="0" w:line="260" w:lineRule="auto"/>
        <w:tabs>
          <w:tab w:leader="none" w:pos="1060" w:val="left"/>
        </w:tabs>
        <w:numPr>
          <w:ilvl w:val="0"/>
          <w:numId w:val="5"/>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approve, on an advisory basis, the Company’s compensation of its named executive officers (“US Say-on-Pay”).</w:t>
      </w:r>
    </w:p>
    <w:p>
      <w:pPr>
        <w:spacing w:after="0" w:line="71" w:lineRule="exact"/>
        <w:rPr>
          <w:rFonts w:ascii="Arial" w:cs="Arial" w:eastAsia="Arial" w:hAnsi="Arial"/>
          <w:sz w:val="15"/>
          <w:szCs w:val="15"/>
          <w:color w:val="6A2887"/>
        </w:rPr>
      </w:pPr>
    </w:p>
    <w:p>
      <w:pPr>
        <w:ind w:left="1060" w:right="820" w:hanging="296"/>
        <w:spacing w:after="0" w:line="260" w:lineRule="auto"/>
        <w:tabs>
          <w:tab w:leader="none" w:pos="1060" w:val="left"/>
        </w:tabs>
        <w:numPr>
          <w:ilvl w:val="0"/>
          <w:numId w:val="5"/>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ratify the appointment of PricewaterhouseCoopers LLP, a Delaware limited liability partnership, as the Company’s independent registered public accountancy firm.</w:t>
      </w:r>
    </w:p>
    <w:p>
      <w:pPr>
        <w:spacing w:after="0" w:line="6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60" w:right="259" w:hanging="296"/>
        <w:spacing w:after="0" w:line="252" w:lineRule="auto"/>
        <w:tabs>
          <w:tab w:leader="none" w:pos="1060" w:val="left"/>
        </w:tabs>
        <w:numPr>
          <w:ilvl w:val="0"/>
          <w:numId w:val="6"/>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generally and unconditionally authorise the directors for the purposes of section 551 of the Companies Act 2006 (the “Companies Act”) to exercise all the powers of the Company to allot shares in the Company and to grant rights to subscribe for, or to convert any security into, shares in the Company:</w:t>
      </w:r>
    </w:p>
    <w:p>
      <w:pPr>
        <w:spacing w:after="0" w:line="77" w:lineRule="exact"/>
        <w:rPr>
          <w:rFonts w:ascii="Arial" w:cs="Arial" w:eastAsia="Arial" w:hAnsi="Arial"/>
          <w:sz w:val="15"/>
          <w:szCs w:val="15"/>
          <w:color w:val="6A2887"/>
        </w:rPr>
      </w:pPr>
    </w:p>
    <w:p>
      <w:pPr>
        <w:ind w:left="1260" w:hanging="208"/>
        <w:spacing w:after="0"/>
        <w:tabs>
          <w:tab w:leader="none" w:pos="1260" w:val="left"/>
        </w:tabs>
        <w:numPr>
          <w:ilvl w:val="1"/>
          <w:numId w:val="6"/>
        </w:numPr>
        <w:rPr>
          <w:rFonts w:ascii="Arial" w:cs="Arial" w:eastAsia="Arial" w:hAnsi="Arial"/>
          <w:sz w:val="15"/>
          <w:szCs w:val="15"/>
          <w:color w:val="6A2887"/>
        </w:rPr>
      </w:pPr>
      <w:r>
        <w:rPr>
          <w:rFonts w:ascii="Arial" w:cs="Arial" w:eastAsia="Arial" w:hAnsi="Arial"/>
          <w:sz w:val="15"/>
          <w:szCs w:val="15"/>
          <w:color w:val="auto"/>
        </w:rPr>
        <w:t>up to an aggregate nominal amount of £9,882,722, and</w:t>
      </w:r>
    </w:p>
    <w:p>
      <w:pPr>
        <w:spacing w:after="0" w:line="97" w:lineRule="exact"/>
        <w:rPr>
          <w:rFonts w:ascii="Arial" w:cs="Arial" w:eastAsia="Arial" w:hAnsi="Arial"/>
          <w:sz w:val="15"/>
          <w:szCs w:val="15"/>
          <w:color w:val="6A2887"/>
        </w:rPr>
      </w:pPr>
    </w:p>
    <w:p>
      <w:pPr>
        <w:ind w:left="1260" w:right="279" w:hanging="208"/>
        <w:spacing w:after="0" w:line="260" w:lineRule="auto"/>
        <w:tabs>
          <w:tab w:leader="none" w:pos="1260" w:val="left"/>
        </w:tabs>
        <w:numPr>
          <w:ilvl w:val="1"/>
          <w:numId w:val="6"/>
        </w:numPr>
        <w:rPr>
          <w:rFonts w:ascii="Arial" w:cs="Arial" w:eastAsia="Arial" w:hAnsi="Arial"/>
          <w:sz w:val="15"/>
          <w:szCs w:val="15"/>
          <w:color w:val="6A2887"/>
        </w:rPr>
      </w:pPr>
      <w:r>
        <w:rPr>
          <w:rFonts w:ascii="Arial" w:cs="Arial" w:eastAsia="Arial" w:hAnsi="Arial"/>
          <w:sz w:val="15"/>
          <w:szCs w:val="15"/>
          <w:color w:val="auto"/>
        </w:rPr>
        <w:t>(in addition to the amount set out under (a) above), up to an aggregate nominal amount of £3,218,206 in connection with the grant or exercise of awards made under the Company’s incentive plans from time to time,</w:t>
      </w:r>
    </w:p>
    <w:p>
      <w:pPr>
        <w:spacing w:after="0" w:line="5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provided that, in each case:</w:t>
      </w:r>
    </w:p>
    <w:p>
      <w:pPr>
        <w:spacing w:after="0" w:line="98" w:lineRule="exact"/>
        <w:rPr>
          <w:sz w:val="20"/>
          <w:szCs w:val="20"/>
          <w:color w:val="auto"/>
        </w:rPr>
      </w:pPr>
    </w:p>
    <w:p>
      <w:pPr>
        <w:ind w:left="1260" w:right="199" w:hanging="208"/>
        <w:spacing w:after="0" w:line="248" w:lineRule="auto"/>
        <w:tabs>
          <w:tab w:leader="none" w:pos="1260" w:val="left"/>
        </w:tabs>
        <w:numPr>
          <w:ilvl w:val="1"/>
          <w:numId w:val="7"/>
        </w:numPr>
        <w:rPr>
          <w:rFonts w:ascii="Arial" w:cs="Arial" w:eastAsia="Arial" w:hAnsi="Arial"/>
          <w:sz w:val="15"/>
          <w:szCs w:val="15"/>
          <w:color w:val="6A2887"/>
        </w:rPr>
      </w:pPr>
      <w:r>
        <w:rPr>
          <w:rFonts w:ascii="Arial" w:cs="Arial" w:eastAsia="Arial" w:hAnsi="Arial"/>
          <w:sz w:val="15"/>
          <w:szCs w:val="15"/>
          <w:color w:val="auto"/>
        </w:rPr>
        <w:t>(unless previously revoked, varied or renewed by the Company) this authority will expire on the date that is five (5) years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p>
    <w:p>
      <w:pPr>
        <w:spacing w:after="0" w:line="80" w:lineRule="exact"/>
        <w:rPr>
          <w:rFonts w:ascii="Arial" w:cs="Arial" w:eastAsia="Arial" w:hAnsi="Arial"/>
          <w:sz w:val="15"/>
          <w:szCs w:val="15"/>
          <w:color w:val="6A2887"/>
        </w:rPr>
      </w:pPr>
    </w:p>
    <w:p>
      <w:pPr>
        <w:ind w:left="1260" w:right="239" w:hanging="208"/>
        <w:spacing w:after="0" w:line="260" w:lineRule="auto"/>
        <w:tabs>
          <w:tab w:leader="none" w:pos="1260" w:val="left"/>
        </w:tabs>
        <w:numPr>
          <w:ilvl w:val="1"/>
          <w:numId w:val="7"/>
        </w:numPr>
        <w:rPr>
          <w:rFonts w:ascii="Arial" w:cs="Arial" w:eastAsia="Arial" w:hAnsi="Arial"/>
          <w:sz w:val="15"/>
          <w:szCs w:val="15"/>
          <w:color w:val="6A2887"/>
        </w:rPr>
      </w:pPr>
      <w:r>
        <w:rPr>
          <w:rFonts w:ascii="Arial" w:cs="Arial" w:eastAsia="Arial" w:hAnsi="Arial"/>
          <w:sz w:val="15"/>
          <w:szCs w:val="15"/>
          <w:color w:val="auto"/>
        </w:rPr>
        <w:t>this authority is in addition to (and does not replace) all subsisting authorities previously granted to the directors for the purposes of section 551 of the Companies Act to the extent unused at the date of this resolution.</w:t>
      </w:r>
    </w:p>
    <w:p>
      <w:pPr>
        <w:spacing w:after="0" w:line="58" w:lineRule="exact"/>
        <w:rPr>
          <w:rFonts w:ascii="Arial" w:cs="Arial" w:eastAsia="Arial" w:hAnsi="Arial"/>
          <w:sz w:val="15"/>
          <w:szCs w:val="15"/>
          <w:color w:val="6A2887"/>
        </w:rPr>
      </w:pPr>
    </w:p>
    <w:p>
      <w:pPr>
        <w:ind w:left="1060" w:right="199" w:hanging="296"/>
        <w:spacing w:after="0" w:line="248"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Special Resolution</w:t>
      </w:r>
      <w:r>
        <w:rPr>
          <w:rFonts w:ascii="Arial" w:cs="Arial" w:eastAsia="Arial" w:hAnsi="Arial"/>
          <w:sz w:val="15"/>
          <w:szCs w:val="15"/>
          <w:color w:val="auto"/>
        </w:rPr>
        <w:t>: Subject to the passing of resolution 4 and in accordance with sections 570 and 573 of the Companies Act, to give the directors power to allot equity securities (as defined in section 560 of the Companies Act) of the Company pursuant to the authority conferred by resolution 4 and/or to sell ordinary shares (as defined in section 560 of the Companies Act) held by the Company as treasury shares as if section 561 of the Companies Act (existing shareholders’ pre-emption rights) did not apply to any such allotment or sale, provided that this power is limited to the allotment of equity securities or sale of treasury shares:</w:t>
      </w:r>
    </w:p>
    <w:p>
      <w:pPr>
        <w:spacing w:after="0" w:line="80" w:lineRule="exact"/>
        <w:rPr>
          <w:rFonts w:ascii="Arial" w:cs="Arial" w:eastAsia="Arial" w:hAnsi="Arial"/>
          <w:sz w:val="15"/>
          <w:szCs w:val="15"/>
          <w:color w:val="6A2887"/>
        </w:rPr>
      </w:pPr>
    </w:p>
    <w:p>
      <w:pPr>
        <w:ind w:left="1060"/>
        <w:spacing w:after="0"/>
        <w:rPr>
          <w:rFonts w:ascii="Arial" w:cs="Arial" w:eastAsia="Arial" w:hAnsi="Arial"/>
          <w:sz w:val="15"/>
          <w:szCs w:val="15"/>
          <w:color w:val="6A2887"/>
        </w:rPr>
      </w:pPr>
      <w:r>
        <w:rPr>
          <w:rFonts w:ascii="Arial" w:cs="Arial" w:eastAsia="Arial" w:hAnsi="Arial"/>
          <w:sz w:val="15"/>
          <w:szCs w:val="15"/>
          <w:color w:val="6A2887"/>
        </w:rPr>
        <w:t xml:space="preserve">(a) </w:t>
      </w:r>
      <w:r>
        <w:rPr>
          <w:rFonts w:ascii="Arial" w:cs="Arial" w:eastAsia="Arial" w:hAnsi="Arial"/>
          <w:sz w:val="15"/>
          <w:szCs w:val="15"/>
          <w:color w:val="000000"/>
        </w:rPr>
        <w:t>up to an aggregate nominal amount of £9,882,722; and</w:t>
      </w:r>
    </w:p>
    <w:p>
      <w:pPr>
        <w:spacing w:after="0" w:line="97" w:lineRule="exact"/>
        <w:rPr>
          <w:rFonts w:ascii="Arial" w:cs="Arial" w:eastAsia="Arial" w:hAnsi="Arial"/>
          <w:sz w:val="15"/>
          <w:szCs w:val="15"/>
          <w:color w:val="6A2887"/>
        </w:rPr>
      </w:pPr>
    </w:p>
    <w:p>
      <w:pPr>
        <w:ind w:left="1260" w:right="279" w:hanging="216"/>
        <w:spacing w:after="0" w:line="260" w:lineRule="auto"/>
        <w:rPr>
          <w:rFonts w:ascii="Arial" w:cs="Arial" w:eastAsia="Arial" w:hAnsi="Arial"/>
          <w:sz w:val="15"/>
          <w:szCs w:val="15"/>
          <w:color w:val="6A2887"/>
        </w:rPr>
      </w:pPr>
      <w:r>
        <w:rPr>
          <w:rFonts w:ascii="Arial" w:cs="Arial" w:eastAsia="Arial" w:hAnsi="Arial"/>
          <w:sz w:val="15"/>
          <w:szCs w:val="15"/>
          <w:color w:val="6A2887"/>
        </w:rPr>
        <w:t xml:space="preserve">(b) </w:t>
      </w:r>
      <w:r>
        <w:rPr>
          <w:rFonts w:ascii="Arial" w:cs="Arial" w:eastAsia="Arial" w:hAnsi="Arial"/>
          <w:sz w:val="15"/>
          <w:szCs w:val="15"/>
          <w:color w:val="000000"/>
        </w:rPr>
        <w:t>(in addition to the amount set out under (a) above), up to an aggregate nominal amount of £3,218,206 in connection with the grant</w:t>
      </w:r>
      <w:r>
        <w:rPr>
          <w:rFonts w:ascii="Arial" w:cs="Arial" w:eastAsia="Arial" w:hAnsi="Arial"/>
          <w:sz w:val="15"/>
          <w:szCs w:val="15"/>
          <w:color w:val="6A2887"/>
        </w:rPr>
        <w:t xml:space="preserve"> </w:t>
      </w:r>
      <w:r>
        <w:rPr>
          <w:rFonts w:ascii="Arial" w:cs="Arial" w:eastAsia="Arial" w:hAnsi="Arial"/>
          <w:sz w:val="15"/>
          <w:szCs w:val="15"/>
          <w:color w:val="000000"/>
        </w:rPr>
        <w:t>or exercise of awards made under the Company’s incentive plans from time to time,</w:t>
      </w:r>
    </w:p>
    <w:p>
      <w:pPr>
        <w:spacing w:after="0" w:line="58" w:lineRule="exact"/>
        <w:rPr>
          <w:rFonts w:ascii="Arial" w:cs="Arial" w:eastAsia="Arial" w:hAnsi="Arial"/>
          <w:sz w:val="15"/>
          <w:szCs w:val="15"/>
          <w:color w:val="6A2887"/>
        </w:rPr>
      </w:pPr>
    </w:p>
    <w:p>
      <w:pPr>
        <w:ind w:left="1060"/>
        <w:spacing w:after="0"/>
        <w:rPr>
          <w:rFonts w:ascii="Arial" w:cs="Arial" w:eastAsia="Arial" w:hAnsi="Arial"/>
          <w:sz w:val="15"/>
          <w:szCs w:val="15"/>
          <w:color w:val="6A2887"/>
        </w:rPr>
      </w:pPr>
      <w:r>
        <w:rPr>
          <w:rFonts w:ascii="Arial" w:cs="Arial" w:eastAsia="Arial" w:hAnsi="Arial"/>
          <w:sz w:val="15"/>
          <w:szCs w:val="15"/>
          <w:color w:val="auto"/>
        </w:rPr>
        <w:t>provided that, in each case:</w:t>
      </w:r>
    </w:p>
    <w:p>
      <w:pPr>
        <w:spacing w:after="0" w:line="97" w:lineRule="exact"/>
        <w:rPr>
          <w:rFonts w:ascii="Arial" w:cs="Arial" w:eastAsia="Arial" w:hAnsi="Arial"/>
          <w:sz w:val="15"/>
          <w:szCs w:val="15"/>
          <w:color w:val="6A2887"/>
        </w:rPr>
      </w:pPr>
    </w:p>
    <w:p>
      <w:pPr>
        <w:ind w:left="1260" w:right="399" w:hanging="208"/>
        <w:spacing w:after="0" w:line="273" w:lineRule="auto"/>
        <w:tabs>
          <w:tab w:leader="none" w:pos="1260" w:val="left"/>
        </w:tabs>
        <w:numPr>
          <w:ilvl w:val="1"/>
          <w:numId w:val="8"/>
        </w:numPr>
        <w:rPr>
          <w:rFonts w:ascii="Arial" w:cs="Arial" w:eastAsia="Arial" w:hAnsi="Arial"/>
          <w:sz w:val="14"/>
          <w:szCs w:val="14"/>
          <w:color w:val="6A2887"/>
        </w:rPr>
      </w:pPr>
      <w:r>
        <w:rPr>
          <w:rFonts w:ascii="Arial" w:cs="Arial" w:eastAsia="Arial" w:hAnsi="Arial"/>
          <w:sz w:val="14"/>
          <w:szCs w:val="14"/>
          <w:color w:val="auto"/>
        </w:rPr>
        <w:t>(unless previously revoked, varied or renewed by the Company) this power will expire on the date that is five (5) years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agreements as if this power had not expired; and</w:t>
      </w:r>
    </w:p>
    <w:p>
      <w:pPr>
        <w:spacing w:after="0" w:line="63" w:lineRule="exact"/>
        <w:rPr>
          <w:rFonts w:ascii="Arial" w:cs="Arial" w:eastAsia="Arial" w:hAnsi="Arial"/>
          <w:sz w:val="14"/>
          <w:szCs w:val="14"/>
          <w:color w:val="6A2887"/>
        </w:rPr>
      </w:pPr>
    </w:p>
    <w:p>
      <w:pPr>
        <w:ind w:left="1260" w:right="259" w:hanging="208"/>
        <w:spacing w:after="0" w:line="260" w:lineRule="auto"/>
        <w:tabs>
          <w:tab w:leader="none" w:pos="1260" w:val="left"/>
        </w:tabs>
        <w:numPr>
          <w:ilvl w:val="1"/>
          <w:numId w:val="8"/>
        </w:numPr>
        <w:rPr>
          <w:rFonts w:ascii="Arial" w:cs="Arial" w:eastAsia="Arial" w:hAnsi="Arial"/>
          <w:sz w:val="15"/>
          <w:szCs w:val="15"/>
          <w:color w:val="6A2887"/>
        </w:rPr>
      </w:pPr>
      <w:r>
        <w:rPr>
          <w:rFonts w:ascii="Arial" w:cs="Arial" w:eastAsia="Arial" w:hAnsi="Arial"/>
          <w:sz w:val="15"/>
          <w:szCs w:val="15"/>
          <w:color w:val="auto"/>
        </w:rPr>
        <w:t>this power is in addition to (and does not replace) all subsisting powers previously given to the directors for the purposes of section 570 of the Companies Act to the extent unused at the date of this resolution.</w:t>
      </w:r>
    </w:p>
    <w:p>
      <w:pPr>
        <w:spacing w:after="0" w:line="58" w:lineRule="exact"/>
        <w:rPr>
          <w:rFonts w:ascii="Arial" w:cs="Arial" w:eastAsia="Arial" w:hAnsi="Arial"/>
          <w:sz w:val="15"/>
          <w:szCs w:val="15"/>
          <w:color w:val="6A2887"/>
        </w:rPr>
      </w:pPr>
    </w:p>
    <w:p>
      <w:pPr>
        <w:ind w:left="1060" w:right="399" w:hanging="296"/>
        <w:spacing w:after="0" w:line="252"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Special Resolution</w:t>
      </w:r>
      <w:r>
        <w:rPr>
          <w:rFonts w:ascii="Arial" w:cs="Arial" w:eastAsia="Arial" w:hAnsi="Arial"/>
          <w:sz w:val="15"/>
          <w:szCs w:val="15"/>
          <w:color w:val="auto"/>
        </w:rPr>
        <w:t>: To approve and adopt the draft regulations which are tabled at the AGM and labeled the “New Articles” and initialed by the Chairman of the AGM (the “New Articles”) as the articles of association of the Company in substitution for, and to the exclusion of, the existing articles of association of the Company.</w:t>
      </w:r>
    </w:p>
    <w:p>
      <w:pPr>
        <w:spacing w:after="0" w:line="77" w:lineRule="exact"/>
        <w:rPr>
          <w:rFonts w:ascii="Arial" w:cs="Arial" w:eastAsia="Arial" w:hAnsi="Arial"/>
          <w:sz w:val="15"/>
          <w:szCs w:val="15"/>
          <w:color w:val="6A2887"/>
        </w:rPr>
      </w:pPr>
    </w:p>
    <w:p>
      <w:pPr>
        <w:ind w:left="1060" w:right="279" w:hanging="296"/>
        <w:spacing w:after="0" w:line="260"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approve, on an advisory basis, the UK directors’ remuneration report in the form set out in the Company’s UK annual report and accounts for the period ended December 31, 2019.</w:t>
      </w:r>
    </w:p>
    <w:p>
      <w:pPr>
        <w:spacing w:after="0" w:line="71" w:lineRule="exact"/>
        <w:rPr>
          <w:rFonts w:ascii="Arial" w:cs="Arial" w:eastAsia="Arial" w:hAnsi="Arial"/>
          <w:sz w:val="15"/>
          <w:szCs w:val="15"/>
          <w:color w:val="6A2887"/>
        </w:rPr>
      </w:pPr>
    </w:p>
    <w:p>
      <w:pPr>
        <w:ind w:left="1060" w:right="559" w:hanging="296"/>
        <w:spacing w:after="0" w:line="260"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receive and adopt the Company’s audited UK statutory accounts for the year ended December 31, 2019, together with the reports of the directors and the auditors thereon.</w:t>
      </w:r>
    </w:p>
    <w:p>
      <w:pPr>
        <w:spacing w:after="0" w:line="58" w:lineRule="exact"/>
        <w:rPr>
          <w:rFonts w:ascii="Arial" w:cs="Arial" w:eastAsia="Arial" w:hAnsi="Arial"/>
          <w:sz w:val="15"/>
          <w:szCs w:val="15"/>
          <w:color w:val="6A2887"/>
        </w:rPr>
      </w:pPr>
    </w:p>
    <w:p>
      <w:pPr>
        <w:ind w:left="1060" w:right="379" w:hanging="296"/>
        <w:spacing w:after="0" w:line="260"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re-appoint PricewaterhouseCoopers LLP, a limited liability partnership organized under the laws of England, as the Company’s UK statutory auditor.</w:t>
      </w:r>
    </w:p>
    <w:p>
      <w:pPr>
        <w:spacing w:after="0" w:line="71" w:lineRule="exact"/>
        <w:rPr>
          <w:rFonts w:ascii="Arial" w:cs="Arial" w:eastAsia="Arial" w:hAnsi="Arial"/>
          <w:sz w:val="15"/>
          <w:szCs w:val="15"/>
          <w:color w:val="6A2887"/>
        </w:rPr>
      </w:pPr>
    </w:p>
    <w:p>
      <w:pPr>
        <w:ind w:left="1060" w:right="559" w:hanging="296"/>
        <w:spacing w:after="0" w:line="260" w:lineRule="auto"/>
        <w:tabs>
          <w:tab w:leader="none" w:pos="1060" w:val="left"/>
        </w:tabs>
        <w:numPr>
          <w:ilvl w:val="0"/>
          <w:numId w:val="8"/>
        </w:numPr>
        <w:rPr>
          <w:rFonts w:ascii="Arial" w:cs="Arial" w:eastAsia="Arial" w:hAnsi="Arial"/>
          <w:sz w:val="15"/>
          <w:szCs w:val="15"/>
          <w:color w:val="6A2887"/>
        </w:rPr>
      </w:pPr>
      <w:r>
        <w:rPr>
          <w:rFonts w:ascii="Arial" w:cs="Arial" w:eastAsia="Arial" w:hAnsi="Arial"/>
          <w:sz w:val="15"/>
          <w:szCs w:val="15"/>
          <w:u w:val="single" w:color="auto"/>
          <w:color w:val="auto"/>
        </w:rPr>
        <w:t>Ordinary Resolution</w:t>
      </w:r>
      <w:r>
        <w:rPr>
          <w:rFonts w:ascii="Arial" w:cs="Arial" w:eastAsia="Arial" w:hAnsi="Arial"/>
          <w:sz w:val="15"/>
          <w:szCs w:val="15"/>
          <w:color w:val="auto"/>
        </w:rPr>
        <w:t>: To authorize the directors and/or the Audit and Compliance Committee to determine the remuneration of the Company’s UK statutory auditor.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iii</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How to Vote</w:t>
      </w:r>
    </w:p>
    <w:p>
      <w:pPr>
        <w:spacing w:after="0" w:line="98" w:lineRule="exact"/>
        <w:rPr>
          <w:sz w:val="20"/>
          <w:szCs w:val="20"/>
          <w:color w:val="auto"/>
        </w:rPr>
      </w:pPr>
    </w:p>
    <w:p>
      <w:pPr>
        <w:ind w:left="760" w:right="300"/>
        <w:spacing w:after="0" w:line="263" w:lineRule="auto"/>
        <w:rPr>
          <w:sz w:val="20"/>
          <w:szCs w:val="20"/>
          <w:color w:val="auto"/>
        </w:rPr>
      </w:pPr>
      <w:r>
        <w:rPr>
          <w:rFonts w:ascii="Arial" w:cs="Arial" w:eastAsia="Arial" w:hAnsi="Arial"/>
          <w:sz w:val="15"/>
          <w:szCs w:val="15"/>
          <w:color w:val="auto"/>
        </w:rPr>
        <w:t xml:space="preserve">You may vote at the AGM by proxy or virtually at </w:t>
      </w:r>
      <w:r>
        <w:rPr>
          <w:rFonts w:ascii="Arial" w:cs="Arial" w:eastAsia="Arial" w:hAnsi="Arial"/>
          <w:sz w:val="15"/>
          <w:szCs w:val="15"/>
          <w:i w:val="1"/>
          <w:iCs w:val="1"/>
          <w:color w:val="auto"/>
        </w:rPr>
        <w:t>www.meetingcenter.io/260382039 (</w:t>
      </w:r>
      <w:r>
        <w:rPr>
          <w:rFonts w:ascii="Arial" w:cs="Arial" w:eastAsia="Arial" w:hAnsi="Arial"/>
          <w:sz w:val="15"/>
          <w:szCs w:val="15"/>
          <w:color w:val="auto"/>
        </w:rPr>
        <w:t xml:space="preserve">password: LIVN2020). Please see the section entitled </w:t>
      </w:r>
      <w:r>
        <w:rPr>
          <w:rFonts w:ascii="Arial" w:cs="Arial" w:eastAsia="Arial" w:hAnsi="Arial"/>
          <w:sz w:val="15"/>
          <w:szCs w:val="15"/>
          <w:i w:val="1"/>
          <w:iCs w:val="1"/>
          <w:color w:val="auto"/>
        </w:rPr>
        <w:t xml:space="preserve">Frequently Asked Questions About the AGM </w:t>
      </w:r>
      <w:r>
        <w:rPr>
          <w:rFonts w:ascii="Arial" w:cs="Arial" w:eastAsia="Arial" w:hAnsi="Arial"/>
          <w:sz w:val="15"/>
          <w:szCs w:val="15"/>
          <w:color w:val="auto"/>
        </w:rPr>
        <w:t>for detailed information on how shareholders of record, beneficial holders and CDI holders</w:t>
      </w:r>
      <w:r>
        <w:rPr>
          <w:rFonts w:ascii="Arial" w:cs="Arial" w:eastAsia="Arial" w:hAnsi="Arial"/>
          <w:sz w:val="15"/>
          <w:szCs w:val="15"/>
          <w:i w:val="1"/>
          <w:iCs w:val="1"/>
          <w:color w:val="auto"/>
        </w:rPr>
        <w:t xml:space="preserve"> </w:t>
      </w:r>
      <w:r>
        <w:rPr>
          <w:rFonts w:ascii="Arial" w:cs="Arial" w:eastAsia="Arial" w:hAnsi="Arial"/>
          <w:sz w:val="15"/>
          <w:szCs w:val="15"/>
          <w:color w:val="auto"/>
        </w:rPr>
        <w:t>may virtually attend and vote at the AGM.</w:t>
      </w:r>
    </w:p>
    <w:p>
      <w:pPr>
        <w:spacing w:after="0" w:line="70" w:lineRule="exact"/>
        <w:rPr>
          <w:sz w:val="20"/>
          <w:szCs w:val="20"/>
          <w:color w:val="auto"/>
        </w:rPr>
      </w:pPr>
    </w:p>
    <w:p>
      <w:pPr>
        <w:ind w:left="760" w:right="360"/>
        <w:spacing w:after="0" w:line="260" w:lineRule="auto"/>
        <w:rPr>
          <w:sz w:val="20"/>
          <w:szCs w:val="20"/>
          <w:color w:val="auto"/>
        </w:rPr>
      </w:pPr>
      <w:r>
        <w:rPr>
          <w:rFonts w:ascii="Arial" w:cs="Arial" w:eastAsia="Arial" w:hAnsi="Arial"/>
          <w:sz w:val="15"/>
          <w:szCs w:val="15"/>
          <w:color w:val="auto"/>
        </w:rPr>
        <w:t xml:space="preserve">You may also vote in advance of the meeting. Depending on whether you are a shareholder of record, a beneficial holder or a CDI holder, you will be able to do so by post, via the Internet or by telephone. Please see our </w:t>
      </w:r>
      <w:r>
        <w:rPr>
          <w:rFonts w:ascii="Arial" w:cs="Arial" w:eastAsia="Arial" w:hAnsi="Arial"/>
          <w:sz w:val="15"/>
          <w:szCs w:val="15"/>
          <w:i w:val="1"/>
          <w:iCs w:val="1"/>
          <w:color w:val="auto"/>
        </w:rPr>
        <w:t>Frequently Asked Questions About the AGM</w:t>
      </w:r>
      <w:r>
        <w:rPr>
          <w:rFonts w:ascii="Arial" w:cs="Arial" w:eastAsia="Arial" w:hAnsi="Arial"/>
          <w:sz w:val="15"/>
          <w:szCs w:val="15"/>
          <w:color w:val="auto"/>
        </w:rPr>
        <w:t>.</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Section 527 Notice – Website Materials</w:t>
      </w:r>
    </w:p>
    <w:p>
      <w:pPr>
        <w:spacing w:after="0" w:line="101" w:lineRule="exact"/>
        <w:rPr>
          <w:sz w:val="20"/>
          <w:szCs w:val="20"/>
          <w:color w:val="auto"/>
        </w:rPr>
      </w:pPr>
    </w:p>
    <w:p>
      <w:pPr>
        <w:ind w:left="760" w:right="280"/>
        <w:spacing w:after="0" w:line="246" w:lineRule="auto"/>
        <w:rPr>
          <w:sz w:val="20"/>
          <w:szCs w:val="20"/>
          <w:color w:val="auto"/>
        </w:rPr>
      </w:pPr>
      <w:r>
        <w:rPr>
          <w:rFonts w:ascii="Arial" w:cs="Arial" w:eastAsia="Arial" w:hAnsi="Arial"/>
          <w:sz w:val="15"/>
          <w:szCs w:val="15"/>
          <w:color w:val="auto"/>
        </w:rPr>
        <w:t>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p>
    <w:p>
      <w:pPr>
        <w:spacing w:after="0" w:line="204" w:lineRule="exact"/>
        <w:rPr>
          <w:sz w:val="20"/>
          <w:szCs w:val="20"/>
          <w:color w:val="auto"/>
        </w:rPr>
      </w:pPr>
    </w:p>
    <w:p>
      <w:pPr>
        <w:jc w:val="right"/>
        <w:ind w:right="260"/>
        <w:spacing w:after="0"/>
        <w:rPr>
          <w:sz w:val="20"/>
          <w:szCs w:val="20"/>
          <w:color w:val="auto"/>
        </w:rPr>
      </w:pPr>
      <w:r>
        <w:rPr>
          <w:rFonts w:ascii="Arial" w:cs="Arial" w:eastAsia="Arial" w:hAnsi="Arial"/>
          <w:sz w:val="15"/>
          <w:szCs w:val="15"/>
          <w:color w:val="auto"/>
        </w:rPr>
        <w:t>By order of the Board of Directors,</w:t>
      </w:r>
    </w:p>
    <w:p>
      <w:pPr>
        <w:spacing w:after="0" w:line="309" w:lineRule="exact"/>
        <w:rPr>
          <w:sz w:val="20"/>
          <w:szCs w:val="20"/>
          <w:color w:val="auto"/>
        </w:rPr>
      </w:pPr>
    </w:p>
    <w:p>
      <w:pPr>
        <w:jc w:val="right"/>
        <w:ind w:right="300"/>
        <w:spacing w:after="0"/>
        <w:rPr>
          <w:sz w:val="20"/>
          <w:szCs w:val="20"/>
          <w:color w:val="auto"/>
        </w:rPr>
      </w:pPr>
      <w:r>
        <w:rPr>
          <w:rFonts w:ascii="Arial" w:cs="Arial" w:eastAsia="Arial" w:hAnsi="Arial"/>
          <w:sz w:val="15"/>
          <w:szCs w:val="15"/>
          <w:b w:val="1"/>
          <w:bCs w:val="1"/>
          <w:color w:val="auto"/>
        </w:rPr>
        <w:t>Keyna P. Skeffington</w:t>
      </w:r>
    </w:p>
    <w:p>
      <w:pPr>
        <w:spacing w:after="0" w:line="21" w:lineRule="exact"/>
        <w:rPr>
          <w:sz w:val="20"/>
          <w:szCs w:val="20"/>
          <w:color w:val="auto"/>
        </w:rPr>
      </w:pPr>
    </w:p>
    <w:p>
      <w:pPr>
        <w:jc w:val="right"/>
        <w:ind w:right="300"/>
        <w:spacing w:after="0"/>
        <w:rPr>
          <w:sz w:val="20"/>
          <w:szCs w:val="20"/>
          <w:color w:val="auto"/>
        </w:rPr>
      </w:pPr>
      <w:r>
        <w:rPr>
          <w:rFonts w:ascii="Arial" w:cs="Arial" w:eastAsia="Arial" w:hAnsi="Arial"/>
          <w:sz w:val="15"/>
          <w:szCs w:val="15"/>
          <w:i w:val="1"/>
          <w:iCs w:val="1"/>
          <w:color w:val="auto"/>
        </w:rPr>
        <w:t>Company Secretary</w:t>
      </w:r>
    </w:p>
    <w:p>
      <w:pPr>
        <w:spacing w:after="0" w:line="3" w:lineRule="exact"/>
        <w:rPr>
          <w:sz w:val="20"/>
          <w:szCs w:val="20"/>
          <w:color w:val="auto"/>
        </w:rPr>
      </w:pPr>
    </w:p>
    <w:p>
      <w:pPr>
        <w:jc w:val="right"/>
        <w:ind w:right="260"/>
        <w:spacing w:after="0"/>
        <w:rPr>
          <w:sz w:val="20"/>
          <w:szCs w:val="20"/>
          <w:color w:val="auto"/>
        </w:rPr>
      </w:pPr>
      <w:r>
        <w:rPr>
          <w:rFonts w:ascii="Arial" w:cs="Arial" w:eastAsia="Arial" w:hAnsi="Arial"/>
          <w:sz w:val="15"/>
          <w:szCs w:val="15"/>
          <w:color w:val="auto"/>
        </w:rPr>
        <w:t>[May 20, 2020]</w:t>
      </w:r>
    </w:p>
    <w:p>
      <w:pPr>
        <w:sectPr>
          <w:pgSz w:w="11900" w:h="16838" w:orient="portrait"/>
          <w:cols w:equalWidth="0" w:num="1">
            <w:col w:w="10200"/>
          </w:cols>
          <w:pgMar w:left="320" w:top="13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00"/>
          </w:cols>
          <w:pgMar w:left="320" w:top="132" w:right="1379"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80"/>
        <w:spacing w:after="0"/>
        <w:rPr>
          <w:sz w:val="20"/>
          <w:szCs w:val="20"/>
          <w:color w:val="auto"/>
        </w:rPr>
      </w:pPr>
      <w:r>
        <w:rPr>
          <w:rFonts w:ascii="Arial" w:cs="Arial" w:eastAsia="Arial" w:hAnsi="Arial"/>
          <w:sz w:val="38"/>
          <w:szCs w:val="38"/>
          <w:b w:val="1"/>
          <w:bCs w:val="1"/>
          <w:color w:val="6A2887"/>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-234950</wp:posOffset>
            </wp:positionV>
            <wp:extent cx="5066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47" w:lineRule="exact"/>
        <w:rPr>
          <w:sz w:val="20"/>
          <w:szCs w:val="20"/>
          <w:color w:val="auto"/>
        </w:rPr>
      </w:pPr>
    </w:p>
    <w:p>
      <w:pPr>
        <w:ind w:left="760"/>
        <w:spacing w:after="0"/>
        <w:rPr>
          <w:sz w:val="20"/>
          <w:szCs w:val="20"/>
          <w:color w:val="auto"/>
        </w:rPr>
      </w:pPr>
      <w:r>
        <w:rPr>
          <w:rFonts w:ascii="Arial" w:cs="Arial" w:eastAsia="Arial" w:hAnsi="Arial"/>
          <w:sz w:val="27"/>
          <w:szCs w:val="27"/>
          <w:b w:val="1"/>
          <w:bCs w:val="1"/>
          <w:color w:val="666666"/>
        </w:rPr>
        <w:t>of Contents</w:t>
      </w:r>
    </w:p>
    <w:p>
      <w:pPr>
        <w:spacing w:after="0" w:line="160" w:lineRule="exact"/>
        <w:rPr>
          <w:sz w:val="20"/>
          <w:szCs w:val="20"/>
          <w:color w:val="auto"/>
        </w:rPr>
      </w:pPr>
    </w:p>
    <w:tbl>
      <w:tblPr>
        <w:tblLayout w:type="fixed"/>
        <w:tblInd w:w="980" w:type="dxa"/>
        <w:tblCellMar>
          <w:top w:w="0" w:type="dxa"/>
          <w:left w:w="0" w:type="dxa"/>
          <w:bottom w:w="0" w:type="dxa"/>
          <w:right w:w="0" w:type="dxa"/>
        </w:tblCellMar>
      </w:tblPr>
      <w:tr>
        <w:trPr>
          <w:trHeight w:val="239"/>
        </w:trPr>
        <w:tc>
          <w:tcPr>
            <w:tcW w:w="7040" w:type="dxa"/>
            <w:vAlign w:val="bottom"/>
          </w:tcPr>
          <w:p>
            <w:pPr>
              <w:spacing w:after="0"/>
              <w:rPr>
                <w:rFonts w:ascii="Arial" w:cs="Arial" w:eastAsia="Arial" w:hAnsi="Arial"/>
                <w:sz w:val="18"/>
                <w:szCs w:val="18"/>
                <w:b w:val="1"/>
                <w:bCs w:val="1"/>
                <w:u w:val="single" w:color="auto"/>
                <w:color w:val="6A2887"/>
              </w:rPr>
            </w:pPr>
            <w:hyperlink w:anchor="page6">
              <w:r>
                <w:rPr>
                  <w:rFonts w:ascii="Arial" w:cs="Arial" w:eastAsia="Arial" w:hAnsi="Arial"/>
                  <w:sz w:val="18"/>
                  <w:szCs w:val="18"/>
                  <w:b w:val="1"/>
                  <w:bCs w:val="1"/>
                  <w:u w:val="single" w:color="auto"/>
                  <w:color w:val="6A2887"/>
                </w:rPr>
                <w:t>Proxy Summary</w:t>
              </w:r>
            </w:hyperlink>
          </w:p>
        </w:tc>
        <w:tc>
          <w:tcPr>
            <w:tcW w:w="1920" w:type="dxa"/>
            <w:vAlign w:val="bottom"/>
          </w:tcPr>
          <w:p>
            <w:pPr>
              <w:jc w:val="right"/>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3</w:t>
              </w:r>
            </w:hyperlink>
          </w:p>
        </w:tc>
      </w:tr>
      <w:tr>
        <w:trPr>
          <w:trHeight w:val="351"/>
        </w:trPr>
        <w:tc>
          <w:tcPr>
            <w:tcW w:w="7040" w:type="dxa"/>
            <w:vAlign w:val="bottom"/>
          </w:tcPr>
          <w:p>
            <w:pPr>
              <w:spacing w:after="0"/>
              <w:rPr>
                <w:rFonts w:ascii="Arial" w:cs="Arial" w:eastAsia="Arial" w:hAnsi="Arial"/>
                <w:sz w:val="18"/>
                <w:szCs w:val="18"/>
                <w:b w:val="1"/>
                <w:bCs w:val="1"/>
                <w:u w:val="single" w:color="auto"/>
                <w:color w:val="6A2887"/>
              </w:rPr>
            </w:pPr>
            <w:hyperlink w:anchor="page9">
              <w:r>
                <w:rPr>
                  <w:rFonts w:ascii="Arial" w:cs="Arial" w:eastAsia="Arial" w:hAnsi="Arial"/>
                  <w:sz w:val="18"/>
                  <w:szCs w:val="18"/>
                  <w:b w:val="1"/>
                  <w:bCs w:val="1"/>
                  <w:u w:val="single" w:color="auto"/>
                  <w:color w:val="6A2887"/>
                </w:rPr>
                <w:t>Cautionary Note Regarding Forward-Looking Statements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6</w:t>
              </w:r>
            </w:hyperlink>
          </w:p>
        </w:tc>
      </w:tr>
      <w:tr>
        <w:trPr>
          <w:trHeight w:val="351"/>
        </w:trPr>
        <w:tc>
          <w:tcPr>
            <w:tcW w:w="7040" w:type="dxa"/>
            <w:vAlign w:val="bottom"/>
          </w:tcPr>
          <w:p>
            <w:pPr>
              <w:spacing w:after="0"/>
              <w:rPr>
                <w:rFonts w:ascii="Arial" w:cs="Arial" w:eastAsia="Arial" w:hAnsi="Arial"/>
                <w:sz w:val="18"/>
                <w:szCs w:val="18"/>
                <w:b w:val="1"/>
                <w:bCs w:val="1"/>
                <w:u w:val="single" w:color="auto"/>
                <w:color w:val="6A2887"/>
              </w:rPr>
            </w:pPr>
            <w:hyperlink w:anchor="page10">
              <w:r>
                <w:rPr>
                  <w:rFonts w:ascii="Arial" w:cs="Arial" w:eastAsia="Arial" w:hAnsi="Arial"/>
                  <w:sz w:val="18"/>
                  <w:szCs w:val="18"/>
                  <w:b w:val="1"/>
                  <w:bCs w:val="1"/>
                  <w:u w:val="single" w:color="auto"/>
                  <w:color w:val="6A2887"/>
                </w:rPr>
                <w:t xml:space="preserve">Resolutions and </w:t>
              </w:r>
              <w:r>
                <w:rPr>
                  <w:rFonts w:ascii="Arial" w:cs="Arial" w:eastAsia="Arial" w:hAnsi="Arial"/>
                  <w:sz w:val="18"/>
                  <w:szCs w:val="18"/>
                  <w:b w:val="1"/>
                  <w:bCs w:val="1"/>
                  <w:u w:val="single" w:color="auto"/>
                  <w:color w:val="666666"/>
                </w:rPr>
                <w:t>Voting</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7</w:t>
              </w:r>
            </w:hyperlink>
          </w:p>
        </w:tc>
      </w:tr>
      <w:tr>
        <w:trPr>
          <w:trHeight w:val="364"/>
        </w:trPr>
        <w:tc>
          <w:tcPr>
            <w:tcW w:w="7040" w:type="dxa"/>
            <w:vAlign w:val="bottom"/>
          </w:tcPr>
          <w:p>
            <w:pPr>
              <w:spacing w:after="0"/>
              <w:rPr>
                <w:rFonts w:ascii="Arial" w:cs="Arial" w:eastAsia="Arial" w:hAnsi="Arial"/>
                <w:sz w:val="18"/>
                <w:szCs w:val="18"/>
                <w:b w:val="1"/>
                <w:bCs w:val="1"/>
                <w:u w:val="single" w:color="auto"/>
                <w:color w:val="6A2887"/>
              </w:rPr>
            </w:pPr>
            <w:hyperlink w:anchor="page11">
              <w:r>
                <w:rPr>
                  <w:rFonts w:ascii="Arial" w:cs="Arial" w:eastAsia="Arial" w:hAnsi="Arial"/>
                  <w:sz w:val="18"/>
                  <w:szCs w:val="18"/>
                  <w:b w:val="1"/>
                  <w:bCs w:val="1"/>
                  <w:u w:val="single" w:color="auto"/>
                  <w:color w:val="6A2887"/>
                </w:rPr>
                <w:t xml:space="preserve">Proposal No. 1  </w:t>
              </w:r>
              <w:r>
                <w:rPr>
                  <w:rFonts w:ascii="Arial" w:cs="Arial" w:eastAsia="Arial" w:hAnsi="Arial"/>
                  <w:sz w:val="18"/>
                  <w:szCs w:val="18"/>
                  <w:b w:val="1"/>
                  <w:bCs w:val="1"/>
                  <w:u w:val="single" w:color="auto"/>
                  <w:color w:val="666666"/>
                </w:rPr>
                <w:t>Election of Directors</w:t>
              </w:r>
            </w:hyperlink>
          </w:p>
        </w:tc>
        <w:tc>
          <w:tcPr>
            <w:tcW w:w="1920" w:type="dxa"/>
            <w:vAlign w:val="bottom"/>
          </w:tcPr>
          <w:p>
            <w:pPr>
              <w:jc w:val="right"/>
              <w:spacing w:after="0"/>
              <w:rPr>
                <w:rFonts w:ascii="Arial" w:cs="Arial" w:eastAsia="Arial" w:hAnsi="Arial"/>
                <w:sz w:val="18"/>
                <w:szCs w:val="18"/>
                <w:b w:val="1"/>
                <w:bCs w:val="1"/>
                <w:u w:val="single" w:color="auto"/>
                <w:color w:val="6A2887"/>
              </w:rPr>
            </w:pPr>
            <w:hyperlink w:anchor="page11">
              <w:r>
                <w:rPr>
                  <w:rFonts w:ascii="Arial" w:cs="Arial" w:eastAsia="Arial" w:hAnsi="Arial"/>
                  <w:sz w:val="18"/>
                  <w:szCs w:val="18"/>
                  <w:b w:val="1"/>
                  <w:bCs w:val="1"/>
                  <w:u w:val="single" w:color="auto"/>
                  <w:color w:val="6A2887"/>
                </w:rPr>
                <w:t>8</w:t>
              </w:r>
            </w:hyperlink>
          </w:p>
        </w:tc>
      </w:tr>
      <w:tr>
        <w:trPr>
          <w:trHeight w:val="351"/>
        </w:trPr>
        <w:tc>
          <w:tcPr>
            <w:tcW w:w="7040" w:type="dxa"/>
            <w:vAlign w:val="bottom"/>
          </w:tcPr>
          <w:p>
            <w:pPr>
              <w:spacing w:after="0"/>
              <w:rPr>
                <w:rFonts w:ascii="Arial" w:cs="Arial" w:eastAsia="Arial" w:hAnsi="Arial"/>
                <w:sz w:val="18"/>
                <w:szCs w:val="18"/>
                <w:b w:val="1"/>
                <w:bCs w:val="1"/>
                <w:u w:val="single" w:color="auto"/>
                <w:color w:val="6A2887"/>
              </w:rPr>
            </w:pPr>
            <w:hyperlink w:anchor="page12">
              <w:r>
                <w:rPr>
                  <w:rFonts w:ascii="Arial" w:cs="Arial" w:eastAsia="Arial" w:hAnsi="Arial"/>
                  <w:sz w:val="18"/>
                  <w:szCs w:val="18"/>
                  <w:b w:val="1"/>
                  <w:bCs w:val="1"/>
                  <w:u w:val="single" w:color="auto"/>
                  <w:color w:val="6A2887"/>
                </w:rPr>
                <w:t xml:space="preserve">Corporate </w:t>
              </w:r>
              <w:r>
                <w:rPr>
                  <w:rFonts w:ascii="Arial" w:cs="Arial" w:eastAsia="Arial" w:hAnsi="Arial"/>
                  <w:sz w:val="18"/>
                  <w:szCs w:val="18"/>
                  <w:b w:val="1"/>
                  <w:bCs w:val="1"/>
                  <w:u w:val="single" w:color="auto"/>
                  <w:color w:val="666666"/>
                </w:rPr>
                <w:t>Governance</w:t>
              </w:r>
            </w:hyperlink>
          </w:p>
        </w:tc>
        <w:tc>
          <w:tcPr>
            <w:tcW w:w="1920" w:type="dxa"/>
            <w:vAlign w:val="bottom"/>
          </w:tcPr>
          <w:p>
            <w:pPr>
              <w:jc w:val="right"/>
              <w:spacing w:after="0"/>
              <w:rPr>
                <w:rFonts w:ascii="Arial" w:cs="Arial" w:eastAsia="Arial" w:hAnsi="Arial"/>
                <w:sz w:val="18"/>
                <w:szCs w:val="18"/>
                <w:b w:val="1"/>
                <w:bCs w:val="1"/>
                <w:u w:val="single" w:color="auto"/>
                <w:color w:val="6A2887"/>
              </w:rPr>
            </w:pPr>
            <w:hyperlink w:anchor="page12">
              <w:r>
                <w:rPr>
                  <w:rFonts w:ascii="Arial" w:cs="Arial" w:eastAsia="Arial" w:hAnsi="Arial"/>
                  <w:sz w:val="18"/>
                  <w:szCs w:val="18"/>
                  <w:b w:val="1"/>
                  <w:bCs w:val="1"/>
                  <w:u w:val="single" w:color="auto"/>
                  <w:color w:val="6A2887"/>
                </w:rPr>
                <w:t>9</w:t>
              </w:r>
            </w:hyperlink>
          </w:p>
        </w:tc>
      </w:tr>
      <w:tr>
        <w:trPr>
          <w:trHeight w:val="208"/>
        </w:trPr>
        <w:tc>
          <w:tcPr>
            <w:tcW w:w="7040" w:type="dxa"/>
            <w:vAlign w:val="bottom"/>
          </w:tcPr>
          <w:p>
            <w:pPr>
              <w:ind w:left="16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The Board of Directors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9</w:t>
              </w:r>
            </w:hyperlink>
          </w:p>
        </w:tc>
      </w:tr>
      <w:tr>
        <w:trPr>
          <w:trHeight w:val="216"/>
        </w:trPr>
        <w:tc>
          <w:tcPr>
            <w:tcW w:w="7040" w:type="dxa"/>
            <w:vAlign w:val="bottom"/>
          </w:tcPr>
          <w:p>
            <w:pPr>
              <w:ind w:left="160"/>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Board Qualifications and Director Selections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2">
              <w:r>
                <w:rPr>
                  <w:rFonts w:ascii="Arial" w:cs="Arial" w:eastAsia="Arial" w:hAnsi="Arial"/>
                  <w:sz w:val="15"/>
                  <w:szCs w:val="15"/>
                  <w:u w:val="single" w:color="auto"/>
                  <w:color w:val="0000EE"/>
                </w:rPr>
                <w:t>9</w:t>
              </w:r>
            </w:hyperlink>
          </w:p>
        </w:tc>
      </w:tr>
      <w:tr>
        <w:trPr>
          <w:trHeight w:val="216"/>
        </w:trPr>
        <w:tc>
          <w:tcPr>
            <w:tcW w:w="7040" w:type="dxa"/>
            <w:vAlign w:val="bottom"/>
          </w:tcPr>
          <w:p>
            <w:pPr>
              <w:ind w:left="160"/>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Board Diversity and Director Tenure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10</w:t>
              </w:r>
            </w:hyperlink>
          </w:p>
        </w:tc>
      </w:tr>
      <w:tr>
        <w:trPr>
          <w:trHeight w:val="216"/>
        </w:trPr>
        <w:tc>
          <w:tcPr>
            <w:tcW w:w="7040" w:type="dxa"/>
            <w:vAlign w:val="bottom"/>
          </w:tcPr>
          <w:p>
            <w:pPr>
              <w:ind w:left="16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Background Information Regarding Director Nominees and Directors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11</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Family Relationships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15</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Compensation Committee Interlocks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16</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Director Independence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16</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Board Leadership Structure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17</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Board Role in Risk Management</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17</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Board, Committees and Shareholder Meetings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18</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Audit and Compliance Committee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19</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Compensation Committee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19</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Nominating and Corporate Governance Committee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Governance Policies and Practices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Stock Ownership Guidelines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Corporate Governance Best Practices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20</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Communications with Directors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21</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Code of Business Ethics and Conduct</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21</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Hedging</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21</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Related Party Transactions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21</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Succession Planning</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Environmental, Sustainability and Corporate Social Responsibility</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Availability of Governance Documents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22</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Executive Officers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23</w:t>
              </w:r>
            </w:hyperlink>
          </w:p>
        </w:tc>
      </w:tr>
      <w:tr>
        <w:trPr>
          <w:trHeight w:val="373"/>
        </w:trPr>
        <w:tc>
          <w:tcPr>
            <w:tcW w:w="7040" w:type="dxa"/>
            <w:vAlign w:val="bottom"/>
          </w:tcPr>
          <w:p>
            <w:pPr>
              <w:spacing w:after="0"/>
              <w:rPr>
                <w:rFonts w:ascii="Arial" w:cs="Arial" w:eastAsia="Arial" w:hAnsi="Arial"/>
                <w:sz w:val="18"/>
                <w:szCs w:val="18"/>
                <w:b w:val="1"/>
                <w:bCs w:val="1"/>
                <w:u w:val="single" w:color="auto"/>
                <w:color w:val="6A2887"/>
              </w:rPr>
            </w:pPr>
            <w:hyperlink w:anchor="page28">
              <w:r>
                <w:rPr>
                  <w:rFonts w:ascii="Arial" w:cs="Arial" w:eastAsia="Arial" w:hAnsi="Arial"/>
                  <w:sz w:val="18"/>
                  <w:szCs w:val="18"/>
                  <w:b w:val="1"/>
                  <w:bCs w:val="1"/>
                  <w:u w:val="single" w:color="auto"/>
                  <w:color w:val="6A2887"/>
                </w:rPr>
                <w:t>Executive Compensation</w:t>
              </w:r>
            </w:hyperlink>
          </w:p>
        </w:tc>
        <w:tc>
          <w:tcPr>
            <w:tcW w:w="1920" w:type="dxa"/>
            <w:vAlign w:val="bottom"/>
          </w:tcPr>
          <w:p>
            <w:pPr>
              <w:jc w:val="right"/>
              <w:spacing w:after="0"/>
              <w:rPr>
                <w:rFonts w:ascii="Arial" w:cs="Arial" w:eastAsia="Arial" w:hAnsi="Arial"/>
                <w:sz w:val="18"/>
                <w:szCs w:val="18"/>
                <w:b w:val="1"/>
                <w:bCs w:val="1"/>
                <w:u w:val="single" w:color="auto"/>
                <w:color w:val="6A2887"/>
              </w:rPr>
            </w:pPr>
            <w:hyperlink w:anchor="page28">
              <w:r>
                <w:rPr>
                  <w:rFonts w:ascii="Arial" w:cs="Arial" w:eastAsia="Arial" w:hAnsi="Arial"/>
                  <w:sz w:val="18"/>
                  <w:szCs w:val="18"/>
                  <w:b w:val="1"/>
                  <w:bCs w:val="1"/>
                  <w:u w:val="single" w:color="auto"/>
                  <w:color w:val="6A2887"/>
                </w:rPr>
                <w:t>25</w:t>
              </w:r>
            </w:hyperlink>
          </w:p>
        </w:tc>
      </w:tr>
      <w:tr>
        <w:trPr>
          <w:trHeight w:val="221"/>
        </w:trPr>
        <w:tc>
          <w:tcPr>
            <w:tcW w:w="7040" w:type="dxa"/>
            <w:vAlign w:val="bottom"/>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Compensation Committee Report</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Compensation Discussion &amp; Analysis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38</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Our Named Executive Officers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CD&amp;A Executive Summary</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25</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Shareholder Engagement and Consideration of Prior Year’s Say on Pay Vote</w:t>
              </w:r>
            </w:hyperlink>
          </w:p>
        </w:tc>
        <w:tc>
          <w:tcPr>
            <w:tcW w:w="1920" w:type="dxa"/>
            <w:vAlign w:val="bottom"/>
          </w:tcPr>
          <w:p>
            <w:pPr>
              <w:jc w:val="right"/>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26</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Executive Compensation Philosophy</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27</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Participants in Executive Compensation Design and Decision-Making Process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27</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How We Establish Executive Compensation Levels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28</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Executive Compensation Program Design</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29</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Compensation At Risk</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30</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2019 Compensation</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29</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2019 Base Salary</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30</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2019 Short-Term Incentive Plan</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31</w:t>
              </w:r>
            </w:hyperlink>
          </w:p>
        </w:tc>
      </w:tr>
      <w:tr>
        <w:trPr>
          <w:trHeight w:val="229"/>
        </w:trPr>
        <w:tc>
          <w:tcPr>
            <w:tcW w:w="7040" w:type="dxa"/>
            <w:vAlign w:val="bottom"/>
          </w:tcPr>
          <w:p>
            <w:pPr>
              <w:ind w:left="160"/>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2019 Long-Term Incentive Plan</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33</w:t>
              </w:r>
            </w:hyperlink>
          </w:p>
        </w:tc>
      </w:tr>
      <w:tr>
        <w:trPr>
          <w:trHeight w:val="230"/>
        </w:trPr>
        <w:tc>
          <w:tcPr>
            <w:tcW w:w="7040" w:type="dxa"/>
            <w:vAlign w:val="bottom"/>
          </w:tcPr>
          <w:p>
            <w:pPr>
              <w:ind w:left="160"/>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Other Benefits and Perquisites</w:t>
              </w:r>
            </w:hyperlink>
          </w:p>
        </w:tc>
        <w:tc>
          <w:tcPr>
            <w:tcW w:w="1920" w:type="dxa"/>
            <w:vAlign w:val="bottom"/>
          </w:tcPr>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35</w:t>
              </w:r>
            </w:hyperlink>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78"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6320" w:type="dxa"/>
            <w:vAlign w:val="bottom"/>
            <w:gridSpan w:val="2"/>
          </w:tcPr>
          <w:p>
            <w:pPr>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2020 Compensation Program and Other Subsequent Events</w:t>
              </w:r>
            </w:hyperlink>
          </w:p>
        </w:tc>
        <w:tc>
          <w:tcPr>
            <w:tcW w:w="2480" w:type="dxa"/>
            <w:vAlign w:val="bottom"/>
          </w:tcPr>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35</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of Executive Officers and Directors</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39</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Compensation Tables</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39</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2019 Summary Compensation Table</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2">
              <w:r>
                <w:rPr>
                  <w:rFonts w:ascii="Arial" w:cs="Arial" w:eastAsia="Arial" w:hAnsi="Arial"/>
                  <w:sz w:val="15"/>
                  <w:szCs w:val="15"/>
                  <w:u w:val="single" w:color="auto"/>
                  <w:color w:val="0000EE"/>
                </w:rPr>
                <w:t>39</w:t>
              </w:r>
            </w:hyperlink>
          </w:p>
        </w:tc>
      </w:tr>
      <w:tr>
        <w:trPr>
          <w:trHeight w:val="216"/>
        </w:trPr>
        <w:tc>
          <w:tcPr>
            <w:tcW w:w="340" w:type="dxa"/>
            <w:vAlign w:val="bottom"/>
          </w:tcPr>
          <w:p>
            <w:pPr>
              <w:spacing w:after="0"/>
              <w:rPr>
                <w:rFonts w:ascii="Arial" w:cs="Arial" w:eastAsia="Arial" w:hAnsi="Arial"/>
                <w:sz w:val="15"/>
                <w:szCs w:val="15"/>
                <w:u w:val="single" w:color="auto"/>
                <w:color w:val="0000EE"/>
                <w:w w:val="95"/>
              </w:rPr>
            </w:pPr>
            <w:hyperlink w:anchor="page44">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44">
              <w:r>
                <w:rPr>
                  <w:rFonts w:ascii="Arial" w:cs="Arial" w:eastAsia="Arial" w:hAnsi="Arial"/>
                  <w:sz w:val="15"/>
                  <w:szCs w:val="15"/>
                  <w:u w:val="single" w:color="auto"/>
                  <w:color w:val="0000EE"/>
                </w:rPr>
                <w:t>Grants of Plan-Based Awards Table</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4">
              <w:r>
                <w:rPr>
                  <w:rFonts w:ascii="Arial" w:cs="Arial" w:eastAsia="Arial" w:hAnsi="Arial"/>
                  <w:sz w:val="15"/>
                  <w:szCs w:val="15"/>
                  <w:u w:val="single" w:color="auto"/>
                  <w:color w:val="0000EE"/>
                </w:rPr>
                <w:t>41</w:t>
              </w:r>
            </w:hyperlink>
          </w:p>
        </w:tc>
      </w:tr>
      <w:tr>
        <w:trPr>
          <w:trHeight w:val="216"/>
        </w:trPr>
        <w:tc>
          <w:tcPr>
            <w:tcW w:w="340" w:type="dxa"/>
            <w:vAlign w:val="bottom"/>
          </w:tcPr>
          <w:p>
            <w:pPr>
              <w:spacing w:after="0"/>
              <w:rPr>
                <w:rFonts w:ascii="Arial" w:cs="Arial" w:eastAsia="Arial" w:hAnsi="Arial"/>
                <w:sz w:val="15"/>
                <w:szCs w:val="15"/>
                <w:u w:val="single" w:color="auto"/>
                <w:color w:val="0000EE"/>
                <w:w w:val="95"/>
              </w:rPr>
            </w:pPr>
            <w:hyperlink w:anchor="page45">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Outstanding Equity Awards at Year End</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5">
              <w:r>
                <w:rPr>
                  <w:rFonts w:ascii="Arial" w:cs="Arial" w:eastAsia="Arial" w:hAnsi="Arial"/>
                  <w:sz w:val="15"/>
                  <w:szCs w:val="15"/>
                  <w:u w:val="single" w:color="auto"/>
                  <w:color w:val="0000EE"/>
                </w:rPr>
                <w:t>42</w:t>
              </w:r>
            </w:hyperlink>
          </w:p>
        </w:tc>
      </w:tr>
      <w:tr>
        <w:trPr>
          <w:trHeight w:val="216"/>
        </w:trPr>
        <w:tc>
          <w:tcPr>
            <w:tcW w:w="340" w:type="dxa"/>
            <w:vAlign w:val="bottom"/>
          </w:tcPr>
          <w:p>
            <w:pPr>
              <w:spacing w:after="0"/>
              <w:rPr>
                <w:rFonts w:ascii="Arial" w:cs="Arial" w:eastAsia="Arial" w:hAnsi="Arial"/>
                <w:sz w:val="15"/>
                <w:szCs w:val="15"/>
                <w:u w:val="single" w:color="auto"/>
                <w:color w:val="0000EE"/>
                <w:w w:val="95"/>
              </w:rPr>
            </w:pPr>
            <w:hyperlink w:anchor="page47">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Option Exercises and Stock Vested</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44</w:t>
              </w:r>
            </w:hyperlink>
          </w:p>
        </w:tc>
      </w:tr>
      <w:tr>
        <w:trPr>
          <w:trHeight w:val="216"/>
        </w:trPr>
        <w:tc>
          <w:tcPr>
            <w:tcW w:w="340" w:type="dxa"/>
            <w:vAlign w:val="bottom"/>
          </w:tcPr>
          <w:p>
            <w:pPr>
              <w:spacing w:after="0"/>
              <w:rPr>
                <w:rFonts w:ascii="Arial" w:cs="Arial" w:eastAsia="Arial" w:hAnsi="Arial"/>
                <w:sz w:val="15"/>
                <w:szCs w:val="15"/>
                <w:u w:val="single" w:color="auto"/>
                <w:color w:val="0000EE"/>
                <w:w w:val="95"/>
              </w:rPr>
            </w:pPr>
            <w:hyperlink w:anchor="page47">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Pension Benefits</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44</w:t>
              </w:r>
            </w:hyperlink>
          </w:p>
        </w:tc>
      </w:tr>
      <w:tr>
        <w:trPr>
          <w:trHeight w:val="216"/>
        </w:trPr>
        <w:tc>
          <w:tcPr>
            <w:tcW w:w="340" w:type="dxa"/>
            <w:vAlign w:val="bottom"/>
          </w:tcPr>
          <w:p>
            <w:pPr>
              <w:spacing w:after="0"/>
              <w:rPr>
                <w:rFonts w:ascii="Arial" w:cs="Arial" w:eastAsia="Arial" w:hAnsi="Arial"/>
                <w:sz w:val="15"/>
                <w:szCs w:val="15"/>
                <w:u w:val="single" w:color="auto"/>
                <w:color w:val="0000EE"/>
                <w:w w:val="95"/>
              </w:rPr>
            </w:pPr>
            <w:hyperlink w:anchor="page47">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Nonqualified Deferred Compensations</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44</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Equity Compensation Plan Information</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7">
              <w:r>
                <w:rPr>
                  <w:rFonts w:ascii="Arial" w:cs="Arial" w:eastAsia="Arial" w:hAnsi="Arial"/>
                  <w:sz w:val="15"/>
                  <w:szCs w:val="15"/>
                  <w:u w:val="single" w:color="auto"/>
                  <w:color w:val="0000EE"/>
                </w:rPr>
                <w:t>44</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Potential Payments Upon Change in Control</w:t>
              </w:r>
            </w:hyperlink>
          </w:p>
        </w:tc>
        <w:tc>
          <w:tcPr>
            <w:tcW w:w="2480" w:type="dxa"/>
            <w:vAlign w:val="bottom"/>
          </w:tcPr>
          <w:p>
            <w:pPr>
              <w:jc w:val="right"/>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45</w:t>
              </w:r>
            </w:hyperlink>
          </w:p>
        </w:tc>
      </w:tr>
      <w:tr>
        <w:trPr>
          <w:trHeight w:val="216"/>
        </w:trPr>
        <w:tc>
          <w:tcPr>
            <w:tcW w:w="6320" w:type="dxa"/>
            <w:vAlign w:val="bottom"/>
            <w:gridSpan w:val="2"/>
          </w:tcPr>
          <w:p>
            <w:pPr>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CEO Pay Ratio</w:t>
              </w:r>
            </w:hyperlink>
          </w:p>
        </w:tc>
        <w:tc>
          <w:tcPr>
            <w:tcW w:w="2480" w:type="dxa"/>
            <w:vAlign w:val="bottom"/>
          </w:tcPr>
          <w:p>
            <w:pPr>
              <w:jc w:val="right"/>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48</w:t>
              </w:r>
            </w:hyperlink>
          </w:p>
        </w:tc>
      </w:tr>
      <w:tr>
        <w:trPr>
          <w:trHeight w:val="229"/>
        </w:trPr>
        <w:tc>
          <w:tcPr>
            <w:tcW w:w="340" w:type="dxa"/>
            <w:vAlign w:val="bottom"/>
          </w:tcPr>
          <w:p>
            <w:pPr>
              <w:spacing w:after="0"/>
              <w:rPr>
                <w:rFonts w:ascii="Arial" w:cs="Arial" w:eastAsia="Arial" w:hAnsi="Arial"/>
                <w:sz w:val="15"/>
                <w:szCs w:val="15"/>
                <w:u w:val="single" w:color="auto"/>
                <w:color w:val="0000EE"/>
                <w:w w:val="95"/>
              </w:rPr>
            </w:pPr>
            <w:hyperlink w:anchor="page52">
              <w:r>
                <w:rPr>
                  <w:rFonts w:ascii="Arial" w:cs="Arial" w:eastAsia="Arial" w:hAnsi="Arial"/>
                  <w:sz w:val="15"/>
                  <w:szCs w:val="15"/>
                  <w:u w:val="single" w:color="auto"/>
                  <w:color w:val="0000EE"/>
                  <w:w w:val="95"/>
                </w:rPr>
                <w:t>2019</w:t>
              </w:r>
            </w:hyperlink>
          </w:p>
        </w:tc>
        <w:tc>
          <w:tcPr>
            <w:tcW w:w="5980" w:type="dxa"/>
            <w:vAlign w:val="bottom"/>
          </w:tcPr>
          <w:p>
            <w:pPr>
              <w:ind w:left="20"/>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Director Compensation Table</w:t>
              </w:r>
            </w:hyperlink>
          </w:p>
        </w:tc>
        <w:tc>
          <w:tcPr>
            <w:tcW w:w="2480" w:type="dxa"/>
            <w:vAlign w:val="bottom"/>
          </w:tcPr>
          <w:p>
            <w:pPr>
              <w:jc w:val="right"/>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49</w:t>
              </w:r>
            </w:hyperlink>
          </w:p>
        </w:tc>
      </w:tr>
    </w:tbl>
    <w:p>
      <w:pPr>
        <w:spacing w:after="0" w:line="107"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8540" w:type="dxa"/>
            <w:vAlign w:val="bottom"/>
            <w:gridSpan w:val="7"/>
          </w:tcPr>
          <w:p>
            <w:pPr>
              <w:spacing w:after="0"/>
              <w:rPr>
                <w:rFonts w:ascii="Arial" w:cs="Arial" w:eastAsia="Arial" w:hAnsi="Arial"/>
                <w:sz w:val="18"/>
                <w:szCs w:val="18"/>
                <w:b w:val="1"/>
                <w:bCs w:val="1"/>
                <w:u w:val="single" w:color="auto"/>
                <w:color w:val="6A2887"/>
              </w:rPr>
            </w:pPr>
            <w:hyperlink w:anchor="page53">
              <w:r>
                <w:rPr>
                  <w:rFonts w:ascii="Arial" w:cs="Arial" w:eastAsia="Arial" w:hAnsi="Arial"/>
                  <w:sz w:val="18"/>
                  <w:szCs w:val="18"/>
                  <w:b w:val="1"/>
                  <w:bCs w:val="1"/>
                  <w:u w:val="single" w:color="auto"/>
                  <w:color w:val="6A2887"/>
                </w:rPr>
                <w:t xml:space="preserve">Proposal No. 2  </w:t>
              </w:r>
              <w:r>
                <w:rPr>
                  <w:rFonts w:ascii="Arial" w:cs="Arial" w:eastAsia="Arial" w:hAnsi="Arial"/>
                  <w:sz w:val="18"/>
                  <w:szCs w:val="18"/>
                  <w:b w:val="1"/>
                  <w:bCs w:val="1"/>
                  <w:u w:val="single" w:color="auto"/>
                  <w:color w:val="666666"/>
                </w:rPr>
                <w:t>Advisory (Non-Binding) Vote to Approve Executive Compensation (Say on Pay)</w:t>
              </w:r>
            </w:hyperlink>
          </w:p>
        </w:tc>
        <w:tc>
          <w:tcPr>
            <w:tcW w:w="420" w:type="dxa"/>
            <w:vAlign w:val="bottom"/>
          </w:tcPr>
          <w:p>
            <w:pPr>
              <w:jc w:val="right"/>
              <w:spacing w:after="0"/>
              <w:rPr>
                <w:rFonts w:ascii="Arial" w:cs="Arial" w:eastAsia="Arial" w:hAnsi="Arial"/>
                <w:sz w:val="18"/>
                <w:szCs w:val="18"/>
                <w:b w:val="1"/>
                <w:bCs w:val="1"/>
                <w:u w:val="single" w:color="auto"/>
                <w:color w:val="6A2887"/>
              </w:rPr>
            </w:pPr>
            <w:hyperlink w:anchor="page53">
              <w:r>
                <w:rPr>
                  <w:rFonts w:ascii="Arial" w:cs="Arial" w:eastAsia="Arial" w:hAnsi="Arial"/>
                  <w:sz w:val="18"/>
                  <w:szCs w:val="18"/>
                  <w:b w:val="1"/>
                  <w:bCs w:val="1"/>
                  <w:u w:val="single" w:color="auto"/>
                  <w:color w:val="6A2887"/>
                </w:rPr>
                <w:t>50</w:t>
              </w:r>
            </w:hyperlink>
          </w:p>
        </w:tc>
        <w:tc>
          <w:tcPr>
            <w:tcW w:w="0" w:type="dxa"/>
            <w:vAlign w:val="bottom"/>
          </w:tcPr>
          <w:p>
            <w:pPr>
              <w:spacing w:after="0"/>
              <w:rPr>
                <w:sz w:val="1"/>
                <w:szCs w:val="1"/>
                <w:color w:val="auto"/>
              </w:rPr>
            </w:pPr>
          </w:p>
        </w:tc>
      </w:tr>
      <w:tr>
        <w:trPr>
          <w:trHeight w:val="338"/>
        </w:trPr>
        <w:tc>
          <w:tcPr>
            <w:tcW w:w="1380" w:type="dxa"/>
            <w:vAlign w:val="bottom"/>
          </w:tcPr>
          <w:p>
            <w:pPr>
              <w:spacing w:after="0"/>
              <w:rPr>
                <w:rFonts w:ascii="Arial" w:cs="Arial" w:eastAsia="Arial" w:hAnsi="Arial"/>
                <w:sz w:val="18"/>
                <w:szCs w:val="18"/>
                <w:b w:val="1"/>
                <w:bCs w:val="1"/>
                <w:u w:val="single" w:color="auto"/>
                <w:color w:val="6A2887"/>
              </w:rPr>
            </w:pPr>
            <w:hyperlink w:anchor="page54">
              <w:r>
                <w:rPr>
                  <w:rFonts w:ascii="Arial" w:cs="Arial" w:eastAsia="Arial" w:hAnsi="Arial"/>
                  <w:sz w:val="18"/>
                  <w:szCs w:val="18"/>
                  <w:b w:val="1"/>
                  <w:bCs w:val="1"/>
                  <w:u w:val="single" w:color="auto"/>
                  <w:color w:val="6A2887"/>
                </w:rPr>
                <w:t>Audit Matters</w:t>
              </w:r>
            </w:hyperlink>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rFonts w:ascii="Arial" w:cs="Arial" w:eastAsia="Arial" w:hAnsi="Arial"/>
                <w:sz w:val="18"/>
                <w:szCs w:val="18"/>
                <w:b w:val="1"/>
                <w:bCs w:val="1"/>
                <w:u w:val="single" w:color="auto"/>
                <w:color w:val="6A2887"/>
              </w:rPr>
            </w:pPr>
            <w:hyperlink w:anchor="page54">
              <w:r>
                <w:rPr>
                  <w:rFonts w:ascii="Arial" w:cs="Arial" w:eastAsia="Arial" w:hAnsi="Arial"/>
                  <w:sz w:val="18"/>
                  <w:szCs w:val="18"/>
                  <w:b w:val="1"/>
                  <w:bCs w:val="1"/>
                  <w:u w:val="single" w:color="auto"/>
                  <w:color w:val="6A2887"/>
                </w:rPr>
                <w:t>51</w:t>
              </w:r>
            </w:hyperlink>
          </w:p>
        </w:tc>
        <w:tc>
          <w:tcPr>
            <w:tcW w:w="0" w:type="dxa"/>
            <w:vAlign w:val="bottom"/>
          </w:tcPr>
          <w:p>
            <w:pPr>
              <w:spacing w:after="0"/>
              <w:rPr>
                <w:sz w:val="1"/>
                <w:szCs w:val="1"/>
                <w:color w:val="auto"/>
              </w:rPr>
            </w:pPr>
          </w:p>
        </w:tc>
      </w:tr>
      <w:tr>
        <w:trPr>
          <w:trHeight w:val="208"/>
        </w:trPr>
        <w:tc>
          <w:tcPr>
            <w:tcW w:w="8540" w:type="dxa"/>
            <w:vAlign w:val="bottom"/>
            <w:gridSpan w:val="7"/>
          </w:tcPr>
          <w:p>
            <w:pPr>
              <w:ind w:left="160"/>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Audit and Compliance Committee Report</w:t>
              </w:r>
            </w:hyperlink>
          </w:p>
        </w:tc>
        <w:tc>
          <w:tcPr>
            <w:tcW w:w="420" w:type="dxa"/>
            <w:vAlign w:val="bottom"/>
          </w:tcPr>
          <w:p>
            <w:pPr>
              <w:jc w:val="right"/>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51</w:t>
              </w:r>
            </w:hyperlink>
          </w:p>
        </w:tc>
        <w:tc>
          <w:tcPr>
            <w:tcW w:w="0" w:type="dxa"/>
            <w:vAlign w:val="bottom"/>
          </w:tcPr>
          <w:p>
            <w:pPr>
              <w:spacing w:after="0"/>
              <w:rPr>
                <w:sz w:val="1"/>
                <w:szCs w:val="1"/>
                <w:color w:val="auto"/>
              </w:rPr>
            </w:pPr>
          </w:p>
        </w:tc>
      </w:tr>
      <w:tr>
        <w:trPr>
          <w:trHeight w:val="230"/>
        </w:trPr>
        <w:tc>
          <w:tcPr>
            <w:tcW w:w="8540" w:type="dxa"/>
            <w:vAlign w:val="bottom"/>
            <w:gridSpan w:val="7"/>
          </w:tcPr>
          <w:p>
            <w:pPr>
              <w:ind w:left="160"/>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Changes in Independent Auditor</w:t>
              </w:r>
            </w:hyperlink>
          </w:p>
        </w:tc>
        <w:tc>
          <w:tcPr>
            <w:tcW w:w="420" w:type="dxa"/>
            <w:vAlign w:val="bottom"/>
          </w:tcPr>
          <w:p>
            <w:pPr>
              <w:jc w:val="right"/>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52</w:t>
              </w:r>
            </w:hyperlink>
          </w:p>
        </w:tc>
        <w:tc>
          <w:tcPr>
            <w:tcW w:w="0" w:type="dxa"/>
            <w:vAlign w:val="bottom"/>
          </w:tcPr>
          <w:p>
            <w:pPr>
              <w:spacing w:after="0"/>
              <w:rPr>
                <w:sz w:val="1"/>
                <w:szCs w:val="1"/>
                <w:color w:val="auto"/>
              </w:rPr>
            </w:pPr>
          </w:p>
        </w:tc>
      </w:tr>
      <w:tr>
        <w:trPr>
          <w:trHeight w:val="229"/>
        </w:trPr>
        <w:tc>
          <w:tcPr>
            <w:tcW w:w="8540" w:type="dxa"/>
            <w:vAlign w:val="bottom"/>
            <w:gridSpan w:val="7"/>
          </w:tcPr>
          <w:p>
            <w:pPr>
              <w:ind w:left="160"/>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Fees Paid to PricewaterhouseCoopers</w:t>
              </w:r>
            </w:hyperlink>
          </w:p>
        </w:tc>
        <w:tc>
          <w:tcPr>
            <w:tcW w:w="420" w:type="dxa"/>
            <w:vAlign w:val="bottom"/>
          </w:tcPr>
          <w:p>
            <w:pPr>
              <w:jc w:val="right"/>
              <w:spacing w:after="0"/>
              <w:rPr>
                <w:rFonts w:ascii="Arial" w:cs="Arial" w:eastAsia="Arial" w:hAnsi="Arial"/>
                <w:sz w:val="15"/>
                <w:szCs w:val="15"/>
                <w:u w:val="single" w:color="auto"/>
                <w:color w:val="0000EE"/>
              </w:rPr>
            </w:pPr>
            <w:hyperlink w:anchor="page55">
              <w:r>
                <w:rPr>
                  <w:rFonts w:ascii="Arial" w:cs="Arial" w:eastAsia="Arial" w:hAnsi="Arial"/>
                  <w:sz w:val="15"/>
                  <w:szCs w:val="15"/>
                  <w:u w:val="single" w:color="auto"/>
                  <w:color w:val="0000EE"/>
                </w:rPr>
                <w:t>52</w:t>
              </w:r>
            </w:hyperlink>
          </w:p>
        </w:tc>
        <w:tc>
          <w:tcPr>
            <w:tcW w:w="0" w:type="dxa"/>
            <w:vAlign w:val="bottom"/>
          </w:tcPr>
          <w:p>
            <w:pPr>
              <w:spacing w:after="0"/>
              <w:rPr>
                <w:sz w:val="1"/>
                <w:szCs w:val="1"/>
                <w:color w:val="auto"/>
              </w:rPr>
            </w:pPr>
          </w:p>
        </w:tc>
      </w:tr>
      <w:tr>
        <w:trPr>
          <w:trHeight w:val="230"/>
        </w:trPr>
        <w:tc>
          <w:tcPr>
            <w:tcW w:w="8540" w:type="dxa"/>
            <w:vAlign w:val="bottom"/>
            <w:gridSpan w:val="7"/>
          </w:tcPr>
          <w:p>
            <w:pPr>
              <w:ind w:left="160"/>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Pre-Approval Policies and Procedures</w:t>
              </w:r>
            </w:hyperlink>
          </w:p>
        </w:tc>
        <w:tc>
          <w:tcPr>
            <w:tcW w:w="420" w:type="dxa"/>
            <w:vAlign w:val="bottom"/>
          </w:tcPr>
          <w:p>
            <w:pPr>
              <w:jc w:val="right"/>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53</w:t>
              </w:r>
            </w:hyperlink>
          </w:p>
        </w:tc>
        <w:tc>
          <w:tcPr>
            <w:tcW w:w="0" w:type="dxa"/>
            <w:vAlign w:val="bottom"/>
          </w:tcPr>
          <w:p>
            <w:pPr>
              <w:spacing w:after="0"/>
              <w:rPr>
                <w:sz w:val="1"/>
                <w:szCs w:val="1"/>
                <w:color w:val="auto"/>
              </w:rPr>
            </w:pPr>
          </w:p>
        </w:tc>
      </w:tr>
      <w:tr>
        <w:trPr>
          <w:trHeight w:val="292"/>
        </w:trPr>
        <w:tc>
          <w:tcPr>
            <w:tcW w:w="8540" w:type="dxa"/>
            <w:vAlign w:val="bottom"/>
            <w:gridSpan w:val="7"/>
          </w:tcPr>
          <w:p>
            <w:pPr>
              <w:spacing w:after="0"/>
              <w:rPr>
                <w:rFonts w:ascii="Arial" w:cs="Arial" w:eastAsia="Arial" w:hAnsi="Arial"/>
                <w:sz w:val="18"/>
                <w:szCs w:val="18"/>
                <w:b w:val="1"/>
                <w:bCs w:val="1"/>
                <w:color w:val="6A2887"/>
              </w:rPr>
            </w:pPr>
            <w:hyperlink w:anchor="page57">
              <w:r>
                <w:rPr>
                  <w:rFonts w:ascii="Arial" w:cs="Arial" w:eastAsia="Arial" w:hAnsi="Arial"/>
                  <w:sz w:val="18"/>
                  <w:szCs w:val="18"/>
                  <w:b w:val="1"/>
                  <w:bCs w:val="1"/>
                  <w:color w:val="6A2887"/>
                </w:rPr>
                <w:t xml:space="preserve">Proposal No. 3  </w:t>
              </w:r>
              <w:r>
                <w:rPr>
                  <w:rFonts w:ascii="Arial" w:cs="Arial" w:eastAsia="Arial" w:hAnsi="Arial"/>
                  <w:sz w:val="18"/>
                  <w:szCs w:val="18"/>
                  <w:b w:val="1"/>
                  <w:bCs w:val="1"/>
                  <w:color w:val="666666"/>
                </w:rPr>
                <w:t>Ratification of the Appointment of PricewaterhouseCoopers LLP as the Company’s</w:t>
              </w:r>
            </w:hyperlink>
          </w:p>
        </w:tc>
        <w:tc>
          <w:tcPr>
            <w:tcW w:w="420" w:type="dxa"/>
            <w:vAlign w:val="bottom"/>
            <w:vMerge w:val="restart"/>
          </w:tcPr>
          <w:p>
            <w:pPr>
              <w:jc w:val="right"/>
              <w:spacing w:after="0"/>
              <w:rPr>
                <w:rFonts w:ascii="Arial" w:cs="Arial" w:eastAsia="Arial" w:hAnsi="Arial"/>
                <w:sz w:val="18"/>
                <w:szCs w:val="18"/>
                <w:b w:val="1"/>
                <w:bCs w:val="1"/>
                <w:u w:val="single" w:color="auto"/>
                <w:color w:val="6A2887"/>
              </w:rPr>
            </w:pPr>
            <w:hyperlink w:anchor="page57">
              <w:r>
                <w:rPr>
                  <w:rFonts w:ascii="Arial" w:cs="Arial" w:eastAsia="Arial" w:hAnsi="Arial"/>
                  <w:sz w:val="18"/>
                  <w:szCs w:val="18"/>
                  <w:b w:val="1"/>
                  <w:bCs w:val="1"/>
                  <w:u w:val="single" w:color="auto"/>
                  <w:color w:val="6A2887"/>
                </w:rPr>
                <w:t>54</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6A2887"/>
            </w:tcBorders>
          </w:tcPr>
          <w:p>
            <w:pPr>
              <w:spacing w:after="0"/>
              <w:rPr>
                <w:sz w:val="17"/>
                <w:szCs w:val="17"/>
                <w:color w:val="auto"/>
              </w:rPr>
            </w:pPr>
          </w:p>
        </w:tc>
        <w:tc>
          <w:tcPr>
            <w:tcW w:w="60" w:type="dxa"/>
            <w:vAlign w:val="bottom"/>
            <w:tcBorders>
              <w:top w:val="single" w:sz="8" w:color="666666"/>
            </w:tcBorders>
          </w:tcPr>
          <w:p>
            <w:pPr>
              <w:spacing w:after="0"/>
              <w:rPr>
                <w:sz w:val="17"/>
                <w:szCs w:val="17"/>
                <w:color w:val="auto"/>
              </w:rPr>
            </w:pPr>
          </w:p>
        </w:tc>
        <w:tc>
          <w:tcPr>
            <w:tcW w:w="6880" w:type="dxa"/>
            <w:vAlign w:val="bottom"/>
            <w:tcBorders>
              <w:top w:val="single" w:sz="8" w:color="666666"/>
            </w:tcBorders>
            <w:gridSpan w:val="4"/>
          </w:tcPr>
          <w:p>
            <w:pPr>
              <w:spacing w:after="0" w:line="196" w:lineRule="exact"/>
              <w:rPr>
                <w:rFonts w:ascii="Arial" w:cs="Arial" w:eastAsia="Arial" w:hAnsi="Arial"/>
                <w:sz w:val="18"/>
                <w:szCs w:val="18"/>
                <w:b w:val="1"/>
                <w:bCs w:val="1"/>
                <w:color w:val="666666"/>
              </w:rPr>
            </w:pPr>
            <w:hyperlink w:anchor="page57">
              <w:r>
                <w:rPr>
                  <w:rFonts w:ascii="Arial" w:cs="Arial" w:eastAsia="Arial" w:hAnsi="Arial"/>
                  <w:sz w:val="18"/>
                  <w:szCs w:val="18"/>
                  <w:b w:val="1"/>
                  <w:bCs w:val="1"/>
                  <w:color w:val="666666"/>
                </w:rPr>
                <w:t>independent registered public accounting firm</w:t>
              </w:r>
            </w:hyperlink>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666666"/>
          </w:tcPr>
          <w:p>
            <w:pPr>
              <w:spacing w:after="0" w:line="20" w:lineRule="exact"/>
              <w:rPr>
                <w:sz w:val="1"/>
                <w:szCs w:val="1"/>
                <w:color w:val="auto"/>
              </w:rPr>
            </w:pPr>
          </w:p>
        </w:tc>
        <w:tc>
          <w:tcPr>
            <w:tcW w:w="3000" w:type="dxa"/>
            <w:vAlign w:val="bottom"/>
            <w:shd w:val="clear" w:color="auto" w:fill="666666"/>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tcPr>
          <w:p>
            <w:pPr>
              <w:spacing w:after="0"/>
              <w:rPr>
                <w:rFonts w:ascii="Arial" w:cs="Arial" w:eastAsia="Arial" w:hAnsi="Arial"/>
                <w:sz w:val="18"/>
                <w:szCs w:val="18"/>
                <w:b w:val="1"/>
                <w:bCs w:val="1"/>
                <w:u w:val="single" w:color="auto"/>
                <w:color w:val="6A2887"/>
              </w:rPr>
            </w:pPr>
            <w:hyperlink w:anchor="page58">
              <w:r>
                <w:rPr>
                  <w:rFonts w:ascii="Arial" w:cs="Arial" w:eastAsia="Arial" w:hAnsi="Arial"/>
                  <w:sz w:val="18"/>
                  <w:szCs w:val="18"/>
                  <w:b w:val="1"/>
                  <w:bCs w:val="1"/>
                  <w:u w:val="single" w:color="auto"/>
                  <w:color w:val="6A2887"/>
                </w:rPr>
                <w:t>Proposal No. 4</w:t>
              </w:r>
            </w:hyperlink>
          </w:p>
        </w:tc>
        <w:tc>
          <w:tcPr>
            <w:tcW w:w="7160" w:type="dxa"/>
            <w:vAlign w:val="bottom"/>
            <w:gridSpan w:val="6"/>
          </w:tcPr>
          <w:p>
            <w:pPr>
              <w:spacing w:after="0"/>
              <w:rPr>
                <w:rFonts w:ascii="Arial" w:cs="Arial" w:eastAsia="Arial" w:hAnsi="Arial"/>
                <w:sz w:val="18"/>
                <w:szCs w:val="18"/>
                <w:b w:val="1"/>
                <w:bCs w:val="1"/>
                <w:u w:val="single" w:color="auto"/>
                <w:color w:val="666666"/>
              </w:rPr>
            </w:pPr>
            <w:hyperlink w:anchor="page58">
              <w:r>
                <w:rPr>
                  <w:rFonts w:ascii="Arial" w:cs="Arial" w:eastAsia="Arial" w:hAnsi="Arial"/>
                  <w:sz w:val="18"/>
                  <w:szCs w:val="18"/>
                  <w:b w:val="1"/>
                  <w:bCs w:val="1"/>
                  <w:u w:val="single" w:color="auto"/>
                  <w:color w:val="666666"/>
                </w:rPr>
                <w:t>Ordinary Resolution to Grant Authority to Allot Shares for a Period of Five Years</w:t>
              </w:r>
            </w:hyperlink>
          </w:p>
        </w:tc>
        <w:tc>
          <w:tcPr>
            <w:tcW w:w="420" w:type="dxa"/>
            <w:vAlign w:val="bottom"/>
          </w:tcPr>
          <w:p>
            <w:pPr>
              <w:jc w:val="right"/>
              <w:spacing w:after="0"/>
              <w:rPr>
                <w:rFonts w:ascii="Arial" w:cs="Arial" w:eastAsia="Arial" w:hAnsi="Arial"/>
                <w:sz w:val="18"/>
                <w:szCs w:val="18"/>
                <w:b w:val="1"/>
                <w:bCs w:val="1"/>
                <w:u w:val="single" w:color="auto"/>
                <w:color w:val="6A2887"/>
              </w:rPr>
            </w:pPr>
            <w:hyperlink w:anchor="page58">
              <w:r>
                <w:rPr>
                  <w:rFonts w:ascii="Arial" w:cs="Arial" w:eastAsia="Arial" w:hAnsi="Arial"/>
                  <w:sz w:val="18"/>
                  <w:szCs w:val="18"/>
                  <w:b w:val="1"/>
                  <w:bCs w:val="1"/>
                  <w:u w:val="single" w:color="auto"/>
                  <w:color w:val="6A2887"/>
                </w:rPr>
                <w:t>55</w:t>
              </w:r>
            </w:hyperlink>
          </w:p>
        </w:tc>
        <w:tc>
          <w:tcPr>
            <w:tcW w:w="0" w:type="dxa"/>
            <w:vAlign w:val="bottom"/>
          </w:tcPr>
          <w:p>
            <w:pPr>
              <w:spacing w:after="0"/>
              <w:rPr>
                <w:sz w:val="1"/>
                <w:szCs w:val="1"/>
                <w:color w:val="auto"/>
              </w:rPr>
            </w:pPr>
          </w:p>
        </w:tc>
      </w:tr>
      <w:tr>
        <w:trPr>
          <w:trHeight w:val="270"/>
        </w:trPr>
        <w:tc>
          <w:tcPr>
            <w:tcW w:w="1380" w:type="dxa"/>
            <w:vAlign w:val="bottom"/>
            <w:tcBorders>
              <w:bottom w:val="single" w:sz="8" w:color="6A2887"/>
            </w:tcBorders>
          </w:tcPr>
          <w:p>
            <w:pPr>
              <w:spacing w:after="0"/>
              <w:rPr>
                <w:rFonts w:ascii="Arial" w:cs="Arial" w:eastAsia="Arial" w:hAnsi="Arial"/>
                <w:sz w:val="18"/>
                <w:szCs w:val="18"/>
                <w:b w:val="1"/>
                <w:bCs w:val="1"/>
                <w:color w:val="6A2887"/>
              </w:rPr>
            </w:pPr>
            <w:hyperlink w:anchor="page60">
              <w:r>
                <w:rPr>
                  <w:rFonts w:ascii="Arial" w:cs="Arial" w:eastAsia="Arial" w:hAnsi="Arial"/>
                  <w:sz w:val="18"/>
                  <w:szCs w:val="18"/>
                  <w:b w:val="1"/>
                  <w:bCs w:val="1"/>
                  <w:color w:val="6A2887"/>
                </w:rPr>
                <w:t>Proposal No. 5</w:t>
              </w:r>
            </w:hyperlink>
          </w:p>
        </w:tc>
        <w:tc>
          <w:tcPr>
            <w:tcW w:w="6880" w:type="dxa"/>
            <w:vAlign w:val="bottom"/>
            <w:tcBorders>
              <w:bottom w:val="single" w:sz="8" w:color="666666"/>
            </w:tcBorders>
            <w:gridSpan w:val="4"/>
          </w:tcPr>
          <w:p>
            <w:pPr>
              <w:spacing w:after="0"/>
              <w:rPr>
                <w:rFonts w:ascii="Arial" w:cs="Arial" w:eastAsia="Arial" w:hAnsi="Arial"/>
                <w:sz w:val="18"/>
                <w:szCs w:val="18"/>
                <w:b w:val="1"/>
                <w:bCs w:val="1"/>
                <w:color w:val="666666"/>
                <w:w w:val="98"/>
              </w:rPr>
            </w:pPr>
            <w:hyperlink w:anchor="page60">
              <w:r>
                <w:rPr>
                  <w:rFonts w:ascii="Arial" w:cs="Arial" w:eastAsia="Arial" w:hAnsi="Arial"/>
                  <w:sz w:val="18"/>
                  <w:szCs w:val="18"/>
                  <w:b w:val="1"/>
                  <w:bCs w:val="1"/>
                  <w:color w:val="666666"/>
                  <w:w w:val="98"/>
                </w:rPr>
                <w:t>Special Resolution to Grant Power to Disapply Pre-Emption Rights for a Period of</w:t>
              </w:r>
            </w:hyperlink>
          </w:p>
        </w:tc>
        <w:tc>
          <w:tcPr>
            <w:tcW w:w="280" w:type="dxa"/>
            <w:vAlign w:val="bottom"/>
            <w:gridSpan w:val="2"/>
          </w:tcPr>
          <w:p>
            <w:pPr>
              <w:spacing w:after="0"/>
              <w:rPr>
                <w:sz w:val="23"/>
                <w:szCs w:val="23"/>
                <w:color w:val="auto"/>
              </w:rPr>
            </w:pPr>
          </w:p>
        </w:tc>
        <w:tc>
          <w:tcPr>
            <w:tcW w:w="420" w:type="dxa"/>
            <w:vAlign w:val="bottom"/>
            <w:vMerge w:val="restart"/>
          </w:tcPr>
          <w:p>
            <w:pPr>
              <w:jc w:val="right"/>
              <w:spacing w:after="0"/>
              <w:rPr>
                <w:rFonts w:ascii="Arial" w:cs="Arial" w:eastAsia="Arial" w:hAnsi="Arial"/>
                <w:sz w:val="18"/>
                <w:szCs w:val="18"/>
                <w:b w:val="1"/>
                <w:bCs w:val="1"/>
                <w:u w:val="single" w:color="auto"/>
                <w:color w:val="6A2887"/>
              </w:rPr>
            </w:pPr>
            <w:hyperlink w:anchor="page60">
              <w:r>
                <w:rPr>
                  <w:rFonts w:ascii="Arial" w:cs="Arial" w:eastAsia="Arial" w:hAnsi="Arial"/>
                  <w:sz w:val="18"/>
                  <w:szCs w:val="18"/>
                  <w:b w:val="1"/>
                  <w:bCs w:val="1"/>
                  <w:u w:val="single" w:color="auto"/>
                  <w:color w:val="6A2887"/>
                </w:rPr>
                <w:t>57</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666666"/>
            </w:tcBorders>
          </w:tcPr>
          <w:p>
            <w:pPr>
              <w:spacing w:after="0" w:line="196" w:lineRule="exact"/>
              <w:rPr>
                <w:rFonts w:ascii="Arial" w:cs="Arial" w:eastAsia="Arial" w:hAnsi="Arial"/>
                <w:sz w:val="18"/>
                <w:szCs w:val="18"/>
                <w:b w:val="1"/>
                <w:bCs w:val="1"/>
                <w:color w:val="666666"/>
                <w:w w:val="95"/>
              </w:rPr>
            </w:pPr>
            <w:hyperlink w:anchor="page60">
              <w:r>
                <w:rPr>
                  <w:rFonts w:ascii="Arial" w:cs="Arial" w:eastAsia="Arial" w:hAnsi="Arial"/>
                  <w:sz w:val="18"/>
                  <w:szCs w:val="18"/>
                  <w:b w:val="1"/>
                  <w:bCs w:val="1"/>
                  <w:color w:val="666666"/>
                  <w:w w:val="95"/>
                </w:rPr>
                <w:t>Five Years</w:t>
              </w:r>
            </w:hyperlink>
          </w:p>
        </w:tc>
        <w:tc>
          <w:tcPr>
            <w:tcW w:w="6220" w:type="dxa"/>
            <w:vAlign w:val="bottom"/>
            <w:gridSpan w:val="4"/>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380" w:type="dxa"/>
            <w:vAlign w:val="bottom"/>
          </w:tcPr>
          <w:p>
            <w:pPr>
              <w:spacing w:after="0"/>
              <w:rPr>
                <w:rFonts w:ascii="Arial" w:cs="Arial" w:eastAsia="Arial" w:hAnsi="Arial"/>
                <w:sz w:val="18"/>
                <w:szCs w:val="18"/>
                <w:b w:val="1"/>
                <w:bCs w:val="1"/>
                <w:u w:val="single" w:color="auto"/>
                <w:color w:val="6A2887"/>
              </w:rPr>
            </w:pPr>
            <w:hyperlink w:anchor="page61">
              <w:r>
                <w:rPr>
                  <w:rFonts w:ascii="Arial" w:cs="Arial" w:eastAsia="Arial" w:hAnsi="Arial"/>
                  <w:sz w:val="18"/>
                  <w:szCs w:val="18"/>
                  <w:b w:val="1"/>
                  <w:bCs w:val="1"/>
                  <w:u w:val="single" w:color="auto"/>
                  <w:color w:val="6A2887"/>
                </w:rPr>
                <w:t>Proposal No. 6</w:t>
              </w:r>
            </w:hyperlink>
          </w:p>
        </w:tc>
        <w:tc>
          <w:tcPr>
            <w:tcW w:w="7160" w:type="dxa"/>
            <w:vAlign w:val="bottom"/>
            <w:gridSpan w:val="6"/>
          </w:tcPr>
          <w:p>
            <w:pPr>
              <w:spacing w:after="0"/>
              <w:rPr>
                <w:rFonts w:ascii="Arial" w:cs="Arial" w:eastAsia="Arial" w:hAnsi="Arial"/>
                <w:sz w:val="18"/>
                <w:szCs w:val="18"/>
                <w:b w:val="1"/>
                <w:bCs w:val="1"/>
                <w:u w:val="single" w:color="auto"/>
                <w:color w:val="666666"/>
              </w:rPr>
            </w:pPr>
            <w:hyperlink w:anchor="page61">
              <w:r>
                <w:rPr>
                  <w:rFonts w:ascii="Arial" w:cs="Arial" w:eastAsia="Arial" w:hAnsi="Arial"/>
                  <w:sz w:val="18"/>
                  <w:szCs w:val="18"/>
                  <w:b w:val="1"/>
                  <w:bCs w:val="1"/>
                  <w:u w:val="single" w:color="auto"/>
                  <w:color w:val="666666"/>
                </w:rPr>
                <w:t>Special Resolution to Adopt the New Articles</w:t>
              </w:r>
            </w:hyperlink>
          </w:p>
        </w:tc>
        <w:tc>
          <w:tcPr>
            <w:tcW w:w="420" w:type="dxa"/>
            <w:vAlign w:val="bottom"/>
          </w:tcPr>
          <w:p>
            <w:pPr>
              <w:jc w:val="right"/>
              <w:spacing w:after="0"/>
              <w:rPr>
                <w:rFonts w:ascii="Arial" w:cs="Arial" w:eastAsia="Arial" w:hAnsi="Arial"/>
                <w:sz w:val="18"/>
                <w:szCs w:val="18"/>
                <w:b w:val="1"/>
                <w:bCs w:val="1"/>
                <w:u w:val="single" w:color="auto"/>
                <w:color w:val="6A2887"/>
              </w:rPr>
            </w:pPr>
            <w:hyperlink w:anchor="page61">
              <w:r>
                <w:rPr>
                  <w:rFonts w:ascii="Arial" w:cs="Arial" w:eastAsia="Arial" w:hAnsi="Arial"/>
                  <w:sz w:val="18"/>
                  <w:szCs w:val="18"/>
                  <w:b w:val="1"/>
                  <w:bCs w:val="1"/>
                  <w:u w:val="single" w:color="auto"/>
                  <w:color w:val="6A2887"/>
                </w:rPr>
                <w:t>58</w:t>
              </w:r>
            </w:hyperlink>
          </w:p>
        </w:tc>
        <w:tc>
          <w:tcPr>
            <w:tcW w:w="0" w:type="dxa"/>
            <w:vAlign w:val="bottom"/>
          </w:tcPr>
          <w:p>
            <w:pPr>
              <w:spacing w:after="0"/>
              <w:rPr>
                <w:sz w:val="1"/>
                <w:szCs w:val="1"/>
                <w:color w:val="auto"/>
              </w:rPr>
            </w:pPr>
          </w:p>
        </w:tc>
      </w:tr>
      <w:tr>
        <w:trPr>
          <w:trHeight w:val="338"/>
        </w:trPr>
        <w:tc>
          <w:tcPr>
            <w:tcW w:w="8540" w:type="dxa"/>
            <w:vAlign w:val="bottom"/>
            <w:gridSpan w:val="7"/>
          </w:tcPr>
          <w:p>
            <w:pPr>
              <w:spacing w:after="0"/>
              <w:rPr>
                <w:rFonts w:ascii="Arial" w:cs="Arial" w:eastAsia="Arial" w:hAnsi="Arial"/>
                <w:sz w:val="18"/>
                <w:szCs w:val="18"/>
                <w:b w:val="1"/>
                <w:bCs w:val="1"/>
                <w:u w:val="single" w:color="auto"/>
                <w:color w:val="6A2887"/>
              </w:rPr>
            </w:pPr>
            <w:hyperlink w:anchor="page63">
              <w:r>
                <w:rPr>
                  <w:rFonts w:ascii="Arial" w:cs="Arial" w:eastAsia="Arial" w:hAnsi="Arial"/>
                  <w:sz w:val="18"/>
                  <w:szCs w:val="18"/>
                  <w:b w:val="1"/>
                  <w:bCs w:val="1"/>
                  <w:u w:val="single" w:color="auto"/>
                  <w:color w:val="6A2887"/>
                </w:rPr>
                <w:t>Share Ownership Information</w:t>
              </w:r>
            </w:hyperlink>
          </w:p>
        </w:tc>
        <w:tc>
          <w:tcPr>
            <w:tcW w:w="420" w:type="dxa"/>
            <w:vAlign w:val="bottom"/>
          </w:tcPr>
          <w:p>
            <w:pPr>
              <w:jc w:val="right"/>
              <w:spacing w:after="0"/>
              <w:rPr>
                <w:rFonts w:ascii="Arial" w:cs="Arial" w:eastAsia="Arial" w:hAnsi="Arial"/>
                <w:sz w:val="18"/>
                <w:szCs w:val="18"/>
                <w:b w:val="1"/>
                <w:bCs w:val="1"/>
                <w:u w:val="single" w:color="auto"/>
                <w:color w:val="6A2887"/>
              </w:rPr>
            </w:pPr>
            <w:hyperlink w:anchor="page63">
              <w:r>
                <w:rPr>
                  <w:rFonts w:ascii="Arial" w:cs="Arial" w:eastAsia="Arial" w:hAnsi="Arial"/>
                  <w:sz w:val="18"/>
                  <w:szCs w:val="18"/>
                  <w:b w:val="1"/>
                  <w:bCs w:val="1"/>
                  <w:u w:val="single" w:color="auto"/>
                  <w:color w:val="6A2887"/>
                </w:rPr>
                <w:t>60</w:t>
              </w:r>
            </w:hyperlink>
          </w:p>
        </w:tc>
        <w:tc>
          <w:tcPr>
            <w:tcW w:w="0" w:type="dxa"/>
            <w:vAlign w:val="bottom"/>
          </w:tcPr>
          <w:p>
            <w:pPr>
              <w:spacing w:after="0"/>
              <w:rPr>
                <w:sz w:val="1"/>
                <w:szCs w:val="1"/>
                <w:color w:val="auto"/>
              </w:rPr>
            </w:pPr>
          </w:p>
        </w:tc>
      </w:tr>
      <w:tr>
        <w:trPr>
          <w:trHeight w:val="208"/>
        </w:trPr>
        <w:tc>
          <w:tcPr>
            <w:tcW w:w="8540" w:type="dxa"/>
            <w:vAlign w:val="bottom"/>
            <w:gridSpan w:val="7"/>
          </w:tcPr>
          <w:p>
            <w:pPr>
              <w:ind w:left="160"/>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Delinquent Section 16(a) Reports</w:t>
              </w:r>
            </w:hyperlink>
          </w:p>
        </w:tc>
        <w:tc>
          <w:tcPr>
            <w:tcW w:w="420" w:type="dxa"/>
            <w:vAlign w:val="bottom"/>
          </w:tcPr>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61</w:t>
              </w:r>
            </w:hyperlink>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0160"/>
          </w:cols>
          <w:pgMar w:left="320" w:top="131" w:right="1419" w:bottom="1440" w:gutter="0" w:footer="0" w:header="0"/>
        </w:sectPr>
      </w:pPr>
    </w:p>
    <w:p>
      <w:pPr>
        <w:ind w:left="980"/>
        <w:spacing w:after="0"/>
        <w:rPr>
          <w:rFonts w:ascii="Arial" w:cs="Arial" w:eastAsia="Arial" w:hAnsi="Arial"/>
          <w:sz w:val="18"/>
          <w:szCs w:val="18"/>
          <w:b w:val="1"/>
          <w:bCs w:val="1"/>
          <w:u w:val="single" w:color="auto"/>
          <w:color w:val="6A2887"/>
        </w:rPr>
      </w:pPr>
      <w:hyperlink w:anchor="page65">
        <w:r>
          <w:rPr>
            <w:rFonts w:ascii="Arial" w:cs="Arial" w:eastAsia="Arial" w:hAnsi="Arial"/>
            <w:sz w:val="18"/>
            <w:szCs w:val="18"/>
            <w:b w:val="1"/>
            <w:bCs w:val="1"/>
            <w:u w:val="single" w:color="auto"/>
            <w:color w:val="6A2887"/>
          </w:rPr>
          <w:t>Other Proposals</w:t>
        </w:r>
      </w:hyperlink>
    </w:p>
    <w:p>
      <w:pPr>
        <w:spacing w:after="0" w:line="131" w:lineRule="exact"/>
        <w:rPr>
          <w:sz w:val="20"/>
          <w:szCs w:val="20"/>
          <w:color w:val="auto"/>
        </w:rPr>
      </w:pPr>
    </w:p>
    <w:p>
      <w:pPr>
        <w:ind w:left="980"/>
        <w:spacing w:after="0"/>
        <w:rPr>
          <w:rFonts w:ascii="Arial" w:cs="Arial" w:eastAsia="Arial" w:hAnsi="Arial"/>
          <w:sz w:val="18"/>
          <w:szCs w:val="18"/>
          <w:b w:val="1"/>
          <w:bCs w:val="1"/>
          <w:u w:val="single" w:color="auto"/>
          <w:color w:val="6A2887"/>
        </w:rPr>
      </w:pPr>
      <w:hyperlink w:anchor="page65">
        <w:r>
          <w:rPr>
            <w:rFonts w:ascii="Arial" w:cs="Arial" w:eastAsia="Arial" w:hAnsi="Arial"/>
            <w:sz w:val="18"/>
            <w:szCs w:val="18"/>
            <w:b w:val="1"/>
            <w:bCs w:val="1"/>
            <w:u w:val="single" w:color="auto"/>
            <w:color w:val="6A2887"/>
          </w:rPr>
          <w:t xml:space="preserve">Proposal No. 7  </w:t>
        </w:r>
        <w:r>
          <w:rPr>
            <w:rFonts w:ascii="Arial" w:cs="Arial" w:eastAsia="Arial" w:hAnsi="Arial"/>
            <w:sz w:val="18"/>
            <w:szCs w:val="18"/>
            <w:b w:val="1"/>
            <w:bCs w:val="1"/>
            <w:u w:val="single" w:color="auto"/>
            <w:color w:val="666666"/>
          </w:rPr>
          <w:t>Advisory Vote to Approve the UK Directors’ Remuneration Report</w:t>
        </w:r>
      </w:hyperlink>
    </w:p>
    <w:p>
      <w:pPr>
        <w:spacing w:after="0" w:line="131" w:lineRule="exact"/>
        <w:rPr>
          <w:sz w:val="20"/>
          <w:szCs w:val="20"/>
          <w:color w:val="auto"/>
        </w:rPr>
      </w:pPr>
    </w:p>
    <w:p>
      <w:pPr>
        <w:ind w:left="980"/>
        <w:spacing w:after="0"/>
        <w:rPr>
          <w:rFonts w:ascii="Arial" w:cs="Arial" w:eastAsia="Arial" w:hAnsi="Arial"/>
          <w:sz w:val="18"/>
          <w:szCs w:val="18"/>
          <w:b w:val="1"/>
          <w:bCs w:val="1"/>
          <w:u w:val="single" w:color="auto"/>
          <w:color w:val="6A2887"/>
        </w:rPr>
      </w:pPr>
      <w:hyperlink w:anchor="page66">
        <w:r>
          <w:rPr>
            <w:rFonts w:ascii="Arial" w:cs="Arial" w:eastAsia="Arial" w:hAnsi="Arial"/>
            <w:sz w:val="18"/>
            <w:szCs w:val="18"/>
            <w:b w:val="1"/>
            <w:bCs w:val="1"/>
            <w:u w:val="single" w:color="auto"/>
            <w:color w:val="6A2887"/>
          </w:rPr>
          <w:t xml:space="preserve">Proposal No. 8  </w:t>
        </w:r>
        <w:r>
          <w:rPr>
            <w:rFonts w:ascii="Arial" w:cs="Arial" w:eastAsia="Arial" w:hAnsi="Arial"/>
            <w:sz w:val="18"/>
            <w:szCs w:val="18"/>
            <w:b w:val="1"/>
            <w:bCs w:val="1"/>
            <w:u w:val="single" w:color="auto"/>
            <w:color w:val="666666"/>
          </w:rPr>
          <w:t>Reception and Adoption of the UK Annual Report and Accounts</w:t>
        </w:r>
      </w:hyperlink>
    </w:p>
    <w:p>
      <w:pPr>
        <w:spacing w:after="0" w:line="117" w:lineRule="exact"/>
        <w:rPr>
          <w:sz w:val="20"/>
          <w:szCs w:val="20"/>
          <w:color w:val="auto"/>
        </w:rPr>
      </w:pPr>
    </w:p>
    <w:p>
      <w:pPr>
        <w:ind w:left="2420" w:right="360" w:hanging="1439"/>
        <w:spacing w:after="0" w:line="287" w:lineRule="auto"/>
        <w:rPr>
          <w:rFonts w:ascii="Arial" w:cs="Arial" w:eastAsia="Arial" w:hAnsi="Arial"/>
          <w:sz w:val="18"/>
          <w:szCs w:val="18"/>
          <w:b w:val="1"/>
          <w:bCs w:val="1"/>
          <w:u w:val="single" w:color="auto"/>
          <w:color w:val="666666"/>
        </w:rPr>
      </w:pPr>
      <w:hyperlink w:anchor="page67">
        <w:r>
          <w:rPr>
            <w:rFonts w:ascii="Arial" w:cs="Arial" w:eastAsia="Arial" w:hAnsi="Arial"/>
            <w:sz w:val="18"/>
            <w:szCs w:val="18"/>
            <w:b w:val="1"/>
            <w:bCs w:val="1"/>
            <w:u w:val="single" w:color="auto"/>
            <w:color w:val="6A2887"/>
          </w:rPr>
          <w:t xml:space="preserve">Proposal No. 9 </w:t>
        </w:r>
        <w:r>
          <w:rPr>
            <w:rFonts w:ascii="Arial" w:cs="Arial" w:eastAsia="Arial" w:hAnsi="Arial"/>
            <w:sz w:val="18"/>
            <w:szCs w:val="18"/>
            <w:b w:val="1"/>
            <w:bCs w:val="1"/>
            <w:u w:val="single" w:color="auto"/>
            <w:color w:val="666666"/>
          </w:rPr>
          <w:t>Reappointment of PricewaterhouseCoopers LLP as the Company’s Statutory</w:t>
        </w:r>
      </w:hyperlink>
      <w:r>
        <w:rPr>
          <w:rFonts w:ascii="Arial" w:cs="Arial" w:eastAsia="Arial" w:hAnsi="Arial"/>
          <w:sz w:val="18"/>
          <w:szCs w:val="18"/>
          <w:b w:val="1"/>
          <w:bCs w:val="1"/>
          <w:u w:val="single" w:color="auto"/>
          <w:color w:val="6A2887"/>
        </w:rPr>
        <w:t xml:space="preserve"> </w:t>
      </w:r>
      <w:hyperlink w:anchor="page67">
        <w:r>
          <w:rPr>
            <w:rFonts w:ascii="Arial" w:cs="Arial" w:eastAsia="Arial" w:hAnsi="Arial"/>
            <w:sz w:val="18"/>
            <w:szCs w:val="18"/>
            <w:b w:val="1"/>
            <w:bCs w:val="1"/>
            <w:u w:val="single" w:color="auto"/>
            <w:color w:val="666666"/>
          </w:rPr>
          <w:t>Auditor</w:t>
        </w:r>
      </w:hyperlink>
    </w:p>
    <w:p>
      <w:pPr>
        <w:spacing w:after="0" w:line="45" w:lineRule="exact"/>
        <w:rPr>
          <w:sz w:val="20"/>
          <w:szCs w:val="20"/>
          <w:color w:val="auto"/>
        </w:rPr>
      </w:pPr>
    </w:p>
    <w:p>
      <w:pPr>
        <w:ind w:left="2520" w:hanging="1539"/>
        <w:spacing w:after="0" w:line="268" w:lineRule="auto"/>
        <w:rPr>
          <w:rFonts w:ascii="Arial" w:cs="Arial" w:eastAsia="Arial" w:hAnsi="Arial"/>
          <w:sz w:val="18"/>
          <w:szCs w:val="18"/>
          <w:b w:val="1"/>
          <w:bCs w:val="1"/>
          <w:u w:val="single" w:color="auto"/>
          <w:color w:val="666666"/>
        </w:rPr>
      </w:pPr>
      <w:hyperlink w:anchor="page68">
        <w:r>
          <w:rPr>
            <w:rFonts w:ascii="Arial" w:cs="Arial" w:eastAsia="Arial" w:hAnsi="Arial"/>
            <w:sz w:val="18"/>
            <w:szCs w:val="18"/>
            <w:b w:val="1"/>
            <w:bCs w:val="1"/>
            <w:u w:val="single" w:color="auto"/>
            <w:color w:val="6A2887"/>
          </w:rPr>
          <w:t xml:space="preserve">Proposal No. 10 </w:t>
        </w:r>
        <w:r>
          <w:rPr>
            <w:rFonts w:ascii="Arial" w:cs="Arial" w:eastAsia="Arial" w:hAnsi="Arial"/>
            <w:sz w:val="18"/>
            <w:szCs w:val="18"/>
            <w:b w:val="1"/>
            <w:bCs w:val="1"/>
            <w:u w:val="single" w:color="auto"/>
            <w:color w:val="666666"/>
          </w:rPr>
          <w:t>Authorization of the Directors and/or the Audit and Compliance Committee to</w:t>
        </w:r>
      </w:hyperlink>
      <w:r>
        <w:rPr>
          <w:rFonts w:ascii="Arial" w:cs="Arial" w:eastAsia="Arial" w:hAnsi="Arial"/>
          <w:sz w:val="18"/>
          <w:szCs w:val="18"/>
          <w:b w:val="1"/>
          <w:bCs w:val="1"/>
          <w:u w:val="single" w:color="auto"/>
          <w:color w:val="6A2887"/>
        </w:rPr>
        <w:t xml:space="preserve"> </w:t>
      </w:r>
      <w:hyperlink w:anchor="page68">
        <w:r>
          <w:rPr>
            <w:rFonts w:ascii="Arial" w:cs="Arial" w:eastAsia="Arial" w:hAnsi="Arial"/>
            <w:sz w:val="18"/>
            <w:szCs w:val="18"/>
            <w:b w:val="1"/>
            <w:bCs w:val="1"/>
            <w:u w:val="single" w:color="auto"/>
            <w:color w:val="666666"/>
          </w:rPr>
          <w:t>Determine the Remuneration of PricewaterhouseCoopers LLP in its capacity as</w:t>
        </w:r>
      </w:hyperlink>
      <w:r>
        <w:rPr>
          <w:rFonts w:ascii="Arial" w:cs="Arial" w:eastAsia="Arial" w:hAnsi="Arial"/>
          <w:sz w:val="18"/>
          <w:szCs w:val="18"/>
          <w:b w:val="1"/>
          <w:bCs w:val="1"/>
          <w:u w:val="single" w:color="auto"/>
          <w:color w:val="666666"/>
        </w:rPr>
        <w:t xml:space="preserve"> </w:t>
      </w:r>
      <w:hyperlink w:anchor="page68">
        <w:r>
          <w:rPr>
            <w:rFonts w:ascii="Arial" w:cs="Arial" w:eastAsia="Arial" w:hAnsi="Arial"/>
            <w:sz w:val="18"/>
            <w:szCs w:val="18"/>
            <w:b w:val="1"/>
            <w:bCs w:val="1"/>
            <w:u w:val="single" w:color="auto"/>
            <w:color w:val="666666"/>
          </w:rPr>
          <w:t>UK statutory auditor</w:t>
        </w:r>
      </w:hyperlink>
    </w:p>
    <w:p>
      <w:pPr>
        <w:spacing w:after="0" w:line="76" w:lineRule="exact"/>
        <w:rPr>
          <w:rFonts w:ascii="Arial" w:cs="Arial" w:eastAsia="Arial" w:hAnsi="Arial"/>
          <w:sz w:val="18"/>
          <w:szCs w:val="18"/>
          <w:b w:val="1"/>
          <w:bCs w:val="1"/>
          <w:u w:val="single" w:color="auto"/>
          <w:color w:val="6A2887"/>
        </w:rPr>
      </w:pPr>
    </w:p>
    <w:p>
      <w:pPr>
        <w:ind w:left="980"/>
        <w:spacing w:after="0"/>
        <w:rPr>
          <w:rFonts w:ascii="Arial" w:cs="Arial" w:eastAsia="Arial" w:hAnsi="Arial"/>
          <w:sz w:val="18"/>
          <w:szCs w:val="18"/>
          <w:b w:val="1"/>
          <w:bCs w:val="1"/>
          <w:u w:val="single" w:color="auto"/>
          <w:color w:val="6A2887"/>
        </w:rPr>
      </w:pPr>
      <w:hyperlink w:anchor="page69">
        <w:r>
          <w:rPr>
            <w:rFonts w:ascii="Arial" w:cs="Arial" w:eastAsia="Arial" w:hAnsi="Arial"/>
            <w:sz w:val="18"/>
            <w:szCs w:val="18"/>
            <w:b w:val="1"/>
            <w:bCs w:val="1"/>
            <w:u w:val="single" w:color="auto"/>
            <w:color w:val="6A2887"/>
          </w:rPr>
          <w:t>General Matters</w:t>
        </w:r>
      </w:hyperlink>
    </w:p>
    <w:p>
      <w:pPr>
        <w:spacing w:after="0" w:line="20" w:lineRule="exact"/>
        <w:rPr>
          <w:rFonts w:ascii="Arial" w:cs="Arial" w:eastAsia="Arial" w:hAnsi="Arial"/>
          <w:sz w:val="18"/>
          <w:szCs w:val="18"/>
          <w:b w:val="1"/>
          <w:bCs w:val="1"/>
          <w:u w:val="single" w:color="auto"/>
          <w:color w:val="6A2887"/>
        </w:rPr>
      </w:pPr>
      <w:r>
        <w:rPr>
          <w:rFonts w:ascii="Arial" w:cs="Arial" w:eastAsia="Arial" w:hAnsi="Arial"/>
          <w:sz w:val="18"/>
          <w:szCs w:val="18"/>
          <w:b w:val="1"/>
          <w:bCs w:val="1"/>
          <w:u w:val="single" w:color="auto"/>
          <w:color w:val="6A2887"/>
        </w:rPr>
        <w:br w:type="column"/>
      </w:r>
    </w:p>
    <w:p>
      <w:pPr>
        <w:spacing w:after="0"/>
        <w:rPr>
          <w:rFonts w:ascii="Arial" w:cs="Arial" w:eastAsia="Arial" w:hAnsi="Arial"/>
          <w:sz w:val="17"/>
          <w:szCs w:val="17"/>
          <w:b w:val="1"/>
          <w:bCs w:val="1"/>
          <w:u w:val="single" w:color="auto"/>
          <w:color w:val="6A2887"/>
        </w:rPr>
      </w:pPr>
      <w:hyperlink w:anchor="page65">
        <w:r>
          <w:rPr>
            <w:rFonts w:ascii="Arial" w:cs="Arial" w:eastAsia="Arial" w:hAnsi="Arial"/>
            <w:sz w:val="17"/>
            <w:szCs w:val="17"/>
            <w:b w:val="1"/>
            <w:bCs w:val="1"/>
            <w:u w:val="single" w:color="auto"/>
            <w:color w:val="6A2887"/>
          </w:rPr>
          <w:t>62</w:t>
        </w:r>
      </w:hyperlink>
    </w:p>
    <w:p>
      <w:pPr>
        <w:spacing w:after="0" w:line="142" w:lineRule="exact"/>
        <w:rPr>
          <w:rFonts w:ascii="Arial" w:cs="Arial" w:eastAsia="Arial" w:hAnsi="Arial"/>
          <w:sz w:val="18"/>
          <w:szCs w:val="18"/>
          <w:b w:val="1"/>
          <w:bCs w:val="1"/>
          <w:u w:val="single" w:color="auto"/>
          <w:color w:val="6A2887"/>
        </w:rPr>
      </w:pPr>
    </w:p>
    <w:p>
      <w:pPr>
        <w:spacing w:after="0"/>
        <w:rPr>
          <w:rFonts w:ascii="Arial" w:cs="Arial" w:eastAsia="Arial" w:hAnsi="Arial"/>
          <w:sz w:val="17"/>
          <w:szCs w:val="17"/>
          <w:b w:val="1"/>
          <w:bCs w:val="1"/>
          <w:u w:val="single" w:color="auto"/>
          <w:color w:val="6A2887"/>
        </w:rPr>
      </w:pPr>
      <w:hyperlink w:anchor="page65">
        <w:r>
          <w:rPr>
            <w:rFonts w:ascii="Arial" w:cs="Arial" w:eastAsia="Arial" w:hAnsi="Arial"/>
            <w:sz w:val="17"/>
            <w:szCs w:val="17"/>
            <w:b w:val="1"/>
            <w:bCs w:val="1"/>
            <w:u w:val="single" w:color="auto"/>
            <w:color w:val="6A2887"/>
          </w:rPr>
          <w:t>62</w:t>
        </w:r>
      </w:hyperlink>
    </w:p>
    <w:p>
      <w:pPr>
        <w:spacing w:after="0" w:line="142" w:lineRule="exact"/>
        <w:rPr>
          <w:rFonts w:ascii="Arial" w:cs="Arial" w:eastAsia="Arial" w:hAnsi="Arial"/>
          <w:sz w:val="18"/>
          <w:szCs w:val="18"/>
          <w:b w:val="1"/>
          <w:bCs w:val="1"/>
          <w:u w:val="single" w:color="auto"/>
          <w:color w:val="6A2887"/>
        </w:rPr>
      </w:pPr>
    </w:p>
    <w:p>
      <w:pPr>
        <w:spacing w:after="0"/>
        <w:rPr>
          <w:rFonts w:ascii="Arial" w:cs="Arial" w:eastAsia="Arial" w:hAnsi="Arial"/>
          <w:sz w:val="17"/>
          <w:szCs w:val="17"/>
          <w:b w:val="1"/>
          <w:bCs w:val="1"/>
          <w:u w:val="single" w:color="auto"/>
          <w:color w:val="6A2887"/>
        </w:rPr>
      </w:pPr>
      <w:hyperlink w:anchor="page66">
        <w:r>
          <w:rPr>
            <w:rFonts w:ascii="Arial" w:cs="Arial" w:eastAsia="Arial" w:hAnsi="Arial"/>
            <w:sz w:val="17"/>
            <w:szCs w:val="17"/>
            <w:b w:val="1"/>
            <w:bCs w:val="1"/>
            <w:u w:val="single" w:color="auto"/>
            <w:color w:val="6A2887"/>
          </w:rPr>
          <w:t>63</w:t>
        </w:r>
      </w:hyperlink>
    </w:p>
    <w:p>
      <w:pPr>
        <w:spacing w:after="0" w:line="331" w:lineRule="exact"/>
        <w:rPr>
          <w:rFonts w:ascii="Arial" w:cs="Arial" w:eastAsia="Arial" w:hAnsi="Arial"/>
          <w:sz w:val="18"/>
          <w:szCs w:val="18"/>
          <w:b w:val="1"/>
          <w:bCs w:val="1"/>
          <w:u w:val="single" w:color="auto"/>
          <w:color w:val="6A2887"/>
        </w:rPr>
      </w:pPr>
    </w:p>
    <w:p>
      <w:pPr>
        <w:spacing w:after="0"/>
        <w:rPr>
          <w:rFonts w:ascii="Arial" w:cs="Arial" w:eastAsia="Arial" w:hAnsi="Arial"/>
          <w:sz w:val="17"/>
          <w:szCs w:val="17"/>
          <w:b w:val="1"/>
          <w:bCs w:val="1"/>
          <w:u w:val="single" w:color="auto"/>
          <w:color w:val="6A2887"/>
        </w:rPr>
      </w:pPr>
      <w:hyperlink w:anchor="page67">
        <w:r>
          <w:rPr>
            <w:rFonts w:ascii="Arial" w:cs="Arial" w:eastAsia="Arial" w:hAnsi="Arial"/>
            <w:sz w:val="17"/>
            <w:szCs w:val="17"/>
            <w:b w:val="1"/>
            <w:bCs w:val="1"/>
            <w:u w:val="single" w:color="auto"/>
            <w:color w:val="6A2887"/>
          </w:rPr>
          <w:t>64</w:t>
        </w:r>
      </w:hyperlink>
    </w:p>
    <w:p>
      <w:pPr>
        <w:spacing w:after="0" w:line="200" w:lineRule="exact"/>
        <w:rPr>
          <w:rFonts w:ascii="Arial" w:cs="Arial" w:eastAsia="Arial" w:hAnsi="Arial"/>
          <w:sz w:val="18"/>
          <w:szCs w:val="18"/>
          <w:b w:val="1"/>
          <w:bCs w:val="1"/>
          <w:u w:val="single" w:color="auto"/>
          <w:color w:val="6A2887"/>
        </w:rPr>
      </w:pPr>
    </w:p>
    <w:p>
      <w:pPr>
        <w:spacing w:after="0" w:line="361" w:lineRule="exact"/>
        <w:rPr>
          <w:rFonts w:ascii="Arial" w:cs="Arial" w:eastAsia="Arial" w:hAnsi="Arial"/>
          <w:sz w:val="18"/>
          <w:szCs w:val="18"/>
          <w:b w:val="1"/>
          <w:bCs w:val="1"/>
          <w:u w:val="single" w:color="auto"/>
          <w:color w:val="6A2887"/>
        </w:rPr>
      </w:pPr>
    </w:p>
    <w:p>
      <w:pPr>
        <w:spacing w:after="0"/>
        <w:rPr>
          <w:rFonts w:ascii="Arial" w:cs="Arial" w:eastAsia="Arial" w:hAnsi="Arial"/>
          <w:sz w:val="17"/>
          <w:szCs w:val="17"/>
          <w:b w:val="1"/>
          <w:bCs w:val="1"/>
          <w:u w:val="single" w:color="auto"/>
          <w:color w:val="6A2887"/>
        </w:rPr>
      </w:pPr>
      <w:hyperlink w:anchor="page68">
        <w:r>
          <w:rPr>
            <w:rFonts w:ascii="Arial" w:cs="Arial" w:eastAsia="Arial" w:hAnsi="Arial"/>
            <w:sz w:val="17"/>
            <w:szCs w:val="17"/>
            <w:b w:val="1"/>
            <w:bCs w:val="1"/>
            <w:u w:val="single" w:color="auto"/>
            <w:color w:val="6A2887"/>
          </w:rPr>
          <w:t>65</w:t>
        </w:r>
      </w:hyperlink>
    </w:p>
    <w:p>
      <w:pPr>
        <w:spacing w:after="0" w:line="156" w:lineRule="exact"/>
        <w:rPr>
          <w:rFonts w:ascii="Arial" w:cs="Arial" w:eastAsia="Arial" w:hAnsi="Arial"/>
          <w:sz w:val="18"/>
          <w:szCs w:val="18"/>
          <w:b w:val="1"/>
          <w:bCs w:val="1"/>
          <w:u w:val="single" w:color="auto"/>
          <w:color w:val="6A2887"/>
        </w:rPr>
      </w:pPr>
    </w:p>
    <w:p>
      <w:pPr>
        <w:spacing w:after="0"/>
        <w:rPr>
          <w:rFonts w:ascii="Arial" w:cs="Arial" w:eastAsia="Arial" w:hAnsi="Arial"/>
          <w:sz w:val="17"/>
          <w:szCs w:val="17"/>
          <w:b w:val="1"/>
          <w:bCs w:val="1"/>
          <w:u w:val="single" w:color="auto"/>
          <w:color w:val="6A2887"/>
        </w:rPr>
      </w:pPr>
      <w:hyperlink w:anchor="page69">
        <w:r>
          <w:rPr>
            <w:rFonts w:ascii="Arial" w:cs="Arial" w:eastAsia="Arial" w:hAnsi="Arial"/>
            <w:sz w:val="17"/>
            <w:szCs w:val="17"/>
            <w:b w:val="1"/>
            <w:bCs w:val="1"/>
            <w:u w:val="single" w:color="auto"/>
            <w:color w:val="6A2887"/>
          </w:rPr>
          <w:t>66</w:t>
        </w:r>
      </w:hyperlink>
    </w:p>
    <w:p>
      <w:pPr>
        <w:spacing w:after="0" w:line="67" w:lineRule="exact"/>
        <w:rPr>
          <w:rFonts w:ascii="Arial" w:cs="Arial" w:eastAsia="Arial" w:hAnsi="Arial"/>
          <w:sz w:val="18"/>
          <w:szCs w:val="18"/>
          <w:b w:val="1"/>
          <w:bCs w:val="1"/>
          <w:u w:val="single" w:color="auto"/>
          <w:color w:val="6A2887"/>
        </w:rPr>
      </w:pPr>
    </w:p>
    <w:p>
      <w:pPr>
        <w:sectPr>
          <w:pgSz w:w="11900" w:h="16838" w:orient="portrait"/>
          <w:cols w:equalWidth="0" w:num="2">
            <w:col w:w="9160" w:space="580"/>
            <w:col w:w="420"/>
          </w:cols>
          <w:pgMar w:left="320" w:top="131" w:right="1419" w:bottom="1440" w:gutter="0" w:footer="0" w:header="0"/>
          <w:type w:val="continuous"/>
        </w:sectPr>
      </w:pPr>
    </w:p>
    <w:tbl>
      <w:tblPr>
        <w:tblLayout w:type="fixed"/>
        <w:tblInd w:w="980" w:type="dxa"/>
        <w:tblCellMar>
          <w:top w:w="0" w:type="dxa"/>
          <w:left w:w="0" w:type="dxa"/>
          <w:bottom w:w="0" w:type="dxa"/>
          <w:right w:w="0" w:type="dxa"/>
        </w:tblCellMar>
      </w:tblPr>
      <w:tr>
        <w:trPr>
          <w:trHeight w:val="184"/>
        </w:trPr>
        <w:tc>
          <w:tcPr>
            <w:tcW w:w="7460" w:type="dxa"/>
            <w:vAlign w:val="bottom"/>
          </w:tcPr>
          <w:p>
            <w:pPr>
              <w:ind w:left="160"/>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Shareholder Proposals for the 2021 Annual General Meeting of Shareholders</w:t>
              </w:r>
            </w:hyperlink>
          </w:p>
        </w:tc>
        <w:tc>
          <w:tcPr>
            <w:tcW w:w="1500" w:type="dxa"/>
            <w:vAlign w:val="bottom"/>
          </w:tcPr>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tc>
      </w:tr>
      <w:tr>
        <w:trPr>
          <w:trHeight w:val="230"/>
        </w:trPr>
        <w:tc>
          <w:tcPr>
            <w:tcW w:w="7460" w:type="dxa"/>
            <w:vAlign w:val="bottom"/>
          </w:tcPr>
          <w:p>
            <w:pPr>
              <w:ind w:left="160"/>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Saving Resources: Householding and Electronic Communications</w:t>
              </w:r>
            </w:hyperlink>
          </w:p>
        </w:tc>
        <w:tc>
          <w:tcPr>
            <w:tcW w:w="1500" w:type="dxa"/>
            <w:vAlign w:val="bottom"/>
          </w:tcPr>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tc>
      </w:tr>
      <w:tr>
        <w:trPr>
          <w:trHeight w:val="230"/>
        </w:trPr>
        <w:tc>
          <w:tcPr>
            <w:tcW w:w="7460" w:type="dxa"/>
            <w:vAlign w:val="bottom"/>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Annual Reports and Proxy Materials</w:t>
              </w:r>
            </w:hyperlink>
          </w:p>
        </w:tc>
        <w:tc>
          <w:tcPr>
            <w:tcW w:w="1500" w:type="dxa"/>
            <w:vAlign w:val="bottom"/>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29"/>
        </w:trPr>
        <w:tc>
          <w:tcPr>
            <w:tcW w:w="7460" w:type="dxa"/>
            <w:vAlign w:val="bottom"/>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Expenses of Solicitation</w:t>
              </w:r>
            </w:hyperlink>
          </w:p>
        </w:tc>
        <w:tc>
          <w:tcPr>
            <w:tcW w:w="1500" w:type="dxa"/>
            <w:vAlign w:val="bottom"/>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43"/>
        </w:trPr>
        <w:tc>
          <w:tcPr>
            <w:tcW w:w="7460" w:type="dxa"/>
            <w:vAlign w:val="bottom"/>
          </w:tcPr>
          <w:p>
            <w:pPr>
              <w:ind w:left="160"/>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Frequently Asked Questions About the Annual General Meeting</w:t>
              </w:r>
            </w:hyperlink>
          </w:p>
        </w:tc>
        <w:tc>
          <w:tcPr>
            <w:tcW w:w="1500" w:type="dxa"/>
            <w:vAlign w:val="bottom"/>
          </w:tcPr>
          <w:p>
            <w:pPr>
              <w:jc w:val="right"/>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67</w:t>
              </w:r>
            </w:hyperlink>
          </w:p>
        </w:tc>
      </w:tr>
      <w:tr>
        <w:trPr>
          <w:trHeight w:val="243"/>
        </w:trPr>
        <w:tc>
          <w:tcPr>
            <w:tcW w:w="7460" w:type="dxa"/>
            <w:vAlign w:val="bottom"/>
          </w:tcPr>
          <w:p>
            <w:pPr>
              <w:ind w:left="160"/>
              <w:spacing w:after="0"/>
              <w:rPr>
                <w:rFonts w:ascii="Arial" w:cs="Arial" w:eastAsia="Arial" w:hAnsi="Arial"/>
                <w:sz w:val="15"/>
                <w:szCs w:val="15"/>
                <w:u w:val="single" w:color="auto"/>
                <w:color w:val="0000EE"/>
              </w:rPr>
            </w:pPr>
            <w:hyperlink w:anchor="page75">
              <w:r>
                <w:rPr>
                  <w:rFonts w:ascii="Arial" w:cs="Arial" w:eastAsia="Arial" w:hAnsi="Arial"/>
                  <w:sz w:val="15"/>
                  <w:szCs w:val="15"/>
                  <w:u w:val="single" w:color="auto"/>
                  <w:color w:val="0000EE"/>
                </w:rPr>
                <w:t>Other Business</w:t>
              </w:r>
            </w:hyperlink>
          </w:p>
        </w:tc>
        <w:tc>
          <w:tcPr>
            <w:tcW w:w="1500" w:type="dxa"/>
            <w:vAlign w:val="bottom"/>
          </w:tcPr>
          <w:p>
            <w:pPr>
              <w:jc w:val="right"/>
              <w:spacing w:after="0"/>
              <w:rPr>
                <w:rFonts w:ascii="Arial" w:cs="Arial" w:eastAsia="Arial" w:hAnsi="Arial"/>
                <w:sz w:val="15"/>
                <w:szCs w:val="15"/>
                <w:u w:val="single" w:color="auto"/>
                <w:color w:val="0000EE"/>
              </w:rPr>
            </w:pPr>
            <w:hyperlink w:anchor="page75">
              <w:r>
                <w:rPr>
                  <w:rFonts w:ascii="Arial" w:cs="Arial" w:eastAsia="Arial" w:hAnsi="Arial"/>
                  <w:sz w:val="15"/>
                  <w:szCs w:val="15"/>
                  <w:u w:val="single" w:color="auto"/>
                  <w:color w:val="0000EE"/>
                </w:rPr>
                <w:t>72</w:t>
              </w:r>
            </w:hyperlink>
          </w:p>
        </w:tc>
      </w:tr>
      <w:tr>
        <w:trPr>
          <w:trHeight w:val="373"/>
        </w:trPr>
        <w:tc>
          <w:tcPr>
            <w:tcW w:w="7460" w:type="dxa"/>
            <w:vAlign w:val="bottom"/>
          </w:tcPr>
          <w:p>
            <w:pPr>
              <w:spacing w:after="0"/>
              <w:rPr>
                <w:rFonts w:ascii="Arial" w:cs="Arial" w:eastAsia="Arial" w:hAnsi="Arial"/>
                <w:sz w:val="18"/>
                <w:szCs w:val="18"/>
                <w:b w:val="1"/>
                <w:bCs w:val="1"/>
                <w:u w:val="single" w:color="auto"/>
                <w:color w:val="6A2887"/>
              </w:rPr>
            </w:pPr>
            <w:hyperlink w:anchor="page79">
              <w:r>
                <w:rPr>
                  <w:rFonts w:ascii="Arial" w:cs="Arial" w:eastAsia="Arial" w:hAnsi="Arial"/>
                  <w:sz w:val="18"/>
                  <w:szCs w:val="18"/>
                  <w:b w:val="1"/>
                  <w:bCs w:val="1"/>
                  <w:u w:val="single" w:color="auto"/>
                  <w:color w:val="6A2887"/>
                </w:rPr>
                <w:t xml:space="preserve">Appendix A:  </w:t>
              </w:r>
              <w:r>
                <w:rPr>
                  <w:rFonts w:ascii="Arial" w:cs="Arial" w:eastAsia="Arial" w:hAnsi="Arial"/>
                  <w:sz w:val="18"/>
                  <w:szCs w:val="18"/>
                  <w:b w:val="1"/>
                  <w:bCs w:val="1"/>
                  <w:u w:val="single" w:color="auto"/>
                  <w:color w:val="666666"/>
                </w:rPr>
                <w:t>New Articles (marked against current Articles of Association</w:t>
              </w:r>
            </w:hyperlink>
          </w:p>
        </w:tc>
        <w:tc>
          <w:tcPr>
            <w:tcW w:w="1500" w:type="dxa"/>
            <w:vAlign w:val="bottom"/>
          </w:tcPr>
          <w:p>
            <w:pPr>
              <w:jc w:val="right"/>
              <w:spacing w:after="0"/>
              <w:rPr>
                <w:rFonts w:ascii="Arial" w:cs="Arial" w:eastAsia="Arial" w:hAnsi="Arial"/>
                <w:sz w:val="18"/>
                <w:szCs w:val="18"/>
                <w:b w:val="1"/>
                <w:bCs w:val="1"/>
                <w:u w:val="single" w:color="auto"/>
                <w:color w:val="6A2887"/>
              </w:rPr>
            </w:pPr>
            <w:hyperlink w:anchor="page79">
              <w:r>
                <w:rPr>
                  <w:rFonts w:ascii="Arial" w:cs="Arial" w:eastAsia="Arial" w:hAnsi="Arial"/>
                  <w:sz w:val="18"/>
                  <w:szCs w:val="18"/>
                  <w:b w:val="1"/>
                  <w:bCs w:val="1"/>
                  <w:u w:val="single" w:color="auto"/>
                  <w:color w:val="6A2887"/>
                </w:rPr>
                <w:t>A-1</w:t>
              </w:r>
            </w:hyperlink>
          </w:p>
        </w:tc>
      </w:tr>
    </w:tbl>
    <w:p>
      <w:pPr>
        <w:spacing w:after="0" w:line="200" w:lineRule="exact"/>
        <w:rPr>
          <w:sz w:val="20"/>
          <w:szCs w:val="20"/>
          <w:color w:val="auto"/>
        </w:rPr>
      </w:pPr>
    </w:p>
    <w:p>
      <w:pPr>
        <w:sectPr>
          <w:pgSz w:w="11900" w:h="16838" w:orient="portrait"/>
          <w:cols w:equalWidth="0" w:num="1">
            <w:col w:w="10160"/>
          </w:cols>
          <w:pgMar w:left="320" w:top="131"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Proxy </w:t>
      </w:r>
      <w:r>
        <w:rPr>
          <w:rFonts w:ascii="Arial" w:cs="Arial" w:eastAsia="Arial" w:hAnsi="Arial"/>
          <w:sz w:val="47"/>
          <w:szCs w:val="47"/>
          <w:b w:val="1"/>
          <w:bCs w:val="1"/>
          <w:color w:val="666666"/>
        </w:rPr>
        <w:t>Summary</w:t>
      </w:r>
    </w:p>
    <w:p>
      <w:pPr>
        <w:spacing w:after="0" w:line="159"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p>
    <w:p>
      <w:pPr>
        <w:spacing w:after="0" w:line="374" w:lineRule="exact"/>
        <w:rPr>
          <w:sz w:val="20"/>
          <w:szCs w:val="20"/>
          <w:color w:val="auto"/>
        </w:rPr>
      </w:pPr>
    </w:p>
    <w:p>
      <w:pPr>
        <w:ind w:left="760" w:right="679"/>
        <w:spacing w:after="0" w:line="287" w:lineRule="auto"/>
        <w:rPr>
          <w:sz w:val="20"/>
          <w:szCs w:val="20"/>
          <w:color w:val="auto"/>
        </w:rPr>
      </w:pPr>
      <w:r>
        <w:rPr>
          <w:rFonts w:ascii="Arial" w:cs="Arial" w:eastAsia="Arial" w:hAnsi="Arial"/>
          <w:sz w:val="31"/>
          <w:szCs w:val="31"/>
          <w:b w:val="1"/>
          <w:bCs w:val="1"/>
          <w:color w:val="6A2887"/>
        </w:rPr>
        <w:t>First and foremost, please vote. Your vote and participation are very important to us.</w:t>
      </w:r>
    </w:p>
    <w:p>
      <w:pPr>
        <w:spacing w:after="0" w:line="30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2020 Annual General Meeting of Shareholders</w:t>
      </w:r>
    </w:p>
    <w:p>
      <w:pPr>
        <w:spacing w:after="0" w:line="139"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6A2887"/>
        </w:rPr>
        <w:t>Date and Time:</w:t>
      </w:r>
      <w:r>
        <w:rPr>
          <w:sz w:val="20"/>
          <w:szCs w:val="20"/>
          <w:color w:val="auto"/>
        </w:rPr>
        <w:tab/>
      </w:r>
      <w:r>
        <w:rPr>
          <w:rFonts w:ascii="Arial" w:cs="Arial" w:eastAsia="Arial" w:hAnsi="Arial"/>
          <w:sz w:val="15"/>
          <w:szCs w:val="15"/>
          <w:color w:val="auto"/>
        </w:rPr>
        <w:t>Monday, June 29, 2020 at 13:00 (Local Time in London)</w:t>
      </w:r>
    </w:p>
    <w:p>
      <w:pPr>
        <w:spacing w:after="0" w:line="100"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6A2887"/>
        </w:rPr>
        <w:t>Place:</w:t>
      </w:r>
      <w:r>
        <w:rPr>
          <w:sz w:val="20"/>
          <w:szCs w:val="20"/>
          <w:color w:val="auto"/>
        </w:rPr>
        <w:tab/>
      </w:r>
      <w:r>
        <w:rPr>
          <w:rFonts w:ascii="Arial" w:cs="Arial" w:eastAsia="Arial" w:hAnsi="Arial"/>
          <w:sz w:val="16"/>
          <w:szCs w:val="16"/>
          <w:color w:val="auto"/>
        </w:rPr>
        <w:t>Virtually on the Internet at www.meetingcenter.io/</w:t>
      </w:r>
      <w:r>
        <w:rPr>
          <w:rFonts w:ascii="Arial" w:cs="Arial" w:eastAsia="Arial" w:hAnsi="Arial"/>
          <w:sz w:val="16"/>
          <w:szCs w:val="16"/>
          <w:i w:val="1"/>
          <w:iCs w:val="1"/>
          <w:color w:val="auto"/>
        </w:rPr>
        <w:t>260382039</w:t>
      </w:r>
      <w:r>
        <w:rPr>
          <w:rFonts w:ascii="Arial" w:cs="Arial" w:eastAsia="Arial" w:hAnsi="Arial"/>
          <w:sz w:val="16"/>
          <w:szCs w:val="16"/>
          <w:color w:val="auto"/>
        </w:rPr>
        <w:t xml:space="preserve"> (Password: LIVN2020)</w:t>
      </w:r>
    </w:p>
    <w:p>
      <w:pPr>
        <w:spacing w:after="0" w:line="86"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6A2887"/>
        </w:rPr>
        <w:t>Record Date:</w:t>
      </w:r>
      <w:r>
        <w:rPr>
          <w:sz w:val="20"/>
          <w:szCs w:val="20"/>
          <w:color w:val="auto"/>
        </w:rPr>
        <w:tab/>
      </w:r>
      <w:r>
        <w:rPr>
          <w:rFonts w:ascii="Arial" w:cs="Arial" w:eastAsia="Arial" w:hAnsi="Arial"/>
          <w:sz w:val="15"/>
          <w:szCs w:val="15"/>
          <w:color w:val="auto"/>
        </w:rPr>
        <w:t>May 4, 2020</w:t>
      </w:r>
    </w:p>
    <w:p>
      <w:pPr>
        <w:spacing w:after="0" w:line="100" w:lineRule="exact"/>
        <w:rPr>
          <w:sz w:val="20"/>
          <w:szCs w:val="20"/>
          <w:color w:val="auto"/>
        </w:rPr>
      </w:pPr>
    </w:p>
    <w:p>
      <w:pPr>
        <w:ind w:left="760"/>
        <w:spacing w:after="0"/>
        <w:tabs>
          <w:tab w:leader="none" w:pos="2260" w:val="left"/>
        </w:tabs>
        <w:rPr>
          <w:sz w:val="20"/>
          <w:szCs w:val="20"/>
          <w:color w:val="auto"/>
        </w:rPr>
      </w:pPr>
      <w:r>
        <w:rPr>
          <w:rFonts w:ascii="Arial" w:cs="Arial" w:eastAsia="Arial" w:hAnsi="Arial"/>
          <w:sz w:val="16"/>
          <w:szCs w:val="16"/>
          <w:b w:val="1"/>
          <w:bCs w:val="1"/>
          <w:color w:val="6A2887"/>
        </w:rPr>
        <w:t>Mailing Date:</w:t>
      </w:r>
      <w:r>
        <w:rPr>
          <w:sz w:val="20"/>
          <w:szCs w:val="20"/>
          <w:color w:val="auto"/>
        </w:rPr>
        <w:tab/>
      </w:r>
      <w:r>
        <w:rPr>
          <w:rFonts w:ascii="Arial" w:cs="Arial" w:eastAsia="Arial" w:hAnsi="Arial"/>
          <w:sz w:val="15"/>
          <w:szCs w:val="15"/>
          <w:color w:val="auto"/>
        </w:rPr>
        <w:t>[May 20, 2020]</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Voting Methods and Deadlines</w:t>
      </w:r>
    </w:p>
    <w:p>
      <w:pPr>
        <w:spacing w:after="0" w:line="30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121285</wp:posOffset>
            </wp:positionV>
            <wp:extent cx="29972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18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Internet</w:t>
      </w:r>
    </w:p>
    <w:p>
      <w:pPr>
        <w:spacing w:after="0" w:line="3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www.envisionreports.com/LIVN or as directed by your broker, as the case may be</w:t>
      </w:r>
    </w:p>
    <w:p>
      <w:pPr>
        <w:spacing w:after="0" w:line="9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-116205</wp:posOffset>
            </wp:positionV>
            <wp:extent cx="28321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210" cy="282575"/>
                    </a:xfrm>
                    <a:prstGeom prst="rect">
                      <a:avLst/>
                    </a:prstGeom>
                    <a:noFill/>
                  </pic:spPr>
                </pic:pic>
              </a:graphicData>
            </a:graphic>
          </wp:anchor>
        </w:drawing>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Call the number on your proxy card</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-125095</wp:posOffset>
            </wp:positionV>
            <wp:extent cx="30861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47117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170" cy="283210"/>
                    </a:xfrm>
                    <a:prstGeom prst="rect">
                      <a:avLst/>
                    </a:prstGeom>
                    <a:noFill/>
                  </pic:spPr>
                </pic:pic>
              </a:graphicData>
            </a:graphic>
          </wp:anchor>
        </w:drawing>
      </w:r>
    </w:p>
    <w:p>
      <w:pPr>
        <w:spacing w:after="0" w:line="27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Attend virtually at www.meetingcenter.io/</w:t>
      </w:r>
      <w:r>
        <w:rPr>
          <w:rFonts w:ascii="Arial" w:cs="Arial" w:eastAsia="Arial" w:hAnsi="Arial"/>
          <w:sz w:val="18"/>
          <w:szCs w:val="18"/>
          <w:i w:val="1"/>
          <w:iCs w:val="1"/>
          <w:color w:val="auto"/>
        </w:rPr>
        <w:t>260382039</w:t>
      </w:r>
      <w:r>
        <w:rPr>
          <w:rFonts w:ascii="Arial" w:cs="Arial" w:eastAsia="Arial" w:hAnsi="Arial"/>
          <w:sz w:val="18"/>
          <w:szCs w:val="18"/>
          <w:b w:val="1"/>
          <w:bCs w:val="1"/>
          <w:color w:val="auto"/>
        </w:rPr>
        <w:t xml:space="preserve"> </w:t>
      </w:r>
      <w:r>
        <w:rPr>
          <w:rFonts w:ascii="Arial" w:cs="Arial" w:eastAsia="Arial" w:hAnsi="Arial"/>
          <w:sz w:val="18"/>
          <w:szCs w:val="18"/>
          <w:color w:val="auto"/>
        </w:rPr>
        <w:t>(Password: LIVN2020)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0"/>
          <w:szCs w:val="30"/>
          <w:b w:val="1"/>
          <w:bCs w:val="1"/>
          <w:color w:val="6A2887"/>
        </w:rPr>
        <w:t>Questions and Answers About Attending our AGM and Voting</w:t>
      </w:r>
    </w:p>
    <w:p>
      <w:pPr>
        <w:spacing w:after="0" w:line="144" w:lineRule="exact"/>
        <w:rPr>
          <w:sz w:val="20"/>
          <w:szCs w:val="20"/>
          <w:color w:val="auto"/>
        </w:rPr>
      </w:pPr>
    </w:p>
    <w:p>
      <w:pPr>
        <w:ind w:left="760" w:right="279"/>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Please review the questions and answers about our AGM and voting beginning on page </w:t>
      </w:r>
      <w:hyperlink w:anchor="page70">
        <w:r>
          <w:rPr>
            <w:rFonts w:ascii="Arial" w:cs="Arial" w:eastAsia="Arial" w:hAnsi="Arial"/>
            <w:sz w:val="16"/>
            <w:szCs w:val="16"/>
            <w:u w:val="single" w:color="auto"/>
            <w:color w:val="0000EE"/>
          </w:rPr>
          <w:t>67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help you vote and be aware of what you need to do to attend the AGM virtually.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Voting Matters and Board Recommendations</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100"/>
              <w:spacing w:after="0"/>
              <w:rPr>
                <w:sz w:val="20"/>
                <w:szCs w:val="20"/>
                <w:color w:val="auto"/>
              </w:rPr>
            </w:pPr>
            <w:r>
              <w:rPr>
                <w:rFonts w:ascii="Arial" w:cs="Arial" w:eastAsia="Arial" w:hAnsi="Arial"/>
                <w:sz w:val="14"/>
                <w:szCs w:val="14"/>
                <w:b w:val="1"/>
                <w:bCs w:val="1"/>
                <w:color w:val="6A2887"/>
              </w:rPr>
              <w:t>Board</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6A2887"/>
              </w:rPr>
              <w:t>For More</w:t>
            </w:r>
          </w:p>
        </w:tc>
        <w:tc>
          <w:tcPr>
            <w:tcW w:w="0" w:type="dxa"/>
            <w:vAlign w:val="bottom"/>
          </w:tcPr>
          <w:p>
            <w:pPr>
              <w:spacing w:after="0"/>
              <w:rPr>
                <w:sz w:val="1"/>
                <w:szCs w:val="1"/>
                <w:color w:val="auto"/>
              </w:rPr>
            </w:pPr>
          </w:p>
        </w:tc>
      </w:tr>
      <w:tr>
        <w:trPr>
          <w:trHeight w:val="196"/>
        </w:trPr>
        <w:tc>
          <w:tcPr>
            <w:tcW w:w="60" w:type="dxa"/>
            <w:vAlign w:val="bottom"/>
            <w:tcBorders>
              <w:bottom w:val="single" w:sz="8" w:color="6A2887"/>
            </w:tcBorders>
          </w:tcPr>
          <w:p>
            <w:pPr>
              <w:spacing w:after="0"/>
              <w:rPr>
                <w:sz w:val="17"/>
                <w:szCs w:val="17"/>
                <w:color w:val="auto"/>
              </w:rPr>
            </w:pPr>
          </w:p>
        </w:tc>
        <w:tc>
          <w:tcPr>
            <w:tcW w:w="6620" w:type="dxa"/>
            <w:vAlign w:val="bottom"/>
            <w:tcBorders>
              <w:bottom w:val="single" w:sz="8" w:color="6A2887"/>
            </w:tcBorders>
            <w:gridSpan w:val="9"/>
          </w:tcPr>
          <w:p>
            <w:pPr>
              <w:spacing w:after="0"/>
              <w:rPr>
                <w:sz w:val="20"/>
                <w:szCs w:val="20"/>
                <w:color w:val="auto"/>
              </w:rPr>
            </w:pPr>
            <w:r>
              <w:rPr>
                <w:rFonts w:ascii="Arial" w:cs="Arial" w:eastAsia="Arial" w:hAnsi="Arial"/>
                <w:sz w:val="14"/>
                <w:szCs w:val="14"/>
                <w:b w:val="1"/>
                <w:bCs w:val="1"/>
                <w:color w:val="6A2887"/>
              </w:rPr>
              <w:t>Proposal</w:t>
            </w:r>
          </w:p>
        </w:tc>
        <w:tc>
          <w:tcPr>
            <w:tcW w:w="1520" w:type="dxa"/>
            <w:vAlign w:val="bottom"/>
            <w:tcBorders>
              <w:bottom w:val="single" w:sz="8" w:color="6A2887"/>
            </w:tcBorders>
          </w:tcPr>
          <w:p>
            <w:pPr>
              <w:ind w:left="100"/>
              <w:spacing w:after="0"/>
              <w:rPr>
                <w:sz w:val="20"/>
                <w:szCs w:val="20"/>
                <w:color w:val="auto"/>
              </w:rPr>
            </w:pPr>
            <w:r>
              <w:rPr>
                <w:rFonts w:ascii="Arial" w:cs="Arial" w:eastAsia="Arial" w:hAnsi="Arial"/>
                <w:sz w:val="14"/>
                <w:szCs w:val="14"/>
                <w:b w:val="1"/>
                <w:bCs w:val="1"/>
                <w:color w:val="6A2887"/>
              </w:rPr>
              <w:t>Recommendation</w:t>
            </w:r>
          </w:p>
        </w:tc>
        <w:tc>
          <w:tcPr>
            <w:tcW w:w="980" w:type="dxa"/>
            <w:vAlign w:val="bottom"/>
            <w:tcBorders>
              <w:bottom w:val="single" w:sz="8" w:color="6A2887"/>
            </w:tcBorders>
          </w:tcPr>
          <w:p>
            <w:pPr>
              <w:ind w:left="140"/>
              <w:spacing w:after="0"/>
              <w:rPr>
                <w:sz w:val="20"/>
                <w:szCs w:val="20"/>
                <w:color w:val="auto"/>
              </w:rPr>
            </w:pPr>
            <w:r>
              <w:rPr>
                <w:rFonts w:ascii="Arial" w:cs="Arial" w:eastAsia="Arial" w:hAnsi="Arial"/>
                <w:sz w:val="14"/>
                <w:szCs w:val="14"/>
                <w:b w:val="1"/>
                <w:bCs w:val="1"/>
                <w:color w:val="6A2887"/>
              </w:rPr>
              <w:t>Information</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Proposal 1 – To elect, by separate resolutions, the ten director nominees named in the Proxy</w:t>
              </w:r>
            </w:hyperlink>
          </w:p>
        </w:tc>
        <w:tc>
          <w:tcPr>
            <w:tcW w:w="100" w:type="dxa"/>
            <w:vAlign w:val="bottom"/>
          </w:tcPr>
          <w:p>
            <w:pPr>
              <w:spacing w:after="0"/>
              <w:rPr>
                <w:sz w:val="17"/>
                <w:szCs w:val="17"/>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 all nominees</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11">
              <w:r>
                <w:rPr>
                  <w:rFonts w:ascii="Arial" w:cs="Arial" w:eastAsia="Arial" w:hAnsi="Arial"/>
                  <w:sz w:val="15"/>
                  <w:szCs w:val="15"/>
                  <w:color w:val="0000EE"/>
                </w:rPr>
                <w:t>Statement to hold office until the 2021 AGM</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Page 8</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bottom w:val="single" w:sz="8" w:color="EFE9FC"/>
            </w:tcBorders>
            <w:shd w:val="clear" w:color="auto" w:fill="EFE9FC"/>
          </w:tcPr>
          <w:p>
            <w:pPr>
              <w:spacing w:after="0"/>
              <w:rPr>
                <w:sz w:val="18"/>
                <w:szCs w:val="18"/>
                <w:color w:val="auto"/>
              </w:rPr>
            </w:pPr>
          </w:p>
        </w:tc>
        <w:tc>
          <w:tcPr>
            <w:tcW w:w="6520" w:type="dxa"/>
            <w:vAlign w:val="bottom"/>
            <w:tcBorders>
              <w:bottom w:val="single" w:sz="8" w:color="0000EE"/>
            </w:tcBorders>
            <w:gridSpan w:val="8"/>
            <w:shd w:val="clear" w:color="auto" w:fill="EFE9FC"/>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Proposal 2 – To approve, on an advisory basis, the Company’s compensation of its named</w:t>
              </w:r>
            </w:hyperlink>
          </w:p>
        </w:tc>
        <w:tc>
          <w:tcPr>
            <w:tcW w:w="100" w:type="dxa"/>
            <w:vAlign w:val="bottom"/>
            <w:tcBorders>
              <w:bottom w:val="single" w:sz="8" w:color="EFE9FC"/>
            </w:tcBorders>
            <w:shd w:val="clear" w:color="auto" w:fill="EFE9FC"/>
          </w:tcPr>
          <w:p>
            <w:pPr>
              <w:spacing w:after="0"/>
              <w:rPr>
                <w:sz w:val="18"/>
                <w:szCs w:val="18"/>
                <w:color w:val="auto"/>
              </w:rPr>
            </w:pPr>
          </w:p>
        </w:tc>
        <w:tc>
          <w:tcPr>
            <w:tcW w:w="1520" w:type="dxa"/>
            <w:vAlign w:val="bottom"/>
            <w:tcBorders>
              <w:bottom w:val="single" w:sz="8" w:color="EFE9FC"/>
            </w:tcBorders>
            <w:vMerge w:val="restart"/>
            <w:shd w:val="clear" w:color="auto" w:fill="EFE9FC"/>
          </w:tcPr>
          <w:p>
            <w:pPr>
              <w:ind w:left="10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FE9FC"/>
          </w:tcPr>
          <w:p>
            <w:pPr>
              <w:spacing w:after="0"/>
              <w:rPr>
                <w:sz w:val="17"/>
                <w:szCs w:val="17"/>
                <w:color w:val="auto"/>
              </w:rPr>
            </w:pPr>
          </w:p>
        </w:tc>
        <w:tc>
          <w:tcPr>
            <w:tcW w:w="6620" w:type="dxa"/>
            <w:vAlign w:val="bottom"/>
            <w:gridSpan w:val="9"/>
            <w:shd w:val="clear" w:color="auto" w:fill="EFE9FC"/>
          </w:tcPr>
          <w:p>
            <w:pPr>
              <w:spacing w:after="0" w:line="169" w:lineRule="exact"/>
              <w:rPr>
                <w:rFonts w:ascii="Arial" w:cs="Arial" w:eastAsia="Arial" w:hAnsi="Arial"/>
                <w:sz w:val="15"/>
                <w:szCs w:val="15"/>
                <w:color w:val="0000EE"/>
              </w:rPr>
            </w:pPr>
            <w:hyperlink w:anchor="page53">
              <w:r>
                <w:rPr>
                  <w:rFonts w:ascii="Arial" w:cs="Arial" w:eastAsia="Arial" w:hAnsi="Arial"/>
                  <w:sz w:val="15"/>
                  <w:szCs w:val="15"/>
                  <w:color w:val="0000EE"/>
                </w:rPr>
                <w:t>executive officers</w:t>
              </w:r>
            </w:hyperlink>
          </w:p>
        </w:tc>
        <w:tc>
          <w:tcPr>
            <w:tcW w:w="1520" w:type="dxa"/>
            <w:vAlign w:val="bottom"/>
            <w:vMerge w:val="continue"/>
            <w:shd w:val="clear" w:color="auto" w:fill="EFE9FC"/>
          </w:tcPr>
          <w:p>
            <w:pPr>
              <w:spacing w:after="0"/>
              <w:rPr>
                <w:sz w:val="17"/>
                <w:szCs w:val="17"/>
                <w:color w:val="auto"/>
              </w:rPr>
            </w:pPr>
          </w:p>
        </w:tc>
        <w:tc>
          <w:tcPr>
            <w:tcW w:w="980" w:type="dxa"/>
            <w:vAlign w:val="bottom"/>
            <w:shd w:val="clear" w:color="auto" w:fill="EFE9FC"/>
          </w:tcPr>
          <w:p>
            <w:pPr>
              <w:ind w:left="140"/>
              <w:spacing w:after="0" w:line="169" w:lineRule="exact"/>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Page 50</w:t>
              </w:r>
            </w:hyperlink>
          </w:p>
        </w:tc>
        <w:tc>
          <w:tcPr>
            <w:tcW w:w="0" w:type="dxa"/>
            <w:vAlign w:val="bottom"/>
          </w:tcPr>
          <w:p>
            <w:pPr>
              <w:spacing w:after="0"/>
              <w:rPr>
                <w:sz w:val="1"/>
                <w:szCs w:val="1"/>
                <w:color w:val="auto"/>
              </w:rPr>
            </w:pPr>
          </w:p>
        </w:tc>
      </w:tr>
      <w:tr>
        <w:trPr>
          <w:trHeight w:val="20"/>
        </w:trPr>
        <w:tc>
          <w:tcPr>
            <w:tcW w:w="60" w:type="dxa"/>
            <w:vAlign w:val="bottom"/>
            <w:tcBorders>
              <w:top w:val="single" w:sz="8" w:color="EFE9FC"/>
            </w:tcBorders>
            <w:shd w:val="clear" w:color="auto" w:fill="FEFEFE"/>
          </w:tcPr>
          <w:p>
            <w:pPr>
              <w:spacing w:after="0" w:line="20" w:lineRule="exact"/>
              <w:rPr>
                <w:sz w:val="1"/>
                <w:szCs w:val="1"/>
                <w:color w:val="auto"/>
              </w:rPr>
            </w:pPr>
          </w:p>
        </w:tc>
        <w:tc>
          <w:tcPr>
            <w:tcW w:w="640" w:type="dxa"/>
            <w:vAlign w:val="bottom"/>
            <w:tcBorders>
              <w:top w:val="single" w:sz="8" w:color="0000EE"/>
            </w:tcBorders>
            <w:shd w:val="clear" w:color="auto" w:fill="FEFEFE"/>
          </w:tcPr>
          <w:p>
            <w:pPr>
              <w:spacing w:after="0" w:line="20" w:lineRule="exact"/>
              <w:rPr>
                <w:sz w:val="1"/>
                <w:szCs w:val="1"/>
                <w:color w:val="auto"/>
              </w:rPr>
            </w:pPr>
          </w:p>
        </w:tc>
        <w:tc>
          <w:tcPr>
            <w:tcW w:w="500" w:type="dxa"/>
            <w:vAlign w:val="bottom"/>
            <w:tcBorders>
              <w:top w:val="single" w:sz="8" w:color="0000EE"/>
            </w:tcBorders>
            <w:shd w:val="clear" w:color="auto" w:fill="FEFEFE"/>
          </w:tcPr>
          <w:p>
            <w:pPr>
              <w:spacing w:after="0" w:line="20" w:lineRule="exact"/>
              <w:rPr>
                <w:sz w:val="1"/>
                <w:szCs w:val="1"/>
                <w:color w:val="auto"/>
              </w:rPr>
            </w:pPr>
          </w:p>
        </w:tc>
        <w:tc>
          <w:tcPr>
            <w:tcW w:w="1740" w:type="dxa"/>
            <w:vAlign w:val="bottom"/>
            <w:tcBorders>
              <w:top w:val="single" w:sz="8" w:color="EFE9FC"/>
            </w:tcBorders>
            <w:shd w:val="clear" w:color="auto" w:fill="FEFEFE"/>
          </w:tcPr>
          <w:p>
            <w:pPr>
              <w:spacing w:after="0" w:line="20" w:lineRule="exact"/>
              <w:rPr>
                <w:sz w:val="1"/>
                <w:szCs w:val="1"/>
                <w:color w:val="auto"/>
              </w:rPr>
            </w:pPr>
          </w:p>
        </w:tc>
        <w:tc>
          <w:tcPr>
            <w:tcW w:w="820" w:type="dxa"/>
            <w:vAlign w:val="bottom"/>
            <w:tcBorders>
              <w:top w:val="single" w:sz="8" w:color="EFE9FC"/>
            </w:tcBorders>
            <w:shd w:val="clear" w:color="auto" w:fill="FEFEFE"/>
          </w:tcPr>
          <w:p>
            <w:pPr>
              <w:spacing w:after="0" w:line="20" w:lineRule="exact"/>
              <w:rPr>
                <w:sz w:val="1"/>
                <w:szCs w:val="1"/>
                <w:color w:val="auto"/>
              </w:rPr>
            </w:pPr>
          </w:p>
        </w:tc>
        <w:tc>
          <w:tcPr>
            <w:tcW w:w="240" w:type="dxa"/>
            <w:vAlign w:val="bottom"/>
            <w:tcBorders>
              <w:top w:val="single" w:sz="8" w:color="EFE9FC"/>
            </w:tcBorders>
            <w:shd w:val="clear" w:color="auto" w:fill="FEFEFE"/>
          </w:tcPr>
          <w:p>
            <w:pPr>
              <w:spacing w:after="0" w:line="20" w:lineRule="exact"/>
              <w:rPr>
                <w:sz w:val="1"/>
                <w:szCs w:val="1"/>
                <w:color w:val="auto"/>
              </w:rPr>
            </w:pPr>
          </w:p>
        </w:tc>
        <w:tc>
          <w:tcPr>
            <w:tcW w:w="1260" w:type="dxa"/>
            <w:vAlign w:val="bottom"/>
            <w:tcBorders>
              <w:top w:val="single" w:sz="8" w:color="EFE9FC"/>
            </w:tcBorders>
            <w:shd w:val="clear" w:color="auto" w:fill="FEFEFE"/>
          </w:tcPr>
          <w:p>
            <w:pPr>
              <w:spacing w:after="0" w:line="20" w:lineRule="exact"/>
              <w:rPr>
                <w:sz w:val="1"/>
                <w:szCs w:val="1"/>
                <w:color w:val="auto"/>
              </w:rPr>
            </w:pPr>
          </w:p>
        </w:tc>
        <w:tc>
          <w:tcPr>
            <w:tcW w:w="1300" w:type="dxa"/>
            <w:vAlign w:val="bottom"/>
            <w:tcBorders>
              <w:top w:val="single" w:sz="8" w:color="EFE9FC"/>
            </w:tcBorders>
            <w:shd w:val="clear" w:color="auto" w:fill="FEFEFE"/>
          </w:tcPr>
          <w:p>
            <w:pPr>
              <w:spacing w:after="0" w:line="20" w:lineRule="exact"/>
              <w:rPr>
                <w:sz w:val="1"/>
                <w:szCs w:val="1"/>
                <w:color w:val="auto"/>
              </w:rPr>
            </w:pPr>
          </w:p>
        </w:tc>
        <w:tc>
          <w:tcPr>
            <w:tcW w:w="20" w:type="dxa"/>
            <w:vAlign w:val="bottom"/>
            <w:tcBorders>
              <w:top w:val="single" w:sz="8" w:color="EFE9FC"/>
            </w:tcBorders>
            <w:shd w:val="clear" w:color="auto" w:fill="FEFEFE"/>
          </w:tcPr>
          <w:p>
            <w:pPr>
              <w:spacing w:after="0" w:line="20" w:lineRule="exact"/>
              <w:rPr>
                <w:sz w:val="1"/>
                <w:szCs w:val="1"/>
                <w:color w:val="auto"/>
              </w:rPr>
            </w:pPr>
          </w:p>
        </w:tc>
        <w:tc>
          <w:tcPr>
            <w:tcW w:w="100" w:type="dxa"/>
            <w:vAlign w:val="bottom"/>
            <w:tcBorders>
              <w:top w:val="single" w:sz="8" w:color="EFE9FC"/>
            </w:tcBorders>
            <w:shd w:val="clear" w:color="auto" w:fill="FEFEFE"/>
          </w:tcPr>
          <w:p>
            <w:pPr>
              <w:spacing w:after="0" w:line="20" w:lineRule="exact"/>
              <w:rPr>
                <w:sz w:val="1"/>
                <w:szCs w:val="1"/>
                <w:color w:val="auto"/>
              </w:rPr>
            </w:pPr>
          </w:p>
        </w:tc>
        <w:tc>
          <w:tcPr>
            <w:tcW w:w="1520" w:type="dxa"/>
            <w:vAlign w:val="bottom"/>
            <w:tcBorders>
              <w:top w:val="single" w:sz="8" w:color="EFE9FC"/>
            </w:tcBorders>
            <w:shd w:val="clear" w:color="auto" w:fill="FEFEFE"/>
          </w:tcPr>
          <w:p>
            <w:pPr>
              <w:spacing w:after="0" w:line="20" w:lineRule="exact"/>
              <w:rPr>
                <w:sz w:val="1"/>
                <w:szCs w:val="1"/>
                <w:color w:val="auto"/>
              </w:rPr>
            </w:pPr>
          </w:p>
        </w:tc>
        <w:tc>
          <w:tcPr>
            <w:tcW w:w="980" w:type="dxa"/>
            <w:vAlign w:val="bottom"/>
            <w:tcBorders>
              <w:top w:val="single" w:sz="8" w:color="EFE9FC"/>
            </w:tcBorders>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rPr>
                <w:rFonts w:ascii="Arial" w:cs="Arial" w:eastAsia="Arial" w:hAnsi="Arial"/>
                <w:sz w:val="15"/>
                <w:szCs w:val="15"/>
                <w:color w:val="0000EE"/>
                <w:w w:val="98"/>
              </w:rPr>
            </w:pPr>
            <w:hyperlink w:anchor="page57">
              <w:r>
                <w:rPr>
                  <w:rFonts w:ascii="Arial" w:cs="Arial" w:eastAsia="Arial" w:hAnsi="Arial"/>
                  <w:sz w:val="15"/>
                  <w:szCs w:val="15"/>
                  <w:color w:val="0000EE"/>
                  <w:w w:val="98"/>
                </w:rPr>
                <w:t>Proposal 3 – To ratify the appointment of PricewaterhouseCoopers LLP, a Delaware limited liability</w:t>
              </w:r>
            </w:hyperlink>
          </w:p>
        </w:tc>
        <w:tc>
          <w:tcPr>
            <w:tcW w:w="120" w:type="dxa"/>
            <w:vAlign w:val="bottom"/>
            <w:gridSpan w:val="2"/>
          </w:tcPr>
          <w:p>
            <w:pPr>
              <w:spacing w:after="0"/>
              <w:rPr>
                <w:sz w:val="17"/>
                <w:szCs w:val="17"/>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57">
              <w:r>
                <w:rPr>
                  <w:rFonts w:ascii="Arial" w:cs="Arial" w:eastAsia="Arial" w:hAnsi="Arial"/>
                  <w:sz w:val="15"/>
                  <w:szCs w:val="15"/>
                  <w:color w:val="0000EE"/>
                </w:rPr>
                <w:t>partnership, as the Company’s independent registered public accountancy firm</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Page 54</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6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EFE9FC"/>
            </w:tcBorders>
            <w:shd w:val="clear" w:color="auto" w:fill="EFE9FC"/>
          </w:tcPr>
          <w:p>
            <w:pPr>
              <w:spacing w:after="0"/>
              <w:rPr>
                <w:sz w:val="24"/>
                <w:szCs w:val="24"/>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Proposal 4 – To grant authority to allot shares for a period of five years</w:t>
              </w:r>
            </w:hyperlink>
          </w:p>
        </w:tc>
        <w:tc>
          <w:tcPr>
            <w:tcW w:w="1520" w:type="dxa"/>
            <w:vAlign w:val="bottom"/>
            <w:tcBorders>
              <w:bottom w:val="single" w:sz="8" w:color="EFE9FC"/>
            </w:tcBorders>
            <w:shd w:val="clear" w:color="auto" w:fill="EFE9FC"/>
          </w:tcPr>
          <w:p>
            <w:pPr>
              <w:ind w:left="10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Page 55</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620" w:type="dxa"/>
            <w:vAlign w:val="bottom"/>
            <w:gridSpan w:val="9"/>
          </w:tcPr>
          <w:p>
            <w:pPr>
              <w:spacing w:after="0"/>
              <w:rPr>
                <w:rFonts w:ascii="Arial" w:cs="Arial" w:eastAsia="Arial" w:hAnsi="Arial"/>
                <w:sz w:val="15"/>
                <w:szCs w:val="15"/>
                <w:color w:val="0000EE"/>
              </w:rPr>
            </w:pPr>
            <w:hyperlink w:anchor="page60">
              <w:r>
                <w:rPr>
                  <w:rFonts w:ascii="Arial" w:cs="Arial" w:eastAsia="Arial" w:hAnsi="Arial"/>
                  <w:sz w:val="15"/>
                  <w:szCs w:val="15"/>
                  <w:color w:val="0000EE"/>
                </w:rPr>
                <w:t>Proposal 5 – Special Resolution to grant power to disapply pre-emption rights for a period of</w:t>
              </w:r>
            </w:hyperlink>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500" w:type="dxa"/>
            <w:vAlign w:val="bottom"/>
            <w:tcBorders>
              <w:top w:val="single" w:sz="8" w:color="0000EE"/>
            </w:tcBorders>
            <w:gridSpan w:val="7"/>
          </w:tcPr>
          <w:p>
            <w:pPr>
              <w:spacing w:after="0" w:line="169" w:lineRule="exact"/>
              <w:rPr>
                <w:rFonts w:ascii="Arial" w:cs="Arial" w:eastAsia="Arial" w:hAnsi="Arial"/>
                <w:sz w:val="15"/>
                <w:szCs w:val="15"/>
                <w:color w:val="0000EE"/>
              </w:rPr>
            </w:pPr>
            <w:hyperlink w:anchor="page60">
              <w:r>
                <w:rPr>
                  <w:rFonts w:ascii="Arial" w:cs="Arial" w:eastAsia="Arial" w:hAnsi="Arial"/>
                  <w:sz w:val="15"/>
                  <w:szCs w:val="15"/>
                  <w:color w:val="0000EE"/>
                </w:rPr>
                <w:t>five years</w:t>
              </w:r>
            </w:hyperlink>
          </w:p>
        </w:tc>
        <w:tc>
          <w:tcPr>
            <w:tcW w:w="120" w:type="dxa"/>
            <w:vAlign w:val="bottom"/>
            <w:gridSpan w:val="2"/>
          </w:tcPr>
          <w:p>
            <w:pPr>
              <w:spacing w:after="0"/>
              <w:rPr>
                <w:sz w:val="14"/>
                <w:szCs w:val="14"/>
                <w:color w:val="auto"/>
              </w:rPr>
            </w:pPr>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Page 57</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EFE9FC"/>
            </w:tcBorders>
            <w:shd w:val="clear" w:color="auto" w:fill="EFE9FC"/>
          </w:tcPr>
          <w:p>
            <w:pPr>
              <w:spacing w:after="0"/>
              <w:rPr>
                <w:sz w:val="24"/>
                <w:szCs w:val="24"/>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Proposal 6 – Special Resolution to adopt the New Articles</w:t>
              </w:r>
            </w:hyperlink>
          </w:p>
        </w:tc>
        <w:tc>
          <w:tcPr>
            <w:tcW w:w="1520" w:type="dxa"/>
            <w:vAlign w:val="bottom"/>
            <w:tcBorders>
              <w:bottom w:val="single" w:sz="8" w:color="EFE9FC"/>
            </w:tcBorders>
            <w:shd w:val="clear" w:color="auto" w:fill="EFE9FC"/>
          </w:tcPr>
          <w:p>
            <w:pPr>
              <w:ind w:left="10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Page 58</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65">
              <w:r>
                <w:rPr>
                  <w:rFonts w:ascii="Arial" w:cs="Arial" w:eastAsia="Arial" w:hAnsi="Arial"/>
                  <w:sz w:val="15"/>
                  <w:szCs w:val="15"/>
                  <w:color w:val="0000EE"/>
                </w:rPr>
                <w:t>Proposal 7 – To approve, on an advisory basis, the UK directors’ remuneration report in the form</w:t>
              </w:r>
            </w:hyperlink>
          </w:p>
        </w:tc>
        <w:tc>
          <w:tcPr>
            <w:tcW w:w="100" w:type="dxa"/>
            <w:vAlign w:val="bottom"/>
          </w:tcPr>
          <w:p>
            <w:pPr>
              <w:spacing w:after="0"/>
              <w:rPr>
                <w:sz w:val="18"/>
                <w:szCs w:val="18"/>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620" w:type="dxa"/>
            <w:vAlign w:val="bottom"/>
            <w:gridSpan w:val="9"/>
          </w:tcPr>
          <w:p>
            <w:pPr>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set out in the Company’s UK annual report and accounts for the period ended December 31, 2019</w:t>
              </w:r>
            </w:hyperlink>
          </w:p>
        </w:tc>
        <w:tc>
          <w:tcPr>
            <w:tcW w:w="1520" w:type="dxa"/>
            <w:vAlign w:val="bottom"/>
            <w:vMerge w:val="continue"/>
          </w:tcPr>
          <w:p>
            <w:pPr>
              <w:spacing w:after="0"/>
              <w:rPr>
                <w:sz w:val="17"/>
                <w:szCs w:val="17"/>
                <w:color w:val="auto"/>
              </w:rPr>
            </w:pPr>
          </w:p>
        </w:tc>
        <w:tc>
          <w:tcPr>
            <w:tcW w:w="980" w:type="dxa"/>
            <w:vAlign w:val="bottom"/>
          </w:tcPr>
          <w:p>
            <w:pPr>
              <w:ind w:left="14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Page 62</w:t>
              </w:r>
            </w:hyperlink>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bottom w:val="single" w:sz="8" w:color="EFE9FC"/>
            </w:tcBorders>
            <w:shd w:val="clear" w:color="auto" w:fill="EFE9FC"/>
          </w:tcPr>
          <w:p>
            <w:pPr>
              <w:spacing w:after="0"/>
              <w:rPr>
                <w:sz w:val="19"/>
                <w:szCs w:val="19"/>
                <w:color w:val="auto"/>
              </w:rPr>
            </w:pPr>
          </w:p>
        </w:tc>
        <w:tc>
          <w:tcPr>
            <w:tcW w:w="6520" w:type="dxa"/>
            <w:vAlign w:val="bottom"/>
            <w:tcBorders>
              <w:bottom w:val="single" w:sz="8" w:color="0000EE"/>
            </w:tcBorders>
            <w:gridSpan w:val="8"/>
            <w:shd w:val="clear" w:color="auto" w:fill="EFE9FC"/>
          </w:tcPr>
          <w:p>
            <w:pPr>
              <w:spacing w:after="0"/>
              <w:rPr>
                <w:rFonts w:ascii="Arial" w:cs="Arial" w:eastAsia="Arial" w:hAnsi="Arial"/>
                <w:sz w:val="15"/>
                <w:szCs w:val="15"/>
                <w:color w:val="0000EE"/>
              </w:rPr>
            </w:pPr>
            <w:hyperlink w:anchor="page66">
              <w:r>
                <w:rPr>
                  <w:rFonts w:ascii="Arial" w:cs="Arial" w:eastAsia="Arial" w:hAnsi="Arial"/>
                  <w:sz w:val="15"/>
                  <w:szCs w:val="15"/>
                  <w:color w:val="0000EE"/>
                </w:rPr>
                <w:t>Proposal 8 – To receive and adopt the Company’s audited UK statutory accounts for the year</w:t>
              </w:r>
            </w:hyperlink>
          </w:p>
        </w:tc>
        <w:tc>
          <w:tcPr>
            <w:tcW w:w="100" w:type="dxa"/>
            <w:vAlign w:val="bottom"/>
            <w:tcBorders>
              <w:bottom w:val="single" w:sz="8" w:color="EFE9FC"/>
            </w:tcBorders>
            <w:shd w:val="clear" w:color="auto" w:fill="EFE9FC"/>
          </w:tcPr>
          <w:p>
            <w:pPr>
              <w:spacing w:after="0"/>
              <w:rPr>
                <w:sz w:val="19"/>
                <w:szCs w:val="19"/>
                <w:color w:val="auto"/>
              </w:rPr>
            </w:pPr>
          </w:p>
        </w:tc>
        <w:tc>
          <w:tcPr>
            <w:tcW w:w="1520" w:type="dxa"/>
            <w:vAlign w:val="bottom"/>
            <w:tcBorders>
              <w:bottom w:val="single" w:sz="8" w:color="EFE9FC"/>
            </w:tcBorders>
            <w:vMerge w:val="restart"/>
            <w:shd w:val="clear" w:color="auto" w:fill="EFE9FC"/>
          </w:tcPr>
          <w:p>
            <w:pPr>
              <w:ind w:left="10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Borders>
              <w:bottom w:val="single" w:sz="8" w:color="EFE9FC"/>
            </w:tcBorders>
            <w:shd w:val="clear" w:color="auto" w:fill="EFE9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Borders>
              <w:bottom w:val="single" w:sz="8" w:color="EFE9FC"/>
            </w:tcBorders>
            <w:shd w:val="clear" w:color="auto" w:fill="EFE9FC"/>
          </w:tcPr>
          <w:p>
            <w:pPr>
              <w:spacing w:after="0"/>
              <w:rPr>
                <w:sz w:val="18"/>
                <w:szCs w:val="18"/>
                <w:color w:val="auto"/>
              </w:rPr>
            </w:pPr>
          </w:p>
        </w:tc>
        <w:tc>
          <w:tcPr>
            <w:tcW w:w="6620" w:type="dxa"/>
            <w:vAlign w:val="bottom"/>
            <w:tcBorders>
              <w:bottom w:val="single" w:sz="8" w:color="EFE9FC"/>
            </w:tcBorders>
            <w:gridSpan w:val="9"/>
            <w:shd w:val="clear" w:color="auto" w:fill="EFE9FC"/>
          </w:tcPr>
          <w:p>
            <w:pPr>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ended December 31, 2019, together with the reports of the directors and auditors thereon</w:t>
              </w:r>
            </w:hyperlink>
          </w:p>
        </w:tc>
        <w:tc>
          <w:tcPr>
            <w:tcW w:w="1520" w:type="dxa"/>
            <w:vAlign w:val="bottom"/>
            <w:tcBorders>
              <w:bottom w:val="single" w:sz="8" w:color="EFE9FC"/>
            </w:tcBorders>
            <w:vMerge w:val="continue"/>
            <w:shd w:val="clear" w:color="auto" w:fill="EFE9FC"/>
          </w:tcPr>
          <w:p>
            <w:pPr>
              <w:spacing w:after="0"/>
              <w:rPr>
                <w:sz w:val="18"/>
                <w:szCs w:val="18"/>
                <w:color w:val="auto"/>
              </w:rPr>
            </w:pPr>
          </w:p>
        </w:tc>
        <w:tc>
          <w:tcPr>
            <w:tcW w:w="980" w:type="dxa"/>
            <w:vAlign w:val="bottom"/>
            <w:tcBorders>
              <w:bottom w:val="single" w:sz="8" w:color="EFE9FC"/>
            </w:tcBorders>
            <w:shd w:val="clear" w:color="auto" w:fill="EFE9FC"/>
          </w:tcPr>
          <w:p>
            <w:pPr>
              <w:ind w:left="140"/>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Page 63</w:t>
              </w:r>
            </w:hyperlink>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520" w:type="dxa"/>
            <w:vAlign w:val="bottom"/>
            <w:tcBorders>
              <w:bottom w:val="single" w:sz="8" w:color="0000EE"/>
            </w:tcBorders>
            <w:gridSpan w:val="8"/>
          </w:tcPr>
          <w:p>
            <w:pPr>
              <w:spacing w:after="0"/>
              <w:rPr>
                <w:rFonts w:ascii="Arial" w:cs="Arial" w:eastAsia="Arial" w:hAnsi="Arial"/>
                <w:sz w:val="15"/>
                <w:szCs w:val="15"/>
                <w:color w:val="0000EE"/>
              </w:rPr>
            </w:pPr>
            <w:hyperlink w:anchor="page67">
              <w:r>
                <w:rPr>
                  <w:rFonts w:ascii="Arial" w:cs="Arial" w:eastAsia="Arial" w:hAnsi="Arial"/>
                  <w:sz w:val="15"/>
                  <w:szCs w:val="15"/>
                  <w:color w:val="0000EE"/>
                </w:rPr>
                <w:t>Proposal 9 – To re-appoint PricewaterhouseCoopers LLP, a limited partnership organized under</w:t>
              </w:r>
            </w:hyperlink>
          </w:p>
        </w:tc>
        <w:tc>
          <w:tcPr>
            <w:tcW w:w="100" w:type="dxa"/>
            <w:vAlign w:val="bottom"/>
          </w:tcPr>
          <w:p>
            <w:pPr>
              <w:spacing w:after="0"/>
              <w:rPr>
                <w:sz w:val="18"/>
                <w:szCs w:val="18"/>
                <w:color w:val="auto"/>
              </w:rPr>
            </w:pPr>
          </w:p>
        </w:tc>
        <w:tc>
          <w:tcPr>
            <w:tcW w:w="1520" w:type="dxa"/>
            <w:vAlign w:val="bottom"/>
            <w:vMerge w:val="restart"/>
          </w:tcPr>
          <w:p>
            <w:pPr>
              <w:ind w:left="100"/>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620" w:type="dxa"/>
            <w:vAlign w:val="bottom"/>
            <w:gridSpan w:val="9"/>
          </w:tcPr>
          <w:p>
            <w:pPr>
              <w:spacing w:after="0" w:line="169" w:lineRule="exact"/>
              <w:rPr>
                <w:rFonts w:ascii="Arial" w:cs="Arial" w:eastAsia="Arial" w:hAnsi="Arial"/>
                <w:sz w:val="15"/>
                <w:szCs w:val="15"/>
                <w:color w:val="0000EE"/>
              </w:rPr>
            </w:pPr>
            <w:hyperlink w:anchor="page67">
              <w:r>
                <w:rPr>
                  <w:rFonts w:ascii="Arial" w:cs="Arial" w:eastAsia="Arial" w:hAnsi="Arial"/>
                  <w:sz w:val="15"/>
                  <w:szCs w:val="15"/>
                  <w:color w:val="0000EE"/>
                </w:rPr>
                <w:t>the laws of England, as the Company’s UK statutory auditor</w:t>
              </w:r>
            </w:hyperlink>
          </w:p>
        </w:tc>
        <w:tc>
          <w:tcPr>
            <w:tcW w:w="1520" w:type="dxa"/>
            <w:vAlign w:val="bottom"/>
            <w:vMerge w:val="continue"/>
          </w:tcPr>
          <w:p>
            <w:pPr>
              <w:spacing w:after="0"/>
              <w:rPr>
                <w:sz w:val="14"/>
                <w:szCs w:val="14"/>
                <w:color w:val="auto"/>
              </w:rPr>
            </w:pPr>
          </w:p>
        </w:tc>
        <w:tc>
          <w:tcPr>
            <w:tcW w:w="980" w:type="dxa"/>
            <w:vAlign w:val="bottom"/>
          </w:tcPr>
          <w:p>
            <w:pPr>
              <w:ind w:left="140"/>
              <w:spacing w:after="0" w:line="169" w:lineRule="exact"/>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Page 64</w:t>
              </w:r>
            </w:hyperlink>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shd w:val="clear" w:color="auto" w:fill="EFE9FC"/>
          </w:tcPr>
          <w:p>
            <w:pPr>
              <w:spacing w:after="0"/>
              <w:rPr>
                <w:sz w:val="19"/>
                <w:szCs w:val="19"/>
                <w:color w:val="auto"/>
              </w:rPr>
            </w:pPr>
          </w:p>
        </w:tc>
        <w:tc>
          <w:tcPr>
            <w:tcW w:w="6620" w:type="dxa"/>
            <w:vAlign w:val="bottom"/>
            <w:gridSpan w:val="9"/>
            <w:shd w:val="clear" w:color="auto" w:fill="EFE9FC"/>
          </w:tcPr>
          <w:p>
            <w:pPr>
              <w:spacing w:after="0"/>
              <w:rPr>
                <w:rFonts w:ascii="Arial" w:cs="Arial" w:eastAsia="Arial" w:hAnsi="Arial"/>
                <w:sz w:val="15"/>
                <w:szCs w:val="15"/>
                <w:color w:val="0000EE"/>
              </w:rPr>
            </w:pPr>
            <w:hyperlink w:anchor="page68">
              <w:r>
                <w:rPr>
                  <w:rFonts w:ascii="Arial" w:cs="Arial" w:eastAsia="Arial" w:hAnsi="Arial"/>
                  <w:sz w:val="15"/>
                  <w:szCs w:val="15"/>
                  <w:color w:val="0000EE"/>
                </w:rPr>
                <w:t>Proposal 10 – To authorize the directors and/or the Audit and Compliance Committee to determine</w:t>
              </w:r>
            </w:hyperlink>
          </w:p>
        </w:tc>
        <w:tc>
          <w:tcPr>
            <w:tcW w:w="1520" w:type="dxa"/>
            <w:vAlign w:val="bottom"/>
            <w:vMerge w:val="restart"/>
            <w:shd w:val="clear" w:color="auto" w:fill="EFE9FC"/>
          </w:tcPr>
          <w:p>
            <w:pPr>
              <w:ind w:left="100"/>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w:t>
              </w:r>
              <w:r>
                <w:rPr>
                  <w:rFonts w:ascii="Arial" w:cs="Arial" w:eastAsia="Arial" w:hAnsi="Arial"/>
                  <w:sz w:val="15"/>
                  <w:szCs w:val="15"/>
                  <w:b w:val="1"/>
                  <w:bCs w:val="1"/>
                  <w:u w:val="single" w:color="auto"/>
                  <w:color w:val="0000EE"/>
                </w:rPr>
                <w:t>FOR</w:t>
              </w:r>
              <w:r>
                <w:rPr>
                  <w:rFonts w:ascii="Arial" w:cs="Arial" w:eastAsia="Arial" w:hAnsi="Arial"/>
                  <w:sz w:val="15"/>
                  <w:szCs w:val="15"/>
                  <w:u w:val="single" w:color="auto"/>
                  <w:color w:val="0000EE"/>
                </w:rPr>
                <w:t>”</w:t>
              </w:r>
            </w:hyperlink>
          </w:p>
        </w:tc>
        <w:tc>
          <w:tcPr>
            <w:tcW w:w="980" w:type="dxa"/>
            <w:vAlign w:val="bottom"/>
            <w:shd w:val="clear" w:color="auto" w:fill="EFE9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top w:val="single" w:sz="8" w:color="EFE9FC"/>
              <w:bottom w:val="single" w:sz="8" w:color="6A2887"/>
            </w:tcBorders>
            <w:shd w:val="clear" w:color="auto" w:fill="EFE9FC"/>
          </w:tcPr>
          <w:p>
            <w:pPr>
              <w:spacing w:after="0"/>
              <w:rPr>
                <w:sz w:val="19"/>
                <w:szCs w:val="19"/>
                <w:color w:val="auto"/>
              </w:rPr>
            </w:pPr>
          </w:p>
        </w:tc>
        <w:tc>
          <w:tcPr>
            <w:tcW w:w="6500" w:type="dxa"/>
            <w:vAlign w:val="bottom"/>
            <w:tcBorders>
              <w:top w:val="single" w:sz="8" w:color="0000EE"/>
              <w:bottom w:val="single" w:sz="8" w:color="6A2887"/>
            </w:tcBorders>
            <w:gridSpan w:val="7"/>
            <w:shd w:val="clear" w:color="auto" w:fill="EFE9FC"/>
          </w:tcPr>
          <w:p>
            <w:pPr>
              <w:spacing w:after="0" w:line="169" w:lineRule="exact"/>
              <w:rPr>
                <w:rFonts w:ascii="Arial" w:cs="Arial" w:eastAsia="Arial" w:hAnsi="Arial"/>
                <w:sz w:val="15"/>
                <w:szCs w:val="15"/>
                <w:color w:val="0000EE"/>
              </w:rPr>
            </w:pPr>
            <w:hyperlink w:anchor="page68">
              <w:r>
                <w:rPr>
                  <w:rFonts w:ascii="Arial" w:cs="Arial" w:eastAsia="Arial" w:hAnsi="Arial"/>
                  <w:sz w:val="15"/>
                  <w:szCs w:val="15"/>
                  <w:color w:val="0000EE"/>
                </w:rPr>
                <w:t>the remuneration of the Company’s UK statutory auditor</w:t>
              </w:r>
            </w:hyperlink>
          </w:p>
        </w:tc>
        <w:tc>
          <w:tcPr>
            <w:tcW w:w="120" w:type="dxa"/>
            <w:vAlign w:val="bottom"/>
            <w:tcBorders>
              <w:top w:val="single" w:sz="8" w:color="EFE9FC"/>
              <w:bottom w:val="single" w:sz="8" w:color="6A2887"/>
            </w:tcBorders>
            <w:gridSpan w:val="2"/>
            <w:shd w:val="clear" w:color="auto" w:fill="EFE9FC"/>
          </w:tcPr>
          <w:p>
            <w:pPr>
              <w:spacing w:after="0"/>
              <w:rPr>
                <w:sz w:val="19"/>
                <w:szCs w:val="19"/>
                <w:color w:val="auto"/>
              </w:rPr>
            </w:pPr>
          </w:p>
        </w:tc>
        <w:tc>
          <w:tcPr>
            <w:tcW w:w="1520" w:type="dxa"/>
            <w:vAlign w:val="bottom"/>
            <w:tcBorders>
              <w:top w:val="single" w:sz="8" w:color="EFE9FC"/>
              <w:bottom w:val="single" w:sz="8" w:color="6A2887"/>
            </w:tcBorders>
            <w:vMerge w:val="continue"/>
            <w:shd w:val="clear" w:color="auto" w:fill="EFE9FC"/>
          </w:tcPr>
          <w:p>
            <w:pPr>
              <w:spacing w:after="0"/>
              <w:rPr>
                <w:sz w:val="19"/>
                <w:szCs w:val="19"/>
                <w:color w:val="auto"/>
              </w:rPr>
            </w:pPr>
          </w:p>
        </w:tc>
        <w:tc>
          <w:tcPr>
            <w:tcW w:w="980" w:type="dxa"/>
            <w:vAlign w:val="bottom"/>
            <w:tcBorders>
              <w:top w:val="single" w:sz="8" w:color="EFE9FC"/>
              <w:bottom w:val="single" w:sz="8" w:color="6A2887"/>
            </w:tcBorders>
            <w:shd w:val="clear" w:color="auto" w:fill="EFE9FC"/>
          </w:tcPr>
          <w:p>
            <w:pPr>
              <w:ind w:left="140"/>
              <w:spacing w:after="0" w:line="169" w:lineRule="exact"/>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Page 65</w:t>
              </w:r>
            </w:hyperlink>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Director Nominees</w:t>
      </w:r>
    </w:p>
    <w:p>
      <w:pPr>
        <w:spacing w:after="0" w:line="146" w:lineRule="exact"/>
        <w:rPr>
          <w:sz w:val="20"/>
          <w:szCs w:val="20"/>
          <w:color w:val="auto"/>
        </w:rPr>
      </w:pPr>
    </w:p>
    <w:p>
      <w:pPr>
        <w:jc w:val="both"/>
        <w:ind w:left="760" w:right="400"/>
        <w:spacing w:after="0" w:line="253" w:lineRule="auto"/>
        <w:rPr>
          <w:rFonts w:ascii="Arial" w:cs="Arial" w:eastAsia="Arial" w:hAnsi="Arial"/>
          <w:sz w:val="16"/>
          <w:szCs w:val="16"/>
          <w:color w:val="0000EE"/>
        </w:rPr>
      </w:pPr>
      <w:r>
        <w:rPr>
          <w:rFonts w:ascii="Arial" w:cs="Arial" w:eastAsia="Arial" w:hAnsi="Arial"/>
          <w:sz w:val="16"/>
          <w:szCs w:val="16"/>
          <w:color w:val="auto"/>
        </w:rPr>
        <w:t xml:space="preserve">You are being asked to vote, by separate ordinary resolutions, on the election of the following ten nominees, each for a one-year term. Election is by a majority of the votes cast. Detailed information about each Director’s background and skills begins on page </w:t>
      </w:r>
      <w:hyperlink w:anchor="page14">
        <w:r>
          <w:rPr>
            <w:rFonts w:ascii="Arial" w:cs="Arial" w:eastAsia="Arial" w:hAnsi="Arial"/>
            <w:sz w:val="16"/>
            <w:szCs w:val="16"/>
            <w:u w:val="single" w:color="auto"/>
            <w:color w:val="0000EE"/>
          </w:rPr>
          <w:t>11</w:t>
        </w:r>
      </w:hyperlink>
      <w:r>
        <w:rPr>
          <w:rFonts w:ascii="Arial" w:cs="Arial" w:eastAsia="Arial" w:hAnsi="Arial"/>
          <w:sz w:val="16"/>
          <w:szCs w:val="16"/>
          <w:color w:val="000000"/>
        </w:rPr>
        <w:t>.</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84"/>
              <w:spacing w:after="0"/>
              <w:rPr>
                <w:sz w:val="20"/>
                <w:szCs w:val="20"/>
                <w:color w:val="auto"/>
              </w:rPr>
            </w:pPr>
            <w:r>
              <w:rPr>
                <w:rFonts w:ascii="Arial" w:cs="Arial" w:eastAsia="Arial" w:hAnsi="Arial"/>
                <w:sz w:val="14"/>
                <w:szCs w:val="14"/>
                <w:b w:val="1"/>
                <w:bCs w:val="1"/>
                <w:color w:val="6A2887"/>
              </w:rPr>
              <w:t>Director</w:t>
            </w:r>
          </w:p>
        </w:tc>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202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w:t>
            </w:r>
          </w:p>
        </w:tc>
        <w:tc>
          <w:tcPr>
            <w:tcW w:w="80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Age</w:t>
            </w:r>
          </w:p>
        </w:tc>
        <w:tc>
          <w:tcPr>
            <w:tcW w:w="80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Since</w:t>
            </w:r>
          </w:p>
        </w:tc>
        <w:tc>
          <w:tcPr>
            <w:tcW w:w="4520" w:type="dxa"/>
            <w:vAlign w:val="bottom"/>
            <w:tcBorders>
              <w:bottom w:val="single" w:sz="8" w:color="6A2887"/>
            </w:tcBorders>
          </w:tcPr>
          <w:p>
            <w:pPr>
              <w:ind w:left="120"/>
              <w:spacing w:after="0"/>
              <w:rPr>
                <w:sz w:val="20"/>
                <w:szCs w:val="20"/>
                <w:color w:val="auto"/>
              </w:rPr>
            </w:pPr>
            <w:r>
              <w:rPr>
                <w:rFonts w:ascii="Arial" w:cs="Arial" w:eastAsia="Arial" w:hAnsi="Arial"/>
                <w:sz w:val="14"/>
                <w:szCs w:val="14"/>
                <w:b w:val="1"/>
                <w:bCs w:val="1"/>
                <w:color w:val="6A2887"/>
              </w:rPr>
              <w:t>Principal Position</w:t>
            </w:r>
          </w:p>
        </w:tc>
        <w:tc>
          <w:tcPr>
            <w:tcW w:w="10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Independent</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Francesco Bianchi</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63</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Chairman, Seven Capital Partners S.r.l.</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Stacy Enxing Seng</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55</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2019</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Venture Partner, Lightstone Ventures</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William Kozy</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68</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2018</w:t>
            </w:r>
          </w:p>
        </w:tc>
        <w:tc>
          <w:tcPr>
            <w:tcW w:w="4520" w:type="dxa"/>
            <w:vAlign w:val="bottom"/>
          </w:tcPr>
          <w:p>
            <w:pPr>
              <w:ind w:left="120"/>
              <w:spacing w:after="0"/>
              <w:rPr>
                <w:sz w:val="20"/>
                <w:szCs w:val="20"/>
                <w:color w:val="auto"/>
              </w:rPr>
            </w:pPr>
            <w:r>
              <w:rPr>
                <w:rFonts w:ascii="Arial" w:cs="Arial" w:eastAsia="Arial" w:hAnsi="Arial"/>
                <w:sz w:val="15"/>
                <w:szCs w:val="15"/>
                <w:color w:val="auto"/>
              </w:rPr>
              <w:t>Retired, EVP and COO, Becton, Dickinson and Company</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55</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2017</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CEO, LivaNova</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No</w:t>
            </w:r>
          </w:p>
        </w:tc>
      </w:tr>
      <w:tr>
        <w:trPr>
          <w:trHeight w:val="221"/>
        </w:trPr>
        <w:tc>
          <w:tcPr>
            <w:tcW w:w="2020" w:type="dxa"/>
            <w:vAlign w:val="bottom"/>
          </w:tcPr>
          <w:p>
            <w:pPr>
              <w:ind w:left="40"/>
              <w:spacing w:after="0"/>
              <w:rPr>
                <w:sz w:val="20"/>
                <w:szCs w:val="20"/>
                <w:color w:val="auto"/>
              </w:rPr>
            </w:pPr>
            <w:r>
              <w:rPr>
                <w:rFonts w:ascii="Arial" w:cs="Arial" w:eastAsia="Arial" w:hAnsi="Arial"/>
                <w:sz w:val="15"/>
                <w:szCs w:val="15"/>
                <w:color w:val="auto"/>
              </w:rPr>
              <w:t>Daniel Moore</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59</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Chairman of the Board; private investor</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73</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Independent consultant and private investor</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35"/>
        </w:trPr>
        <w:tc>
          <w:tcPr>
            <w:tcW w:w="202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72</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Private investor</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Sharon O’Kane, Ph.D.</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52</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Entrepreneur in Residence, University College Dublin</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35"/>
        </w:trPr>
        <w:tc>
          <w:tcPr>
            <w:tcW w:w="2020" w:type="dxa"/>
            <w:vAlign w:val="bottom"/>
          </w:tcPr>
          <w:p>
            <w:pPr>
              <w:ind w:left="40"/>
              <w:spacing w:after="0"/>
              <w:rPr>
                <w:sz w:val="20"/>
                <w:szCs w:val="20"/>
                <w:color w:val="auto"/>
              </w:rPr>
            </w:pPr>
            <w:r>
              <w:rPr>
                <w:rFonts w:ascii="Arial" w:cs="Arial" w:eastAsia="Arial" w:hAnsi="Arial"/>
                <w:sz w:val="15"/>
                <w:szCs w:val="15"/>
                <w:color w:val="auto"/>
              </w:rPr>
              <w:t>Arthur Rosenthal, Ph.D.</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73</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2015</w:t>
            </w:r>
          </w:p>
        </w:tc>
        <w:tc>
          <w:tcPr>
            <w:tcW w:w="4520" w:type="dxa"/>
            <w:vAlign w:val="bottom"/>
          </w:tcPr>
          <w:p>
            <w:pPr>
              <w:ind w:left="120"/>
              <w:spacing w:after="0"/>
              <w:rPr>
                <w:sz w:val="20"/>
                <w:szCs w:val="20"/>
                <w:color w:val="auto"/>
              </w:rPr>
            </w:pPr>
            <w:r>
              <w:rPr>
                <w:rFonts w:ascii="Arial" w:cs="Arial" w:eastAsia="Arial" w:hAnsi="Arial"/>
                <w:sz w:val="15"/>
                <w:szCs w:val="15"/>
                <w:color w:val="auto"/>
              </w:rPr>
              <w:t>Retired CEO, EyeCue, Inc</w:t>
            </w:r>
          </w:p>
        </w:tc>
        <w:tc>
          <w:tcPr>
            <w:tcW w:w="104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22"/>
        </w:trPr>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2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8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62</w:t>
            </w: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2016</w:t>
            </w:r>
          </w:p>
        </w:tc>
        <w:tc>
          <w:tcPr>
            <w:tcW w:w="4520" w:type="dxa"/>
            <w:vAlign w:val="bottom"/>
            <w:tcBorders>
              <w:bottom w:val="single" w:sz="8" w:color="EFE9FC"/>
            </w:tcBorders>
            <w:shd w:val="clear" w:color="auto" w:fill="EFE9FC"/>
          </w:tcPr>
          <w:p>
            <w:pPr>
              <w:ind w:left="120"/>
              <w:spacing w:after="0"/>
              <w:rPr>
                <w:sz w:val="20"/>
                <w:szCs w:val="20"/>
                <w:color w:val="auto"/>
              </w:rPr>
            </w:pPr>
            <w:r>
              <w:rPr>
                <w:rFonts w:ascii="Arial" w:cs="Arial" w:eastAsia="Arial" w:hAnsi="Arial"/>
                <w:sz w:val="15"/>
                <w:szCs w:val="15"/>
                <w:color w:val="auto"/>
              </w:rPr>
              <w:t>Retired, Global Head of Vision Care, Alcon Division, Novartis AG</w:t>
            </w:r>
          </w:p>
        </w:tc>
        <w:tc>
          <w:tcPr>
            <w:tcW w:w="10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Yes</w:t>
            </w:r>
          </w:p>
        </w:tc>
      </w:tr>
      <w:tr>
        <w:trPr>
          <w:trHeight w:val="20"/>
        </w:trPr>
        <w:tc>
          <w:tcPr>
            <w:tcW w:w="2020" w:type="dxa"/>
            <w:vAlign w:val="bottom"/>
            <w:shd w:val="clear" w:color="auto" w:fill="6A2887"/>
          </w:tcPr>
          <w:p>
            <w:pPr>
              <w:spacing w:after="0" w:line="20" w:lineRule="exact"/>
              <w:rPr>
                <w:sz w:val="1"/>
                <w:szCs w:val="1"/>
                <w:color w:val="auto"/>
              </w:rPr>
            </w:pPr>
          </w:p>
        </w:tc>
        <w:tc>
          <w:tcPr>
            <w:tcW w:w="800" w:type="dxa"/>
            <w:vAlign w:val="bottom"/>
            <w:shd w:val="clear" w:color="auto" w:fill="6A2887"/>
          </w:tcPr>
          <w:p>
            <w:pPr>
              <w:spacing w:after="0" w:line="20" w:lineRule="exact"/>
              <w:rPr>
                <w:sz w:val="1"/>
                <w:szCs w:val="1"/>
                <w:color w:val="auto"/>
              </w:rPr>
            </w:pPr>
          </w:p>
        </w:tc>
        <w:tc>
          <w:tcPr>
            <w:tcW w:w="800" w:type="dxa"/>
            <w:vAlign w:val="bottom"/>
            <w:shd w:val="clear" w:color="auto" w:fill="6A2887"/>
          </w:tcPr>
          <w:p>
            <w:pPr>
              <w:spacing w:after="0" w:line="20" w:lineRule="exact"/>
              <w:rPr>
                <w:sz w:val="1"/>
                <w:szCs w:val="1"/>
                <w:color w:val="auto"/>
              </w:rPr>
            </w:pPr>
          </w:p>
        </w:tc>
        <w:tc>
          <w:tcPr>
            <w:tcW w:w="4520" w:type="dxa"/>
            <w:vAlign w:val="bottom"/>
            <w:shd w:val="clear" w:color="auto" w:fill="6A2887"/>
          </w:tcPr>
          <w:p>
            <w:pPr>
              <w:spacing w:after="0" w:line="20" w:lineRule="exact"/>
              <w:rPr>
                <w:sz w:val="1"/>
                <w:szCs w:val="1"/>
                <w:color w:val="auto"/>
              </w:rPr>
            </w:pPr>
          </w:p>
        </w:tc>
        <w:tc>
          <w:tcPr>
            <w:tcW w:w="1040" w:type="dxa"/>
            <w:vAlign w:val="bottom"/>
            <w:shd w:val="clear" w:color="auto" w:fill="6A2887"/>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60"/>
          </w:cols>
          <w:pgMar w:left="320" w:top="13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Executive Compensation Philosophy</w:t>
      </w:r>
    </w:p>
    <w:p>
      <w:pPr>
        <w:spacing w:after="0" w:line="146" w:lineRule="exact"/>
        <w:rPr>
          <w:sz w:val="20"/>
          <w:szCs w:val="20"/>
          <w:color w:val="auto"/>
        </w:rPr>
      </w:pPr>
    </w:p>
    <w:p>
      <w:pPr>
        <w:ind w:left="760" w:right="399"/>
        <w:spacing w:after="0" w:line="250" w:lineRule="auto"/>
        <w:rPr>
          <w:sz w:val="20"/>
          <w:szCs w:val="20"/>
          <w:color w:val="auto"/>
        </w:rPr>
      </w:pPr>
      <w:r>
        <w:rPr>
          <w:rFonts w:ascii="Arial" w:cs="Arial" w:eastAsia="Arial" w:hAnsi="Arial"/>
          <w:sz w:val="16"/>
          <w:szCs w:val="16"/>
          <w:color w:val="auto"/>
        </w:rPr>
        <w:t>Our market-competitive executive compensation program acts as an incentive for our named executive officers (“NEOs”) to perform at their highest level, take appropriate risks and drive shareholder return in the short and long term. 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27" w:lineRule="exact"/>
        <w:rPr>
          <w:sz w:val="20"/>
          <w:szCs w:val="20"/>
          <w:color w:val="auto"/>
        </w:rPr>
      </w:pPr>
    </w:p>
    <w:p>
      <w:pPr>
        <w:ind w:left="920" w:right="939" w:hanging="156"/>
        <w:spacing w:after="0" w:line="260" w:lineRule="auto"/>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Target NEO pay around the market median to attract, motivate and retain talented executive officers with the skills and experience to ensure our long-term success;</w:t>
      </w:r>
    </w:p>
    <w:p>
      <w:pPr>
        <w:spacing w:after="0" w:line="6" w:lineRule="exact"/>
        <w:rPr>
          <w:rFonts w:ascii="Arial" w:cs="Arial" w:eastAsia="Arial" w:hAnsi="Arial"/>
          <w:sz w:val="16"/>
          <w:szCs w:val="16"/>
          <w:color w:val="6A2887"/>
        </w:rPr>
      </w:pPr>
    </w:p>
    <w:p>
      <w:pPr>
        <w:ind w:left="920" w:right="479" w:hanging="156"/>
        <w:spacing w:after="0" w:line="260" w:lineRule="auto"/>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Use multiple pay and award vehicles that work together to reward performance and retain talent, while maintaining alignment with shareholder interests;</w:t>
      </w:r>
    </w:p>
    <w:p>
      <w:pPr>
        <w:spacing w:after="0" w:line="19" w:lineRule="exact"/>
        <w:rPr>
          <w:rFonts w:ascii="Arial" w:cs="Arial" w:eastAsia="Arial" w:hAnsi="Arial"/>
          <w:sz w:val="16"/>
          <w:szCs w:val="16"/>
          <w:color w:val="6A2887"/>
        </w:rPr>
      </w:pPr>
    </w:p>
    <w:p>
      <w:pPr>
        <w:ind w:left="920" w:right="959" w:hanging="156"/>
        <w:spacing w:after="0" w:line="260" w:lineRule="auto"/>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Reward individual performance with base salary and a cash-based short-term bonus ensuring a meaningful link to our operational performance and shareholder interests;</w:t>
      </w:r>
    </w:p>
    <w:p>
      <w:pPr>
        <w:spacing w:after="0" w:line="19" w:lineRule="exact"/>
        <w:rPr>
          <w:rFonts w:ascii="Arial" w:cs="Arial" w:eastAsia="Arial" w:hAnsi="Arial"/>
          <w:sz w:val="16"/>
          <w:szCs w:val="16"/>
          <w:color w:val="6A2887"/>
        </w:rPr>
      </w:pPr>
    </w:p>
    <w:p>
      <w:pPr>
        <w:ind w:left="920" w:right="779" w:hanging="156"/>
        <w:spacing w:after="0" w:line="260" w:lineRule="auto"/>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Pay a substantial portion of each NEO’s compensation as variable pay contingent upon the achievement of our business objectives;</w:t>
      </w:r>
    </w:p>
    <w:p>
      <w:pPr>
        <w:spacing w:after="0" w:line="6" w:lineRule="exact"/>
        <w:rPr>
          <w:rFonts w:ascii="Arial" w:cs="Arial" w:eastAsia="Arial" w:hAnsi="Arial"/>
          <w:sz w:val="16"/>
          <w:szCs w:val="16"/>
          <w:color w:val="6A2887"/>
        </w:rPr>
      </w:pPr>
    </w:p>
    <w:p>
      <w:pPr>
        <w:jc w:val="both"/>
        <w:ind w:left="920" w:right="499" w:hanging="156"/>
        <w:spacing w:after="0" w:line="253" w:lineRule="auto"/>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25" w:lineRule="exact"/>
        <w:rPr>
          <w:rFonts w:ascii="Arial" w:cs="Arial" w:eastAsia="Arial" w:hAnsi="Arial"/>
          <w:sz w:val="16"/>
          <w:szCs w:val="16"/>
          <w:color w:val="6A2887"/>
        </w:rPr>
      </w:pPr>
    </w:p>
    <w:p>
      <w:pPr>
        <w:ind w:left="920" w:hanging="156"/>
        <w:spacing w:after="0"/>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Encourage NEOs to have a meaningful ownership interest in the Company with stock ownership guidelines;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Vest equity awards over time to promote retention;</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Have clawback provisions in our plans to mitigate risk;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9"/>
        </w:numPr>
        <w:rPr>
          <w:rFonts w:ascii="Arial" w:cs="Arial" w:eastAsia="Arial" w:hAnsi="Arial"/>
          <w:sz w:val="16"/>
          <w:szCs w:val="16"/>
          <w:color w:val="6A2887"/>
        </w:rPr>
      </w:pPr>
      <w:r>
        <w:rPr>
          <w:rFonts w:ascii="Arial" w:cs="Arial" w:eastAsia="Arial" w:hAnsi="Arial"/>
          <w:sz w:val="16"/>
          <w:szCs w:val="16"/>
          <w:color w:val="auto"/>
        </w:rPr>
        <w:t>Work with an independent compensation consultant to ensure our program is meeting its goals.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Cautionary Note Regarding</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66666"/>
        </w:rPr>
        <w:t>Forward-Looking Statements</w:t>
      </w:r>
    </w:p>
    <w:p>
      <w:pPr>
        <w:spacing w:after="0" w:line="101" w:lineRule="exact"/>
        <w:rPr>
          <w:sz w:val="20"/>
          <w:szCs w:val="20"/>
          <w:color w:val="auto"/>
        </w:rPr>
      </w:pPr>
    </w:p>
    <w:p>
      <w:pPr>
        <w:ind w:left="760" w:right="260"/>
        <w:spacing w:after="0" w:line="266" w:lineRule="auto"/>
        <w:rPr>
          <w:sz w:val="20"/>
          <w:szCs w:val="20"/>
          <w:color w:val="auto"/>
        </w:rPr>
      </w:pPr>
      <w:r>
        <w:rPr>
          <w:rFonts w:ascii="Arial" w:cs="Arial" w:eastAsia="Arial" w:hAnsi="Arial"/>
          <w:sz w:val="15"/>
          <w:szCs w:val="15"/>
          <w:color w:val="auto"/>
        </w:rPr>
        <w:t>This proxy statement contains forward-looking statements within the meaning of the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ectPr>
          <w:pgSz w:w="11900" w:h="16838" w:orient="portrait"/>
          <w:cols w:equalWidth="0" w:num="1">
            <w:col w:w="10160"/>
          </w:cols>
          <w:pgMar w:left="320" w:top="13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1" w:right="141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Resolutions and </w:t>
      </w:r>
      <w:r>
        <w:rPr>
          <w:rFonts w:ascii="Arial" w:cs="Arial" w:eastAsia="Arial" w:hAnsi="Arial"/>
          <w:sz w:val="47"/>
          <w:szCs w:val="47"/>
          <w:b w:val="1"/>
          <w:bCs w:val="1"/>
          <w:color w:val="666666"/>
        </w:rPr>
        <w:t>Voting</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Voting on a Poll</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accordance with best practice and our Articles of Association, all voting at the Company’s AGM is done on a poll.</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Ordinary and Special Resolutions</w:t>
      </w:r>
    </w:p>
    <w:p>
      <w:pPr>
        <w:spacing w:after="0" w:line="146" w:lineRule="exact"/>
        <w:rPr>
          <w:sz w:val="20"/>
          <w:szCs w:val="20"/>
          <w:color w:val="auto"/>
        </w:rPr>
      </w:pPr>
    </w:p>
    <w:p>
      <w:pPr>
        <w:ind w:left="760" w:right="299"/>
        <w:spacing w:after="0" w:line="251" w:lineRule="auto"/>
        <w:rPr>
          <w:sz w:val="20"/>
          <w:szCs w:val="20"/>
          <w:color w:val="auto"/>
        </w:rPr>
      </w:pPr>
      <w:r>
        <w:rPr>
          <w:rFonts w:ascii="Arial" w:cs="Arial" w:eastAsia="Arial" w:hAnsi="Arial"/>
          <w:sz w:val="16"/>
          <w:szCs w:val="16"/>
          <w:color w:val="auto"/>
        </w:rPr>
        <w:t>The Companies Act specifies a number of matters that must be effected by special resolution of a company’s shareholders. A resolution passed on a poll taken at a meeting is passed as a special resolution if it is passed by members representing 75% (or more) of the total voting rights of members who, being entitled to vote, do so virtually at the meeting, by proxy or in advance of the meeting. At the 2020 AGM, there are two special resolutions to be voted upon (Proposals 5 and 6).</w:t>
      </w:r>
    </w:p>
    <w:p>
      <w:pPr>
        <w:spacing w:after="0" w:line="67" w:lineRule="exact"/>
        <w:rPr>
          <w:sz w:val="20"/>
          <w:szCs w:val="20"/>
          <w:color w:val="auto"/>
        </w:rPr>
      </w:pPr>
    </w:p>
    <w:p>
      <w:pPr>
        <w:ind w:left="760" w:right="319"/>
        <w:spacing w:after="0" w:line="253" w:lineRule="auto"/>
        <w:rPr>
          <w:sz w:val="20"/>
          <w:szCs w:val="20"/>
          <w:color w:val="auto"/>
        </w:rPr>
      </w:pPr>
      <w:r>
        <w:rPr>
          <w:rFonts w:ascii="Arial" w:cs="Arial" w:eastAsia="Arial" w:hAnsi="Arial"/>
          <w:sz w:val="16"/>
          <w:szCs w:val="16"/>
          <w:color w:val="auto"/>
        </w:rPr>
        <w:t>All other resolutions at the 2020 AGM are ordinary resolutions. These resolutions will pass on a poll at the AGM if members representing a simple majority of the total voting rights of members who, being entitled to vote, do so virtually at the meeting or by proxy or in advance of the meeting.</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Abstentions</w:t>
      </w:r>
    </w:p>
    <w:p>
      <w:pPr>
        <w:spacing w:after="0" w:line="146" w:lineRule="exact"/>
        <w:rPr>
          <w:sz w:val="20"/>
          <w:szCs w:val="20"/>
          <w:color w:val="auto"/>
        </w:rPr>
      </w:pPr>
    </w:p>
    <w:p>
      <w:pPr>
        <w:ind w:left="760" w:right="559"/>
        <w:spacing w:after="0" w:line="260" w:lineRule="auto"/>
        <w:rPr>
          <w:sz w:val="20"/>
          <w:szCs w:val="20"/>
          <w:color w:val="auto"/>
        </w:rPr>
      </w:pPr>
      <w:r>
        <w:rPr>
          <w:rFonts w:ascii="Arial" w:cs="Arial" w:eastAsia="Arial" w:hAnsi="Arial"/>
          <w:sz w:val="16"/>
          <w:szCs w:val="16"/>
          <w:color w:val="auto"/>
        </w:rPr>
        <w:t>Under English law, an abstention is not a vote in law and will not be counted in the calculation of the proportion of votes ‘for’ or ‘against’ the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Broker Non-Votes</w:t>
      </w:r>
    </w:p>
    <w:p>
      <w:pPr>
        <w:spacing w:after="0" w:line="146"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If you are a beneficial owner and hold shares through an account with a bank or broker, your shares may be voted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For example, the ratification of the selection of independent auditors is considered a routine matter, and the brokerage firm can vote for or against this resolution at its discretion, but the election of directors is not considered routine for these purposes. Following a narrowing of interpretation of the definition of a ‘routine matter,’ the only resolutions that are now considered routine are the ratification of the selection of independent auditors for US purposes and re-appointment of independent auditors for UK purposes. All of our other resolutions at the 2020 AGM are non-routine matters.</w:t>
      </w:r>
    </w:p>
    <w:p>
      <w:pPr>
        <w:spacing w:after="0" w:line="379"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Possible Selections on the Ballot</w:t>
      </w:r>
    </w:p>
    <w:p>
      <w:pPr>
        <w:spacing w:after="0" w:line="132"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You can vote ‘for’ or ‘against’ a resolution. Each of these votes will have legal effect under English law in that they count as votes cast. An abstention, indicated by electing ‘abstain’ is not a vote under English law as indicated above.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-15875</wp:posOffset>
            </wp:positionV>
            <wp:extent cx="1028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Proposal No. 1 </w:t>
      </w:r>
      <w:r>
        <w:rPr>
          <w:rFonts w:ascii="Arial" w:cs="Arial" w:eastAsia="Arial" w:hAnsi="Arial"/>
          <w:sz w:val="47"/>
          <w:szCs w:val="47"/>
          <w:b w:val="1"/>
          <w:bCs w:val="1"/>
          <w:color w:val="666666"/>
        </w:rPr>
        <w:t>Election of Directors</w:t>
      </w:r>
    </w:p>
    <w:p>
      <w:pPr>
        <w:spacing w:after="0" w:line="159" w:lineRule="exact"/>
        <w:rPr>
          <w:sz w:val="20"/>
          <w:szCs w:val="20"/>
          <w:color w:val="auto"/>
        </w:rPr>
      </w:pPr>
    </w:p>
    <w:p>
      <w:pPr>
        <w:ind w:left="760" w:right="220"/>
        <w:spacing w:after="0" w:line="249" w:lineRule="auto"/>
        <w:rPr>
          <w:sz w:val="20"/>
          <w:szCs w:val="20"/>
          <w:color w:val="auto"/>
        </w:rPr>
      </w:pPr>
      <w:r>
        <w:rPr>
          <w:rFonts w:ascii="Arial" w:cs="Arial" w:eastAsia="Arial" w:hAnsi="Arial"/>
          <w:sz w:val="16"/>
          <w:szCs w:val="16"/>
          <w:color w:val="auto"/>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 of Directors’ (the “Board”) established process for director selection begins with an assessment of our strategic objectives and the skills, experience and qualifications needed to further those objectives. Through that process, the Board has determined that its nominees for election as directors at the 2020 AGM collectively represent the best mix of experience, qualifications and skills to further the long-term interests of all shareholders.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Board is unclassified. Directors are currently elected for one-year terms.</w:t>
      </w:r>
    </w:p>
    <w:p>
      <w:pPr>
        <w:spacing w:after="0" w:line="86" w:lineRule="exact"/>
        <w:rPr>
          <w:sz w:val="20"/>
          <w:szCs w:val="20"/>
          <w:color w:val="auto"/>
        </w:rPr>
      </w:pPr>
    </w:p>
    <w:p>
      <w:pPr>
        <w:jc w:val="both"/>
        <w:ind w:left="760" w:right="46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You are being asked to vote, by separate ordinary resolutions, on the election of the following ten director nominees, each for a one-year term. Election is by a majority of the votes cast in an uncontested election such as this one. Detailed information about each director nominee’s background, skill sets and areas of expertise can be found beginning on page </w:t>
      </w:r>
      <w:hyperlink w:anchor="page14">
        <w:r>
          <w:rPr>
            <w:rFonts w:ascii="Arial" w:cs="Arial" w:eastAsia="Arial" w:hAnsi="Arial"/>
            <w:sz w:val="16"/>
            <w:szCs w:val="16"/>
            <w:u w:val="single" w:color="auto"/>
            <w:color w:val="0000EE"/>
          </w:rPr>
          <w:t>11</w:t>
        </w:r>
      </w:hyperlink>
      <w:r>
        <w:rPr>
          <w:rFonts w:ascii="Arial" w:cs="Arial" w:eastAsia="Arial" w:hAnsi="Arial"/>
          <w:sz w:val="16"/>
          <w:szCs w:val="16"/>
          <w:color w:val="auto"/>
        </w:rPr>
        <w:t>.</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6A2887"/>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5829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020" w:type="dxa"/>
            <w:vAlign w:val="bottom"/>
          </w:tcPr>
          <w:p>
            <w:pPr>
              <w:ind w:left="60"/>
              <w:spacing w:after="0"/>
              <w:rPr>
                <w:sz w:val="20"/>
                <w:szCs w:val="20"/>
                <w:color w:val="auto"/>
              </w:rPr>
            </w:pPr>
            <w:r>
              <w:rPr>
                <w:rFonts w:ascii="Arial" w:cs="Arial" w:eastAsia="Arial" w:hAnsi="Arial"/>
                <w:sz w:val="15"/>
                <w:szCs w:val="15"/>
                <w:color w:val="auto"/>
              </w:rPr>
              <w:t>Francesco Bianchi</w:t>
            </w:r>
          </w:p>
        </w:tc>
        <w:tc>
          <w:tcPr>
            <w:tcW w:w="6160" w:type="dxa"/>
            <w:vAlign w:val="bottom"/>
          </w:tcPr>
          <w:p>
            <w:pPr>
              <w:ind w:left="1680"/>
              <w:spacing w:after="0"/>
              <w:rPr>
                <w:sz w:val="20"/>
                <w:szCs w:val="20"/>
                <w:color w:val="auto"/>
              </w:rPr>
            </w:pPr>
            <w:r>
              <w:rPr>
                <w:rFonts w:ascii="Arial" w:cs="Arial" w:eastAsia="Arial" w:hAnsi="Arial"/>
                <w:sz w:val="15"/>
                <w:szCs w:val="15"/>
                <w:color w:val="auto"/>
              </w:rPr>
              <w:t>Hugh Morrison</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Alfred Novak</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6160" w:type="dxa"/>
            <w:vAlign w:val="bottom"/>
          </w:tcPr>
          <w:p>
            <w:pPr>
              <w:ind w:left="1680"/>
              <w:spacing w:after="0"/>
              <w:rPr>
                <w:sz w:val="20"/>
                <w:szCs w:val="20"/>
                <w:color w:val="auto"/>
              </w:rPr>
            </w:pPr>
            <w:r>
              <w:rPr>
                <w:rFonts w:ascii="Arial" w:cs="Arial" w:eastAsia="Arial" w:hAnsi="Arial"/>
                <w:sz w:val="15"/>
                <w:szCs w:val="15"/>
                <w:color w:val="auto"/>
              </w:rPr>
              <w:t>Sharon O’Kane, Ph.D.</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Damien McDonald</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Arthur Rosenthal, Ph.D.</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Daniel Moore</w:t>
            </w:r>
          </w:p>
        </w:tc>
        <w:tc>
          <w:tcPr>
            <w:tcW w:w="6160" w:type="dxa"/>
            <w:vAlign w:val="bottom"/>
          </w:tcPr>
          <w:p>
            <w:pPr>
              <w:ind w:left="1680"/>
              <w:spacing w:after="0"/>
              <w:rPr>
                <w:sz w:val="20"/>
                <w:szCs w:val="20"/>
                <w:color w:val="auto"/>
              </w:rPr>
            </w:pPr>
            <w:r>
              <w:rPr>
                <w:rFonts w:ascii="Arial" w:cs="Arial" w:eastAsia="Arial" w:hAnsi="Arial"/>
                <w:sz w:val="15"/>
                <w:szCs w:val="15"/>
                <w:color w:val="auto"/>
              </w:rPr>
              <w:t>Andrea Saia</w:t>
            </w:r>
          </w:p>
        </w:tc>
      </w:tr>
      <w:tr>
        <w:trPr>
          <w:trHeight w:val="22"/>
        </w:trPr>
        <w:tc>
          <w:tcPr>
            <w:tcW w:w="3020" w:type="dxa"/>
            <w:vAlign w:val="bottom"/>
            <w:tcBorders>
              <w:bottom w:val="single" w:sz="8" w:color="6A2887"/>
            </w:tcBorders>
          </w:tcPr>
          <w:p>
            <w:pPr>
              <w:spacing w:after="0" w:line="20" w:lineRule="exact"/>
              <w:rPr>
                <w:sz w:val="1"/>
                <w:szCs w:val="1"/>
                <w:color w:val="auto"/>
              </w:rPr>
            </w:pPr>
          </w:p>
        </w:tc>
        <w:tc>
          <w:tcPr>
            <w:tcW w:w="6160" w:type="dxa"/>
            <w:vAlign w:val="bottom"/>
            <w:tcBorders>
              <w:bottom w:val="single" w:sz="8" w:color="6A2887"/>
            </w:tcBorders>
          </w:tcPr>
          <w:p>
            <w:pPr>
              <w:spacing w:after="0" w:line="20" w:lineRule="exact"/>
              <w:rPr>
                <w:sz w:val="1"/>
                <w:szCs w:val="1"/>
                <w:color w:val="auto"/>
              </w:rPr>
            </w:pPr>
          </w:p>
        </w:tc>
      </w:tr>
    </w:tbl>
    <w:p>
      <w:pPr>
        <w:spacing w:after="0" w:line="390"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32" w:lineRule="exact"/>
        <w:rPr>
          <w:sz w:val="20"/>
          <w:szCs w:val="20"/>
          <w:color w:val="auto"/>
        </w:rPr>
      </w:pPr>
    </w:p>
    <w:p>
      <w:pPr>
        <w:ind w:left="760" w:right="400"/>
        <w:spacing w:after="0" w:line="260" w:lineRule="auto"/>
        <w:rPr>
          <w:sz w:val="20"/>
          <w:szCs w:val="20"/>
          <w:color w:val="auto"/>
        </w:rPr>
      </w:pPr>
      <w:r>
        <w:rPr>
          <w:rFonts w:ascii="Arial" w:cs="Arial" w:eastAsia="Arial" w:hAnsi="Arial"/>
          <w:sz w:val="16"/>
          <w:szCs w:val="16"/>
          <w:color w:val="auto"/>
        </w:rPr>
        <w:t>Each director nominee is elected by a simple majority of the total votes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ELECTION TO THE BOARD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360"/>
        <w:spacing w:after="0"/>
        <w:tabs>
          <w:tab w:leader="none" w:pos="100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-15875</wp:posOffset>
            </wp:positionV>
            <wp:extent cx="19545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-15875</wp:posOffset>
            </wp:positionV>
            <wp:extent cx="1954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60"/>
          </w:cols>
          <w:pgMar w:left="320" w:top="132" w:right="1419"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The Board of Directors</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Corporate </w:t>
      </w:r>
      <w:r>
        <w:rPr>
          <w:rFonts w:ascii="Arial" w:cs="Arial" w:eastAsia="Arial" w:hAnsi="Arial"/>
          <w:sz w:val="47"/>
          <w:szCs w:val="47"/>
          <w:b w:val="1"/>
          <w:bCs w:val="1"/>
          <w:color w:val="666666"/>
        </w:rPr>
        <w:t>Governance</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The Board of Directors</w:t>
      </w:r>
    </w:p>
    <w:p>
      <w:pPr>
        <w:spacing w:after="0" w:line="146" w:lineRule="exact"/>
        <w:rPr>
          <w:sz w:val="20"/>
          <w:szCs w:val="20"/>
          <w:color w:val="auto"/>
        </w:rPr>
      </w:pPr>
    </w:p>
    <w:p>
      <w:pPr>
        <w:ind w:left="760" w:right="359"/>
        <w:spacing w:after="0" w:line="270" w:lineRule="auto"/>
        <w:rPr>
          <w:sz w:val="20"/>
          <w:szCs w:val="20"/>
          <w:color w:val="auto"/>
        </w:rPr>
      </w:pPr>
      <w:r>
        <w:rPr>
          <w:rFonts w:ascii="Arial" w:cs="Arial" w:eastAsia="Arial" w:hAnsi="Arial"/>
          <w:sz w:val="15"/>
          <w:szCs w:val="15"/>
          <w:color w:val="auto"/>
        </w:rPr>
        <w:t>Our Articles of Association provide that the number of directors shall be nine unless otherwise decided by the Board. On April 23, 2019, the Board increased the size of the Board to ten directors in order to accommodate a broader skill set on the Board. The New Articles presented for consideration in this proxy statement would set the number of directors at ten. Upon the recommendation of our Nominating and Corporate Governance Committee, the Board has nominated the persons named under Proposal No. 1 to serve as directors until the 2021 AGM or their earlier resignation or removal. All directors are elected annually.</w:t>
      </w:r>
    </w:p>
    <w:p>
      <w:pPr>
        <w:spacing w:after="0" w:line="69" w:lineRule="exact"/>
        <w:rPr>
          <w:sz w:val="20"/>
          <w:szCs w:val="20"/>
          <w:color w:val="auto"/>
        </w:rPr>
      </w:pPr>
    </w:p>
    <w:p>
      <w:pPr>
        <w:ind w:left="760" w:right="559"/>
        <w:spacing w:after="0" w:line="253" w:lineRule="auto"/>
        <w:rPr>
          <w:sz w:val="20"/>
          <w:szCs w:val="20"/>
          <w:color w:val="auto"/>
        </w:rPr>
      </w:pPr>
      <w:r>
        <w:rPr>
          <w:rFonts w:ascii="Arial" w:cs="Arial" w:eastAsia="Arial" w:hAnsi="Arial"/>
          <w:sz w:val="16"/>
          <w:szCs w:val="16"/>
          <w:color w:val="auto"/>
        </w:rPr>
        <w:t>With the exception of Mr. McDonald, our chief executive officer (“CEO”), each of the named nominees is independent under applicable rules of Nasdaq and the US Securities and Exchange Commission (“SEC”). If re-elected, Mr. Moore will continue to serve as the Company’s independent and non-executive chairman of the Board.</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Qualifications and Director Selection</w:t>
      </w:r>
    </w:p>
    <w:p>
      <w:pPr>
        <w:spacing w:after="0" w:line="139" w:lineRule="exact"/>
        <w:rPr>
          <w:sz w:val="20"/>
          <w:szCs w:val="20"/>
          <w:color w:val="auto"/>
        </w:rPr>
      </w:pPr>
    </w:p>
    <w:p>
      <w:pPr>
        <w:ind w:left="760" w:right="359"/>
        <w:spacing w:after="0" w:line="251" w:lineRule="auto"/>
        <w:rPr>
          <w:sz w:val="20"/>
          <w:szCs w:val="20"/>
          <w:color w:val="auto"/>
        </w:rPr>
      </w:pPr>
      <w:r>
        <w:rPr>
          <w:rFonts w:ascii="Arial" w:cs="Arial" w:eastAsia="Arial" w:hAnsi="Arial"/>
          <w:sz w:val="16"/>
          <w:szCs w:val="16"/>
          <w:color w:val="auto"/>
        </w:rPr>
        <w:t>The selection process for directors is set out in our Corporate Governance Guidelines and in the charter of the Nominating and Corporate Governance Committee. These documents are available at https://investor.livanova.com. The charter authorizes the Nominating and Corporate Governance Committee to determine the qualifications, qualities, skills and other expertise required to be a director but also sets out certain minimum qualification requirements:</w:t>
      </w:r>
    </w:p>
    <w:p>
      <w:pPr>
        <w:spacing w:after="0" w:line="13" w:lineRule="exact"/>
        <w:rPr>
          <w:sz w:val="20"/>
          <w:szCs w:val="20"/>
          <w:color w:val="auto"/>
        </w:rPr>
      </w:pPr>
    </w:p>
    <w:p>
      <w:pPr>
        <w:ind w:left="920" w:hanging="156"/>
        <w:spacing w:after="0"/>
        <w:tabs>
          <w:tab w:leader="none" w:pos="920" w:val="left"/>
        </w:tabs>
        <w:numPr>
          <w:ilvl w:val="0"/>
          <w:numId w:val="10"/>
        </w:numPr>
        <w:rPr>
          <w:rFonts w:ascii="Arial" w:cs="Arial" w:eastAsia="Arial" w:hAnsi="Arial"/>
          <w:sz w:val="16"/>
          <w:szCs w:val="16"/>
          <w:color w:val="6A2887"/>
        </w:rPr>
      </w:pPr>
      <w:r>
        <w:rPr>
          <w:rFonts w:ascii="Arial" w:cs="Arial" w:eastAsia="Arial" w:hAnsi="Arial"/>
          <w:sz w:val="16"/>
          <w:szCs w:val="16"/>
          <w:color w:val="auto"/>
        </w:rPr>
        <w:t>high ethical behavior;</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10"/>
        </w:numPr>
        <w:rPr>
          <w:rFonts w:ascii="Arial" w:cs="Arial" w:eastAsia="Arial" w:hAnsi="Arial"/>
          <w:sz w:val="16"/>
          <w:szCs w:val="16"/>
          <w:color w:val="6A2887"/>
        </w:rPr>
      </w:pPr>
      <w:r>
        <w:rPr>
          <w:rFonts w:ascii="Arial" w:cs="Arial" w:eastAsia="Arial" w:hAnsi="Arial"/>
          <w:sz w:val="16"/>
          <w:szCs w:val="16"/>
          <w:color w:val="auto"/>
        </w:rPr>
        <w:t>accomplishments within their respective fields;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10"/>
        </w:numPr>
        <w:rPr>
          <w:rFonts w:ascii="Arial" w:cs="Arial" w:eastAsia="Arial" w:hAnsi="Arial"/>
          <w:sz w:val="16"/>
          <w:szCs w:val="16"/>
          <w:color w:val="6A2887"/>
        </w:rPr>
      </w:pPr>
      <w:r>
        <w:rPr>
          <w:rFonts w:ascii="Arial" w:cs="Arial" w:eastAsia="Arial" w:hAnsi="Arial"/>
          <w:sz w:val="16"/>
          <w:szCs w:val="16"/>
          <w:color w:val="auto"/>
        </w:rPr>
        <w:t>relevant business and financial expertise and experience;</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10"/>
        </w:numPr>
        <w:rPr>
          <w:rFonts w:ascii="Arial" w:cs="Arial" w:eastAsia="Arial" w:hAnsi="Arial"/>
          <w:sz w:val="16"/>
          <w:szCs w:val="16"/>
          <w:color w:val="6A2887"/>
        </w:rPr>
      </w:pPr>
      <w:r>
        <w:rPr>
          <w:rFonts w:ascii="Arial" w:cs="Arial" w:eastAsia="Arial" w:hAnsi="Arial"/>
          <w:sz w:val="16"/>
          <w:szCs w:val="16"/>
          <w:color w:val="auto"/>
        </w:rPr>
        <w:t>sound business judgment;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10"/>
        </w:numPr>
        <w:rPr>
          <w:rFonts w:ascii="Arial" w:cs="Arial" w:eastAsia="Arial" w:hAnsi="Arial"/>
          <w:sz w:val="16"/>
          <w:szCs w:val="16"/>
          <w:color w:val="6A2887"/>
        </w:rPr>
      </w:pPr>
      <w:r>
        <w:rPr>
          <w:rFonts w:ascii="Arial" w:cs="Arial" w:eastAsia="Arial" w:hAnsi="Arial"/>
          <w:sz w:val="16"/>
          <w:szCs w:val="16"/>
          <w:color w:val="auto"/>
        </w:rPr>
        <w:t>diversity, including with respect to gender, race/ethnicity, geography, professional experience, skills and tenure.</w:t>
      </w:r>
    </w:p>
    <w:p>
      <w:pPr>
        <w:spacing w:after="0" w:line="86" w:lineRule="exact"/>
        <w:rPr>
          <w:sz w:val="20"/>
          <w:szCs w:val="20"/>
          <w:color w:val="auto"/>
        </w:rPr>
      </w:pPr>
    </w:p>
    <w:p>
      <w:pPr>
        <w:ind w:left="760" w:right="939"/>
        <w:spacing w:after="0" w:line="260" w:lineRule="auto"/>
        <w:rPr>
          <w:sz w:val="20"/>
          <w:szCs w:val="20"/>
          <w:color w:val="auto"/>
        </w:rPr>
      </w:pPr>
      <w:r>
        <w:rPr>
          <w:rFonts w:ascii="Arial" w:cs="Arial" w:eastAsia="Arial" w:hAnsi="Arial"/>
          <w:sz w:val="16"/>
          <w:szCs w:val="16"/>
          <w:color w:val="auto"/>
        </w:rPr>
        <w:t>Our Articles of Association stipulate that directors must be able to understand and speak English sufficiently to be able to participate fully in all meetings of the Board.</w:t>
      </w:r>
    </w:p>
    <w:p>
      <w:pPr>
        <w:spacing w:after="0" w:line="74" w:lineRule="exact"/>
        <w:rPr>
          <w:sz w:val="20"/>
          <w:szCs w:val="20"/>
          <w:color w:val="auto"/>
        </w:rPr>
      </w:pPr>
    </w:p>
    <w:p>
      <w:pPr>
        <w:ind w:left="760" w:right="239"/>
        <w:spacing w:after="0" w:line="250" w:lineRule="auto"/>
        <w:rPr>
          <w:sz w:val="20"/>
          <w:szCs w:val="20"/>
          <w:color w:val="auto"/>
        </w:rPr>
      </w:pPr>
      <w:r>
        <w:rPr>
          <w:rFonts w:ascii="Arial" w:cs="Arial" w:eastAsia="Arial" w:hAnsi="Arial"/>
          <w:sz w:val="16"/>
          <w:szCs w:val="16"/>
          <w:color w:val="auto"/>
        </w:rPr>
        <w:t>The Board has not introduced term or age limits. While term limits may foster fresh ideas and viewpoints,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 All of our directors have served for fewer than six years.</w:t>
      </w:r>
    </w:p>
    <w:p>
      <w:pPr>
        <w:spacing w:after="0" w:line="81" w:lineRule="exact"/>
        <w:rPr>
          <w:sz w:val="20"/>
          <w:szCs w:val="20"/>
          <w:color w:val="auto"/>
        </w:rPr>
      </w:pPr>
    </w:p>
    <w:p>
      <w:pPr>
        <w:ind w:left="760" w:right="279"/>
        <w:spacing w:after="0" w:line="248" w:lineRule="auto"/>
        <w:rPr>
          <w:sz w:val="20"/>
          <w:szCs w:val="20"/>
          <w:color w:val="auto"/>
        </w:rPr>
      </w:pPr>
      <w:r>
        <w:rPr>
          <w:rFonts w:ascii="Arial" w:cs="Arial" w:eastAsia="Arial" w:hAnsi="Arial"/>
          <w:sz w:val="16"/>
          <w:szCs w:val="16"/>
          <w:color w:val="auto"/>
        </w:rPr>
        <w:t>The Nominating and Corporate Governance Committee conducts a skills analysis and considers that analysis in the context of the Company’s strategic plan in order to identify skills and expertise required to lead the Company now and in the future. It also considers the results of the Board and its committees’ annual self-assessments to identify any further gaps as well as Board succession planning and ultimately determines the qualifications, qualities, skills and other expertise (in addition to the minimum requirements set out above) desired at this juncture in the Company’s development. The Nominating and Corporate Governance Committee then assesses all current directors who expressed an interest in being re-nominated as well as potential new candidates and makes its recommendation to the Board.</w:t>
      </w:r>
    </w:p>
    <w:p>
      <w:pPr>
        <w:spacing w:after="0" w:line="73" w:lineRule="exact"/>
        <w:rPr>
          <w:sz w:val="20"/>
          <w:szCs w:val="20"/>
          <w:color w:val="auto"/>
        </w:rPr>
      </w:pPr>
    </w:p>
    <w:p>
      <w:pPr>
        <w:ind w:left="760" w:right="439"/>
        <w:spacing w:after="0" w:line="251" w:lineRule="auto"/>
        <w:rPr>
          <w:sz w:val="20"/>
          <w:szCs w:val="20"/>
          <w:color w:val="auto"/>
        </w:rPr>
      </w:pPr>
      <w:r>
        <w:rPr>
          <w:rFonts w:ascii="Arial" w:cs="Arial" w:eastAsia="Arial" w:hAnsi="Arial"/>
          <w:sz w:val="16"/>
          <w:szCs w:val="16"/>
          <w:color w:val="auto"/>
        </w:rPr>
        <w:t>The Nominating and Corporate Governance Committee may consider candidates for our Board from any reasonable source, including from a search firm engaged by the committee and shareholder recommendations subject to the procedures set forth below and the full procedures identified in our Corporate Governance Guidelines. Any invitation to join our Board is extended by the Board and by the chair of the Nominating and Corporate Governance Committee.</w:t>
      </w:r>
    </w:p>
    <w:p>
      <w:pPr>
        <w:spacing w:after="0" w:line="81" w:lineRule="exact"/>
        <w:rPr>
          <w:sz w:val="20"/>
          <w:szCs w:val="20"/>
          <w:color w:val="auto"/>
        </w:rPr>
      </w:pPr>
    </w:p>
    <w:p>
      <w:pPr>
        <w:ind w:left="760" w:right="259"/>
        <w:spacing w:after="0" w:line="251" w:lineRule="auto"/>
        <w:rPr>
          <w:sz w:val="20"/>
          <w:szCs w:val="20"/>
          <w:color w:val="auto"/>
        </w:rPr>
      </w:pPr>
      <w:r>
        <w:rPr>
          <w:rFonts w:ascii="Arial" w:cs="Arial" w:eastAsia="Arial" w:hAnsi="Arial"/>
          <w:sz w:val="16"/>
          <w:szCs w:val="16"/>
          <w:color w:val="auto"/>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 No shareholder nominees were submitted for consideration at the 2020 AGM.</w:t>
      </w:r>
    </w:p>
    <w:p>
      <w:pPr>
        <w:spacing w:after="0" w:line="81" w:lineRule="exact"/>
        <w:rPr>
          <w:sz w:val="20"/>
          <w:szCs w:val="20"/>
          <w:color w:val="auto"/>
        </w:rPr>
      </w:pPr>
    </w:p>
    <w:p>
      <w:pPr>
        <w:ind w:left="760" w:right="439"/>
        <w:spacing w:after="0" w:line="246" w:lineRule="auto"/>
        <w:rPr>
          <w:sz w:val="20"/>
          <w:szCs w:val="20"/>
          <w:color w:val="auto"/>
        </w:rPr>
      </w:pPr>
      <w:r>
        <w:rPr>
          <w:rFonts w:ascii="Arial" w:cs="Arial" w:eastAsia="Arial" w:hAnsi="Arial"/>
          <w:sz w:val="16"/>
          <w:szCs w:val="16"/>
          <w:color w:val="auto"/>
        </w:rPr>
        <w:t>Nominees for consideration by the Nominating and Corporate Governance Committee may be sent in writing to the Office of the Company Secretary, by mail at 20 Eastbourne Terrace, London W2 6LG, United Kingdom, not less than 90 nor more than</w:t>
      </w:r>
    </w:p>
    <w:p>
      <w:pPr>
        <w:spacing w:after="0" w:line="1" w:lineRule="exact"/>
        <w:rPr>
          <w:sz w:val="20"/>
          <w:szCs w:val="20"/>
          <w:color w:val="auto"/>
        </w:rPr>
      </w:pPr>
    </w:p>
    <w:p>
      <w:pPr>
        <w:ind w:left="760" w:right="239"/>
        <w:spacing w:after="0" w:line="278" w:lineRule="auto"/>
        <w:rPr>
          <w:sz w:val="20"/>
          <w:szCs w:val="20"/>
          <w:color w:val="auto"/>
        </w:rPr>
      </w:pPr>
      <w:r>
        <w:rPr>
          <w:rFonts w:ascii="Arial" w:cs="Arial" w:eastAsia="Arial" w:hAnsi="Arial"/>
          <w:sz w:val="15"/>
          <w:szCs w:val="15"/>
          <w:color w:val="auto"/>
        </w:rPr>
        <w:t>120 days prior to the first anniversary of the AGM for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w:t>
      </w:r>
    </w:p>
    <w:p>
      <w:pPr>
        <w:spacing w:after="0" w:line="263" w:lineRule="exact"/>
        <w:rPr>
          <w:sz w:val="20"/>
          <w:szCs w:val="20"/>
          <w:color w:val="auto"/>
        </w:rPr>
      </w:pPr>
    </w:p>
    <w:p>
      <w:pPr>
        <w:ind w:left="540"/>
        <w:spacing w:after="0"/>
        <w:tabs>
          <w:tab w:leader="none" w:pos="4400" w:val="left"/>
          <w:tab w:leader="none" w:pos="876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-24765</wp:posOffset>
            </wp:positionV>
            <wp:extent cx="19545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1028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1320"/>
        <w:spacing w:after="0" w:line="260" w:lineRule="auto"/>
        <w:rPr>
          <w:sz w:val="20"/>
          <w:szCs w:val="20"/>
          <w:color w:val="auto"/>
        </w:rPr>
      </w:pPr>
      <w:r>
        <w:rPr>
          <w:rFonts w:ascii="Arial" w:cs="Arial" w:eastAsia="Arial" w:hAnsi="Arial"/>
          <w:sz w:val="16"/>
          <w:szCs w:val="16"/>
          <w:color w:val="auto"/>
        </w:rPr>
        <w:t>Exchange Act of 1934, as amended (the “Exchange Act”), including such person’s written consent to be named in the proxy statement as a nominee and to serve as a director if elected. In addition, the nomination must include:</w:t>
      </w:r>
    </w:p>
    <w:p>
      <w:pPr>
        <w:spacing w:after="0" w:line="20" w:lineRule="exact"/>
        <w:rPr>
          <w:sz w:val="20"/>
          <w:szCs w:val="20"/>
          <w:color w:val="auto"/>
        </w:rPr>
      </w:pPr>
    </w:p>
    <w:p>
      <w:pPr>
        <w:ind w:left="920" w:hanging="156"/>
        <w:spacing w:after="0"/>
        <w:tabs>
          <w:tab w:leader="none" w:pos="920" w:val="left"/>
        </w:tabs>
        <w:numPr>
          <w:ilvl w:val="0"/>
          <w:numId w:val="11"/>
        </w:numPr>
        <w:rPr>
          <w:rFonts w:ascii="Arial" w:cs="Arial" w:eastAsia="Arial" w:hAnsi="Arial"/>
          <w:sz w:val="16"/>
          <w:szCs w:val="16"/>
          <w:color w:val="6A2887"/>
        </w:rPr>
      </w:pPr>
      <w:r>
        <w:rPr>
          <w:rFonts w:ascii="Arial" w:cs="Arial" w:eastAsia="Arial" w:hAnsi="Arial"/>
          <w:sz w:val="16"/>
          <w:szCs w:val="16"/>
          <w:color w:val="auto"/>
        </w:rPr>
        <w:t>the nominating shareholder’s or shareholders’ name(s) and address(es) as they appear on the Company’s books;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11"/>
        </w:numPr>
        <w:rPr>
          <w:rFonts w:ascii="Arial" w:cs="Arial" w:eastAsia="Arial" w:hAnsi="Arial"/>
          <w:sz w:val="16"/>
          <w:szCs w:val="16"/>
          <w:color w:val="6A2887"/>
        </w:rPr>
      </w:pPr>
      <w:r>
        <w:rPr>
          <w:rFonts w:ascii="Arial" w:cs="Arial" w:eastAsia="Arial" w:hAnsi="Arial"/>
          <w:sz w:val="16"/>
          <w:szCs w:val="16"/>
          <w:color w:val="auto"/>
        </w:rPr>
        <w:t>the class and number of shares beneficially owned by the nominating shareholder(s);</w:t>
      </w:r>
    </w:p>
    <w:p>
      <w:pPr>
        <w:spacing w:after="0" w:line="32" w:lineRule="exact"/>
        <w:rPr>
          <w:rFonts w:ascii="Arial" w:cs="Arial" w:eastAsia="Arial" w:hAnsi="Arial"/>
          <w:sz w:val="16"/>
          <w:szCs w:val="16"/>
          <w:color w:val="6A2887"/>
        </w:rPr>
      </w:pPr>
    </w:p>
    <w:p>
      <w:pPr>
        <w:ind w:left="920" w:right="1340" w:hanging="156"/>
        <w:spacing w:after="0" w:line="260" w:lineRule="auto"/>
        <w:tabs>
          <w:tab w:leader="none" w:pos="920" w:val="left"/>
        </w:tabs>
        <w:numPr>
          <w:ilvl w:val="0"/>
          <w:numId w:val="11"/>
        </w:numPr>
        <w:rPr>
          <w:rFonts w:ascii="Arial" w:cs="Arial" w:eastAsia="Arial" w:hAnsi="Arial"/>
          <w:sz w:val="16"/>
          <w:szCs w:val="16"/>
          <w:color w:val="6A2887"/>
        </w:rPr>
      </w:pPr>
      <w:r>
        <w:rPr>
          <w:rFonts w:ascii="Arial" w:cs="Arial" w:eastAsia="Arial" w:hAnsi="Arial"/>
          <w:sz w:val="16"/>
          <w:szCs w:val="16"/>
          <w:color w:val="auto"/>
        </w:rPr>
        <w:t>a description of all agreements, arrangements and understandings between such shareholder(s), each proposed director nominee and any other person or persons (including their names) in connection with the nomination;</w:t>
      </w:r>
    </w:p>
    <w:p>
      <w:pPr>
        <w:spacing w:after="0" w:line="19" w:lineRule="exact"/>
        <w:rPr>
          <w:rFonts w:ascii="Arial" w:cs="Arial" w:eastAsia="Arial" w:hAnsi="Arial"/>
          <w:sz w:val="16"/>
          <w:szCs w:val="16"/>
          <w:color w:val="6A2887"/>
        </w:rPr>
      </w:pPr>
    </w:p>
    <w:p>
      <w:pPr>
        <w:ind w:left="920" w:right="900" w:hanging="156"/>
        <w:spacing w:after="0" w:line="291" w:lineRule="auto"/>
        <w:tabs>
          <w:tab w:leader="none" w:pos="920" w:val="left"/>
        </w:tabs>
        <w:numPr>
          <w:ilvl w:val="0"/>
          <w:numId w:val="11"/>
        </w:numPr>
        <w:rPr>
          <w:rFonts w:ascii="Arial" w:cs="Arial" w:eastAsia="Arial" w:hAnsi="Arial"/>
          <w:sz w:val="15"/>
          <w:szCs w:val="15"/>
          <w:color w:val="6A2887"/>
        </w:rPr>
      </w:pPr>
      <w:r>
        <w:rPr>
          <w:rFonts w:ascii="Arial" w:cs="Arial" w:eastAsia="Arial" w:hAnsi="Arial"/>
          <w:sz w:val="15"/>
          <w:szCs w:val="15"/>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ind w:left="920" w:right="1300" w:hanging="156"/>
        <w:spacing w:after="0" w:line="260" w:lineRule="auto"/>
        <w:tabs>
          <w:tab w:leader="none" w:pos="920" w:val="left"/>
        </w:tabs>
        <w:numPr>
          <w:ilvl w:val="0"/>
          <w:numId w:val="11"/>
        </w:numPr>
        <w:rPr>
          <w:rFonts w:ascii="Arial" w:cs="Arial" w:eastAsia="Arial" w:hAnsi="Arial"/>
          <w:sz w:val="16"/>
          <w:szCs w:val="16"/>
          <w:color w:val="6A2887"/>
        </w:rPr>
      </w:pPr>
      <w:r>
        <w:rPr>
          <w:rFonts w:ascii="Arial" w:cs="Arial" w:eastAsia="Arial" w:hAnsi="Arial"/>
          <w:sz w:val="16"/>
          <w:szCs w:val="16"/>
          <w:color w:val="auto"/>
        </w:rPr>
        <w:t>to the extent known by the shareholder(s) giving notice, the name and address of any other shareholder(s) supporting the election of the nominee.</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Additionally, under the Companies Act, certain shareholders may require us (i) to include a resolution in our notice of AGM or</w:t>
      </w:r>
    </w:p>
    <w:p>
      <w:pPr>
        <w:spacing w:after="0" w:line="5" w:lineRule="exact"/>
        <w:rPr>
          <w:sz w:val="20"/>
          <w:szCs w:val="20"/>
          <w:color w:val="auto"/>
        </w:rPr>
      </w:pPr>
    </w:p>
    <w:p>
      <w:pPr>
        <w:ind w:left="760" w:right="800" w:firstLine="4"/>
        <w:spacing w:after="0" w:line="251" w:lineRule="auto"/>
        <w:tabs>
          <w:tab w:leader="none" w:pos="9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include any matter (other than a proposed resolution) in the business to be dealt with at the AGM. Provided that the relevant criteria are met, notice of the resolution or matter must be received by the Company at the Office of the Company Secretary at 20 Eastbourne Terrace, London W2 6LG, United Kingdom at least six weeks prior to the date of the AGM or, if later, at the time notice of the AGM is delivered to shareholders.</w:t>
      </w:r>
    </w:p>
    <w:p>
      <w:pPr>
        <w:spacing w:after="0" w:line="81" w:lineRule="exact"/>
        <w:rPr>
          <w:sz w:val="20"/>
          <w:szCs w:val="20"/>
          <w:color w:val="auto"/>
        </w:rPr>
      </w:pPr>
    </w:p>
    <w:p>
      <w:pPr>
        <w:ind w:left="760" w:right="860"/>
        <w:spacing w:after="0" w:line="253" w:lineRule="auto"/>
        <w:rPr>
          <w:sz w:val="20"/>
          <w:szCs w:val="20"/>
          <w:color w:val="auto"/>
        </w:rPr>
      </w:pPr>
      <w:r>
        <w:rPr>
          <w:rFonts w:ascii="Arial" w:cs="Arial" w:eastAsia="Arial" w:hAnsi="Arial"/>
          <w:sz w:val="16"/>
          <w:szCs w:val="16"/>
          <w:color w:val="auto"/>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potential candidates.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Diversity and Director Tenure</w:t>
      </w:r>
    </w:p>
    <w:p>
      <w:pPr>
        <w:spacing w:after="0" w:line="139" w:lineRule="exact"/>
        <w:rPr>
          <w:sz w:val="20"/>
          <w:szCs w:val="20"/>
          <w:color w:val="auto"/>
        </w:rPr>
      </w:pPr>
    </w:p>
    <w:p>
      <w:pPr>
        <w:ind w:left="760" w:right="1100"/>
        <w:spacing w:after="0" w:line="260" w:lineRule="auto"/>
        <w:rPr>
          <w:sz w:val="20"/>
          <w:szCs w:val="20"/>
          <w:color w:val="auto"/>
        </w:rPr>
      </w:pPr>
      <w:r>
        <w:rPr>
          <w:rFonts w:ascii="Arial" w:cs="Arial" w:eastAsia="Arial" w:hAnsi="Arial"/>
          <w:sz w:val="16"/>
          <w:szCs w:val="16"/>
          <w:color w:val="auto"/>
        </w:rPr>
        <w:t>As enshrined in the charter of the Nominating and Corporate Governance Committee, the Board and Company are focused on ensuring a diverse Board. As of December 31, 2019, the ten person Board consisted of the following:</w:t>
      </w:r>
    </w:p>
    <w:p>
      <w:pPr>
        <w:spacing w:after="0" w:line="76" w:lineRule="exact"/>
        <w:rPr>
          <w:sz w:val="20"/>
          <w:szCs w:val="20"/>
          <w:color w:val="auto"/>
        </w:rPr>
      </w:pPr>
    </w:p>
    <w:p>
      <w:pPr>
        <w:ind w:left="1920"/>
        <w:spacing w:after="0"/>
        <w:tabs>
          <w:tab w:leader="none" w:pos="3880" w:val="left"/>
          <w:tab w:leader="none" w:pos="7000" w:val="left"/>
        </w:tabs>
        <w:rPr>
          <w:sz w:val="20"/>
          <w:szCs w:val="20"/>
          <w:color w:val="auto"/>
        </w:rPr>
      </w:pPr>
      <w:r>
        <w:rPr>
          <w:rFonts w:ascii="Arial" w:cs="Arial" w:eastAsia="Arial" w:hAnsi="Arial"/>
          <w:sz w:val="18"/>
          <w:szCs w:val="18"/>
          <w:b w:val="1"/>
          <w:bCs w:val="1"/>
          <w:color w:val="auto"/>
        </w:rPr>
        <w:t>Gender</w:t>
      </w:r>
      <w:r>
        <w:rPr>
          <w:sz w:val="20"/>
          <w:szCs w:val="20"/>
          <w:color w:val="auto"/>
        </w:rPr>
        <w:tab/>
      </w:r>
      <w:r>
        <w:rPr>
          <w:rFonts w:ascii="Arial" w:cs="Arial" w:eastAsia="Arial" w:hAnsi="Arial"/>
          <w:sz w:val="18"/>
          <w:szCs w:val="18"/>
          <w:b w:val="1"/>
          <w:bCs w:val="1"/>
          <w:color w:val="auto"/>
        </w:rPr>
        <w:t>Nationality</w:t>
      </w:r>
      <w:r>
        <w:rPr>
          <w:sz w:val="20"/>
          <w:szCs w:val="20"/>
          <w:color w:val="auto"/>
        </w:rPr>
        <w:tab/>
      </w:r>
      <w:r>
        <w:rPr>
          <w:rFonts w:ascii="Arial" w:cs="Arial" w:eastAsia="Arial" w:hAnsi="Arial"/>
          <w:sz w:val="17"/>
          <w:szCs w:val="17"/>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6146800"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468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0" w:right="1340"/>
        <w:spacing w:after="0" w:line="260" w:lineRule="auto"/>
        <w:rPr>
          <w:sz w:val="20"/>
          <w:szCs w:val="20"/>
          <w:color w:val="auto"/>
        </w:rPr>
      </w:pPr>
      <w:r>
        <w:rPr>
          <w:rFonts w:ascii="Arial" w:cs="Arial" w:eastAsia="Arial" w:hAnsi="Arial"/>
          <w:sz w:val="16"/>
          <w:szCs w:val="16"/>
          <w:color w:val="auto"/>
        </w:rPr>
        <w:t>We believe that a variety of tenures provides an effective balance of deep knowledge of our business and industry and new perspectives. The tenure of the Board is as follows:</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97155</wp:posOffset>
            </wp:positionV>
            <wp:extent cx="2623185" cy="1603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2318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Background Information Regarding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198755</wp:posOffset>
            </wp:positionV>
            <wp:extent cx="5829300" cy="1080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32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FRANCESCO BIANCHI</w:t>
      </w:r>
    </w:p>
    <w:p>
      <w:pPr>
        <w:spacing w:after="0" w:line="11" w:lineRule="exact"/>
        <w:rPr>
          <w:sz w:val="20"/>
          <w:szCs w:val="20"/>
          <w:color w:val="auto"/>
        </w:rPr>
      </w:pPr>
    </w:p>
    <w:p>
      <w:pPr>
        <w:jc w:val="both"/>
        <w:ind w:left="2100" w:right="199"/>
        <w:spacing w:after="0" w:line="244" w:lineRule="auto"/>
        <w:rPr>
          <w:sz w:val="20"/>
          <w:szCs w:val="20"/>
          <w:color w:val="auto"/>
        </w:rPr>
      </w:pPr>
      <w:r>
        <w:rPr>
          <w:rFonts w:ascii="Arial" w:cs="Arial" w:eastAsia="Arial" w:hAnsi="Arial"/>
          <w:sz w:val="14"/>
          <w:szCs w:val="14"/>
          <w:b w:val="1"/>
          <w:bCs w:val="1"/>
          <w:color w:val="auto"/>
        </w:rPr>
        <w:t xml:space="preserve">Francesco Bianchi </w:t>
      </w:r>
      <w:r>
        <w:rPr>
          <w:rFonts w:ascii="Arial" w:cs="Arial" w:eastAsia="Arial" w:hAnsi="Arial"/>
          <w:sz w:val="14"/>
          <w:szCs w:val="14"/>
          <w:color w:val="auto"/>
        </w:rPr>
        <w:t>has served as the Chairman of Seven Capital Partners S.r.l., a financial consulting firm, since June 2018,</w:t>
      </w:r>
      <w:r>
        <w:rPr>
          <w:rFonts w:ascii="Arial" w:cs="Arial" w:eastAsia="Arial" w:hAnsi="Arial"/>
          <w:sz w:val="14"/>
          <w:szCs w:val="14"/>
          <w:b w:val="1"/>
          <w:bCs w:val="1"/>
          <w:color w:val="auto"/>
        </w:rPr>
        <w:t xml:space="preserve"> </w:t>
      </w:r>
      <w:r>
        <w:rPr>
          <w:rFonts w:ascii="Arial" w:cs="Arial" w:eastAsia="Arial" w:hAnsi="Arial"/>
          <w:sz w:val="14"/>
          <w:szCs w:val="14"/>
          <w:color w:val="auto"/>
        </w:rPr>
        <w:t>previously served as Seven Capital Partners Chief Executive Officer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ectPr>
          <w:pgSz w:w="11900" w:h="16838" w:orient="portrait"/>
          <w:cols w:equalWidth="0" w:num="1">
            <w:col w:w="10139"/>
          </w:cols>
          <w:pgMar w:left="320" w:top="132" w:right="1440" w:bottom="1440" w:gutter="0" w:footer="0" w:header="0"/>
        </w:sectPr>
      </w:pPr>
    </w:p>
    <w:p>
      <w:pPr>
        <w:spacing w:after="0" w:line="6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A2887"/>
        </w:rPr>
        <w:t>Committees:</w:t>
      </w:r>
    </w:p>
    <w:p>
      <w:pPr>
        <w:spacing w:after="0" w:line="33" w:lineRule="exact"/>
        <w:rPr>
          <w:sz w:val="20"/>
          <w:szCs w:val="20"/>
          <w:color w:val="auto"/>
        </w:rPr>
      </w:pPr>
    </w:p>
    <w:p>
      <w:pPr>
        <w:ind w:left="2240" w:hanging="140"/>
        <w:spacing w:after="0"/>
        <w:tabs>
          <w:tab w:leader="none" w:pos="2240" w:val="left"/>
        </w:tabs>
        <w:numPr>
          <w:ilvl w:val="0"/>
          <w:numId w:val="13"/>
        </w:numPr>
        <w:rPr>
          <w:rFonts w:ascii="Arial" w:cs="Arial" w:eastAsia="Arial" w:hAnsi="Arial"/>
          <w:sz w:val="14"/>
          <w:szCs w:val="14"/>
          <w:color w:val="6A2887"/>
        </w:rPr>
      </w:pPr>
      <w:r>
        <w:rPr>
          <w:rFonts w:ascii="Arial" w:cs="Arial" w:eastAsia="Arial" w:hAnsi="Arial"/>
          <w:sz w:val="14"/>
          <w:szCs w:val="14"/>
          <w:color w:val="auto"/>
        </w:rPr>
        <w:t>Audit and Compliance; Compensation</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26F52"/>
        </w:rPr>
        <w:t>INDEPENDENT</w:t>
      </w:r>
    </w:p>
    <w:p>
      <w:pPr>
        <w:ind w:left="840"/>
        <w:spacing w:after="0"/>
        <w:tabs>
          <w:tab w:leader="none" w:pos="2080" w:val="left"/>
        </w:tabs>
        <w:rPr>
          <w:sz w:val="20"/>
          <w:szCs w:val="20"/>
          <w:color w:val="auto"/>
        </w:rPr>
      </w:pPr>
      <w:r>
        <w:rPr>
          <w:rFonts w:ascii="Arial" w:cs="Arial" w:eastAsia="Arial" w:hAnsi="Arial"/>
          <w:sz w:val="26"/>
          <w:szCs w:val="26"/>
          <w:color w:val="000000"/>
          <w:vertAlign w:val="subscript"/>
        </w:rPr>
        <w:t>Age 63</w:t>
      </w:r>
      <w:r>
        <w:rPr>
          <w:sz w:val="20"/>
          <w:szCs w:val="20"/>
          <w:color w:val="auto"/>
        </w:rPr>
        <w:tab/>
      </w:r>
      <w:r>
        <w:rPr>
          <w:rFonts w:ascii="Arial" w:cs="Arial" w:eastAsia="Arial" w:hAnsi="Arial"/>
          <w:sz w:val="14"/>
          <w:szCs w:val="14"/>
          <w:b w:val="1"/>
          <w:bCs w:val="1"/>
          <w:color w:val="6A2887"/>
        </w:rPr>
        <w:t>Other Public Company Directorships:</w:t>
      </w:r>
    </w:p>
    <w:p>
      <w:pPr>
        <w:ind w:left="2240" w:hanging="140"/>
        <w:spacing w:after="0" w:line="214" w:lineRule="auto"/>
        <w:tabs>
          <w:tab w:leader="none" w:pos="2240" w:val="left"/>
        </w:tabs>
        <w:numPr>
          <w:ilvl w:val="0"/>
          <w:numId w:val="14"/>
        </w:numPr>
        <w:rPr>
          <w:rFonts w:ascii="Arial" w:cs="Arial" w:eastAsia="Arial" w:hAnsi="Arial"/>
          <w:sz w:val="14"/>
          <w:szCs w:val="14"/>
          <w:color w:val="6A2887"/>
        </w:rPr>
      </w:pPr>
      <w:r>
        <w:rPr>
          <w:rFonts w:ascii="Arial" w:cs="Arial" w:eastAsia="Arial" w:hAnsi="Arial"/>
          <w:sz w:val="14"/>
          <w:szCs w:val="14"/>
          <w:color w:val="auto"/>
        </w:rPr>
        <w:t>None</w:t>
      </w: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Chairman</w:t>
      </w:r>
    </w:p>
    <w:p>
      <w:pPr>
        <w:ind w:left="840"/>
        <w:spacing w:after="0"/>
        <w:rPr>
          <w:sz w:val="20"/>
          <w:szCs w:val="20"/>
          <w:color w:val="auto"/>
        </w:rPr>
      </w:pPr>
      <w:r>
        <w:rPr>
          <w:rFonts w:ascii="Arial" w:cs="Arial" w:eastAsia="Arial" w:hAnsi="Arial"/>
          <w:sz w:val="13"/>
          <w:szCs w:val="13"/>
          <w:color w:val="auto"/>
        </w:rPr>
        <w:t>Seven Capital</w:t>
      </w:r>
    </w:p>
    <w:p>
      <w:pPr>
        <w:ind w:left="840"/>
        <w:spacing w:after="0"/>
        <w:rPr>
          <w:sz w:val="20"/>
          <w:szCs w:val="20"/>
          <w:color w:val="auto"/>
        </w:rPr>
      </w:pPr>
      <w:r>
        <w:rPr>
          <w:rFonts w:ascii="Arial" w:cs="Arial" w:eastAsia="Arial" w:hAnsi="Arial"/>
          <w:sz w:val="13"/>
          <w:szCs w:val="13"/>
          <w:color w:val="auto"/>
        </w:rPr>
        <w:t>Partners S.r.l.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6A2887"/>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15"/>
        </w:numPr>
        <w:rPr>
          <w:rFonts w:ascii="Arial" w:cs="Arial" w:eastAsia="Arial" w:hAnsi="Arial"/>
          <w:sz w:val="14"/>
          <w:szCs w:val="14"/>
          <w:color w:val="6A2887"/>
        </w:rPr>
      </w:pPr>
      <w:r>
        <w:rPr>
          <w:rFonts w:ascii="Arial" w:cs="Arial" w:eastAsia="Arial" w:hAnsi="Arial"/>
          <w:sz w:val="14"/>
          <w:szCs w:val="14"/>
          <w:color w:val="auto"/>
        </w:rPr>
        <w:t>Sorin S.p.A.;</w:t>
      </w:r>
    </w:p>
    <w:p>
      <w:pPr>
        <w:spacing w:after="0" w:line="14" w:lineRule="exact"/>
        <w:rPr>
          <w:rFonts w:ascii="Arial" w:cs="Arial" w:eastAsia="Arial" w:hAnsi="Arial"/>
          <w:sz w:val="14"/>
          <w:szCs w:val="14"/>
          <w:color w:val="6A2887"/>
        </w:rPr>
      </w:pPr>
    </w:p>
    <w:p>
      <w:pPr>
        <w:ind w:left="140" w:hanging="137"/>
        <w:spacing w:after="0"/>
        <w:tabs>
          <w:tab w:leader="none" w:pos="140" w:val="left"/>
        </w:tabs>
        <w:numPr>
          <w:ilvl w:val="0"/>
          <w:numId w:val="15"/>
        </w:numPr>
        <w:rPr>
          <w:rFonts w:ascii="Arial" w:cs="Arial" w:eastAsia="Arial" w:hAnsi="Arial"/>
          <w:sz w:val="14"/>
          <w:szCs w:val="14"/>
          <w:color w:val="6A2887"/>
        </w:rPr>
      </w:pPr>
      <w:r>
        <w:rPr>
          <w:rFonts w:ascii="Arial" w:cs="Arial" w:eastAsia="Arial" w:hAnsi="Arial"/>
          <w:sz w:val="14"/>
          <w:szCs w:val="14"/>
          <w:color w:val="auto"/>
        </w:rPr>
        <w:t>Intesa Sanpaulo S.p.A.</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jc w:val="both"/>
        <w:ind w:left="140" w:right="319" w:hanging="137"/>
        <w:spacing w:after="0" w:line="249" w:lineRule="auto"/>
        <w:tabs>
          <w:tab w:leader="none" w:pos="140" w:val="left"/>
        </w:tabs>
        <w:numPr>
          <w:ilvl w:val="0"/>
          <w:numId w:val="16"/>
        </w:numPr>
        <w:rPr>
          <w:rFonts w:ascii="Arial" w:cs="Arial" w:eastAsia="Arial" w:hAnsi="Arial"/>
          <w:sz w:val="14"/>
          <w:szCs w:val="14"/>
          <w:color w:val="6A2887"/>
        </w:rPr>
      </w:pPr>
      <w:r>
        <w:rPr>
          <w:rFonts w:ascii="Arial" w:cs="Arial" w:eastAsia="Arial" w:hAnsi="Arial"/>
          <w:sz w:val="14"/>
          <w:szCs w:val="14"/>
          <w:color w:val="auto"/>
        </w:rPr>
        <w:t>Mr. Bianchi is an audit committee financial expert and has an extensive professional background working in strategy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90170</wp:posOffset>
            </wp:positionV>
            <wp:extent cx="5829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236220</wp:posOffset>
            </wp:positionV>
            <wp:extent cx="5829300" cy="1080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7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STACY ENXING SENG</w:t>
      </w:r>
    </w:p>
    <w:p>
      <w:pPr>
        <w:spacing w:after="0" w:line="11" w:lineRule="exact"/>
        <w:rPr>
          <w:sz w:val="20"/>
          <w:szCs w:val="20"/>
          <w:color w:val="auto"/>
        </w:rPr>
      </w:pPr>
    </w:p>
    <w:p>
      <w:pPr>
        <w:jc w:val="both"/>
        <w:ind w:left="2100" w:right="219"/>
        <w:spacing w:after="0" w:line="243" w:lineRule="auto"/>
        <w:rPr>
          <w:sz w:val="20"/>
          <w:szCs w:val="20"/>
          <w:color w:val="auto"/>
        </w:rPr>
      </w:pPr>
      <w:r>
        <w:rPr>
          <w:rFonts w:ascii="Arial" w:cs="Arial" w:eastAsia="Arial" w:hAnsi="Arial"/>
          <w:sz w:val="14"/>
          <w:szCs w:val="14"/>
          <w:b w:val="1"/>
          <w:bCs w:val="1"/>
          <w:color w:val="auto"/>
        </w:rPr>
        <w:t xml:space="preserve">Stacy Enxing Seng </w:t>
      </w:r>
      <w:r>
        <w:rPr>
          <w:rFonts w:ascii="Arial" w:cs="Arial" w:eastAsia="Arial" w:hAnsi="Arial"/>
          <w:sz w:val="14"/>
          <w:szCs w:val="14"/>
          <w:color w:val="auto"/>
        </w:rPr>
        <w:t>has served as a Venture Partner with Lightstone Ventures, a venture capital group focused on medical</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and biotechnology-related investments, since 2016. Prior to joining Lightstone, Ms. Enxing Seng was with Covidien, a global health care products company, as its President, Vascular Therapies (2011 to 2014) and President of Peripheral Vascular (2010 to 2011). Ms. Enxing Seng joined Covidien in 2010 through the $2.6B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p>
    <w:p>
      <w:pPr>
        <w:sectPr>
          <w:pgSz w:w="11900" w:h="16838" w:orient="portrait"/>
          <w:cols w:equalWidth="0" w:num="1">
            <w:col w:w="10139"/>
          </w:cols>
          <w:pgMar w:left="320" w:top="132" w:right="1440" w:bottom="1440" w:gutter="0" w:footer="0" w:header="0"/>
          <w:type w:val="continuous"/>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3080" w:type="dxa"/>
            <w:vAlign w:val="bottom"/>
          </w:tcPr>
          <w:p>
            <w:pPr>
              <w:ind w:left="180"/>
              <w:spacing w:after="0"/>
              <w:rPr>
                <w:sz w:val="20"/>
                <w:szCs w:val="20"/>
                <w:color w:val="auto"/>
              </w:rPr>
            </w:pPr>
            <w:r>
              <w:rPr>
                <w:rFonts w:ascii="Arial" w:cs="Arial" w:eastAsia="Arial" w:hAnsi="Arial"/>
                <w:sz w:val="14"/>
                <w:szCs w:val="14"/>
                <w:b w:val="1"/>
                <w:bCs w:val="1"/>
                <w:color w:val="6A2887"/>
              </w:rPr>
              <w:t>Committees:</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20"/>
                <w:szCs w:val="20"/>
                <w:color w:val="auto"/>
              </w:rPr>
            </w:pPr>
            <w:r>
              <w:rPr>
                <w:rFonts w:ascii="Arial" w:cs="Arial" w:eastAsia="Arial" w:hAnsi="Arial"/>
                <w:sz w:val="13"/>
                <w:szCs w:val="13"/>
                <w:b w:val="1"/>
                <w:bCs w:val="1"/>
                <w:color w:val="F26F52"/>
              </w:rPr>
              <w:t>INDEPENDENT</w:t>
            </w:r>
          </w:p>
        </w:tc>
        <w:tc>
          <w:tcPr>
            <w:tcW w:w="3080" w:type="dxa"/>
            <w:vAlign w:val="bottom"/>
          </w:tcPr>
          <w:p>
            <w:pPr>
              <w:ind w:left="18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Compensation</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55</w:t>
            </w:r>
          </w:p>
        </w:tc>
        <w:tc>
          <w:tcPr>
            <w:tcW w:w="3080" w:type="dxa"/>
            <w:vAlign w:val="bottom"/>
            <w:vMerge w:val="restart"/>
          </w:tcPr>
          <w:p>
            <w:pPr>
              <w:ind w:left="18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96"/>
        </w:trPr>
        <w:tc>
          <w:tcPr>
            <w:tcW w:w="1080" w:type="dxa"/>
            <w:vAlign w:val="bottom"/>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line="144" w:lineRule="exact"/>
              <w:rPr>
                <w:sz w:val="20"/>
                <w:szCs w:val="20"/>
                <w:color w:val="auto"/>
              </w:rPr>
            </w:pPr>
            <w:r>
              <w:rPr>
                <w:rFonts w:ascii="Arial" w:cs="Arial" w:eastAsia="Arial" w:hAnsi="Arial"/>
                <w:sz w:val="13"/>
                <w:szCs w:val="13"/>
                <w:color w:val="auto"/>
              </w:rPr>
              <w:t>Director</w:t>
            </w:r>
          </w:p>
        </w:tc>
        <w:tc>
          <w:tcPr>
            <w:tcW w:w="3080" w:type="dxa"/>
            <w:vAlign w:val="bottom"/>
          </w:tcPr>
          <w:p>
            <w:pPr>
              <w:ind w:left="180"/>
              <w:spacing w:after="0" w:line="144"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Sonova Holding AG; Hill-Rom Holdings, Inc.</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2019</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3"/>
                <w:szCs w:val="13"/>
                <w:color w:val="auto"/>
              </w:rPr>
              <w:t>Venture Partner</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Lightstone</w:t>
            </w: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Ventures</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240030</wp:posOffset>
            </wp:positionV>
            <wp:extent cx="58293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259" w:hanging="137"/>
        <w:spacing w:after="0" w:line="243" w:lineRule="auto"/>
        <w:tabs>
          <w:tab w:leader="none" w:pos="140" w:val="left"/>
        </w:tabs>
        <w:numPr>
          <w:ilvl w:val="0"/>
          <w:numId w:val="17"/>
        </w:numPr>
        <w:rPr>
          <w:rFonts w:ascii="Arial" w:cs="Arial" w:eastAsia="Arial" w:hAnsi="Arial"/>
          <w:sz w:val="14"/>
          <w:szCs w:val="14"/>
          <w:color w:val="6A2887"/>
        </w:rPr>
      </w:pPr>
      <w:r>
        <w:rPr>
          <w:rFonts w:ascii="Arial" w:cs="Arial" w:eastAsia="Arial" w:hAnsi="Arial"/>
          <w:sz w:val="14"/>
          <w:szCs w:val="14"/>
          <w:color w:val="auto"/>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080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WILLIAM KOZY</w:t>
      </w:r>
    </w:p>
    <w:p>
      <w:pPr>
        <w:spacing w:after="0" w:line="11" w:lineRule="exact"/>
        <w:rPr>
          <w:sz w:val="20"/>
          <w:szCs w:val="20"/>
          <w:color w:val="auto"/>
        </w:rPr>
      </w:pPr>
    </w:p>
    <w:p>
      <w:pPr>
        <w:jc w:val="both"/>
        <w:ind w:left="2100" w:right="260"/>
        <w:spacing w:after="0" w:line="245" w:lineRule="auto"/>
        <w:rPr>
          <w:sz w:val="20"/>
          <w:szCs w:val="20"/>
          <w:color w:val="auto"/>
        </w:rPr>
      </w:pPr>
      <w:r>
        <w:rPr>
          <w:rFonts w:ascii="Arial" w:cs="Arial" w:eastAsia="Arial" w:hAnsi="Arial"/>
          <w:sz w:val="14"/>
          <w:szCs w:val="14"/>
          <w:b w:val="1"/>
          <w:bCs w:val="1"/>
          <w:color w:val="auto"/>
        </w:rPr>
        <w:t xml:space="preserve">William Kozy </w:t>
      </w:r>
      <w:r>
        <w:rPr>
          <w:rFonts w:ascii="Arial" w:cs="Arial" w:eastAsia="Arial" w:hAnsi="Arial"/>
          <w:sz w:val="14"/>
          <w:szCs w:val="14"/>
          <w:color w:val="auto"/>
        </w:rPr>
        <w:t>retired from Becton, Dickinson and Company, a global medical technology company, in 2016 where he was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graduated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from Kenyon College.</w:t>
      </w:r>
    </w:p>
    <w:p>
      <w:pPr>
        <w:sectPr>
          <w:pgSz w:w="11900" w:h="16838" w:orient="portrait"/>
          <w:cols w:equalWidth="0" w:num="1">
            <w:col w:w="10180"/>
          </w:cols>
          <w:pgMar w:left="320" w:top="132" w:right="1399" w:bottom="1440" w:gutter="0" w:footer="0" w:header="0"/>
        </w:sectPr>
      </w:pPr>
    </w:p>
    <w:p>
      <w:pPr>
        <w:spacing w:after="0" w:line="38"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A2887"/>
        </w:rPr>
        <w:t>Committees:</w:t>
      </w:r>
    </w:p>
    <w:p>
      <w:pPr>
        <w:spacing w:after="0" w:line="33" w:lineRule="exact"/>
        <w:rPr>
          <w:sz w:val="20"/>
          <w:szCs w:val="20"/>
          <w:color w:val="auto"/>
        </w:rPr>
      </w:pPr>
    </w:p>
    <w:p>
      <w:pPr>
        <w:ind w:left="2240" w:hanging="140"/>
        <w:spacing w:after="0"/>
        <w:tabs>
          <w:tab w:leader="none" w:pos="2240" w:val="left"/>
        </w:tabs>
        <w:numPr>
          <w:ilvl w:val="0"/>
          <w:numId w:val="18"/>
        </w:numPr>
        <w:rPr>
          <w:rFonts w:ascii="Arial" w:cs="Arial" w:eastAsia="Arial" w:hAnsi="Arial"/>
          <w:sz w:val="14"/>
          <w:szCs w:val="14"/>
          <w:color w:val="6A2887"/>
        </w:rPr>
      </w:pPr>
      <w:r>
        <w:rPr>
          <w:rFonts w:ascii="Arial" w:cs="Arial" w:eastAsia="Arial" w:hAnsi="Arial"/>
          <w:sz w:val="14"/>
          <w:szCs w:val="14"/>
          <w:color w:val="auto"/>
        </w:rPr>
        <w:t>Nominating and Corporate Governance</w:t>
      </w:r>
    </w:p>
    <w:p>
      <w:pPr>
        <w:spacing w:after="0" w:line="352"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26F52"/>
        </w:rPr>
        <w:t>INDEPENDENT</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Age 68</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2018</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Retired, EVP and</w:t>
      </w:r>
    </w:p>
    <w:p>
      <w:pPr>
        <w:ind w:left="840"/>
        <w:spacing w:after="0" w:line="216" w:lineRule="auto"/>
        <w:rPr>
          <w:sz w:val="20"/>
          <w:szCs w:val="20"/>
          <w:color w:val="auto"/>
        </w:rPr>
      </w:pPr>
      <w:r>
        <w:rPr>
          <w:rFonts w:ascii="Arial" w:cs="Arial" w:eastAsia="Arial" w:hAnsi="Arial"/>
          <w:sz w:val="13"/>
          <w:szCs w:val="13"/>
          <w:color w:val="auto"/>
        </w:rPr>
        <w:t>COO Becton,</w:t>
      </w:r>
    </w:p>
    <w:p>
      <w:pPr>
        <w:ind w:left="840"/>
        <w:spacing w:after="0" w:line="217" w:lineRule="auto"/>
        <w:rPr>
          <w:sz w:val="20"/>
          <w:szCs w:val="20"/>
          <w:color w:val="auto"/>
        </w:rPr>
      </w:pPr>
      <w:r>
        <w:rPr>
          <w:rFonts w:ascii="Arial" w:cs="Arial" w:eastAsia="Arial" w:hAnsi="Arial"/>
          <w:sz w:val="13"/>
          <w:szCs w:val="13"/>
          <w:color w:val="auto"/>
        </w:rPr>
        <w:t>Dickinson and</w:t>
      </w:r>
    </w:p>
    <w:p>
      <w:pPr>
        <w:ind w:left="840"/>
        <w:spacing w:after="0"/>
        <w:rPr>
          <w:sz w:val="20"/>
          <w:szCs w:val="20"/>
          <w:color w:val="auto"/>
        </w:rPr>
      </w:pPr>
      <w:r>
        <w:rPr>
          <w:rFonts w:ascii="Arial" w:cs="Arial" w:eastAsia="Arial" w:hAnsi="Arial"/>
          <w:sz w:val="13"/>
          <w:szCs w:val="13"/>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514350</wp:posOffset>
            </wp:positionV>
            <wp:extent cx="58293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659765</wp:posOffset>
            </wp:positionV>
            <wp:extent cx="5829300" cy="10801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9300" cy="1080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Other Public Company Directorships:</w:t>
      </w:r>
    </w:p>
    <w:p>
      <w:pPr>
        <w:spacing w:after="0" w:line="33" w:lineRule="exact"/>
        <w:rPr>
          <w:sz w:val="20"/>
          <w:szCs w:val="20"/>
          <w:color w:val="auto"/>
        </w:rPr>
      </w:pPr>
    </w:p>
    <w:p>
      <w:pPr>
        <w:ind w:left="140" w:hanging="137"/>
        <w:spacing w:after="0"/>
        <w:tabs>
          <w:tab w:leader="none" w:pos="140" w:val="left"/>
        </w:tabs>
        <w:numPr>
          <w:ilvl w:val="0"/>
          <w:numId w:val="19"/>
        </w:numPr>
        <w:rPr>
          <w:rFonts w:ascii="Arial" w:cs="Arial" w:eastAsia="Arial" w:hAnsi="Arial"/>
          <w:sz w:val="14"/>
          <w:szCs w:val="14"/>
          <w:color w:val="6A2887"/>
        </w:rPr>
      </w:pPr>
      <w:r>
        <w:rPr>
          <w:rFonts w:ascii="Arial" w:cs="Arial" w:eastAsia="Arial" w:hAnsi="Arial"/>
          <w:sz w:val="14"/>
          <w:szCs w:val="14"/>
          <w:color w:val="auto"/>
        </w:rPr>
        <w:t>Cooper Companies,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320" w:hanging="137"/>
        <w:spacing w:after="0" w:line="242" w:lineRule="auto"/>
        <w:tabs>
          <w:tab w:leader="none" w:pos="140" w:val="left"/>
        </w:tabs>
        <w:numPr>
          <w:ilvl w:val="0"/>
          <w:numId w:val="20"/>
        </w:numPr>
        <w:rPr>
          <w:rFonts w:ascii="Arial" w:cs="Arial" w:eastAsia="Arial" w:hAnsi="Arial"/>
          <w:sz w:val="14"/>
          <w:szCs w:val="14"/>
          <w:color w:val="6A2887"/>
        </w:rPr>
      </w:pPr>
      <w:r>
        <w:rPr>
          <w:rFonts w:ascii="Arial" w:cs="Arial" w:eastAsia="Arial" w:hAnsi="Arial"/>
          <w:sz w:val="14"/>
          <w:szCs w:val="14"/>
          <w:color w:val="auto"/>
        </w:rPr>
        <w:t>Mr. Kozy has a career spanning more than 40 years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DAMIEN MCDONALD</w:t>
      </w:r>
    </w:p>
    <w:p>
      <w:pPr>
        <w:spacing w:after="0" w:line="11"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Damien McDonald </w:t>
            </w:r>
            <w:r>
              <w:rPr>
                <w:rFonts w:ascii="Arial" w:cs="Arial" w:eastAsia="Arial" w:hAnsi="Arial"/>
                <w:sz w:val="14"/>
                <w:szCs w:val="14"/>
                <w:color w:val="auto"/>
              </w:rPr>
              <w:t>has served as the CEO and an executive director of the Company since January 2017 and served as the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Company’s Chief Operating Officer from October through December 2016. Prior to joining the Company, Mr. McDonald was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with Danaher Corporation, a global manufacturer of medical, industrial and commercial products, where he was Group</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President, Professional Consumables (2013 to 2016). From 2011 to 2013, Mr. McDonald served as Group President of Kerr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Corporation, a subsidiary of Danaher, where he was responsible for a dental consumable business with operations in the US,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Mexico, Switzerland, Italy and the Czech Republic. In 2010, Mr. McDonald undertook special projects for Danaher. From 2007</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2010, Mr. McDonald was president, Zimmer Spine at Zimmer Holdings, where he was responsible for divisions in the US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and France. From 1999 to 2007, Mr. McDonald had various roles with Johnson and Johnson. Mr. McDonald holds bachelor’s</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degrees in pharmacy and economics from the University of Queensland in Australia, a master’s degree in international</w:t>
            </w:r>
          </w:p>
        </w:tc>
        <w:tc>
          <w:tcPr>
            <w:tcW w:w="0" w:type="dxa"/>
            <w:vAlign w:val="bottom"/>
          </w:tcPr>
          <w:p>
            <w:pPr>
              <w:spacing w:after="0"/>
              <w:rPr>
                <w:sz w:val="1"/>
                <w:szCs w:val="1"/>
                <w:color w:val="auto"/>
              </w:rPr>
            </w:pPr>
          </w:p>
        </w:tc>
      </w:tr>
      <w:tr>
        <w:trPr>
          <w:trHeight w:val="178"/>
        </w:trPr>
        <w:tc>
          <w:tcPr>
            <w:tcW w:w="1200" w:type="dxa"/>
            <w:vAlign w:val="bottom"/>
            <w:vMerge w:val="restart"/>
          </w:tcPr>
          <w:p>
            <w:pPr>
              <w:spacing w:after="0"/>
              <w:rPr>
                <w:sz w:val="20"/>
                <w:szCs w:val="20"/>
                <w:color w:val="auto"/>
              </w:rPr>
            </w:pPr>
            <w:r>
              <w:rPr>
                <w:rFonts w:ascii="Arial" w:cs="Arial" w:eastAsia="Arial" w:hAnsi="Arial"/>
                <w:sz w:val="13"/>
                <w:szCs w:val="13"/>
                <w:color w:val="auto"/>
              </w:rPr>
              <w:t>Age 55</w:t>
            </w:r>
          </w:p>
        </w:tc>
        <w:tc>
          <w:tcPr>
            <w:tcW w:w="7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economics from the University of Wales, and an M.B.A. from the Institute for Management Development in Lausanne.</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2480" w:type="dxa"/>
            <w:vAlign w:val="bottom"/>
            <w:vMerge w:val="restart"/>
          </w:tcPr>
          <w:p>
            <w:pPr>
              <w:ind w:left="60"/>
              <w:spacing w:after="0"/>
              <w:rPr>
                <w:sz w:val="20"/>
                <w:szCs w:val="20"/>
                <w:color w:val="auto"/>
              </w:rPr>
            </w:pPr>
            <w:r>
              <w:rPr>
                <w:rFonts w:ascii="Arial" w:cs="Arial" w:eastAsia="Arial" w:hAnsi="Arial"/>
                <w:sz w:val="14"/>
                <w:szCs w:val="14"/>
                <w:b w:val="1"/>
                <w:bCs w:val="1"/>
                <w:color w:val="6A2887"/>
              </w:rPr>
              <w:t>Committees:</w:t>
            </w:r>
          </w:p>
        </w:tc>
        <w:tc>
          <w:tcPr>
            <w:tcW w:w="5420" w:type="dxa"/>
            <w:vAlign w:val="bottom"/>
            <w:vMerge w:val="restart"/>
          </w:tcPr>
          <w:p>
            <w:pPr>
              <w:ind w:left="156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110"/>
        </w:trPr>
        <w:tc>
          <w:tcPr>
            <w:tcW w:w="1200" w:type="dxa"/>
            <w:vAlign w:val="bottom"/>
            <w:vMerge w:val="restart"/>
          </w:tcPr>
          <w:p>
            <w:pPr>
              <w:spacing w:after="0"/>
              <w:rPr>
                <w:sz w:val="20"/>
                <w:szCs w:val="20"/>
                <w:color w:val="auto"/>
              </w:rPr>
            </w:pPr>
            <w:r>
              <w:rPr>
                <w:rFonts w:ascii="Arial" w:cs="Arial" w:eastAsia="Arial" w:hAnsi="Arial"/>
                <w:sz w:val="13"/>
                <w:szCs w:val="13"/>
                <w:color w:val="auto"/>
              </w:rPr>
              <w:t>Director</w:t>
            </w:r>
          </w:p>
        </w:tc>
        <w:tc>
          <w:tcPr>
            <w:tcW w:w="2480" w:type="dxa"/>
            <w:vAlign w:val="bottom"/>
            <w:vMerge w:val="continue"/>
          </w:tcPr>
          <w:p>
            <w:pPr>
              <w:spacing w:after="0"/>
              <w:rPr>
                <w:sz w:val="9"/>
                <w:szCs w:val="9"/>
                <w:color w:val="auto"/>
              </w:rPr>
            </w:pPr>
          </w:p>
        </w:tc>
        <w:tc>
          <w:tcPr>
            <w:tcW w:w="5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00" w:type="dxa"/>
            <w:vAlign w:val="bottom"/>
            <w:vMerge w:val="continue"/>
          </w:tcPr>
          <w:p>
            <w:pPr>
              <w:spacing w:after="0"/>
              <w:rPr>
                <w:sz w:val="11"/>
                <w:szCs w:val="11"/>
                <w:color w:val="auto"/>
              </w:rPr>
            </w:pPr>
          </w:p>
        </w:tc>
        <w:tc>
          <w:tcPr>
            <w:tcW w:w="2480" w:type="dxa"/>
            <w:vAlign w:val="bottom"/>
          </w:tcPr>
          <w:p>
            <w:pPr>
              <w:ind w:left="60"/>
              <w:spacing w:after="0" w:line="134"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None</w:t>
            </w:r>
          </w:p>
        </w:tc>
        <w:tc>
          <w:tcPr>
            <w:tcW w:w="5420" w:type="dxa"/>
            <w:vAlign w:val="bottom"/>
          </w:tcPr>
          <w:p>
            <w:pPr>
              <w:ind w:left="1560"/>
              <w:spacing w:after="0" w:line="134"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Avita Medical Limited</w:t>
            </w:r>
          </w:p>
        </w:tc>
        <w:tc>
          <w:tcPr>
            <w:tcW w:w="0" w:type="dxa"/>
            <w:vAlign w:val="bottom"/>
          </w:tcPr>
          <w:p>
            <w:pPr>
              <w:spacing w:after="0"/>
              <w:rPr>
                <w:sz w:val="1"/>
                <w:szCs w:val="1"/>
                <w:color w:val="auto"/>
              </w:rPr>
            </w:pPr>
          </w:p>
        </w:tc>
      </w:tr>
      <w:tr>
        <w:trPr>
          <w:trHeight w:val="178"/>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2017</w:t>
            </w:r>
          </w:p>
        </w:tc>
        <w:tc>
          <w:tcPr>
            <w:tcW w:w="24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20"/>
                <w:szCs w:val="20"/>
                <w:color w:val="auto"/>
              </w:rPr>
            </w:pPr>
            <w:r>
              <w:rPr>
                <w:rFonts w:ascii="Arial" w:cs="Arial" w:eastAsia="Arial" w:hAnsi="Arial"/>
                <w:sz w:val="13"/>
                <w:szCs w:val="13"/>
                <w:color w:val="auto"/>
              </w:rPr>
              <w:t>CEO</w:t>
            </w:r>
          </w:p>
        </w:tc>
        <w:tc>
          <w:tcPr>
            <w:tcW w:w="2480" w:type="dxa"/>
            <w:vAlign w:val="bottom"/>
          </w:tcPr>
          <w:p>
            <w:pPr>
              <w:spacing w:after="0"/>
              <w:rPr>
                <w:sz w:val="18"/>
                <w:szCs w:val="18"/>
                <w:color w:val="auto"/>
              </w:rPr>
            </w:pPr>
          </w:p>
        </w:tc>
        <w:tc>
          <w:tcPr>
            <w:tcW w:w="5420" w:type="dxa"/>
            <w:vAlign w:val="bottom"/>
          </w:tcPr>
          <w:p>
            <w:pPr>
              <w:ind w:left="1560"/>
              <w:spacing w:after="0"/>
              <w:rPr>
                <w:sz w:val="20"/>
                <w:szCs w:val="20"/>
                <w:color w:val="auto"/>
              </w:rPr>
            </w:pPr>
            <w:r>
              <w:rPr>
                <w:rFonts w:ascii="Arial" w:cs="Arial" w:eastAsia="Arial" w:hAnsi="Arial"/>
                <w:sz w:val="14"/>
                <w:szCs w:val="14"/>
                <w:b w:val="1"/>
                <w:bCs w:val="1"/>
                <w:color w:val="6A2887"/>
              </w:rPr>
              <w:t>Director Skills and Qualifications: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980" w:type="dxa"/>
            <w:vAlign w:val="bottom"/>
          </w:tcPr>
          <w:p>
            <w:pPr>
              <w:ind w:left="80"/>
              <w:spacing w:after="0"/>
              <w:rPr>
                <w:sz w:val="20"/>
                <w:szCs w:val="20"/>
                <w:color w:val="auto"/>
              </w:rPr>
            </w:pPr>
            <w:r>
              <w:rPr>
                <w:rFonts w:ascii="Arial" w:cs="Arial" w:eastAsia="Arial" w:hAnsi="Arial"/>
                <w:sz w:val="13"/>
                <w:szCs w:val="13"/>
                <w:color w:val="auto"/>
              </w:rPr>
              <w:t>LivaNova</w:t>
            </w:r>
          </w:p>
        </w:tc>
        <w:tc>
          <w:tcPr>
            <w:tcW w:w="6200" w:type="dxa"/>
            <w:vAlign w:val="bottom"/>
            <w:vMerge w:val="restart"/>
          </w:tcPr>
          <w:p>
            <w:pPr>
              <w:ind w:left="234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Mr. McDonald has extensive management experience in</w:t>
            </w:r>
          </w:p>
        </w:tc>
        <w:tc>
          <w:tcPr>
            <w:tcW w:w="0" w:type="dxa"/>
            <w:vAlign w:val="bottom"/>
          </w:tcPr>
          <w:p>
            <w:pPr>
              <w:spacing w:after="0"/>
              <w:rPr>
                <w:sz w:val="1"/>
                <w:szCs w:val="1"/>
                <w:color w:val="auto"/>
              </w:rPr>
            </w:pPr>
          </w:p>
        </w:tc>
      </w:tr>
      <w:tr>
        <w:trPr>
          <w:trHeight w:val="73"/>
        </w:trPr>
        <w:tc>
          <w:tcPr>
            <w:tcW w:w="2980" w:type="dxa"/>
            <w:vAlign w:val="bottom"/>
          </w:tcPr>
          <w:p>
            <w:pPr>
              <w:spacing w:after="0"/>
              <w:rPr>
                <w:sz w:val="6"/>
                <w:szCs w:val="6"/>
                <w:color w:val="auto"/>
              </w:rPr>
            </w:pP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6200" w:type="dxa"/>
            <w:vAlign w:val="bottom"/>
          </w:tcPr>
          <w:p>
            <w:pPr>
              <w:ind w:left="2480"/>
              <w:spacing w:after="0"/>
              <w:rPr>
                <w:sz w:val="20"/>
                <w:szCs w:val="20"/>
                <w:color w:val="auto"/>
              </w:rPr>
            </w:pPr>
            <w:r>
              <w:rPr>
                <w:rFonts w:ascii="Arial" w:cs="Arial" w:eastAsia="Arial" w:hAnsi="Arial"/>
                <w:sz w:val="14"/>
                <w:szCs w:val="14"/>
                <w:color w:val="auto"/>
              </w:rPr>
              <w:t>the medical device and life sciences industries and serves</w:t>
            </w:r>
          </w:p>
        </w:tc>
        <w:tc>
          <w:tcPr>
            <w:tcW w:w="0" w:type="dxa"/>
            <w:vAlign w:val="bottom"/>
          </w:tcPr>
          <w:p>
            <w:pPr>
              <w:spacing w:after="0"/>
              <w:rPr>
                <w:sz w:val="1"/>
                <w:szCs w:val="1"/>
                <w:color w:val="auto"/>
              </w:rPr>
            </w:pPr>
          </w:p>
        </w:tc>
      </w:tr>
      <w:tr>
        <w:trPr>
          <w:trHeight w:val="144"/>
        </w:trPr>
        <w:tc>
          <w:tcPr>
            <w:tcW w:w="2980" w:type="dxa"/>
            <w:vAlign w:val="bottom"/>
            <w:tcBorders>
              <w:bottom w:val="single" w:sz="8" w:color="6A2887"/>
            </w:tcBorders>
          </w:tcPr>
          <w:p>
            <w:pPr>
              <w:spacing w:after="0"/>
              <w:rPr>
                <w:sz w:val="12"/>
                <w:szCs w:val="12"/>
                <w:color w:val="auto"/>
              </w:rPr>
            </w:pPr>
          </w:p>
        </w:tc>
        <w:tc>
          <w:tcPr>
            <w:tcW w:w="6200" w:type="dxa"/>
            <w:vAlign w:val="bottom"/>
            <w:tcBorders>
              <w:bottom w:val="single" w:sz="8" w:color="6A2887"/>
            </w:tcBorders>
          </w:tcPr>
          <w:p>
            <w:pPr>
              <w:ind w:left="2480"/>
              <w:spacing w:after="0" w:line="144" w:lineRule="exact"/>
              <w:rPr>
                <w:sz w:val="20"/>
                <w:szCs w:val="20"/>
                <w:color w:val="auto"/>
              </w:rPr>
            </w:pPr>
            <w:r>
              <w:rPr>
                <w:rFonts w:ascii="Arial" w:cs="Arial" w:eastAsia="Arial" w:hAnsi="Arial"/>
                <w:sz w:val="14"/>
                <w:szCs w:val="14"/>
                <w:color w:val="auto"/>
              </w:rPr>
              <w:t>as the CEO of the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80"/>
          </w:cols>
          <w:pgMar w:left="320" w:top="132"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DANIEL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4" w:lineRule="auto"/>
        <w:rPr>
          <w:sz w:val="20"/>
          <w:szCs w:val="20"/>
          <w:color w:val="auto"/>
        </w:rPr>
      </w:pPr>
      <w:r>
        <w:rPr>
          <w:rFonts w:ascii="Arial" w:cs="Arial" w:eastAsia="Arial" w:hAnsi="Arial"/>
          <w:sz w:val="14"/>
          <w:szCs w:val="14"/>
          <w:b w:val="1"/>
          <w:bCs w:val="1"/>
          <w:color w:val="auto"/>
        </w:rPr>
        <w:t xml:space="preserve">Daniel Moore </w:t>
      </w:r>
      <w:r>
        <w:rPr>
          <w:rFonts w:ascii="Arial" w:cs="Arial" w:eastAsia="Arial" w:hAnsi="Arial"/>
          <w:sz w:val="14"/>
          <w:szCs w:val="14"/>
          <w:color w:val="auto"/>
        </w:rPr>
        <w:t>is Chairman of the Board of the Company and, over the past five years, has served primarily as a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investor. Mr. Moore served as President and CEO and a member of the board of Cyberonics, Inc., a medical device company with core expertise in neuromodulation, from 2007 to 2015 when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7620</wp:posOffset>
            </wp:positionV>
            <wp:extent cx="50234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9"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Arial" w:cs="Arial" w:eastAsia="Arial" w:hAnsi="Arial"/>
                <w:sz w:val="14"/>
                <w:szCs w:val="14"/>
                <w:b w:val="1"/>
                <w:bCs w:val="1"/>
                <w:color w:val="6A2887"/>
              </w:rPr>
              <w:t>Committees:</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640" w:type="dxa"/>
            <w:vAlign w:val="bottom"/>
          </w:tcPr>
          <w:p>
            <w:pPr>
              <w:ind w:left="12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None as Chairman of the Board</w:t>
            </w: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3"/>
                <w:szCs w:val="13"/>
                <w:b w:val="1"/>
                <w:bCs w:val="1"/>
                <w:color w:val="F26F52"/>
              </w:rPr>
              <w:t>INDEPENDENT</w:t>
            </w:r>
          </w:p>
        </w:tc>
        <w:tc>
          <w:tcPr>
            <w:tcW w:w="2640" w:type="dxa"/>
            <w:vAlign w:val="bottom"/>
          </w:tcPr>
          <w:p>
            <w:pPr>
              <w:ind w:left="12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175"/>
        </w:trPr>
        <w:tc>
          <w:tcPr>
            <w:tcW w:w="1140" w:type="dxa"/>
            <w:vAlign w:val="bottom"/>
            <w:vMerge w:val="restart"/>
          </w:tcPr>
          <w:p>
            <w:pPr>
              <w:spacing w:after="0"/>
              <w:rPr>
                <w:sz w:val="20"/>
                <w:szCs w:val="20"/>
                <w:color w:val="auto"/>
              </w:rPr>
            </w:pPr>
            <w:r>
              <w:rPr>
                <w:rFonts w:ascii="Arial" w:cs="Arial" w:eastAsia="Arial" w:hAnsi="Arial"/>
                <w:sz w:val="13"/>
                <w:szCs w:val="13"/>
                <w:color w:val="auto"/>
              </w:rPr>
              <w:t>Age 59</w:t>
            </w:r>
          </w:p>
        </w:tc>
        <w:tc>
          <w:tcPr>
            <w:tcW w:w="2640" w:type="dxa"/>
            <w:vAlign w:val="bottom"/>
          </w:tcPr>
          <w:p>
            <w:pPr>
              <w:ind w:left="12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GI Dynamics, Inc.; ViewRay, Inc.</w:t>
            </w:r>
          </w:p>
        </w:tc>
        <w:tc>
          <w:tcPr>
            <w:tcW w:w="0" w:type="dxa"/>
            <w:vAlign w:val="bottom"/>
          </w:tcPr>
          <w:p>
            <w:pPr>
              <w:spacing w:after="0"/>
              <w:rPr>
                <w:sz w:val="1"/>
                <w:szCs w:val="1"/>
                <w:color w:val="auto"/>
              </w:rPr>
            </w:pPr>
          </w:p>
        </w:tc>
      </w:tr>
      <w:tr>
        <w:trPr>
          <w:trHeight w:val="66"/>
        </w:trPr>
        <w:tc>
          <w:tcPr>
            <w:tcW w:w="1140" w:type="dxa"/>
            <w:vAlign w:val="bottom"/>
            <w:vMerge w:val="continue"/>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Arial" w:cs="Arial" w:eastAsia="Arial" w:hAnsi="Arial"/>
                <w:sz w:val="13"/>
                <w:szCs w:val="13"/>
                <w:color w:val="auto"/>
              </w:rPr>
              <w:t>Director</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3"/>
                <w:szCs w:val="13"/>
                <w:color w:val="auto"/>
              </w:rPr>
              <w:t>Chairman of the</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line="135" w:lineRule="exact"/>
              <w:rPr>
                <w:sz w:val="20"/>
                <w:szCs w:val="20"/>
                <w:color w:val="auto"/>
              </w:rPr>
            </w:pPr>
            <w:r>
              <w:rPr>
                <w:rFonts w:ascii="Arial" w:cs="Arial" w:eastAsia="Arial" w:hAnsi="Arial"/>
                <w:sz w:val="13"/>
                <w:szCs w:val="13"/>
                <w:color w:val="auto"/>
              </w:rPr>
              <w:t>Board and private</w:t>
            </w: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investor</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6A2887"/>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1"/>
        </w:numPr>
        <w:rPr>
          <w:rFonts w:ascii="Arial" w:cs="Arial" w:eastAsia="Arial" w:hAnsi="Arial"/>
          <w:sz w:val="14"/>
          <w:szCs w:val="14"/>
          <w:color w:val="6A2887"/>
        </w:rPr>
      </w:pPr>
      <w:r>
        <w:rPr>
          <w:rFonts w:ascii="Arial" w:cs="Arial" w:eastAsia="Arial" w:hAnsi="Arial"/>
          <w:sz w:val="14"/>
          <w:szCs w:val="14"/>
          <w:color w:val="auto"/>
        </w:rPr>
        <w:t>Cyberonics,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259" w:hanging="137"/>
        <w:spacing w:after="0" w:line="243" w:lineRule="auto"/>
        <w:tabs>
          <w:tab w:leader="none" w:pos="140" w:val="left"/>
        </w:tabs>
        <w:numPr>
          <w:ilvl w:val="0"/>
          <w:numId w:val="22"/>
        </w:numPr>
        <w:rPr>
          <w:rFonts w:ascii="Arial" w:cs="Arial" w:eastAsia="Arial" w:hAnsi="Arial"/>
          <w:sz w:val="14"/>
          <w:szCs w:val="14"/>
          <w:color w:val="6A2887"/>
        </w:rPr>
      </w:pPr>
      <w:r>
        <w:rPr>
          <w:rFonts w:ascii="Arial" w:cs="Arial" w:eastAsia="Arial" w:hAnsi="Arial"/>
          <w:sz w:val="14"/>
          <w:szCs w:val="14"/>
          <w:color w:val="auto"/>
        </w:rPr>
        <w:t>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 His board service includes many board chairman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-17780</wp:posOffset>
            </wp:positionV>
            <wp:extent cx="58293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127000</wp:posOffset>
            </wp:positionV>
            <wp:extent cx="582930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28"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HUGH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7" w:lineRule="auto"/>
        <w:rPr>
          <w:sz w:val="20"/>
          <w:szCs w:val="20"/>
          <w:color w:val="auto"/>
        </w:rPr>
      </w:pPr>
      <w:r>
        <w:rPr>
          <w:rFonts w:ascii="Arial" w:cs="Arial" w:eastAsia="Arial" w:hAnsi="Arial"/>
          <w:sz w:val="14"/>
          <w:szCs w:val="14"/>
          <w:b w:val="1"/>
          <w:bCs w:val="1"/>
          <w:color w:val="auto"/>
        </w:rPr>
        <w:t xml:space="preserve">Hugh Morrison </w:t>
      </w:r>
      <w:r>
        <w:rPr>
          <w:rFonts w:ascii="Arial" w:cs="Arial" w:eastAsia="Arial" w:hAnsi="Arial"/>
          <w:sz w:val="14"/>
          <w:szCs w:val="14"/>
          <w:color w:val="auto"/>
        </w:rPr>
        <w:t>has worked as an independent consultant and private investor since 2012. From 2008 to 2012, Mr. Morrison</w:t>
      </w:r>
      <w:r>
        <w:rPr>
          <w:rFonts w:ascii="Arial" w:cs="Arial" w:eastAsia="Arial" w:hAnsi="Arial"/>
          <w:sz w:val="14"/>
          <w:szCs w:val="14"/>
          <w:b w:val="1"/>
          <w:bCs w:val="1"/>
          <w:color w:val="auto"/>
        </w:rPr>
        <w:t xml:space="preserve"> </w:t>
      </w:r>
      <w:r>
        <w:rPr>
          <w:rFonts w:ascii="Arial" w:cs="Arial" w:eastAsia="Arial" w:hAnsi="Arial"/>
          <w:sz w:val="14"/>
          <w:szCs w:val="14"/>
          <w:color w:val="auto"/>
        </w:rPr>
        <w:t>was a Managing Director at Callahan Advisors, LLC, an investment management company. From 1996 to 2006, he served as President and Chief Executive Officer of Pilgrim Cleaners, Inc., a retail dry cleaning company operating over 100 stores. Mr. Morrison has a BBA in Accounting from Texas A&amp;M University-Kingsville and is a licensed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30480</wp:posOffset>
            </wp:positionV>
            <wp:extent cx="50234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p>
      <w:pPr>
        <w:spacing w:after="0" w:line="75"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6A2887"/>
        </w:rPr>
        <w:t>Committees:</w:t>
      </w:r>
    </w:p>
    <w:p>
      <w:pPr>
        <w:spacing w:after="0" w:line="46" w:lineRule="exact"/>
        <w:rPr>
          <w:sz w:val="20"/>
          <w:szCs w:val="20"/>
          <w:color w:val="auto"/>
        </w:rPr>
      </w:pPr>
    </w:p>
    <w:p>
      <w:pPr>
        <w:ind w:left="2240" w:hanging="140"/>
        <w:spacing w:after="0" w:line="258" w:lineRule="auto"/>
        <w:tabs>
          <w:tab w:leader="none" w:pos="2240" w:val="left"/>
        </w:tabs>
        <w:numPr>
          <w:ilvl w:val="0"/>
          <w:numId w:val="23"/>
        </w:numPr>
        <w:rPr>
          <w:rFonts w:ascii="Arial" w:cs="Arial" w:eastAsia="Arial" w:hAnsi="Arial"/>
          <w:sz w:val="14"/>
          <w:szCs w:val="14"/>
          <w:color w:val="6A2887"/>
        </w:rPr>
      </w:pPr>
      <w:r>
        <w:rPr>
          <w:rFonts w:ascii="Arial" w:cs="Arial" w:eastAsia="Arial" w:hAnsi="Arial"/>
          <w:sz w:val="14"/>
          <w:szCs w:val="14"/>
          <w:color w:val="auto"/>
        </w:rPr>
        <w:t>Audit and Compliance (Chair); Nominating and Corporate Governance</w:t>
      </w:r>
    </w:p>
    <w:p>
      <w:pPr>
        <w:spacing w:after="0" w:line="7"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25"/>
          <w:szCs w:val="25"/>
          <w:b w:val="1"/>
          <w:bCs w:val="1"/>
          <w:color w:val="F26F52"/>
          <w:vertAlign w:val="subscript"/>
        </w:rPr>
        <w:t>INDEPENDENT</w:t>
      </w:r>
      <w:r>
        <w:rPr>
          <w:sz w:val="20"/>
          <w:szCs w:val="20"/>
          <w:color w:val="auto"/>
        </w:rPr>
        <w:tab/>
      </w:r>
      <w:r>
        <w:rPr>
          <w:rFonts w:ascii="Arial" w:cs="Arial" w:eastAsia="Arial" w:hAnsi="Arial"/>
          <w:sz w:val="14"/>
          <w:szCs w:val="14"/>
          <w:b w:val="1"/>
          <w:bCs w:val="1"/>
          <w:color w:val="6A2887"/>
        </w:rPr>
        <w:t>Other Public Company Directorships:</w:t>
      </w:r>
    </w:p>
    <w:p>
      <w:pPr>
        <w:spacing w:after="0" w:line="115" w:lineRule="exact"/>
        <w:rPr>
          <w:sz w:val="20"/>
          <w:szCs w:val="20"/>
          <w:color w:val="auto"/>
        </w:rPr>
      </w:pPr>
    </w:p>
    <w:p>
      <w:pPr>
        <w:ind w:left="2240" w:hanging="140"/>
        <w:spacing w:after="0"/>
        <w:tabs>
          <w:tab w:leader="none" w:pos="2240" w:val="left"/>
        </w:tabs>
        <w:numPr>
          <w:ilvl w:val="0"/>
          <w:numId w:val="24"/>
        </w:numPr>
        <w:rPr>
          <w:rFonts w:ascii="Arial" w:cs="Arial" w:eastAsia="Arial" w:hAnsi="Arial"/>
          <w:sz w:val="14"/>
          <w:szCs w:val="14"/>
          <w:color w:val="6A2887"/>
        </w:rPr>
      </w:pPr>
      <w:r>
        <w:rPr>
          <w:rFonts w:ascii="Arial" w:cs="Arial" w:eastAsia="Arial" w:hAnsi="Arial"/>
          <w:sz w:val="14"/>
          <w:szCs w:val="14"/>
          <w:color w:val="auto"/>
        </w:rPr>
        <w:t>None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Age 73</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Director</w:t>
      </w:r>
    </w:p>
    <w:p>
      <w:pPr>
        <w:ind w:left="840"/>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p>
      <w:pPr>
        <w:spacing w:after="0" w:line="7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Independent</w:t>
      </w:r>
    </w:p>
    <w:p>
      <w:pPr>
        <w:ind w:left="840"/>
        <w:spacing w:after="0"/>
        <w:rPr>
          <w:sz w:val="20"/>
          <w:szCs w:val="20"/>
          <w:color w:val="auto"/>
        </w:rPr>
      </w:pPr>
      <w:r>
        <w:rPr>
          <w:rFonts w:ascii="Arial" w:cs="Arial" w:eastAsia="Arial" w:hAnsi="Arial"/>
          <w:sz w:val="13"/>
          <w:szCs w:val="13"/>
          <w:color w:val="auto"/>
        </w:rPr>
        <w:t>consultant and</w:t>
      </w:r>
    </w:p>
    <w:p>
      <w:pPr>
        <w:ind w:left="840"/>
        <w:spacing w:after="0"/>
        <w:rPr>
          <w:sz w:val="20"/>
          <w:szCs w:val="20"/>
          <w:color w:val="auto"/>
        </w:rPr>
      </w:pPr>
      <w:r>
        <w:rPr>
          <w:rFonts w:ascii="Arial" w:cs="Arial" w:eastAsia="Arial" w:hAnsi="Arial"/>
          <w:sz w:val="13"/>
          <w:szCs w:val="13"/>
          <w:color w:val="auto"/>
        </w:rPr>
        <w:t>private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8255</wp:posOffset>
            </wp:positionV>
            <wp:extent cx="58293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6A2887"/>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5"/>
        </w:numPr>
        <w:rPr>
          <w:rFonts w:ascii="Arial" w:cs="Arial" w:eastAsia="Arial" w:hAnsi="Arial"/>
          <w:sz w:val="14"/>
          <w:szCs w:val="14"/>
          <w:color w:val="6A2887"/>
        </w:rPr>
      </w:pPr>
      <w:r>
        <w:rPr>
          <w:rFonts w:ascii="Arial" w:cs="Arial" w:eastAsia="Arial" w:hAnsi="Arial"/>
          <w:sz w:val="14"/>
          <w:szCs w:val="14"/>
          <w:color w:val="auto"/>
        </w:rPr>
        <w:t>Cyberonics,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259" w:hanging="137"/>
        <w:spacing w:after="0" w:line="244" w:lineRule="auto"/>
        <w:tabs>
          <w:tab w:leader="none" w:pos="140" w:val="left"/>
        </w:tabs>
        <w:numPr>
          <w:ilvl w:val="0"/>
          <w:numId w:val="26"/>
        </w:numPr>
        <w:rPr>
          <w:rFonts w:ascii="Arial" w:cs="Arial" w:eastAsia="Arial" w:hAnsi="Arial"/>
          <w:sz w:val="14"/>
          <w:szCs w:val="14"/>
          <w:color w:val="6A2887"/>
        </w:rPr>
      </w:pPr>
      <w:r>
        <w:rPr>
          <w:rFonts w:ascii="Arial" w:cs="Arial" w:eastAsia="Arial" w:hAnsi="Arial"/>
          <w:sz w:val="14"/>
          <w:szCs w:val="14"/>
          <w:color w:val="auto"/>
        </w:rPr>
        <w:t>Mr. Morrison has extensive board leadership experience in the healthcare sector having served as chairman of the board of Advanced Neuromodulation Systems, Inc. where he gained specific knowledge of neurostimulation device technology and products, and on the boards of Owen Healthcare, Inc. and Dow Hickam Pharmaceuticals, Inc. Mr. Morrison is also an audit committee financial expert.</w:t>
      </w:r>
    </w:p>
    <w:p>
      <w:pPr>
        <w:spacing w:after="0" w:line="332" w:lineRule="exact"/>
        <w:rPr>
          <w:sz w:val="20"/>
          <w:szCs w:val="20"/>
          <w:color w:val="auto"/>
        </w:rPr>
      </w:pPr>
    </w:p>
    <w:p>
      <w:pPr>
        <w:sectPr>
          <w:pgSz w:w="11900" w:h="16838" w:orient="portrait"/>
          <w:cols w:equalWidth="0" w:num="2">
            <w:col w:w="5820" w:space="260"/>
            <w:col w:w="405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ALFRED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40"/>
        <w:spacing w:after="0" w:line="243" w:lineRule="auto"/>
        <w:rPr>
          <w:sz w:val="20"/>
          <w:szCs w:val="20"/>
          <w:color w:val="auto"/>
        </w:rPr>
      </w:pPr>
      <w:r>
        <w:rPr>
          <w:rFonts w:ascii="Arial" w:cs="Arial" w:eastAsia="Arial" w:hAnsi="Arial"/>
          <w:sz w:val="14"/>
          <w:szCs w:val="14"/>
          <w:b w:val="1"/>
          <w:bCs w:val="1"/>
          <w:color w:val="auto"/>
        </w:rPr>
        <w:t xml:space="preserve">Alfred Novak </w:t>
      </w:r>
      <w:r>
        <w:rPr>
          <w:rFonts w:ascii="Arial" w:cs="Arial" w:eastAsia="Arial" w:hAnsi="Arial"/>
          <w:sz w:val="14"/>
          <w:szCs w:val="14"/>
          <w:color w:val="auto"/>
        </w:rPr>
        <w:t>has worked as a private investor since 2015. Prior to that, Mr. Novak served as President and CEO of</w:t>
      </w:r>
      <w:r>
        <w:rPr>
          <w:rFonts w:ascii="Arial" w:cs="Arial" w:eastAsia="Arial" w:hAnsi="Arial"/>
          <w:sz w:val="14"/>
          <w:szCs w:val="14"/>
          <w:b w:val="1"/>
          <w:bCs w:val="1"/>
          <w:color w:val="auto"/>
        </w:rPr>
        <w:t xml:space="preserve"> </w:t>
      </w:r>
      <w:r>
        <w:rPr>
          <w:rFonts w:ascii="Arial" w:cs="Arial" w:eastAsia="Arial" w:hAnsi="Arial"/>
          <w:sz w:val="14"/>
          <w:szCs w:val="14"/>
          <w:color w:val="auto"/>
        </w:rPr>
        <w:t>Syntheon Cardiology LLC, an early-stage company developing a percutaneous prosthetic aortic heart valve (2014 to 2015); Chairman and CEO of OrbusNeich Medical Technology Company, Ltd., an interventional cardiology company (2010 to 2013); President and CEO of Novoste Corporation, an interventional cardiology company (2002 to 2006); founder of Syntheon, LLC, a company focused on minimally invasive medical devices for the gastroenterology and vascular markets (1998 to 2003); and President, CEO and a director of Biosense, Inc., an electrophysiology company (1996 to 1998). Prior to that time, Mr. Novak was Vice President and Chief Financial Officer of Cordis Corporation. Mr. Novak received a BS from the United States Merchant Marine Academy and an M.B.A. in Healthcare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50234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700" w:type="dxa"/>
            <w:vAlign w:val="bottom"/>
          </w:tcPr>
          <w:p>
            <w:pPr>
              <w:ind w:left="180"/>
              <w:spacing w:after="0"/>
              <w:rPr>
                <w:sz w:val="20"/>
                <w:szCs w:val="20"/>
                <w:color w:val="auto"/>
              </w:rPr>
            </w:pPr>
            <w:r>
              <w:rPr>
                <w:rFonts w:ascii="Arial" w:cs="Arial" w:eastAsia="Arial" w:hAnsi="Arial"/>
                <w:sz w:val="14"/>
                <w:szCs w:val="14"/>
                <w:b w:val="1"/>
                <w:bCs w:val="1"/>
                <w:color w:val="6A2887"/>
              </w:rPr>
              <w:t>Committees:</w:t>
            </w: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Arial" w:cs="Arial" w:eastAsia="Arial" w:hAnsi="Arial"/>
                <w:sz w:val="13"/>
                <w:szCs w:val="13"/>
                <w:b w:val="1"/>
                <w:bCs w:val="1"/>
                <w:color w:val="F26F52"/>
              </w:rPr>
              <w:t>INDEPENDENT</w:t>
            </w:r>
          </w:p>
        </w:tc>
        <w:tc>
          <w:tcPr>
            <w:tcW w:w="2700" w:type="dxa"/>
            <w:vAlign w:val="bottom"/>
          </w:tcPr>
          <w:p>
            <w:pPr>
              <w:ind w:left="18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Audit and Compliance; Compensation</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72</w:t>
            </w:r>
          </w:p>
        </w:tc>
        <w:tc>
          <w:tcPr>
            <w:tcW w:w="2700" w:type="dxa"/>
            <w:vAlign w:val="bottom"/>
            <w:vMerge w:val="restart"/>
          </w:tcPr>
          <w:p>
            <w:pPr>
              <w:ind w:left="18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2700" w:type="dxa"/>
            <w:vAlign w:val="bottom"/>
          </w:tcPr>
          <w:p>
            <w:pPr>
              <w:ind w:left="180"/>
              <w:spacing w:after="0" w:line="157"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None</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0"/>
                <w:szCs w:val="20"/>
                <w:color w:val="auto"/>
              </w:rPr>
            </w:pPr>
            <w:r>
              <w:rPr>
                <w:rFonts w:ascii="Arial" w:cs="Arial" w:eastAsia="Arial" w:hAnsi="Arial"/>
                <w:sz w:val="13"/>
                <w:szCs w:val="13"/>
                <w:color w:val="auto"/>
              </w:rPr>
              <w:t>Private investor</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40"/>
        <w:spacing w:after="0" w:line="264" w:lineRule="auto"/>
        <w:rPr>
          <w:sz w:val="20"/>
          <w:szCs w:val="20"/>
          <w:color w:val="auto"/>
        </w:rPr>
      </w:pPr>
      <w:r>
        <w:rPr>
          <w:rFonts w:ascii="Arial" w:cs="Arial" w:eastAsia="Arial" w:hAnsi="Arial"/>
          <w:sz w:val="14"/>
          <w:szCs w:val="14"/>
          <w:b w:val="1"/>
          <w:bCs w:val="1"/>
          <w:color w:val="6A2887"/>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27"/>
        </w:numPr>
        <w:rPr>
          <w:rFonts w:ascii="Arial" w:cs="Arial" w:eastAsia="Arial" w:hAnsi="Arial"/>
          <w:sz w:val="14"/>
          <w:szCs w:val="14"/>
          <w:color w:val="6A2887"/>
        </w:rPr>
      </w:pPr>
      <w:r>
        <w:rPr>
          <w:rFonts w:ascii="Arial" w:cs="Arial" w:eastAsia="Arial" w:hAnsi="Arial"/>
          <w:sz w:val="14"/>
          <w:szCs w:val="14"/>
          <w:color w:val="auto"/>
        </w:rPr>
        <w:t>Cyberonics, Inc., Dova Pharmaceuticals, Inc.</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360" w:hanging="137"/>
        <w:spacing w:after="0" w:line="243" w:lineRule="auto"/>
        <w:tabs>
          <w:tab w:leader="none" w:pos="140" w:val="left"/>
        </w:tabs>
        <w:numPr>
          <w:ilvl w:val="0"/>
          <w:numId w:val="28"/>
        </w:numPr>
        <w:rPr>
          <w:rFonts w:ascii="Arial" w:cs="Arial" w:eastAsia="Arial" w:hAnsi="Arial"/>
          <w:sz w:val="14"/>
          <w:szCs w:val="14"/>
          <w:color w:val="6A2887"/>
        </w:rPr>
      </w:pPr>
      <w:r>
        <w:rPr>
          <w:rFonts w:ascii="Arial" w:cs="Arial" w:eastAsia="Arial" w:hAnsi="Arial"/>
          <w:sz w:val="14"/>
          <w:szCs w:val="14"/>
          <w:color w:val="auto"/>
        </w:rPr>
        <w:t>Mr. Novak has broad operating executive experience as CEO and CFO as well as leading marketing and sales at medical device companies. In addition, he has board of director experience at medical device and pharmaceutical companies, including service on audit and compensation committees. Further, he has expertise concerning new product development, regulatory approval and commercialization of medical devices. Mr. Novak is also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-16510</wp:posOffset>
            </wp:positionV>
            <wp:extent cx="5829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128270</wp:posOffset>
            </wp:positionV>
            <wp:extent cx="582930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3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40"/>
        <w:spacing w:after="0" w:line="243" w:lineRule="auto"/>
        <w:rPr>
          <w:sz w:val="20"/>
          <w:szCs w:val="20"/>
          <w:color w:val="auto"/>
        </w:rPr>
      </w:pPr>
      <w:r>
        <w:rPr>
          <w:rFonts w:ascii="Arial" w:cs="Arial" w:eastAsia="Arial" w:hAnsi="Arial"/>
          <w:sz w:val="14"/>
          <w:szCs w:val="14"/>
          <w:b w:val="1"/>
          <w:bCs w:val="1"/>
          <w:color w:val="auto"/>
        </w:rPr>
        <w:t>Sharon O’Kane</w:t>
      </w:r>
      <w:r>
        <w:rPr>
          <w:rFonts w:ascii="Arial" w:cs="Arial" w:eastAsia="Arial" w:hAnsi="Arial"/>
          <w:sz w:val="14"/>
          <w:szCs w:val="14"/>
          <w:color w:val="auto"/>
        </w:rPr>
        <w:t>, Ph.D., has served as an Entrepreneur in Residence at University College Dublin since 2015. She was also</w:t>
      </w:r>
      <w:r>
        <w:rPr>
          <w:rFonts w:ascii="Arial" w:cs="Arial" w:eastAsia="Arial" w:hAnsi="Arial"/>
          <w:sz w:val="14"/>
          <w:szCs w:val="14"/>
          <w:b w:val="1"/>
          <w:bCs w:val="1"/>
          <w:color w:val="auto"/>
        </w:rPr>
        <w:t xml:space="preserve"> </w:t>
      </w:r>
      <w:r>
        <w:rPr>
          <w:rFonts w:ascii="Arial" w:cs="Arial" w:eastAsia="Arial" w:hAnsi="Arial"/>
          <w:sz w:val="14"/>
          <w:szCs w:val="14"/>
          <w:color w:val="auto"/>
        </w:rPr>
        <w:t>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112395</wp:posOffset>
            </wp:positionV>
            <wp:extent cx="50234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3180" w:type="dxa"/>
            <w:vAlign w:val="bottom"/>
          </w:tcPr>
          <w:p>
            <w:pPr>
              <w:ind w:left="100"/>
              <w:spacing w:after="0"/>
              <w:rPr>
                <w:sz w:val="20"/>
                <w:szCs w:val="20"/>
                <w:color w:val="auto"/>
              </w:rPr>
            </w:pPr>
            <w:r>
              <w:rPr>
                <w:rFonts w:ascii="Arial" w:cs="Arial" w:eastAsia="Arial" w:hAnsi="Arial"/>
                <w:sz w:val="14"/>
                <w:szCs w:val="14"/>
                <w:b w:val="1"/>
                <w:bCs w:val="1"/>
                <w:color w:val="6A2887"/>
              </w:rPr>
              <w:t>Committees:</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3"/>
                <w:szCs w:val="13"/>
                <w:b w:val="1"/>
                <w:bCs w:val="1"/>
                <w:color w:val="F26F52"/>
              </w:rPr>
              <w:t>INDEPENDENT</w:t>
            </w:r>
          </w:p>
        </w:tc>
        <w:tc>
          <w:tcPr>
            <w:tcW w:w="3180" w:type="dxa"/>
            <w:vAlign w:val="bottom"/>
          </w:tcPr>
          <w:p>
            <w:pPr>
              <w:ind w:left="10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Nominating and Corporate Governance (Chair)</w:t>
            </w:r>
          </w:p>
        </w:tc>
        <w:tc>
          <w:tcPr>
            <w:tcW w:w="0" w:type="dxa"/>
            <w:vAlign w:val="bottom"/>
          </w:tcPr>
          <w:p>
            <w:pPr>
              <w:spacing w:after="0"/>
              <w:rPr>
                <w:sz w:val="1"/>
                <w:szCs w:val="1"/>
                <w:color w:val="auto"/>
              </w:rPr>
            </w:pPr>
          </w:p>
        </w:tc>
      </w:tr>
      <w:tr>
        <w:trPr>
          <w:trHeight w:val="299"/>
        </w:trPr>
        <w:tc>
          <w:tcPr>
            <w:tcW w:w="1160" w:type="dxa"/>
            <w:vAlign w:val="bottom"/>
          </w:tcPr>
          <w:p>
            <w:pPr>
              <w:spacing w:after="0"/>
              <w:rPr>
                <w:sz w:val="20"/>
                <w:szCs w:val="20"/>
                <w:color w:val="auto"/>
              </w:rPr>
            </w:pPr>
            <w:r>
              <w:rPr>
                <w:rFonts w:ascii="Arial" w:cs="Arial" w:eastAsia="Arial" w:hAnsi="Arial"/>
                <w:sz w:val="13"/>
                <w:szCs w:val="13"/>
                <w:color w:val="auto"/>
              </w:rPr>
              <w:t>Age 52</w:t>
            </w:r>
          </w:p>
        </w:tc>
        <w:tc>
          <w:tcPr>
            <w:tcW w:w="3180" w:type="dxa"/>
            <w:vAlign w:val="bottom"/>
            <w:vMerge w:val="restart"/>
          </w:tcPr>
          <w:p>
            <w:pPr>
              <w:ind w:left="10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83"/>
        </w:trPr>
        <w:tc>
          <w:tcPr>
            <w:tcW w:w="11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Director</w:t>
            </w:r>
          </w:p>
        </w:tc>
        <w:tc>
          <w:tcPr>
            <w:tcW w:w="3180" w:type="dxa"/>
            <w:vAlign w:val="bottom"/>
          </w:tcPr>
          <w:p>
            <w:pPr>
              <w:ind w:left="100"/>
              <w:spacing w:after="0" w:line="157"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None</w:t>
            </w:r>
          </w:p>
        </w:tc>
        <w:tc>
          <w:tcPr>
            <w:tcW w:w="0" w:type="dxa"/>
            <w:vAlign w:val="bottom"/>
          </w:tcPr>
          <w:p>
            <w:pPr>
              <w:spacing w:after="0"/>
              <w:rPr>
                <w:sz w:val="1"/>
                <w:szCs w:val="1"/>
                <w:color w:val="auto"/>
              </w:rPr>
            </w:pPr>
          </w:p>
        </w:tc>
      </w:tr>
      <w:tr>
        <w:trPr>
          <w:trHeight w:val="178"/>
        </w:trPr>
        <w:tc>
          <w:tcPr>
            <w:tcW w:w="116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3"/>
                <w:szCs w:val="13"/>
                <w:color w:val="auto"/>
              </w:rPr>
              <w:t>Entrepreneur in</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Residence</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line="135" w:lineRule="exact"/>
              <w:rPr>
                <w:sz w:val="20"/>
                <w:szCs w:val="20"/>
                <w:color w:val="auto"/>
              </w:rPr>
            </w:pPr>
            <w:r>
              <w:rPr>
                <w:rFonts w:ascii="Arial" w:cs="Arial" w:eastAsia="Arial" w:hAnsi="Arial"/>
                <w:sz w:val="13"/>
                <w:szCs w:val="13"/>
                <w:color w:val="auto"/>
              </w:rPr>
              <w:t>University College</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Arial" w:cs="Arial" w:eastAsia="Arial" w:hAnsi="Arial"/>
                <w:sz w:val="13"/>
                <w:szCs w:val="13"/>
                <w:color w:val="auto"/>
              </w:rPr>
              <w:t>Dublin</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351790</wp:posOffset>
            </wp:positionV>
            <wp:extent cx="58293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300" w:hanging="137"/>
        <w:spacing w:after="0" w:line="242" w:lineRule="auto"/>
        <w:tabs>
          <w:tab w:leader="none" w:pos="140" w:val="left"/>
        </w:tabs>
        <w:numPr>
          <w:ilvl w:val="0"/>
          <w:numId w:val="29"/>
        </w:numPr>
        <w:rPr>
          <w:rFonts w:ascii="Arial" w:cs="Arial" w:eastAsia="Arial" w:hAnsi="Arial"/>
          <w:sz w:val="14"/>
          <w:szCs w:val="14"/>
          <w:color w:val="6A2887"/>
        </w:rPr>
      </w:pPr>
      <w:r>
        <w:rPr>
          <w:rFonts w:ascii="Arial" w:cs="Arial" w:eastAsia="Arial" w:hAnsi="Arial"/>
          <w:sz w:val="14"/>
          <w:szCs w:val="14"/>
          <w:color w:val="auto"/>
        </w:rPr>
        <w:t>Dr. O’Kane has extensive experience in healthcare, both in the academic realm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Science Officer and executive director of Renovo Group Plc and was responsible for growing the university spin-out to a public company, and a non-executive director of Iomet Pharma Ltd. Dr. O’Kane has had corporate director governance training at the Institute of Directors and Harvard Business School.</w:t>
      </w:r>
    </w:p>
    <w:p>
      <w:pPr>
        <w:spacing w:after="0" w:line="200" w:lineRule="exact"/>
        <w:rPr>
          <w:sz w:val="20"/>
          <w:szCs w:val="20"/>
          <w:color w:val="auto"/>
        </w:rPr>
      </w:pPr>
    </w:p>
    <w:p>
      <w:pPr>
        <w:sectPr>
          <w:pgSz w:w="11900" w:h="16838" w:orient="portrait"/>
          <w:cols w:equalWidth="0" w:num="2">
            <w:col w:w="5360" w:space="720"/>
            <w:col w:w="4100"/>
          </w:cols>
          <w:pgMar w:left="320" w:top="132"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398780</wp:posOffset>
            </wp:positionV>
            <wp:extent cx="582930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2930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ARTHUR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b w:val="1"/>
                <w:bCs w:val="1"/>
                <w:color w:val="auto"/>
              </w:rPr>
              <w:t>Arthur Rosenthal</w:t>
            </w:r>
            <w:r>
              <w:rPr>
                <w:rFonts w:ascii="Arial" w:cs="Arial" w:eastAsia="Arial" w:hAnsi="Arial"/>
                <w:sz w:val="14"/>
                <w:szCs w:val="14"/>
                <w:color w:val="auto"/>
              </w:rPr>
              <w:t>, PhD retired from EyeCue, Inc., a development-stage medical device company working on a guided biopsy</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for lower and upper gastrointestinal cancer screening, after serving as co-founder and CEO from 2011 to 2015. Dr. Rosenthal</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also served as Professor of Practice in the Biomedical Engineering Department at Boston University from 2010 to 2015. Prior</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co-founding EyeCue in 2011, Dr. Rosenthal served as President and CEO of Cappella, Inc., a development-stage company</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focused on novel device solutions for coronary artery disease (2009 to 2011); CEO of Labcoat, Ltd., a development-stage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drug-eluting stent technology company, from 2005 until its acquisition by Boston Scientific Corporation in 2008; Senior Vice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President, Chief Science Officer and Executive Committee Member of Boston Scientific, a medical device manufacturer (2000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to 2005); and Senior Vice President, Corporate Officer and Chief Development Officer at Boston Scientific (1994 to 2000).</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7900" w:type="dxa"/>
            <w:vAlign w:val="bottom"/>
            <w:gridSpan w:val="2"/>
          </w:tcPr>
          <w:p>
            <w:pPr>
              <w:ind w:left="60"/>
              <w:spacing w:after="0"/>
              <w:rPr>
                <w:sz w:val="20"/>
                <w:szCs w:val="20"/>
                <w:color w:val="auto"/>
              </w:rPr>
            </w:pPr>
            <w:r>
              <w:rPr>
                <w:rFonts w:ascii="Arial" w:cs="Arial" w:eastAsia="Arial" w:hAnsi="Arial"/>
                <w:sz w:val="14"/>
                <w:szCs w:val="14"/>
                <w:color w:val="auto"/>
              </w:rPr>
              <w:t>Dr. Rosenthal earned his Bachelor Degree in Bacteriology from the University of Connecticut and a Ph.D in Biochemistry from</w:t>
            </w:r>
          </w:p>
        </w:tc>
        <w:tc>
          <w:tcPr>
            <w:tcW w:w="0" w:type="dxa"/>
            <w:vAlign w:val="bottom"/>
          </w:tcPr>
          <w:p>
            <w:pPr>
              <w:spacing w:after="0"/>
              <w:rPr>
                <w:sz w:val="1"/>
                <w:szCs w:val="1"/>
                <w:color w:val="auto"/>
              </w:rPr>
            </w:pPr>
          </w:p>
        </w:tc>
      </w:tr>
      <w:tr>
        <w:trPr>
          <w:trHeight w:val="178"/>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F26F52"/>
              </w:rPr>
              <w:t>INDEPENDENT</w:t>
            </w: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University of Massachusetts.</w:t>
            </w:r>
          </w:p>
        </w:tc>
        <w:tc>
          <w:tcPr>
            <w:tcW w:w="4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200" w:type="dxa"/>
            <w:vAlign w:val="bottom"/>
            <w:vMerge w:val="continue"/>
          </w:tcPr>
          <w:p>
            <w:pPr>
              <w:spacing w:after="0"/>
              <w:rPr>
                <w:sz w:val="6"/>
                <w:szCs w:val="6"/>
                <w:color w:val="auto"/>
              </w:rPr>
            </w:pPr>
          </w:p>
        </w:tc>
        <w:tc>
          <w:tcPr>
            <w:tcW w:w="3320" w:type="dxa"/>
            <w:vAlign w:val="bottom"/>
            <w:vMerge w:val="restart"/>
          </w:tcPr>
          <w:p>
            <w:pPr>
              <w:ind w:left="60"/>
              <w:spacing w:after="0"/>
              <w:rPr>
                <w:sz w:val="20"/>
                <w:szCs w:val="20"/>
                <w:color w:val="auto"/>
              </w:rPr>
            </w:pPr>
            <w:r>
              <w:rPr>
                <w:rFonts w:ascii="Arial" w:cs="Arial" w:eastAsia="Arial" w:hAnsi="Arial"/>
                <w:sz w:val="14"/>
                <w:szCs w:val="14"/>
                <w:b w:val="1"/>
                <w:bCs w:val="1"/>
                <w:color w:val="6A2887"/>
              </w:rPr>
              <w:t>Committees:</w:t>
            </w:r>
          </w:p>
        </w:tc>
        <w:tc>
          <w:tcPr>
            <w:tcW w:w="4580" w:type="dxa"/>
            <w:vAlign w:val="bottom"/>
            <w:vMerge w:val="restart"/>
          </w:tcPr>
          <w:p>
            <w:pPr>
              <w:ind w:left="720"/>
              <w:spacing w:after="0"/>
              <w:rPr>
                <w:sz w:val="20"/>
                <w:szCs w:val="20"/>
                <w:color w:val="auto"/>
              </w:rPr>
            </w:pPr>
            <w:r>
              <w:rPr>
                <w:rFonts w:ascii="Arial" w:cs="Arial" w:eastAsia="Arial" w:hAnsi="Arial"/>
                <w:sz w:val="14"/>
                <w:szCs w:val="14"/>
                <w:b w:val="1"/>
                <w:bCs w:val="1"/>
                <w:color w:val="6A2887"/>
              </w:rPr>
              <w:t>Former Public Company Directorships During the Past</w:t>
            </w:r>
          </w:p>
        </w:tc>
        <w:tc>
          <w:tcPr>
            <w:tcW w:w="0" w:type="dxa"/>
            <w:vAlign w:val="bottom"/>
          </w:tcPr>
          <w:p>
            <w:pPr>
              <w:spacing w:after="0"/>
              <w:rPr>
                <w:sz w:val="1"/>
                <w:szCs w:val="1"/>
                <w:color w:val="auto"/>
              </w:rPr>
            </w:pPr>
          </w:p>
        </w:tc>
      </w:tr>
      <w:tr>
        <w:trPr>
          <w:trHeight w:val="97"/>
        </w:trPr>
        <w:tc>
          <w:tcPr>
            <w:tcW w:w="120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4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3"/>
                <w:szCs w:val="13"/>
                <w:color w:val="auto"/>
              </w:rPr>
              <w:t>Age 73</w:t>
            </w:r>
          </w:p>
        </w:tc>
        <w:tc>
          <w:tcPr>
            <w:tcW w:w="3320" w:type="dxa"/>
            <w:vAlign w:val="bottom"/>
          </w:tcPr>
          <w:p>
            <w:pPr>
              <w:ind w:left="6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Compensation (Chair)</w:t>
            </w:r>
          </w:p>
        </w:tc>
        <w:tc>
          <w:tcPr>
            <w:tcW w:w="4580" w:type="dxa"/>
            <w:vAlign w:val="bottom"/>
          </w:tcPr>
          <w:p>
            <w:pPr>
              <w:ind w:left="720"/>
              <w:spacing w:after="0"/>
              <w:rPr>
                <w:sz w:val="20"/>
                <w:szCs w:val="20"/>
                <w:color w:val="auto"/>
              </w:rPr>
            </w:pPr>
            <w:r>
              <w:rPr>
                <w:rFonts w:ascii="Arial" w:cs="Arial" w:eastAsia="Arial" w:hAnsi="Arial"/>
                <w:sz w:val="14"/>
                <w:szCs w:val="14"/>
                <w:b w:val="1"/>
                <w:bCs w:val="1"/>
                <w:color w:val="6A2887"/>
              </w:rPr>
              <w:t>Five Years:</w:t>
            </w:r>
          </w:p>
        </w:tc>
        <w:tc>
          <w:tcPr>
            <w:tcW w:w="0" w:type="dxa"/>
            <w:vAlign w:val="bottom"/>
          </w:tcPr>
          <w:p>
            <w:pPr>
              <w:spacing w:after="0"/>
              <w:rPr>
                <w:sz w:val="1"/>
                <w:szCs w:val="1"/>
                <w:color w:val="auto"/>
              </w:rPr>
            </w:pPr>
          </w:p>
        </w:tc>
      </w:tr>
      <w:tr>
        <w:trPr>
          <w:trHeight w:val="172"/>
        </w:trPr>
        <w:tc>
          <w:tcPr>
            <w:tcW w:w="1200" w:type="dxa"/>
            <w:vAlign w:val="bottom"/>
            <w:vMerge w:val="restart"/>
          </w:tcPr>
          <w:p>
            <w:pPr>
              <w:spacing w:after="0"/>
              <w:rPr>
                <w:sz w:val="20"/>
                <w:szCs w:val="20"/>
                <w:color w:val="auto"/>
              </w:rPr>
            </w:pPr>
            <w:r>
              <w:rPr>
                <w:rFonts w:ascii="Arial" w:cs="Arial" w:eastAsia="Arial" w:hAnsi="Arial"/>
                <w:sz w:val="13"/>
                <w:szCs w:val="13"/>
                <w:color w:val="auto"/>
              </w:rPr>
              <w:t>Director</w:t>
            </w:r>
          </w:p>
        </w:tc>
        <w:tc>
          <w:tcPr>
            <w:tcW w:w="3320" w:type="dxa"/>
            <w:vAlign w:val="bottom"/>
          </w:tcPr>
          <w:p>
            <w:pPr>
              <w:spacing w:after="0"/>
              <w:rPr>
                <w:sz w:val="14"/>
                <w:szCs w:val="14"/>
                <w:color w:val="auto"/>
              </w:rPr>
            </w:pPr>
          </w:p>
        </w:tc>
        <w:tc>
          <w:tcPr>
            <w:tcW w:w="4580" w:type="dxa"/>
            <w:vAlign w:val="bottom"/>
          </w:tcPr>
          <w:p>
            <w:pPr>
              <w:ind w:left="72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Cyberonics, Inc.; Arch Therapeutics, Inc.</w:t>
            </w:r>
          </w:p>
        </w:tc>
        <w:tc>
          <w:tcPr>
            <w:tcW w:w="0" w:type="dxa"/>
            <w:vAlign w:val="bottom"/>
          </w:tcPr>
          <w:p>
            <w:pPr>
              <w:spacing w:after="0"/>
              <w:rPr>
                <w:sz w:val="1"/>
                <w:szCs w:val="1"/>
                <w:color w:val="auto"/>
              </w:rPr>
            </w:pPr>
          </w:p>
        </w:tc>
      </w:tr>
      <w:tr>
        <w:trPr>
          <w:trHeight w:val="76"/>
        </w:trPr>
        <w:tc>
          <w:tcPr>
            <w:tcW w:w="1200" w:type="dxa"/>
            <w:vAlign w:val="bottom"/>
            <w:vMerge w:val="continue"/>
          </w:tcPr>
          <w:p>
            <w:pPr>
              <w:spacing w:after="0"/>
              <w:rPr>
                <w:sz w:val="6"/>
                <w:szCs w:val="6"/>
                <w:color w:val="auto"/>
              </w:rPr>
            </w:pPr>
          </w:p>
        </w:tc>
        <w:tc>
          <w:tcPr>
            <w:tcW w:w="3320" w:type="dxa"/>
            <w:vAlign w:val="bottom"/>
            <w:vMerge w:val="restart"/>
          </w:tcPr>
          <w:p>
            <w:pPr>
              <w:ind w:left="60"/>
              <w:spacing w:after="0"/>
              <w:rPr>
                <w:sz w:val="20"/>
                <w:szCs w:val="20"/>
                <w:color w:val="auto"/>
              </w:rPr>
            </w:pPr>
            <w:r>
              <w:rPr>
                <w:rFonts w:ascii="Arial" w:cs="Arial" w:eastAsia="Arial" w:hAnsi="Arial"/>
                <w:sz w:val="14"/>
                <w:szCs w:val="14"/>
                <w:b w:val="1"/>
                <w:bCs w:val="1"/>
                <w:color w:val="6A2887"/>
              </w:rPr>
              <w:t>Other Public Company Directorships:</w:t>
            </w:r>
          </w:p>
        </w:tc>
        <w:tc>
          <w:tcPr>
            <w:tcW w:w="4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2015</w:t>
            </w:r>
          </w:p>
        </w:tc>
        <w:tc>
          <w:tcPr>
            <w:tcW w:w="3320" w:type="dxa"/>
            <w:vAlign w:val="bottom"/>
            <w:vMerge w:val="continue"/>
          </w:tcPr>
          <w:p>
            <w:pPr>
              <w:spacing w:after="0"/>
              <w:rPr>
                <w:sz w:val="14"/>
                <w:szCs w:val="14"/>
                <w:color w:val="auto"/>
              </w:rPr>
            </w:pPr>
          </w:p>
        </w:tc>
        <w:tc>
          <w:tcPr>
            <w:tcW w:w="4580" w:type="dxa"/>
            <w:vAlign w:val="bottom"/>
            <w:vMerge w:val="restart"/>
          </w:tcPr>
          <w:p>
            <w:pPr>
              <w:ind w:left="720"/>
              <w:spacing w:after="0"/>
              <w:rPr>
                <w:sz w:val="20"/>
                <w:szCs w:val="20"/>
                <w:color w:val="auto"/>
              </w:rPr>
            </w:pPr>
            <w:r>
              <w:rPr>
                <w:rFonts w:ascii="Arial" w:cs="Arial" w:eastAsia="Arial" w:hAnsi="Arial"/>
                <w:sz w:val="14"/>
                <w:szCs w:val="14"/>
                <w:b w:val="1"/>
                <w:bCs w:val="1"/>
                <w:color w:val="6A2887"/>
              </w:rPr>
              <w:t>Director Skills and Qualifications: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20"/>
                <w:szCs w:val="20"/>
                <w:color w:val="auto"/>
              </w:rPr>
            </w:pPr>
            <w:r>
              <w:rPr>
                <w:rFonts w:ascii="Arial" w:cs="Arial" w:eastAsia="Arial" w:hAnsi="Arial"/>
                <w:sz w:val="13"/>
                <w:szCs w:val="13"/>
                <w:color w:val="auto"/>
              </w:rPr>
              <w:t>Retired CEO</w:t>
            </w:r>
          </w:p>
        </w:tc>
        <w:tc>
          <w:tcPr>
            <w:tcW w:w="3320" w:type="dxa"/>
            <w:vAlign w:val="bottom"/>
          </w:tcPr>
          <w:p>
            <w:pPr>
              <w:ind w:left="6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Profound Medical Corp.</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80" w:type="dxa"/>
            <w:vAlign w:val="bottom"/>
            <w:vMerge w:val="restart"/>
          </w:tcPr>
          <w:p>
            <w:pPr>
              <w:ind w:left="80"/>
              <w:spacing w:after="0"/>
              <w:rPr>
                <w:sz w:val="20"/>
                <w:szCs w:val="20"/>
                <w:color w:val="auto"/>
              </w:rPr>
            </w:pPr>
            <w:r>
              <w:rPr>
                <w:rFonts w:ascii="Arial" w:cs="Arial" w:eastAsia="Arial" w:hAnsi="Arial"/>
                <w:sz w:val="13"/>
                <w:szCs w:val="13"/>
                <w:color w:val="auto"/>
              </w:rPr>
              <w:t>EyeCue, Inc.</w:t>
            </w:r>
          </w:p>
        </w:tc>
        <w:tc>
          <w:tcPr>
            <w:tcW w:w="6100" w:type="dxa"/>
            <w:vAlign w:val="bottom"/>
          </w:tcPr>
          <w:p>
            <w:pPr>
              <w:ind w:left="224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For more than 40 years, Dr. Rosenthal has developed</w:t>
            </w:r>
          </w:p>
        </w:tc>
        <w:tc>
          <w:tcPr>
            <w:tcW w:w="0" w:type="dxa"/>
            <w:vAlign w:val="bottom"/>
          </w:tcPr>
          <w:p>
            <w:pPr>
              <w:spacing w:after="0"/>
              <w:rPr>
                <w:sz w:val="1"/>
                <w:szCs w:val="1"/>
                <w:color w:val="auto"/>
              </w:rPr>
            </w:pPr>
          </w:p>
        </w:tc>
      </w:tr>
      <w:tr>
        <w:trPr>
          <w:trHeight w:val="62"/>
        </w:trPr>
        <w:tc>
          <w:tcPr>
            <w:tcW w:w="3080" w:type="dxa"/>
            <w:vAlign w:val="bottom"/>
            <w:vMerge w:val="continue"/>
          </w:tcPr>
          <w:p>
            <w:pPr>
              <w:spacing w:after="0"/>
              <w:rPr>
                <w:sz w:val="5"/>
                <w:szCs w:val="5"/>
                <w:color w:val="auto"/>
              </w:rPr>
            </w:pPr>
          </w:p>
        </w:tc>
        <w:tc>
          <w:tcPr>
            <w:tcW w:w="6100" w:type="dxa"/>
            <w:vAlign w:val="bottom"/>
            <w:vMerge w:val="restart"/>
          </w:tcPr>
          <w:p>
            <w:pPr>
              <w:ind w:left="2380"/>
              <w:spacing w:after="0"/>
              <w:rPr>
                <w:sz w:val="20"/>
                <w:szCs w:val="20"/>
                <w:color w:val="auto"/>
              </w:rPr>
            </w:pPr>
            <w:r>
              <w:rPr>
                <w:rFonts w:ascii="Arial" w:cs="Arial" w:eastAsia="Arial" w:hAnsi="Arial"/>
                <w:sz w:val="14"/>
                <w:szCs w:val="14"/>
                <w:color w:val="auto"/>
              </w:rPr>
              <w:t>medical device technologies as an individual contributor,</w:t>
            </w:r>
          </w:p>
        </w:tc>
        <w:tc>
          <w:tcPr>
            <w:tcW w:w="0" w:type="dxa"/>
            <w:vAlign w:val="bottom"/>
          </w:tcPr>
          <w:p>
            <w:pPr>
              <w:spacing w:after="0"/>
              <w:rPr>
                <w:sz w:val="1"/>
                <w:szCs w:val="1"/>
                <w:color w:val="auto"/>
              </w:rPr>
            </w:pPr>
          </w:p>
        </w:tc>
      </w:tr>
      <w:tr>
        <w:trPr>
          <w:trHeight w:val="100"/>
        </w:trPr>
        <w:tc>
          <w:tcPr>
            <w:tcW w:w="308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technology executive and serial entrepreneur. He has</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extensive knowledge of regulatory and compliance</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requirements pertaining to medical devices and</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experience with new product development and technology</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commercialization as well as having served as an</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Arial" w:cs="Arial" w:eastAsia="Arial" w:hAnsi="Arial"/>
                <w:sz w:val="14"/>
                <w:szCs w:val="14"/>
                <w:color w:val="auto"/>
              </w:rPr>
              <w:t>operating executive with a major medical device</w:t>
            </w:r>
          </w:p>
        </w:tc>
        <w:tc>
          <w:tcPr>
            <w:tcW w:w="0" w:type="dxa"/>
            <w:vAlign w:val="bottom"/>
          </w:tcPr>
          <w:p>
            <w:pPr>
              <w:spacing w:after="0"/>
              <w:rPr>
                <w:sz w:val="1"/>
                <w:szCs w:val="1"/>
                <w:color w:val="auto"/>
              </w:rPr>
            </w:pPr>
          </w:p>
        </w:tc>
      </w:tr>
      <w:tr>
        <w:trPr>
          <w:trHeight w:val="144"/>
        </w:trPr>
        <w:tc>
          <w:tcPr>
            <w:tcW w:w="3080" w:type="dxa"/>
            <w:vAlign w:val="bottom"/>
            <w:tcBorders>
              <w:bottom w:val="single" w:sz="8" w:color="6A2887"/>
            </w:tcBorders>
          </w:tcPr>
          <w:p>
            <w:pPr>
              <w:spacing w:after="0"/>
              <w:rPr>
                <w:sz w:val="12"/>
                <w:szCs w:val="12"/>
                <w:color w:val="auto"/>
              </w:rPr>
            </w:pPr>
          </w:p>
        </w:tc>
        <w:tc>
          <w:tcPr>
            <w:tcW w:w="6100" w:type="dxa"/>
            <w:vAlign w:val="bottom"/>
            <w:tcBorders>
              <w:bottom w:val="single" w:sz="8" w:color="6A2887"/>
            </w:tcBorders>
          </w:tcPr>
          <w:p>
            <w:pPr>
              <w:ind w:left="2380"/>
              <w:spacing w:after="0" w:line="144" w:lineRule="exact"/>
              <w:rPr>
                <w:sz w:val="20"/>
                <w:szCs w:val="20"/>
                <w:color w:val="auto"/>
              </w:rPr>
            </w:pPr>
            <w:r>
              <w:rPr>
                <w:rFonts w:ascii="Arial" w:cs="Arial" w:eastAsia="Arial" w:hAnsi="Arial"/>
                <w:sz w:val="14"/>
                <w:szCs w:val="14"/>
                <w:color w:val="auto"/>
              </w:rPr>
              <w:t>manufacturer.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137160</wp:posOffset>
            </wp:positionV>
            <wp:extent cx="582930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FEFEFE"/>
        </w:rPr>
        <w:t>ANDREA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3810</wp:posOffset>
            </wp:positionV>
            <wp:extent cx="720090" cy="9340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090" cy="934085"/>
                    </a:xfrm>
                    <a:prstGeom prst="rect">
                      <a:avLst/>
                    </a:prstGeom>
                    <a:noFill/>
                  </pic:spPr>
                </pic:pic>
              </a:graphicData>
            </a:graphic>
          </wp:anchor>
        </w:drawing>
      </w:r>
    </w:p>
    <w:p>
      <w:pPr>
        <w:jc w:val="both"/>
        <w:ind w:left="2100" w:right="219"/>
        <w:spacing w:after="0" w:line="243" w:lineRule="auto"/>
        <w:rPr>
          <w:sz w:val="20"/>
          <w:szCs w:val="20"/>
          <w:color w:val="auto"/>
        </w:rPr>
      </w:pPr>
      <w:r>
        <w:rPr>
          <w:rFonts w:ascii="Arial" w:cs="Arial" w:eastAsia="Arial" w:hAnsi="Arial"/>
          <w:sz w:val="14"/>
          <w:szCs w:val="14"/>
          <w:b w:val="1"/>
          <w:bCs w:val="1"/>
          <w:color w:val="auto"/>
        </w:rPr>
        <w:t xml:space="preserve">Andrea Saia </w:t>
      </w:r>
      <w:r>
        <w:rPr>
          <w:rFonts w:ascii="Arial" w:cs="Arial" w:eastAsia="Arial" w:hAnsi="Arial"/>
          <w:sz w:val="14"/>
          <w:szCs w:val="14"/>
          <w:color w:val="auto"/>
        </w:rPr>
        <w:t>served as the Global Head of Vision Care in the Alcon Division of Novartis AG, a global healthcare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from 2011 until her retirement in 2012. Prior to this role, she served as President and CEO of CibaVision Corporation, a subsidiary of Novartis, from 2008 to 2011. From 2005 to 2007, Ms. Saia relocated to Switzerland and served as President of Europe, Middle East and Africa operations, CibaVision’s largest regional business unit. She joined CibaVision in 2002 as Global Head of Marketing and was promoted 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5023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41"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700" w:type="dxa"/>
            <w:vAlign w:val="bottom"/>
          </w:tcPr>
          <w:p>
            <w:pPr>
              <w:ind w:left="180"/>
              <w:spacing w:after="0"/>
              <w:rPr>
                <w:sz w:val="20"/>
                <w:szCs w:val="20"/>
                <w:color w:val="auto"/>
              </w:rPr>
            </w:pPr>
            <w:r>
              <w:rPr>
                <w:rFonts w:ascii="Arial" w:cs="Arial" w:eastAsia="Arial" w:hAnsi="Arial"/>
                <w:sz w:val="14"/>
                <w:szCs w:val="14"/>
                <w:b w:val="1"/>
                <w:bCs w:val="1"/>
                <w:color w:val="6A2887"/>
              </w:rPr>
              <w:t>Committees:</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20"/>
                <w:szCs w:val="20"/>
                <w:color w:val="auto"/>
              </w:rPr>
            </w:pPr>
            <w:r>
              <w:rPr>
                <w:rFonts w:ascii="Arial" w:cs="Arial" w:eastAsia="Arial" w:hAnsi="Arial"/>
                <w:sz w:val="13"/>
                <w:szCs w:val="13"/>
                <w:b w:val="1"/>
                <w:bCs w:val="1"/>
                <w:color w:val="F26F52"/>
              </w:rPr>
              <w:t>INDEPENDENT</w:t>
            </w:r>
          </w:p>
        </w:tc>
        <w:tc>
          <w:tcPr>
            <w:tcW w:w="2700" w:type="dxa"/>
            <w:vAlign w:val="bottom"/>
          </w:tcPr>
          <w:p>
            <w:pPr>
              <w:ind w:left="180"/>
              <w:spacing w:after="0"/>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Audit and Compliance</w:t>
            </w:r>
          </w:p>
        </w:tc>
        <w:tc>
          <w:tcPr>
            <w:tcW w:w="0" w:type="dxa"/>
            <w:vAlign w:val="bottom"/>
          </w:tcPr>
          <w:p>
            <w:pPr>
              <w:spacing w:after="0"/>
              <w:rPr>
                <w:sz w:val="1"/>
                <w:szCs w:val="1"/>
                <w:color w:val="auto"/>
              </w:rPr>
            </w:pPr>
          </w:p>
        </w:tc>
      </w:tr>
      <w:tr>
        <w:trPr>
          <w:trHeight w:val="299"/>
        </w:trPr>
        <w:tc>
          <w:tcPr>
            <w:tcW w:w="1080" w:type="dxa"/>
            <w:vAlign w:val="bottom"/>
          </w:tcPr>
          <w:p>
            <w:pPr>
              <w:spacing w:after="0"/>
              <w:rPr>
                <w:sz w:val="20"/>
                <w:szCs w:val="20"/>
                <w:color w:val="auto"/>
              </w:rPr>
            </w:pPr>
            <w:r>
              <w:rPr>
                <w:rFonts w:ascii="Arial" w:cs="Arial" w:eastAsia="Arial" w:hAnsi="Arial"/>
                <w:sz w:val="13"/>
                <w:szCs w:val="13"/>
                <w:color w:val="auto"/>
              </w:rPr>
              <w:t>Age 62</w:t>
            </w:r>
          </w:p>
        </w:tc>
        <w:tc>
          <w:tcPr>
            <w:tcW w:w="2700" w:type="dxa"/>
            <w:vAlign w:val="bottom"/>
            <w:vMerge w:val="restart"/>
          </w:tcPr>
          <w:p>
            <w:pPr>
              <w:ind w:left="180"/>
              <w:spacing w:after="0"/>
              <w:rPr>
                <w:sz w:val="20"/>
                <w:szCs w:val="20"/>
                <w:color w:val="auto"/>
              </w:rPr>
            </w:pPr>
            <w:r>
              <w:rPr>
                <w:rFonts w:ascii="Arial" w:cs="Arial" w:eastAsia="Arial" w:hAnsi="Arial"/>
                <w:sz w:val="14"/>
                <w:szCs w:val="14"/>
                <w:b w:val="1"/>
                <w:bCs w:val="1"/>
                <w:color w:val="6A2887"/>
              </w:rPr>
              <w:t>Other Public Company Directorships:</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2700" w:type="dxa"/>
            <w:vAlign w:val="bottom"/>
          </w:tcPr>
          <w:p>
            <w:pPr>
              <w:ind w:left="180"/>
              <w:spacing w:after="0" w:line="157" w:lineRule="exact"/>
              <w:rPr>
                <w:sz w:val="20"/>
                <w:szCs w:val="20"/>
                <w:color w:val="auto"/>
              </w:rPr>
            </w:pPr>
            <w:r>
              <w:rPr>
                <w:rFonts w:ascii="Arial" w:cs="Arial" w:eastAsia="Arial" w:hAnsi="Arial"/>
                <w:sz w:val="14"/>
                <w:szCs w:val="14"/>
                <w:color w:val="6A2887"/>
              </w:rPr>
              <w:t xml:space="preserve">• </w:t>
            </w:r>
            <w:r>
              <w:rPr>
                <w:rFonts w:ascii="Arial" w:cs="Arial" w:eastAsia="Arial" w:hAnsi="Arial"/>
                <w:sz w:val="14"/>
                <w:szCs w:val="14"/>
                <w:color w:val="000000"/>
              </w:rPr>
              <w:t>Align Technology</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 xml:space="preserve">since </w:t>
            </w:r>
            <w:r>
              <w:rPr>
                <w:rFonts w:ascii="Arial" w:cs="Arial" w:eastAsia="Arial" w:hAnsi="Arial"/>
                <w:sz w:val="13"/>
                <w:szCs w:val="13"/>
                <w:b w:val="1"/>
                <w:bCs w:val="1"/>
                <w:color w:val="6A2887"/>
              </w:rPr>
              <w:t>2016</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3"/>
                <w:szCs w:val="13"/>
                <w:color w:val="auto"/>
              </w:rPr>
              <w:t>Retired, Global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Head of Vision</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line="135" w:lineRule="exact"/>
              <w:rPr>
                <w:sz w:val="20"/>
                <w:szCs w:val="20"/>
                <w:color w:val="auto"/>
              </w:rPr>
            </w:pPr>
            <w:r>
              <w:rPr>
                <w:rFonts w:ascii="Arial" w:cs="Arial" w:eastAsia="Arial" w:hAnsi="Arial"/>
                <w:sz w:val="13"/>
                <w:szCs w:val="13"/>
                <w:color w:val="auto"/>
              </w:rPr>
              <w:t>Care</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20"/>
                <w:szCs w:val="20"/>
                <w:color w:val="auto"/>
              </w:rPr>
            </w:pPr>
            <w:r>
              <w:rPr>
                <w:rFonts w:ascii="Arial" w:cs="Arial" w:eastAsia="Arial" w:hAnsi="Arial"/>
                <w:sz w:val="13"/>
                <w:szCs w:val="13"/>
                <w:color w:val="auto"/>
              </w:rPr>
              <w:t>Alcon Division,</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3"/>
                <w:szCs w:val="13"/>
                <w:color w:val="auto"/>
              </w:rPr>
              <w:t>Novartis AG</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99"/>
        <w:spacing w:after="0" w:line="264" w:lineRule="auto"/>
        <w:rPr>
          <w:sz w:val="20"/>
          <w:szCs w:val="20"/>
          <w:color w:val="auto"/>
        </w:rPr>
      </w:pPr>
      <w:r>
        <w:rPr>
          <w:rFonts w:ascii="Arial" w:cs="Arial" w:eastAsia="Arial" w:hAnsi="Arial"/>
          <w:sz w:val="14"/>
          <w:szCs w:val="14"/>
          <w:b w:val="1"/>
          <w:bCs w:val="1"/>
          <w:color w:val="6A2887"/>
        </w:rPr>
        <w:t>Former Public Company Directorships During the Past Five Years:</w:t>
      </w:r>
    </w:p>
    <w:p>
      <w:pPr>
        <w:spacing w:after="0" w:line="1" w:lineRule="exact"/>
        <w:rPr>
          <w:sz w:val="20"/>
          <w:szCs w:val="20"/>
          <w:color w:val="auto"/>
        </w:rPr>
      </w:pPr>
    </w:p>
    <w:p>
      <w:pPr>
        <w:ind w:left="140" w:hanging="137"/>
        <w:spacing w:after="0"/>
        <w:tabs>
          <w:tab w:leader="none" w:pos="140" w:val="left"/>
        </w:tabs>
        <w:numPr>
          <w:ilvl w:val="0"/>
          <w:numId w:val="30"/>
        </w:numPr>
        <w:rPr>
          <w:rFonts w:ascii="Arial" w:cs="Arial" w:eastAsia="Arial" w:hAnsi="Arial"/>
          <w:sz w:val="14"/>
          <w:szCs w:val="14"/>
          <w:color w:val="6A2887"/>
        </w:rPr>
      </w:pPr>
      <w:r>
        <w:rPr>
          <w:rFonts w:ascii="Arial" w:cs="Arial" w:eastAsia="Arial" w:hAnsi="Arial"/>
          <w:sz w:val="14"/>
          <w:szCs w:val="14"/>
          <w:color w:val="auto"/>
        </w:rPr>
        <w:t>Coca Cola Enterprises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6A2887"/>
        </w:rPr>
        <w:t>Director Skills and Qualifications:</w:t>
      </w:r>
    </w:p>
    <w:p>
      <w:pPr>
        <w:spacing w:after="0" w:line="46" w:lineRule="exact"/>
        <w:rPr>
          <w:sz w:val="20"/>
          <w:szCs w:val="20"/>
          <w:color w:val="auto"/>
        </w:rPr>
      </w:pPr>
    </w:p>
    <w:p>
      <w:pPr>
        <w:ind w:left="140" w:right="279" w:hanging="137"/>
        <w:spacing w:after="0" w:line="243" w:lineRule="auto"/>
        <w:tabs>
          <w:tab w:leader="none" w:pos="140" w:val="left"/>
        </w:tabs>
        <w:numPr>
          <w:ilvl w:val="0"/>
          <w:numId w:val="31"/>
        </w:numPr>
        <w:rPr>
          <w:rFonts w:ascii="Arial" w:cs="Arial" w:eastAsia="Arial" w:hAnsi="Arial"/>
          <w:sz w:val="14"/>
          <w:szCs w:val="14"/>
          <w:color w:val="6A2887"/>
        </w:rPr>
      </w:pPr>
      <w:r>
        <w:rPr>
          <w:rFonts w:ascii="Arial" w:cs="Arial" w:eastAsia="Arial" w:hAnsi="Arial"/>
          <w:sz w:val="14"/>
          <w:szCs w:val="14"/>
          <w:color w:val="auto"/>
        </w:rPr>
        <w:t>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-17780</wp:posOffset>
            </wp:positionV>
            <wp:extent cx="58293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059"/>
          </w:cols>
          <w:pgMar w:left="320" w:top="132" w:right="1440" w:bottom="1440" w:gutter="0" w:footer="0" w:header="0"/>
          <w:type w:val="continuous"/>
        </w:sectPr>
      </w:pPr>
    </w:p>
    <w:p>
      <w:pPr>
        <w:spacing w:after="0" w:line="4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Family Relationships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There are no family relationships among any of our directors or executive officers.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Committee Interlocks</w:t>
      </w:r>
    </w:p>
    <w:p>
      <w:pPr>
        <w:spacing w:after="0" w:line="139" w:lineRule="exact"/>
        <w:rPr>
          <w:sz w:val="20"/>
          <w:szCs w:val="20"/>
          <w:color w:val="auto"/>
        </w:rPr>
      </w:pPr>
    </w:p>
    <w:p>
      <w:pPr>
        <w:ind w:left="760" w:right="280"/>
        <w:spacing w:after="0" w:line="249" w:lineRule="auto"/>
        <w:rPr>
          <w:sz w:val="20"/>
          <w:szCs w:val="20"/>
          <w:color w:val="auto"/>
        </w:rPr>
      </w:pPr>
      <w:r>
        <w:rPr>
          <w:rFonts w:ascii="Arial" w:cs="Arial" w:eastAsia="Arial" w:hAnsi="Arial"/>
          <w:sz w:val="16"/>
          <w:szCs w:val="16"/>
          <w:color w:val="auto"/>
        </w:rPr>
        <w:t>During the year ended December 31, 2019, the Compensation Committee was composed of Arthur L. Rosenthal (chairman), Francesco Bianchi, Stacy Enxing Seng and Alfred J. Novak.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2019 on the board of directors or compensation committee of another company at any time during which an executive officer of such other company served on our Board or Compensation Committee.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Director Independence</w:t>
      </w:r>
    </w:p>
    <w:p>
      <w:pPr>
        <w:spacing w:after="0" w:line="139" w:lineRule="exact"/>
        <w:rPr>
          <w:sz w:val="20"/>
          <w:szCs w:val="20"/>
          <w:color w:val="auto"/>
        </w:rPr>
      </w:pPr>
    </w:p>
    <w:p>
      <w:pPr>
        <w:ind w:left="760" w:right="360"/>
        <w:spacing w:after="0" w:line="251" w:lineRule="auto"/>
        <w:rPr>
          <w:sz w:val="20"/>
          <w:szCs w:val="20"/>
          <w:color w:val="auto"/>
        </w:rPr>
      </w:pPr>
      <w:r>
        <w:rPr>
          <w:rFonts w:ascii="Arial" w:cs="Arial" w:eastAsia="Arial" w:hAnsi="Arial"/>
          <w:sz w:val="16"/>
          <w:szCs w:val="16"/>
          <w:color w:val="auto"/>
        </w:rPr>
        <w:t>The Nominating and Corporate Governance Committee of the Board is empowered by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 as defined by US securities laws.</w:t>
      </w:r>
    </w:p>
    <w:p>
      <w:pPr>
        <w:spacing w:after="0" w:line="81" w:lineRule="exact"/>
        <w:rPr>
          <w:sz w:val="20"/>
          <w:szCs w:val="20"/>
          <w:color w:val="auto"/>
        </w:rPr>
      </w:pPr>
    </w:p>
    <w:p>
      <w:pPr>
        <w:ind w:left="760" w:right="400"/>
        <w:spacing w:after="0" w:line="251" w:lineRule="auto"/>
        <w:rPr>
          <w:sz w:val="20"/>
          <w:szCs w:val="20"/>
          <w:color w:val="auto"/>
        </w:rPr>
      </w:pPr>
      <w:r>
        <w:rPr>
          <w:rFonts w:ascii="Arial" w:cs="Arial" w:eastAsia="Arial" w:hAnsi="Arial"/>
          <w:sz w:val="16"/>
          <w:szCs w:val="16"/>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67" w:lineRule="exact"/>
        <w:rPr>
          <w:sz w:val="20"/>
          <w:szCs w:val="20"/>
          <w:color w:val="auto"/>
        </w:rPr>
      </w:pPr>
    </w:p>
    <w:p>
      <w:pPr>
        <w:ind w:left="760" w:right="380"/>
        <w:spacing w:after="0" w:line="250" w:lineRule="auto"/>
        <w:rPr>
          <w:sz w:val="20"/>
          <w:szCs w:val="20"/>
          <w:color w:val="auto"/>
        </w:rPr>
      </w:pPr>
      <w:r>
        <w:rPr>
          <w:rFonts w:ascii="Arial" w:cs="Arial" w:eastAsia="Arial" w:hAnsi="Arial"/>
          <w:sz w:val="16"/>
          <w:szCs w:val="16"/>
          <w:color w:val="auto"/>
        </w:rPr>
        <w:t>The Nominating and Corporate Governance Committee has evaluated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the following individuals, constituting a majority of the members of our Board, are “independent” as that term is defined in the Nasdaq listing standards and under the US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76200</wp:posOffset>
            </wp:positionV>
            <wp:extent cx="58293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50"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020" w:type="dxa"/>
            <w:vAlign w:val="bottom"/>
          </w:tcPr>
          <w:p>
            <w:pPr>
              <w:ind w:left="60"/>
              <w:spacing w:after="0"/>
              <w:rPr>
                <w:sz w:val="20"/>
                <w:szCs w:val="20"/>
                <w:color w:val="auto"/>
              </w:rPr>
            </w:pPr>
            <w:r>
              <w:rPr>
                <w:rFonts w:ascii="Arial" w:cs="Arial" w:eastAsia="Arial" w:hAnsi="Arial"/>
                <w:sz w:val="15"/>
                <w:szCs w:val="15"/>
                <w:color w:val="auto"/>
              </w:rPr>
              <w:t>Francesco Bianchi</w:t>
            </w:r>
          </w:p>
        </w:tc>
        <w:tc>
          <w:tcPr>
            <w:tcW w:w="6160" w:type="dxa"/>
            <w:vAlign w:val="bottom"/>
          </w:tcPr>
          <w:p>
            <w:pPr>
              <w:ind w:left="1680"/>
              <w:spacing w:after="0"/>
              <w:rPr>
                <w:sz w:val="20"/>
                <w:szCs w:val="20"/>
                <w:color w:val="auto"/>
              </w:rPr>
            </w:pPr>
            <w:r>
              <w:rPr>
                <w:rFonts w:ascii="Arial" w:cs="Arial" w:eastAsia="Arial" w:hAnsi="Arial"/>
                <w:sz w:val="15"/>
                <w:szCs w:val="15"/>
                <w:color w:val="auto"/>
              </w:rPr>
              <w:t>Alfred Novak</w:t>
            </w:r>
          </w:p>
        </w:tc>
      </w:tr>
      <w:tr>
        <w:trPr>
          <w:trHeight w:val="21"/>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Sharon O’Kane</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6160" w:type="dxa"/>
            <w:vAlign w:val="bottom"/>
          </w:tcPr>
          <w:p>
            <w:pPr>
              <w:ind w:left="1680"/>
              <w:spacing w:after="0"/>
              <w:rPr>
                <w:sz w:val="20"/>
                <w:szCs w:val="20"/>
                <w:color w:val="auto"/>
              </w:rPr>
            </w:pPr>
            <w:r>
              <w:rPr>
                <w:rFonts w:ascii="Arial" w:cs="Arial" w:eastAsia="Arial" w:hAnsi="Arial"/>
                <w:sz w:val="15"/>
                <w:szCs w:val="15"/>
                <w:color w:val="auto"/>
              </w:rPr>
              <w:t>Arthur Rosenthal</w:t>
            </w:r>
          </w:p>
        </w:tc>
      </w:tr>
      <w:tr>
        <w:trPr>
          <w:trHeight w:val="22"/>
        </w:trPr>
        <w:tc>
          <w:tcPr>
            <w:tcW w:w="30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6"/>
        </w:trPr>
        <w:tc>
          <w:tcPr>
            <w:tcW w:w="302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Daniel Moore</w:t>
            </w:r>
          </w:p>
        </w:tc>
        <w:tc>
          <w:tcPr>
            <w:tcW w:w="6160" w:type="dxa"/>
            <w:vAlign w:val="bottom"/>
            <w:tcBorders>
              <w:bottom w:val="single" w:sz="8" w:color="EFE9FC"/>
            </w:tcBorders>
            <w:shd w:val="clear" w:color="auto" w:fill="EFE9FC"/>
          </w:tcPr>
          <w:p>
            <w:pPr>
              <w:ind w:left="1680"/>
              <w:spacing w:after="0"/>
              <w:rPr>
                <w:sz w:val="20"/>
                <w:szCs w:val="20"/>
                <w:color w:val="auto"/>
              </w:rPr>
            </w:pPr>
            <w:r>
              <w:rPr>
                <w:rFonts w:ascii="Arial" w:cs="Arial" w:eastAsia="Arial" w:hAnsi="Arial"/>
                <w:sz w:val="15"/>
                <w:szCs w:val="15"/>
                <w:color w:val="auto"/>
              </w:rPr>
              <w:t>Andrea Saia</w:t>
            </w:r>
          </w:p>
        </w:tc>
      </w:tr>
      <w:tr>
        <w:trPr>
          <w:trHeight w:val="208"/>
        </w:trPr>
        <w:tc>
          <w:tcPr>
            <w:tcW w:w="3020" w:type="dxa"/>
            <w:vAlign w:val="bottom"/>
          </w:tcPr>
          <w:p>
            <w:pPr>
              <w:ind w:left="60"/>
              <w:spacing w:after="0"/>
              <w:rPr>
                <w:sz w:val="20"/>
                <w:szCs w:val="20"/>
                <w:color w:val="auto"/>
              </w:rPr>
            </w:pPr>
            <w:r>
              <w:rPr>
                <w:rFonts w:ascii="Arial" w:cs="Arial" w:eastAsia="Arial" w:hAnsi="Arial"/>
                <w:sz w:val="15"/>
                <w:szCs w:val="15"/>
                <w:color w:val="auto"/>
              </w:rPr>
              <w:t>Hugh Morrison</w:t>
            </w:r>
          </w:p>
        </w:tc>
        <w:tc>
          <w:tcPr>
            <w:tcW w:w="6160" w:type="dxa"/>
            <w:vAlign w:val="bottom"/>
          </w:tcPr>
          <w:p>
            <w:pPr>
              <w:spacing w:after="0"/>
              <w:rPr>
                <w:sz w:val="18"/>
                <w:szCs w:val="18"/>
                <w:color w:val="auto"/>
              </w:rPr>
            </w:pPr>
          </w:p>
        </w:tc>
      </w:tr>
      <w:tr>
        <w:trPr>
          <w:trHeight w:val="22"/>
        </w:trPr>
        <w:tc>
          <w:tcPr>
            <w:tcW w:w="3020" w:type="dxa"/>
            <w:vAlign w:val="bottom"/>
            <w:tcBorders>
              <w:bottom w:val="single" w:sz="8" w:color="6A2887"/>
            </w:tcBorders>
          </w:tcPr>
          <w:p>
            <w:pPr>
              <w:spacing w:after="0" w:line="20" w:lineRule="exact"/>
              <w:rPr>
                <w:sz w:val="1"/>
                <w:szCs w:val="1"/>
                <w:color w:val="auto"/>
              </w:rPr>
            </w:pPr>
          </w:p>
        </w:tc>
        <w:tc>
          <w:tcPr>
            <w:tcW w:w="6160" w:type="dxa"/>
            <w:vAlign w:val="bottom"/>
            <w:tcBorders>
              <w:bottom w:val="single" w:sz="8" w:color="6A2887"/>
            </w:tcBorders>
          </w:tcPr>
          <w:p>
            <w:pPr>
              <w:spacing w:after="0" w:line="20" w:lineRule="exact"/>
              <w:rPr>
                <w:sz w:val="1"/>
                <w:szCs w:val="1"/>
                <w:color w:val="auto"/>
              </w:rPr>
            </w:pPr>
          </w:p>
        </w:tc>
      </w:tr>
    </w:tbl>
    <w:p>
      <w:pPr>
        <w:spacing w:after="0" w:line="69" w:lineRule="exact"/>
        <w:rPr>
          <w:sz w:val="20"/>
          <w:szCs w:val="20"/>
          <w:color w:val="auto"/>
        </w:rPr>
      </w:pPr>
    </w:p>
    <w:p>
      <w:pPr>
        <w:ind w:left="760" w:right="340"/>
        <w:spacing w:after="0" w:line="251" w:lineRule="auto"/>
        <w:rPr>
          <w:sz w:val="20"/>
          <w:szCs w:val="20"/>
          <w:color w:val="auto"/>
        </w:rPr>
      </w:pPr>
      <w:r>
        <w:rPr>
          <w:rFonts w:ascii="Arial" w:cs="Arial" w:eastAsia="Arial" w:hAnsi="Arial"/>
          <w:sz w:val="16"/>
          <w:szCs w:val="16"/>
          <w:color w:val="auto"/>
        </w:rPr>
        <w:t>The Board has also determined that all members of the Audit and Compliance Committee meet additional, heightened independence criteria applicable to audit committee members under the Nasdaq listing rules. The Board has further determined that all members of the Audit and Compliance Committee are financially literate and that Francesco Bianchi, Hugh Morrison (chair of the Audit and Compliance Committee) and Alfred Novak are “audit committee financial experts.”</w:t>
      </w:r>
    </w:p>
    <w:p>
      <w:pPr>
        <w:spacing w:after="0" w:line="81" w:lineRule="exact"/>
        <w:rPr>
          <w:sz w:val="20"/>
          <w:szCs w:val="20"/>
          <w:color w:val="auto"/>
        </w:rPr>
      </w:pPr>
    </w:p>
    <w:p>
      <w:pPr>
        <w:ind w:left="760" w:right="260"/>
        <w:spacing w:after="0" w:line="253" w:lineRule="auto"/>
        <w:rPr>
          <w:sz w:val="20"/>
          <w:szCs w:val="20"/>
          <w:color w:val="auto"/>
        </w:rPr>
      </w:pPr>
      <w:r>
        <w:rPr>
          <w:rFonts w:ascii="Arial" w:cs="Arial" w:eastAsia="Arial" w:hAnsi="Arial"/>
          <w:sz w:val="16"/>
          <w:szCs w:val="16"/>
          <w:color w:val="auto"/>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66" w:lineRule="exact"/>
        <w:rPr>
          <w:sz w:val="20"/>
          <w:szCs w:val="20"/>
          <w:color w:val="auto"/>
        </w:rPr>
      </w:pPr>
    </w:p>
    <w:p>
      <w:pPr>
        <w:ind w:left="760" w:right="400"/>
        <w:spacing w:after="0" w:line="260" w:lineRule="auto"/>
        <w:rPr>
          <w:sz w:val="20"/>
          <w:szCs w:val="20"/>
          <w:color w:val="auto"/>
        </w:rPr>
      </w:pPr>
      <w:r>
        <w:rPr>
          <w:rFonts w:ascii="Arial" w:cs="Arial" w:eastAsia="Arial" w:hAnsi="Arial"/>
          <w:sz w:val="16"/>
          <w:szCs w:val="16"/>
          <w:color w:val="auto"/>
        </w:rPr>
        <w:t>The Nominating and Corporate Governance Committee’s determinations as to Nasdaq independence, status as a non-employee director and status as an audit committee financial expert are set out in the table below.</w:t>
      </w:r>
    </w:p>
    <w:p>
      <w:pPr>
        <w:spacing w:after="0" w:line="15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6A2887"/>
              </w:rPr>
              <w:t>Nasdaq</w:t>
            </w: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6A2887"/>
              </w:rPr>
              <w:t>Nasdaq</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6A2887"/>
              </w:rPr>
              <w:t>Independence for 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6A2887"/>
              </w:rPr>
              <w:t>“Non-Employee</w:t>
            </w:r>
          </w:p>
        </w:tc>
        <w:tc>
          <w:tcPr>
            <w:tcW w:w="1460" w:type="dxa"/>
            <w:vAlign w:val="bottom"/>
          </w:tcPr>
          <w:p>
            <w:pPr>
              <w:jc w:val="center"/>
              <w:ind w:left="65"/>
              <w:spacing w:after="0"/>
              <w:rPr>
                <w:sz w:val="20"/>
                <w:szCs w:val="20"/>
                <w:color w:val="auto"/>
              </w:rPr>
            </w:pPr>
            <w:r>
              <w:rPr>
                <w:rFonts w:ascii="Arial" w:cs="Arial" w:eastAsia="Arial" w:hAnsi="Arial"/>
                <w:sz w:val="14"/>
                <w:szCs w:val="14"/>
                <w:b w:val="1"/>
                <w:bCs w:val="1"/>
                <w:color w:val="6A2887"/>
                <w:w w:val="99"/>
              </w:rPr>
              <w:t>Audit Committee</w:t>
            </w:r>
          </w:p>
        </w:tc>
      </w:tr>
      <w:tr>
        <w:trPr>
          <w:trHeight w:val="196"/>
        </w:trPr>
        <w:tc>
          <w:tcPr>
            <w:tcW w:w="152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Directors</w:t>
            </w:r>
          </w:p>
        </w:tc>
        <w:tc>
          <w:tcPr>
            <w:tcW w:w="200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rPr>
              <w:t>“Independent Director”</w:t>
            </w:r>
          </w:p>
        </w:tc>
        <w:tc>
          <w:tcPr>
            <w:tcW w:w="266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rPr>
              <w:t>Committee Purposes</w:t>
            </w:r>
          </w:p>
        </w:tc>
        <w:tc>
          <w:tcPr>
            <w:tcW w:w="154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rPr>
              <w:t>Director”</w:t>
            </w:r>
          </w:p>
        </w:tc>
        <w:tc>
          <w:tcPr>
            <w:tcW w:w="1460" w:type="dxa"/>
            <w:vAlign w:val="bottom"/>
            <w:tcBorders>
              <w:bottom w:val="single" w:sz="8" w:color="6A2887"/>
            </w:tcBorders>
          </w:tcPr>
          <w:p>
            <w:pPr>
              <w:jc w:val="center"/>
              <w:ind w:left="105"/>
              <w:spacing w:after="0"/>
              <w:rPr>
                <w:sz w:val="20"/>
                <w:szCs w:val="20"/>
                <w:color w:val="auto"/>
              </w:rPr>
            </w:pPr>
            <w:r>
              <w:rPr>
                <w:rFonts w:ascii="Arial" w:cs="Arial" w:eastAsia="Arial" w:hAnsi="Arial"/>
                <w:sz w:val="14"/>
                <w:szCs w:val="14"/>
                <w:b w:val="1"/>
                <w:bCs w:val="1"/>
                <w:color w:val="6A2887"/>
                <w:w w:val="99"/>
              </w:rPr>
              <w:t>Financial Expert</w:t>
            </w: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Francesco Bianchi</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tcPr>
          <w:p>
            <w:pPr>
              <w:jc w:val="center"/>
              <w:ind w:left="125"/>
              <w:spacing w:after="0" w:line="151" w:lineRule="exact"/>
              <w:rPr>
                <w:sz w:val="20"/>
                <w:szCs w:val="20"/>
                <w:color w:val="auto"/>
              </w:rPr>
            </w:pPr>
            <w:r>
              <w:rPr>
                <w:rFonts w:ascii="MS PGothic" w:cs="MS PGothic" w:eastAsia="MS PGothic" w:hAnsi="MS PGothic"/>
                <w:sz w:val="15"/>
                <w:szCs w:val="15"/>
                <w:color w:val="6A2887"/>
                <w:w w:val="93"/>
              </w:rPr>
              <w:t>✔</w:t>
            </w: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Stacy Enxing Seng</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William Kozy</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2000" w:type="dxa"/>
            <w:vAlign w:val="bottom"/>
            <w:tcBorders>
              <w:bottom w:val="single" w:sz="8" w:color="EFE9FC"/>
            </w:tcBorders>
            <w:shd w:val="clear" w:color="auto" w:fill="EFE9FC"/>
          </w:tcPr>
          <w:p>
            <w:pPr>
              <w:spacing w:after="0"/>
              <w:rPr>
                <w:sz w:val="21"/>
                <w:szCs w:val="21"/>
                <w:color w:val="auto"/>
              </w:rPr>
            </w:pPr>
          </w:p>
        </w:tc>
        <w:tc>
          <w:tcPr>
            <w:tcW w:w="2660" w:type="dxa"/>
            <w:vAlign w:val="bottom"/>
            <w:tcBorders>
              <w:bottom w:val="single" w:sz="8" w:color="EFE9FC"/>
            </w:tcBorders>
            <w:shd w:val="clear" w:color="auto" w:fill="EFE9FC"/>
          </w:tcPr>
          <w:p>
            <w:pPr>
              <w:spacing w:after="0"/>
              <w:rPr>
                <w:sz w:val="21"/>
                <w:szCs w:val="21"/>
                <w:color w:val="auto"/>
              </w:rPr>
            </w:pPr>
          </w:p>
        </w:tc>
        <w:tc>
          <w:tcPr>
            <w:tcW w:w="1540" w:type="dxa"/>
            <w:vAlign w:val="bottom"/>
            <w:tcBorders>
              <w:bottom w:val="single" w:sz="8" w:color="EFE9FC"/>
            </w:tcBorders>
            <w:shd w:val="clear" w:color="auto" w:fill="EFE9FC"/>
          </w:tcPr>
          <w:p>
            <w:pPr>
              <w:spacing w:after="0"/>
              <w:rPr>
                <w:sz w:val="21"/>
                <w:szCs w:val="21"/>
                <w:color w:val="auto"/>
              </w:rPr>
            </w:pPr>
          </w:p>
        </w:tc>
        <w:tc>
          <w:tcPr>
            <w:tcW w:w="1460" w:type="dxa"/>
            <w:vAlign w:val="bottom"/>
            <w:tcBorders>
              <w:bottom w:val="single" w:sz="8" w:color="EFE9FC"/>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Daniel Moore</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shd w:val="clear" w:color="auto" w:fill="EFE9FC"/>
          </w:tcPr>
          <w:p>
            <w:pPr>
              <w:jc w:val="center"/>
              <w:ind w:left="125"/>
              <w:spacing w:after="0" w:line="151" w:lineRule="exact"/>
              <w:rPr>
                <w:sz w:val="20"/>
                <w:szCs w:val="20"/>
                <w:color w:val="auto"/>
              </w:rPr>
            </w:pPr>
            <w:r>
              <w:rPr>
                <w:rFonts w:ascii="MS PGothic" w:cs="MS PGothic" w:eastAsia="MS PGothic" w:hAnsi="MS PGothic"/>
                <w:sz w:val="15"/>
                <w:szCs w:val="15"/>
                <w:color w:val="6A2887"/>
                <w:w w:val="93"/>
              </w:rPr>
              <w:t>✔</w:t>
            </w: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Alfred Novak</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tcPr>
          <w:p>
            <w:pPr>
              <w:jc w:val="center"/>
              <w:ind w:left="125"/>
              <w:spacing w:after="0" w:line="151" w:lineRule="exact"/>
              <w:rPr>
                <w:sz w:val="20"/>
                <w:szCs w:val="20"/>
                <w:color w:val="auto"/>
              </w:rPr>
            </w:pPr>
            <w:r>
              <w:rPr>
                <w:rFonts w:ascii="MS PGothic" w:cs="MS PGothic" w:eastAsia="MS PGothic" w:hAnsi="MS PGothic"/>
                <w:sz w:val="15"/>
                <w:szCs w:val="15"/>
                <w:color w:val="6A2887"/>
                <w:w w:val="93"/>
              </w:rPr>
              <w:t>✔</w:t>
            </w:r>
          </w:p>
        </w:tc>
      </w:tr>
      <w:tr>
        <w:trPr>
          <w:trHeight w:val="250"/>
        </w:trPr>
        <w:tc>
          <w:tcPr>
            <w:tcW w:w="1520" w:type="dxa"/>
            <w:vAlign w:val="bottom"/>
            <w:tcBorders>
              <w:bottom w:val="single" w:sz="8" w:color="FEFEFE"/>
            </w:tcBorders>
            <w:shd w:val="clear" w:color="auto" w:fill="EFE9FC"/>
          </w:tcPr>
          <w:p>
            <w:pPr>
              <w:ind w:left="40"/>
              <w:spacing w:after="0"/>
              <w:rPr>
                <w:sz w:val="20"/>
                <w:szCs w:val="20"/>
                <w:color w:val="auto"/>
              </w:rPr>
            </w:pPr>
            <w:r>
              <w:rPr>
                <w:rFonts w:ascii="Arial" w:cs="Arial" w:eastAsia="Arial" w:hAnsi="Arial"/>
                <w:sz w:val="15"/>
                <w:szCs w:val="15"/>
                <w:color w:val="auto"/>
              </w:rPr>
              <w:t>Sharon O’Kane</w:t>
            </w:r>
          </w:p>
        </w:tc>
        <w:tc>
          <w:tcPr>
            <w:tcW w:w="200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shd w:val="clear" w:color="auto" w:fill="EFE9FC"/>
          </w:tcPr>
          <w:p>
            <w:pPr>
              <w:spacing w:after="0"/>
              <w:rPr>
                <w:sz w:val="21"/>
                <w:szCs w:val="21"/>
                <w:color w:val="auto"/>
              </w:rPr>
            </w:pPr>
          </w:p>
        </w:tc>
      </w:tr>
      <w:tr>
        <w:trPr>
          <w:trHeight w:val="250"/>
        </w:trPr>
        <w:tc>
          <w:tcPr>
            <w:tcW w:w="1520" w:type="dxa"/>
            <w:vAlign w:val="bottom"/>
            <w:tcBorders>
              <w:bottom w:val="single" w:sz="8" w:color="FEFEFE"/>
            </w:tcBorders>
          </w:tcPr>
          <w:p>
            <w:pPr>
              <w:ind w:left="40"/>
              <w:spacing w:after="0"/>
              <w:rPr>
                <w:sz w:val="20"/>
                <w:szCs w:val="20"/>
                <w:color w:val="auto"/>
              </w:rPr>
            </w:pPr>
            <w:r>
              <w:rPr>
                <w:rFonts w:ascii="Arial" w:cs="Arial" w:eastAsia="Arial" w:hAnsi="Arial"/>
                <w:sz w:val="15"/>
                <w:szCs w:val="15"/>
                <w:color w:val="auto"/>
              </w:rPr>
              <w:t>Arthur Rosenthal</w:t>
            </w:r>
          </w:p>
        </w:tc>
        <w:tc>
          <w:tcPr>
            <w:tcW w:w="200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FEFEFE"/>
            </w:tcBorders>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FEFEFE"/>
            </w:tcBorders>
          </w:tcPr>
          <w:p>
            <w:pPr>
              <w:spacing w:after="0"/>
              <w:rPr>
                <w:sz w:val="21"/>
                <w:szCs w:val="2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200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266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1540" w:type="dxa"/>
            <w:vAlign w:val="bottom"/>
            <w:tcBorders>
              <w:bottom w:val="single" w:sz="8" w:color="EFE9FC"/>
            </w:tcBorders>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79"/>
              </w:rPr>
              <w:t>✔</w:t>
            </w:r>
          </w:p>
        </w:tc>
        <w:tc>
          <w:tcPr>
            <w:tcW w:w="1460" w:type="dxa"/>
            <w:vAlign w:val="bottom"/>
            <w:tcBorders>
              <w:bottom w:val="single" w:sz="8" w:color="EFE9FC"/>
            </w:tcBorders>
            <w:shd w:val="clear" w:color="auto" w:fill="EFE9FC"/>
          </w:tcPr>
          <w:p>
            <w:pPr>
              <w:spacing w:after="0"/>
              <w:rPr>
                <w:sz w:val="21"/>
                <w:szCs w:val="21"/>
                <w:color w:val="auto"/>
              </w:rPr>
            </w:pPr>
          </w:p>
        </w:tc>
      </w:tr>
      <w:tr>
        <w:trPr>
          <w:trHeight w:val="20"/>
        </w:trPr>
        <w:tc>
          <w:tcPr>
            <w:tcW w:w="1520" w:type="dxa"/>
            <w:vAlign w:val="bottom"/>
            <w:shd w:val="clear" w:color="auto" w:fill="6A2887"/>
          </w:tcPr>
          <w:p>
            <w:pPr>
              <w:spacing w:after="0" w:line="20" w:lineRule="exact"/>
              <w:rPr>
                <w:sz w:val="1"/>
                <w:szCs w:val="1"/>
                <w:color w:val="auto"/>
              </w:rPr>
            </w:pPr>
          </w:p>
        </w:tc>
        <w:tc>
          <w:tcPr>
            <w:tcW w:w="2000" w:type="dxa"/>
            <w:vAlign w:val="bottom"/>
            <w:shd w:val="clear" w:color="auto" w:fill="6A2887"/>
          </w:tcPr>
          <w:p>
            <w:pPr>
              <w:spacing w:after="0" w:line="20" w:lineRule="exact"/>
              <w:rPr>
                <w:sz w:val="1"/>
                <w:szCs w:val="1"/>
                <w:color w:val="auto"/>
              </w:rPr>
            </w:pPr>
          </w:p>
        </w:tc>
        <w:tc>
          <w:tcPr>
            <w:tcW w:w="2660" w:type="dxa"/>
            <w:vAlign w:val="bottom"/>
            <w:shd w:val="clear" w:color="auto" w:fill="6A2887"/>
          </w:tcPr>
          <w:p>
            <w:pPr>
              <w:spacing w:after="0" w:line="20" w:lineRule="exact"/>
              <w:rPr>
                <w:sz w:val="1"/>
                <w:szCs w:val="1"/>
                <w:color w:val="auto"/>
              </w:rPr>
            </w:pPr>
          </w:p>
        </w:tc>
        <w:tc>
          <w:tcPr>
            <w:tcW w:w="1540" w:type="dxa"/>
            <w:vAlign w:val="bottom"/>
            <w:shd w:val="clear" w:color="auto" w:fill="6A2887"/>
          </w:tcPr>
          <w:p>
            <w:pPr>
              <w:spacing w:after="0" w:line="20" w:lineRule="exact"/>
              <w:rPr>
                <w:sz w:val="1"/>
                <w:szCs w:val="1"/>
                <w:color w:val="auto"/>
              </w:rPr>
            </w:pPr>
          </w:p>
        </w:tc>
        <w:tc>
          <w:tcPr>
            <w:tcW w:w="1460" w:type="dxa"/>
            <w:vAlign w:val="bottom"/>
            <w:shd w:val="clear" w:color="auto" w:fill="6A2887"/>
          </w:tcPr>
          <w:p>
            <w:pPr>
              <w:spacing w:after="0" w:line="20" w:lineRule="exact"/>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1"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39370</wp:posOffset>
            </wp:positionV>
            <wp:extent cx="1954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39370</wp:posOffset>
            </wp:positionV>
            <wp:extent cx="19545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Leadership Structure</w:t>
      </w:r>
    </w:p>
    <w:p>
      <w:pPr>
        <w:spacing w:after="0" w:line="139"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The directors may at any time elect and remove a director as chairman of the Board and as deputy chairman. Unless he or she is unwilling to do so, the director appointed as chairman, or in his or her stead the director appointed as deputy chairman, presides at all meetings of the Board at which he or she is present. Our Board is currently led by a non-executive and independent chairman, Mr. Moore. Currently, we do not have a policy requiring the positions of chair of the Board and CEO to be held by different persons. However, these two positions have been separate and are expected to remain so because the Board believes that structure serves the needs of the Board in a more effective manner. Specifically, keeping the positions separate allows the CEO to focus his attention on driving business performance rather than Board governance. Additionally, keeping the positions separate is consistent with corporate best practice and many investor guidelines.</w:t>
      </w:r>
    </w:p>
    <w:p>
      <w:pPr>
        <w:spacing w:after="0" w:line="86" w:lineRule="exact"/>
        <w:rPr>
          <w:sz w:val="20"/>
          <w:szCs w:val="20"/>
          <w:color w:val="auto"/>
        </w:rPr>
      </w:pPr>
    </w:p>
    <w:p>
      <w:pPr>
        <w:ind w:left="760" w:right="639"/>
        <w:spacing w:after="0" w:line="253" w:lineRule="auto"/>
        <w:rPr>
          <w:sz w:val="20"/>
          <w:szCs w:val="20"/>
          <w:color w:val="auto"/>
        </w:rPr>
      </w:pPr>
      <w:r>
        <w:rPr>
          <w:rFonts w:ascii="Arial" w:cs="Arial" w:eastAsia="Arial" w:hAnsi="Arial"/>
          <w:sz w:val="16"/>
          <w:szCs w:val="16"/>
          <w:color w:val="auto"/>
        </w:rPr>
        <w:t>The chairman establishes the agenda for each Board meeting in consultation with the CEO and with the assistance of the Company Secretary. Each Board member is free to suggest the inclusion of items on the agenda and is also free to raise any subject that is not on the agenda for that meeting.</w:t>
      </w:r>
    </w:p>
    <w:p>
      <w:pPr>
        <w:spacing w:after="0" w:line="66" w:lineRule="exact"/>
        <w:rPr>
          <w:sz w:val="20"/>
          <w:szCs w:val="20"/>
          <w:color w:val="auto"/>
        </w:rPr>
      </w:pPr>
    </w:p>
    <w:p>
      <w:pPr>
        <w:ind w:left="760" w:right="959"/>
        <w:spacing w:after="0" w:line="260" w:lineRule="auto"/>
        <w:rPr>
          <w:sz w:val="20"/>
          <w:szCs w:val="20"/>
          <w:color w:val="auto"/>
        </w:rPr>
      </w:pPr>
      <w:r>
        <w:rPr>
          <w:rFonts w:ascii="Arial" w:cs="Arial" w:eastAsia="Arial" w:hAnsi="Arial"/>
          <w:sz w:val="16"/>
          <w:szCs w:val="16"/>
          <w:color w:val="auto"/>
        </w:rPr>
        <w:t>The non-executive, independent directors meet in private sessions at least quarterly, and the chairman is responsible for conducting these executive sessions.</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Board Role in Risk Management</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Oversight</w:t>
      </w:r>
    </w:p>
    <w:p>
      <w:pPr>
        <w:spacing w:after="0" w:line="124" w:lineRule="exact"/>
        <w:rPr>
          <w:sz w:val="20"/>
          <w:szCs w:val="20"/>
          <w:color w:val="auto"/>
        </w:rPr>
      </w:pPr>
    </w:p>
    <w:p>
      <w:pPr>
        <w:jc w:val="both"/>
        <w:ind w:left="760" w:right="479"/>
        <w:spacing w:after="0" w:line="253" w:lineRule="auto"/>
        <w:rPr>
          <w:sz w:val="20"/>
          <w:szCs w:val="20"/>
          <w:color w:val="auto"/>
        </w:rPr>
      </w:pPr>
      <w:r>
        <w:rPr>
          <w:rFonts w:ascii="Arial" w:cs="Arial" w:eastAsia="Arial" w:hAnsi="Arial"/>
          <w:sz w:val="16"/>
          <w:szCs w:val="16"/>
          <w:color w:val="auto"/>
        </w:rPr>
        <w:t>The Board determines the Company’s risk tolerance. The Board has determined that the Board as a whole, and not a separate committee, will oversee our risk management process. Each of our Board committees has historically focused and continues to focus on specific risks within their respective areas of responsibility.</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Board uses its committees to assist in its risk oversight responsibility as follows:</w:t>
      </w:r>
    </w:p>
    <w:p>
      <w:pPr>
        <w:spacing w:after="0" w:line="39" w:lineRule="exact"/>
        <w:rPr>
          <w:sz w:val="20"/>
          <w:szCs w:val="20"/>
          <w:color w:val="auto"/>
        </w:rPr>
      </w:pPr>
    </w:p>
    <w:p>
      <w:pPr>
        <w:ind w:left="920" w:right="199" w:hanging="156"/>
        <w:spacing w:after="0" w:line="254" w:lineRule="auto"/>
        <w:tabs>
          <w:tab w:leader="none" w:pos="920" w:val="left"/>
        </w:tabs>
        <w:numPr>
          <w:ilvl w:val="0"/>
          <w:numId w:val="32"/>
        </w:numPr>
        <w:rPr>
          <w:rFonts w:ascii="Arial" w:cs="Arial" w:eastAsia="Arial" w:hAnsi="Arial"/>
          <w:sz w:val="16"/>
          <w:szCs w:val="16"/>
          <w:color w:val="6A2887"/>
        </w:rPr>
      </w:pPr>
      <w:r>
        <w:rPr>
          <w:rFonts w:ascii="Arial" w:cs="Arial" w:eastAsia="Arial" w:hAnsi="Arial"/>
          <w:sz w:val="16"/>
          <w:szCs w:val="16"/>
          <w:b w:val="1"/>
          <w:bCs w:val="1"/>
          <w:color w:val="auto"/>
        </w:rPr>
        <w:t xml:space="preserve">Audit and Compliance Committee </w:t>
      </w:r>
      <w:r>
        <w:rPr>
          <w:rFonts w:ascii="Arial" w:cs="Arial" w:eastAsia="Arial" w:hAnsi="Arial"/>
          <w:sz w:val="16"/>
          <w:szCs w:val="16"/>
          <w:color w:val="auto"/>
        </w:rPr>
        <w:t>oversees the integrity of the financial reporting of the Company and its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legal and regulatory requirements. It also oversees our internal controls and compliance activities. The committee periodically discusses our major financial and business risk exposures and certain contingent liabilities and the steps management has undertaken to monitor and control such exposures. It also meets privately with representatives from our independent registered public accounting firm as well as with the Head of Internal Audit and the Chief Ethics and Integrity Officer. The committee also has responsibility for the oversight of the management of cybersecurity risks.</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32"/>
        </w:numPr>
        <w:rPr>
          <w:rFonts w:ascii="Arial" w:cs="Arial" w:eastAsia="Arial" w:hAnsi="Arial"/>
          <w:sz w:val="16"/>
          <w:szCs w:val="16"/>
          <w:color w:val="6A2887"/>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oversees risks relating to our compensation policies and practices.</w:t>
      </w:r>
    </w:p>
    <w:p>
      <w:pPr>
        <w:spacing w:after="0" w:line="59" w:lineRule="exact"/>
        <w:rPr>
          <w:rFonts w:ascii="Arial" w:cs="Arial" w:eastAsia="Arial" w:hAnsi="Arial"/>
          <w:sz w:val="16"/>
          <w:szCs w:val="16"/>
          <w:color w:val="6A2887"/>
        </w:rPr>
      </w:pPr>
    </w:p>
    <w:p>
      <w:pPr>
        <w:ind w:left="920" w:right="939" w:hanging="156"/>
        <w:spacing w:after="0" w:line="286" w:lineRule="auto"/>
        <w:tabs>
          <w:tab w:leader="none" w:pos="920" w:val="left"/>
        </w:tabs>
        <w:numPr>
          <w:ilvl w:val="0"/>
          <w:numId w:val="32"/>
        </w:numPr>
        <w:rPr>
          <w:rFonts w:ascii="Arial" w:cs="Arial" w:eastAsia="Arial" w:hAnsi="Arial"/>
          <w:sz w:val="16"/>
          <w:szCs w:val="16"/>
          <w:color w:val="6A2887"/>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oversees risks relating to succession planning and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structures.</w:t>
      </w:r>
    </w:p>
    <w:p>
      <w:pPr>
        <w:spacing w:after="0" w:line="41" w:lineRule="exact"/>
        <w:rPr>
          <w:sz w:val="20"/>
          <w:szCs w:val="20"/>
          <w:color w:val="auto"/>
        </w:rPr>
      </w:pPr>
    </w:p>
    <w:p>
      <w:pPr>
        <w:ind w:left="760" w:right="359"/>
        <w:spacing w:after="0" w:line="250" w:lineRule="auto"/>
        <w:rPr>
          <w:sz w:val="20"/>
          <w:szCs w:val="20"/>
          <w:color w:val="auto"/>
        </w:rPr>
      </w:pPr>
      <w:r>
        <w:rPr>
          <w:rFonts w:ascii="Arial" w:cs="Arial" w:eastAsia="Arial" w:hAnsi="Arial"/>
          <w:sz w:val="16"/>
          <w:szCs w:val="16"/>
          <w:color w:val="auto"/>
        </w:rPr>
        <w:t>At the direction of our Board, the Company created the role of Chief Risk Officer. The Chief Risk Officer reports to and works with the Board to assess, monitor, and mitigate risks that arise in the course of our business. In addition to our Chief Risk Officer, our Chief Financial Officer, Chief Accounting Officer, General Counsel, Internal Audit team and Chief Information and Technology Officer meet regularly with the Board for the planning, assessment, and reporting of risks. The Board reviews an assessment of, and a report on, our risk profile delivered by the Chief Risk Officer on a regular basis.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COVID-19 Risk Management</w:t>
      </w:r>
    </w:p>
    <w:p>
      <w:pPr>
        <w:spacing w:after="0" w:line="124" w:lineRule="exact"/>
        <w:rPr>
          <w:sz w:val="20"/>
          <w:szCs w:val="20"/>
          <w:color w:val="auto"/>
        </w:rPr>
      </w:pPr>
    </w:p>
    <w:p>
      <w:pPr>
        <w:ind w:left="760" w:right="319"/>
        <w:spacing w:after="0" w:line="251" w:lineRule="auto"/>
        <w:rPr>
          <w:sz w:val="20"/>
          <w:szCs w:val="20"/>
          <w:color w:val="auto"/>
        </w:rPr>
      </w:pPr>
      <w:r>
        <w:rPr>
          <w:rFonts w:ascii="Arial" w:cs="Arial" w:eastAsia="Arial" w:hAnsi="Arial"/>
          <w:sz w:val="16"/>
          <w:szCs w:val="16"/>
          <w:color w:val="auto"/>
        </w:rPr>
        <w:t>In recent months, a new strain of coronavirus (COVID-19)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w:t>
      </w:r>
    </w:p>
    <w:p>
      <w:pPr>
        <w:spacing w:after="0" w:line="67" w:lineRule="exact"/>
        <w:rPr>
          <w:sz w:val="20"/>
          <w:szCs w:val="20"/>
          <w:color w:val="auto"/>
        </w:rPr>
      </w:pPr>
    </w:p>
    <w:p>
      <w:pPr>
        <w:ind w:left="760" w:right="259"/>
        <w:spacing w:after="0" w:line="248" w:lineRule="auto"/>
        <w:rPr>
          <w:sz w:val="20"/>
          <w:szCs w:val="20"/>
          <w:color w:val="auto"/>
        </w:rPr>
      </w:pPr>
      <w:r>
        <w:rPr>
          <w:rFonts w:ascii="Arial" w:cs="Arial" w:eastAsia="Arial" w:hAnsi="Arial"/>
          <w:sz w:val="16"/>
          <w:szCs w:val="16"/>
          <w:color w:val="auto"/>
        </w:rPr>
        <w:t>The Board and management are continually evaluating risks to the business, our employees and stakeholders and have taken numerous steps, and will continue to take further actions, in our approach to addressing the COVID-19 pandemic. The Board has already met in a meeting apart from its scheduled quarterly meetings and has future such meetings planned primarily to address COVID-19-related matters. We have successfully implemented our business continuity plans, and our management team is in place to respond to changes in our environment quickly and effectively. We have not closed our manufacturing plants. Additionally, the supply of raw materials and the distribution of finished products remain operational with no known or foreseeable constraints. As a result of the COVID-19 pandemic, we instructed employees at many of our facilities across the globe to work from home on a temporary basis and have implemented travel restrictions.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Compensation Risk Management</w:t>
      </w:r>
    </w:p>
    <w:p>
      <w:pPr>
        <w:spacing w:after="0" w:line="124" w:lineRule="exact"/>
        <w:rPr>
          <w:sz w:val="20"/>
          <w:szCs w:val="20"/>
          <w:color w:val="auto"/>
        </w:rPr>
      </w:pPr>
    </w:p>
    <w:p>
      <w:pPr>
        <w:ind w:left="760" w:right="480"/>
        <w:spacing w:after="0" w:line="267" w:lineRule="auto"/>
        <w:rPr>
          <w:sz w:val="20"/>
          <w:szCs w:val="20"/>
          <w:color w:val="auto"/>
        </w:rPr>
      </w:pPr>
      <w:r>
        <w:rPr>
          <w:rFonts w:ascii="Arial" w:cs="Arial" w:eastAsia="Arial" w:hAnsi="Arial"/>
          <w:sz w:val="16"/>
          <w:szCs w:val="16"/>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our executive officers, either individually or as a group, make excessively risky business decisions that could maximize short-term results at the expense of long-term value:</w:t>
      </w:r>
    </w:p>
    <w:p>
      <w:pPr>
        <w:spacing w:after="0" w:line="27" w:lineRule="exact"/>
        <w:rPr>
          <w:sz w:val="20"/>
          <w:szCs w:val="20"/>
          <w:color w:val="auto"/>
        </w:rPr>
      </w:pPr>
    </w:p>
    <w:p>
      <w:pPr>
        <w:ind w:left="920" w:right="600" w:hanging="156"/>
        <w:spacing w:after="0" w:line="263" w:lineRule="auto"/>
        <w:tabs>
          <w:tab w:leader="none" w:pos="920" w:val="left"/>
        </w:tabs>
        <w:numPr>
          <w:ilvl w:val="0"/>
          <w:numId w:val="33"/>
        </w:numPr>
        <w:rPr>
          <w:rFonts w:ascii="Arial" w:cs="Arial" w:eastAsia="Arial" w:hAnsi="Arial"/>
          <w:sz w:val="16"/>
          <w:szCs w:val="16"/>
          <w:color w:val="6A2887"/>
        </w:rPr>
      </w:pPr>
      <w:r>
        <w:rPr>
          <w:rFonts w:ascii="Arial" w:cs="Arial" w:eastAsia="Arial" w:hAnsi="Arial"/>
          <w:sz w:val="16"/>
          <w:szCs w:val="16"/>
          <w:i w:val="1"/>
          <w:iCs w:val="1"/>
          <w:color w:val="auto"/>
        </w:rPr>
        <w:t>Balanced Mix of Pay Components</w:t>
      </w:r>
      <w:r>
        <w:rPr>
          <w:rFonts w:ascii="Arial" w:cs="Arial" w:eastAsia="Arial" w:hAnsi="Arial"/>
          <w:sz w:val="16"/>
          <w:szCs w:val="16"/>
          <w:color w:val="auto"/>
        </w:rPr>
        <w:t>. The target compensation mix is not overly weighted toward annual incentive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balance of base salary, annual short-term incentive compensation in the form of a cash bonus, and long-term equity-based compensation vesting over four years or based on long-term performance objectives;</w:t>
      </w:r>
    </w:p>
    <w:p>
      <w:pPr>
        <w:spacing w:after="0" w:line="29" w:lineRule="exact"/>
        <w:rPr>
          <w:rFonts w:ascii="Arial" w:cs="Arial" w:eastAsia="Arial" w:hAnsi="Arial"/>
          <w:sz w:val="16"/>
          <w:szCs w:val="16"/>
          <w:color w:val="6A2887"/>
        </w:rPr>
      </w:pPr>
    </w:p>
    <w:p>
      <w:pPr>
        <w:ind w:left="920" w:hanging="156"/>
        <w:spacing w:after="0"/>
        <w:tabs>
          <w:tab w:leader="none" w:pos="920" w:val="left"/>
        </w:tabs>
        <w:numPr>
          <w:ilvl w:val="0"/>
          <w:numId w:val="33"/>
        </w:numPr>
        <w:rPr>
          <w:rFonts w:ascii="Arial" w:cs="Arial" w:eastAsia="Arial" w:hAnsi="Arial"/>
          <w:sz w:val="16"/>
          <w:szCs w:val="16"/>
          <w:color w:val="6A2887"/>
        </w:rPr>
      </w:pPr>
      <w:r>
        <w:rPr>
          <w:rFonts w:ascii="Arial" w:cs="Arial" w:eastAsia="Arial" w:hAnsi="Arial"/>
          <w:sz w:val="16"/>
          <w:szCs w:val="16"/>
          <w:i w:val="1"/>
          <w:iCs w:val="1"/>
          <w:color w:val="auto"/>
        </w:rPr>
        <w:t>Bracketed Incentive Awards</w:t>
      </w:r>
      <w:r>
        <w:rPr>
          <w:rFonts w:ascii="Arial" w:cs="Arial" w:eastAsia="Arial" w:hAnsi="Arial"/>
          <w:sz w:val="16"/>
          <w:szCs w:val="16"/>
          <w:color w:val="auto"/>
        </w:rPr>
        <w:t>. Annual cash bonuses can be as little as 0%, but no more than 200%, of target;</w:t>
      </w:r>
    </w:p>
    <w:p>
      <w:pPr>
        <w:spacing w:after="0" w:line="59" w:lineRule="exact"/>
        <w:rPr>
          <w:rFonts w:ascii="Arial" w:cs="Arial" w:eastAsia="Arial" w:hAnsi="Arial"/>
          <w:sz w:val="16"/>
          <w:szCs w:val="16"/>
          <w:color w:val="6A2887"/>
        </w:rPr>
      </w:pPr>
    </w:p>
    <w:p>
      <w:pPr>
        <w:ind w:left="920" w:right="540" w:hanging="156"/>
        <w:spacing w:after="0" w:line="281" w:lineRule="auto"/>
        <w:tabs>
          <w:tab w:leader="none" w:pos="920" w:val="left"/>
        </w:tabs>
        <w:numPr>
          <w:ilvl w:val="0"/>
          <w:numId w:val="33"/>
        </w:numPr>
        <w:rPr>
          <w:rFonts w:ascii="Arial" w:cs="Arial" w:eastAsia="Arial" w:hAnsi="Arial"/>
          <w:sz w:val="16"/>
          <w:szCs w:val="16"/>
          <w:color w:val="6A2887"/>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Our executive officers and directors have guidelines suggesting that they achieve and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of substantial equity positions in our stock; and</w:t>
      </w:r>
    </w:p>
    <w:p>
      <w:pPr>
        <w:spacing w:after="0" w:line="1" w:lineRule="exact"/>
        <w:rPr>
          <w:rFonts w:ascii="Arial" w:cs="Arial" w:eastAsia="Arial" w:hAnsi="Arial"/>
          <w:sz w:val="16"/>
          <w:szCs w:val="16"/>
          <w:color w:val="6A2887"/>
        </w:rPr>
      </w:pPr>
    </w:p>
    <w:p>
      <w:pPr>
        <w:ind w:left="920" w:hanging="156"/>
        <w:spacing w:after="0"/>
        <w:tabs>
          <w:tab w:leader="none" w:pos="920" w:val="left"/>
        </w:tabs>
        <w:numPr>
          <w:ilvl w:val="0"/>
          <w:numId w:val="33"/>
        </w:numPr>
        <w:rPr>
          <w:rFonts w:ascii="Arial" w:cs="Arial" w:eastAsia="Arial" w:hAnsi="Arial"/>
          <w:sz w:val="16"/>
          <w:szCs w:val="16"/>
          <w:color w:val="6A2887"/>
        </w:rPr>
      </w:pPr>
      <w:r>
        <w:rPr>
          <w:rFonts w:ascii="Arial" w:cs="Arial" w:eastAsia="Arial" w:hAnsi="Arial"/>
          <w:sz w:val="16"/>
          <w:szCs w:val="16"/>
          <w:i w:val="1"/>
          <w:iCs w:val="1"/>
          <w:color w:val="auto"/>
        </w:rPr>
        <w:t>Performance Assessments</w:t>
      </w:r>
      <w:r>
        <w:rPr>
          <w:rFonts w:ascii="Arial" w:cs="Arial" w:eastAsia="Arial" w:hAnsi="Arial"/>
          <w:sz w:val="16"/>
          <w:szCs w:val="16"/>
          <w:color w:val="auto"/>
        </w:rPr>
        <w:t>. Compliance and ethical behaviors are integral factors considered in all performance assessments.</w:t>
      </w:r>
    </w:p>
    <w:p>
      <w:pPr>
        <w:spacing w:after="0" w:line="116" w:lineRule="exact"/>
        <w:rPr>
          <w:sz w:val="20"/>
          <w:szCs w:val="20"/>
          <w:color w:val="auto"/>
        </w:rPr>
      </w:pPr>
    </w:p>
    <w:p>
      <w:pPr>
        <w:ind w:left="760" w:right="340"/>
        <w:spacing w:after="0" w:line="286" w:lineRule="auto"/>
        <w:rPr>
          <w:sz w:val="20"/>
          <w:szCs w:val="20"/>
          <w:color w:val="auto"/>
        </w:rPr>
      </w:pPr>
      <w:r>
        <w:rPr>
          <w:rFonts w:ascii="Arial" w:cs="Arial" w:eastAsia="Arial" w:hAnsi="Arial"/>
          <w:sz w:val="15"/>
          <w:szCs w:val="15"/>
          <w:color w:val="auto"/>
        </w:rPr>
        <w:t>The Company also closely examines its broader compensation policies and actual compensation practices for all employees, including non-executive officers, to assess whether those compensation policies or practices create unreasonable risks. Management conducts the initial risk assessment before presenting potential plans to the Compensation Committee for its review, and, in the case of executive officers, its approval. Management has not identified any plans or practices presenting such risks to date, and the Compensation Committee has reviewed and agrees with management’s conclusion. The Compensation Committee believes that the mix and design of the elements of our compensation program are appropriate and encourage executive officers and key employees to strive to achieve goals that benefit the Company and our shareholders over the long term.</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Committee and Shareholder Meetings</w:t>
      </w:r>
    </w:p>
    <w:p>
      <w:pPr>
        <w:spacing w:after="0" w:line="132" w:lineRule="exact"/>
        <w:rPr>
          <w:sz w:val="20"/>
          <w:szCs w:val="20"/>
          <w:color w:val="auto"/>
        </w:rPr>
      </w:pPr>
    </w:p>
    <w:p>
      <w:pPr>
        <w:ind w:left="760" w:right="460"/>
        <w:spacing w:after="0" w:line="268" w:lineRule="auto"/>
        <w:rPr>
          <w:sz w:val="20"/>
          <w:szCs w:val="20"/>
          <w:color w:val="auto"/>
        </w:rPr>
      </w:pPr>
      <w:r>
        <w:rPr>
          <w:rFonts w:ascii="Arial" w:cs="Arial" w:eastAsia="Arial" w:hAnsi="Arial"/>
          <w:sz w:val="16"/>
          <w:szCs w:val="16"/>
          <w:color w:val="auto"/>
        </w:rPr>
        <w:t xml:space="preserve">Our Board has three standing committees: Audit and Compliance Committee; Compensation Committee; and Nominating and Corporate Governance Committee. Each committee is comprised entirely of independent directors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w:t>
      </w:r>
    </w:p>
    <w:p>
      <w:pPr>
        <w:spacing w:after="0" w:line="83" w:lineRule="exact"/>
        <w:rPr>
          <w:sz w:val="20"/>
          <w:szCs w:val="20"/>
          <w:color w:val="auto"/>
        </w:rPr>
      </w:pPr>
    </w:p>
    <w:p>
      <w:pPr>
        <w:ind w:left="760" w:right="280"/>
        <w:spacing w:after="0" w:line="267" w:lineRule="auto"/>
        <w:rPr>
          <w:sz w:val="20"/>
          <w:szCs w:val="20"/>
          <w:color w:val="auto"/>
        </w:rPr>
      </w:pPr>
      <w:r>
        <w:rPr>
          <w:rFonts w:ascii="Arial" w:cs="Arial" w:eastAsia="Arial" w:hAnsi="Arial"/>
          <w:sz w:val="16"/>
          <w:szCs w:val="16"/>
          <w:color w:val="auto"/>
        </w:rPr>
        <w:t>The Board held six meetings during the year ended December 31, 2019, of which four were regularly scheduled and two were additional meetings, and acted by unanimous written consent on three occasions. Each of the directors attended at least 75 of the total number of Board meetings and meetings of the committees on which he/she served. We do not have a formal policy on director attendance at our AGM. Our 2019 AGM was a hybrid meeting, held in London and audio live streamed online. All directors attended the 2019 AGM either in person or virtually.</w:t>
      </w:r>
    </w:p>
    <w:p>
      <w:pPr>
        <w:spacing w:after="0" w:line="84" w:lineRule="exact"/>
        <w:rPr>
          <w:sz w:val="20"/>
          <w:szCs w:val="20"/>
          <w:color w:val="auto"/>
        </w:rPr>
      </w:pPr>
    </w:p>
    <w:p>
      <w:pPr>
        <w:ind w:left="760" w:right="300"/>
        <w:spacing w:after="0" w:line="278" w:lineRule="auto"/>
        <w:rPr>
          <w:sz w:val="20"/>
          <w:szCs w:val="20"/>
          <w:color w:val="auto"/>
        </w:rPr>
      </w:pPr>
      <w:r>
        <w:rPr>
          <w:rFonts w:ascii="Arial" w:cs="Arial" w:eastAsia="Arial" w:hAnsi="Arial"/>
          <w:sz w:val="16"/>
          <w:szCs w:val="16"/>
          <w:color w:val="auto"/>
        </w:rPr>
        <w:t>The following table summarizes (i) the membership of the Board, (ii) the members of each of the Board’s standing committees and (iii) the number of times each committee met.</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120"/>
        <w:spacing w:after="0"/>
        <w:rPr>
          <w:sz w:val="20"/>
          <w:szCs w:val="20"/>
          <w:color w:val="auto"/>
        </w:rPr>
      </w:pPr>
      <w:r>
        <w:rPr>
          <w:rFonts w:ascii="Arial" w:cs="Arial" w:eastAsia="Arial" w:hAnsi="Arial"/>
          <w:sz w:val="14"/>
          <w:szCs w:val="14"/>
          <w:b w:val="1"/>
          <w:bCs w:val="1"/>
          <w:color w:val="6A2887"/>
        </w:rPr>
        <w:t>Members of the Board’s standing committees as of</w:t>
      </w:r>
    </w:p>
    <w:p>
      <w:pPr>
        <w:spacing w:after="0" w:line="19" w:lineRule="exact"/>
        <w:rPr>
          <w:sz w:val="20"/>
          <w:szCs w:val="20"/>
          <w:color w:val="auto"/>
        </w:rPr>
      </w:pPr>
    </w:p>
    <w:p>
      <w:pPr>
        <w:jc w:val="center"/>
        <w:ind w:left="3160"/>
        <w:spacing w:after="0"/>
        <w:rPr>
          <w:sz w:val="20"/>
          <w:szCs w:val="20"/>
          <w:color w:val="auto"/>
        </w:rPr>
      </w:pPr>
      <w:r>
        <w:rPr>
          <w:rFonts w:ascii="Arial" w:cs="Arial" w:eastAsia="Arial" w:hAnsi="Arial"/>
          <w:sz w:val="14"/>
          <w:szCs w:val="14"/>
          <w:b w:val="1"/>
          <w:bCs w:val="1"/>
          <w:color w:val="6A2887"/>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6350</wp:posOffset>
            </wp:positionV>
            <wp:extent cx="3505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tcPr>
          <w:p>
            <w:pPr>
              <w:jc w:val="center"/>
              <w:ind w:left="46"/>
              <w:spacing w:after="0"/>
              <w:rPr>
                <w:sz w:val="20"/>
                <w:szCs w:val="20"/>
                <w:color w:val="auto"/>
              </w:rPr>
            </w:pPr>
            <w:r>
              <w:rPr>
                <w:rFonts w:ascii="Arial" w:cs="Arial" w:eastAsia="Arial" w:hAnsi="Arial"/>
                <w:sz w:val="14"/>
                <w:szCs w:val="14"/>
                <w:b w:val="1"/>
                <w:bCs w:val="1"/>
                <w:color w:val="6A2887"/>
              </w:rPr>
              <w:t>Nominating and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640" w:type="dxa"/>
            <w:vAlign w:val="bottom"/>
          </w:tcPr>
          <w:p>
            <w:pPr>
              <w:jc w:val="center"/>
              <w:ind w:left="105"/>
              <w:spacing w:after="0"/>
              <w:rPr>
                <w:sz w:val="20"/>
                <w:szCs w:val="20"/>
                <w:color w:val="auto"/>
              </w:rPr>
            </w:pPr>
            <w:r>
              <w:rPr>
                <w:rFonts w:ascii="Arial" w:cs="Arial" w:eastAsia="Arial" w:hAnsi="Arial"/>
                <w:sz w:val="14"/>
                <w:szCs w:val="14"/>
                <w:b w:val="1"/>
                <w:bCs w:val="1"/>
                <w:color w:val="6A2887"/>
              </w:rPr>
              <w:t>Compensation</w:t>
            </w:r>
          </w:p>
        </w:tc>
        <w:tc>
          <w:tcPr>
            <w:tcW w:w="2140" w:type="dxa"/>
            <w:vAlign w:val="bottom"/>
          </w:tcPr>
          <w:p>
            <w:pPr>
              <w:jc w:val="center"/>
              <w:ind w:left="46"/>
              <w:spacing w:after="0"/>
              <w:rPr>
                <w:sz w:val="20"/>
                <w:szCs w:val="20"/>
                <w:color w:val="auto"/>
              </w:rPr>
            </w:pPr>
            <w:r>
              <w:rPr>
                <w:rFonts w:ascii="Arial" w:cs="Arial" w:eastAsia="Arial" w:hAnsi="Arial"/>
                <w:sz w:val="14"/>
                <w:szCs w:val="14"/>
                <w:b w:val="1"/>
                <w:bCs w:val="1"/>
                <w:color w:val="6A2887"/>
              </w:rPr>
              <w:t>Corporate Governance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6A2887"/>
              </w:rPr>
              <w:t>Audit and Compliance</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6A2887"/>
            </w:tcBorders>
          </w:tcPr>
          <w:p>
            <w:pPr>
              <w:spacing w:after="0"/>
              <w:rPr>
                <w:sz w:val="16"/>
                <w:szCs w:val="16"/>
                <w:color w:val="auto"/>
              </w:rPr>
            </w:pPr>
          </w:p>
        </w:tc>
        <w:tc>
          <w:tcPr>
            <w:tcW w:w="1640" w:type="dxa"/>
            <w:vAlign w:val="bottom"/>
            <w:tcBorders>
              <w:bottom w:val="single" w:sz="8" w:color="6A2887"/>
            </w:tcBorders>
          </w:tcPr>
          <w:p>
            <w:pPr>
              <w:jc w:val="center"/>
              <w:ind w:left="145"/>
              <w:spacing w:after="0"/>
              <w:rPr>
                <w:sz w:val="20"/>
                <w:szCs w:val="20"/>
                <w:color w:val="auto"/>
              </w:rPr>
            </w:pPr>
            <w:r>
              <w:rPr>
                <w:rFonts w:ascii="Arial" w:cs="Arial" w:eastAsia="Arial" w:hAnsi="Arial"/>
                <w:sz w:val="14"/>
                <w:szCs w:val="14"/>
                <w:b w:val="1"/>
                <w:bCs w:val="1"/>
                <w:color w:val="6A2887"/>
              </w:rPr>
              <w:t>Committee</w:t>
            </w:r>
          </w:p>
        </w:tc>
        <w:tc>
          <w:tcPr>
            <w:tcW w:w="2140" w:type="dxa"/>
            <w:vAlign w:val="bottom"/>
            <w:tcBorders>
              <w:bottom w:val="single" w:sz="8" w:color="6A2887"/>
            </w:tcBorders>
          </w:tcPr>
          <w:p>
            <w:pPr>
              <w:jc w:val="center"/>
              <w:ind w:left="86"/>
              <w:spacing w:after="0"/>
              <w:rPr>
                <w:sz w:val="20"/>
                <w:szCs w:val="20"/>
                <w:color w:val="auto"/>
              </w:rPr>
            </w:pPr>
            <w:r>
              <w:rPr>
                <w:rFonts w:ascii="Arial" w:cs="Arial" w:eastAsia="Arial" w:hAnsi="Arial"/>
                <w:sz w:val="14"/>
                <w:szCs w:val="14"/>
                <w:b w:val="1"/>
                <w:bCs w:val="1"/>
                <w:color w:val="6A2887"/>
              </w:rPr>
              <w:t>Committee</w:t>
            </w:r>
          </w:p>
        </w:tc>
        <w:tc>
          <w:tcPr>
            <w:tcW w:w="174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rPr>
              <w:t>Committee</w:t>
            </w:r>
          </w:p>
        </w:tc>
        <w:tc>
          <w:tcPr>
            <w:tcW w:w="0" w:type="dxa"/>
            <w:vAlign w:val="bottom"/>
          </w:tcPr>
          <w:p>
            <w:pPr>
              <w:spacing w:after="0"/>
              <w:rPr>
                <w:sz w:val="1"/>
                <w:szCs w:val="1"/>
                <w:color w:val="auto"/>
              </w:rPr>
            </w:pPr>
          </w:p>
        </w:tc>
      </w:tr>
      <w:tr>
        <w:trPr>
          <w:trHeight w:val="169"/>
        </w:trPr>
        <w:tc>
          <w:tcPr>
            <w:tcW w:w="3660" w:type="dxa"/>
            <w:vAlign w:val="bottom"/>
          </w:tcPr>
          <w:p>
            <w:pPr>
              <w:ind w:left="60"/>
              <w:spacing w:after="0" w:line="169" w:lineRule="exact"/>
              <w:rPr>
                <w:sz w:val="20"/>
                <w:szCs w:val="20"/>
                <w:color w:val="auto"/>
              </w:rPr>
            </w:pPr>
            <w:r>
              <w:rPr>
                <w:rFonts w:ascii="Arial" w:cs="Arial" w:eastAsia="Arial" w:hAnsi="Arial"/>
                <w:sz w:val="15"/>
                <w:szCs w:val="15"/>
                <w:color w:val="auto"/>
              </w:rPr>
              <w:t>Francesco Bianchi</w:t>
            </w:r>
          </w:p>
        </w:tc>
        <w:tc>
          <w:tcPr>
            <w:tcW w:w="1640" w:type="dxa"/>
            <w:vAlign w:val="bottom"/>
          </w:tcPr>
          <w:p>
            <w:pPr>
              <w:jc w:val="center"/>
              <w:ind w:left="145"/>
              <w:spacing w:after="0" w:line="151" w:lineRule="exact"/>
              <w:rPr>
                <w:sz w:val="20"/>
                <w:szCs w:val="20"/>
                <w:color w:val="auto"/>
              </w:rPr>
            </w:pPr>
            <w:r>
              <w:rPr>
                <w:rFonts w:ascii="MS PGothic" w:cs="MS PGothic" w:eastAsia="MS PGothic" w:hAnsi="MS PGothic"/>
                <w:sz w:val="15"/>
                <w:szCs w:val="15"/>
                <w:color w:val="6A2887"/>
                <w:w w:val="93"/>
              </w:rPr>
              <w:t>✔</w:t>
            </w:r>
          </w:p>
        </w:tc>
        <w:tc>
          <w:tcPr>
            <w:tcW w:w="2140" w:type="dxa"/>
            <w:vAlign w:val="bottom"/>
          </w:tcPr>
          <w:p>
            <w:pPr>
              <w:spacing w:after="0"/>
              <w:rPr>
                <w:sz w:val="14"/>
                <w:szCs w:val="14"/>
                <w:color w:val="auto"/>
              </w:rPr>
            </w:pPr>
          </w:p>
        </w:tc>
        <w:tc>
          <w:tcPr>
            <w:tcW w:w="1740" w:type="dxa"/>
            <w:vAlign w:val="bottom"/>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Stacy Enxing Seng</w:t>
            </w:r>
          </w:p>
        </w:tc>
        <w:tc>
          <w:tcPr>
            <w:tcW w:w="1640" w:type="dxa"/>
            <w:vAlign w:val="bottom"/>
            <w:shd w:val="clear" w:color="auto" w:fill="EFE9FC"/>
          </w:tcPr>
          <w:p>
            <w:pPr>
              <w:jc w:val="center"/>
              <w:ind w:left="145"/>
              <w:spacing w:after="0" w:line="151" w:lineRule="exact"/>
              <w:rPr>
                <w:sz w:val="20"/>
                <w:szCs w:val="20"/>
                <w:color w:val="auto"/>
              </w:rPr>
            </w:pPr>
            <w:r>
              <w:rPr>
                <w:rFonts w:ascii="MS PGothic" w:cs="MS PGothic" w:eastAsia="MS PGothic" w:hAnsi="MS PGothic"/>
                <w:sz w:val="15"/>
                <w:szCs w:val="15"/>
                <w:color w:val="6A2887"/>
                <w:w w:val="93"/>
              </w:rPr>
              <w:t>✔</w:t>
            </w: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60"/>
              <w:spacing w:after="0"/>
              <w:rPr>
                <w:sz w:val="20"/>
                <w:szCs w:val="20"/>
                <w:color w:val="auto"/>
              </w:rPr>
            </w:pPr>
            <w:r>
              <w:rPr>
                <w:rFonts w:ascii="Arial" w:cs="Arial" w:eastAsia="Arial" w:hAnsi="Arial"/>
                <w:sz w:val="15"/>
                <w:szCs w:val="15"/>
                <w:color w:val="auto"/>
              </w:rPr>
              <w:t>William Kozy</w:t>
            </w:r>
          </w:p>
        </w:tc>
        <w:tc>
          <w:tcPr>
            <w:tcW w:w="1640" w:type="dxa"/>
            <w:vAlign w:val="bottom"/>
          </w:tcPr>
          <w:p>
            <w:pPr>
              <w:spacing w:after="0"/>
              <w:rPr>
                <w:sz w:val="15"/>
                <w:szCs w:val="15"/>
                <w:color w:val="auto"/>
              </w:rPr>
            </w:pPr>
          </w:p>
        </w:tc>
        <w:tc>
          <w:tcPr>
            <w:tcW w:w="2140" w:type="dxa"/>
            <w:vAlign w:val="bottom"/>
          </w:tcPr>
          <w:p>
            <w:pPr>
              <w:jc w:val="center"/>
              <w:ind w:left="86"/>
              <w:spacing w:after="0" w:line="151" w:lineRule="exact"/>
              <w:rPr>
                <w:sz w:val="20"/>
                <w:szCs w:val="20"/>
                <w:color w:val="auto"/>
              </w:rPr>
            </w:pPr>
            <w:r>
              <w:rPr>
                <w:rFonts w:ascii="MS PGothic" w:cs="MS PGothic" w:eastAsia="MS PGothic" w:hAnsi="MS PGothic"/>
                <w:sz w:val="15"/>
                <w:szCs w:val="15"/>
                <w:color w:val="6A2887"/>
                <w:w w:val="93"/>
              </w:rPr>
              <w: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Damien McDonald</w:t>
            </w:r>
          </w:p>
        </w:tc>
        <w:tc>
          <w:tcPr>
            <w:tcW w:w="1640" w:type="dxa"/>
            <w:vAlign w:val="bottom"/>
            <w:shd w:val="clear" w:color="auto" w:fill="EFE9FC"/>
          </w:tcPr>
          <w:p>
            <w:pPr>
              <w:spacing w:after="0"/>
              <w:rPr>
                <w:sz w:val="17"/>
                <w:szCs w:val="17"/>
                <w:color w:val="auto"/>
              </w:rPr>
            </w:pP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60"/>
              <w:spacing w:after="0"/>
              <w:rPr>
                <w:sz w:val="20"/>
                <w:szCs w:val="20"/>
                <w:color w:val="auto"/>
              </w:rPr>
            </w:pPr>
            <w:r>
              <w:rPr>
                <w:rFonts w:ascii="Arial" w:cs="Arial" w:eastAsia="Arial" w:hAnsi="Arial"/>
                <w:sz w:val="15"/>
                <w:szCs w:val="15"/>
                <w:color w:val="auto"/>
              </w:rPr>
              <w:t>Daniel Moore</w:t>
            </w: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660" w:type="dxa"/>
            <w:vAlign w:val="bottom"/>
          </w:tcPr>
          <w:p>
            <w:pPr>
              <w:ind w:left="220"/>
              <w:spacing w:after="0"/>
              <w:rPr>
                <w:sz w:val="20"/>
                <w:szCs w:val="20"/>
                <w:color w:val="auto"/>
              </w:rPr>
            </w:pPr>
            <w:r>
              <w:rPr>
                <w:rFonts w:ascii="Arial" w:cs="Arial" w:eastAsia="Arial" w:hAnsi="Arial"/>
                <w:sz w:val="15"/>
                <w:szCs w:val="15"/>
                <w:color w:val="auto"/>
              </w:rPr>
              <w:t>(Chairman of the Board)</w:t>
            </w:r>
          </w:p>
        </w:tc>
        <w:tc>
          <w:tcPr>
            <w:tcW w:w="1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Hugh Morrison</w:t>
            </w:r>
          </w:p>
        </w:tc>
        <w:tc>
          <w:tcPr>
            <w:tcW w:w="1640" w:type="dxa"/>
            <w:vAlign w:val="bottom"/>
            <w:shd w:val="clear" w:color="auto" w:fill="EFE9FC"/>
          </w:tcPr>
          <w:p>
            <w:pPr>
              <w:spacing w:after="0"/>
              <w:rPr>
                <w:sz w:val="24"/>
                <w:szCs w:val="24"/>
                <w:color w:val="auto"/>
              </w:rPr>
            </w:pPr>
          </w:p>
        </w:tc>
        <w:tc>
          <w:tcPr>
            <w:tcW w:w="2140" w:type="dxa"/>
            <w:vAlign w:val="bottom"/>
            <w:shd w:val="clear" w:color="auto" w:fill="EFE9FC"/>
          </w:tcPr>
          <w:p>
            <w:pPr>
              <w:jc w:val="center"/>
              <w:ind w:left="86"/>
              <w:spacing w:after="0" w:line="151" w:lineRule="exact"/>
              <w:rPr>
                <w:sz w:val="20"/>
                <w:szCs w:val="20"/>
                <w:color w:val="auto"/>
              </w:rPr>
            </w:pPr>
            <w:r>
              <w:rPr>
                <w:rFonts w:ascii="MS PGothic" w:cs="MS PGothic" w:eastAsia="MS PGothic" w:hAnsi="MS PGothic"/>
                <w:sz w:val="15"/>
                <w:szCs w:val="15"/>
                <w:color w:val="6A2887"/>
                <w:w w:val="93"/>
              </w:rPr>
              <w:t>✔</w:t>
            </w:r>
          </w:p>
        </w:tc>
        <w:tc>
          <w:tcPr>
            <w:tcW w:w="1740" w:type="dxa"/>
            <w:vAlign w:val="bottom"/>
            <w:vMerge w:val="restart"/>
            <w:shd w:val="clear" w:color="auto" w:fill="EFE9FC"/>
          </w:tcPr>
          <w:p>
            <w:pPr>
              <w:ind w:left="720"/>
              <w:spacing w:after="0" w:line="151" w:lineRule="exact"/>
              <w:rPr>
                <w:sz w:val="20"/>
                <w:szCs w:val="20"/>
                <w:color w:val="auto"/>
              </w:rPr>
            </w:pPr>
            <w:r>
              <w:rPr>
                <w:rFonts w:ascii="MS PGothic" w:cs="MS PGothic" w:eastAsia="MS PGothic" w:hAnsi="MS PGothic"/>
                <w:sz w:val="15"/>
                <w:szCs w:val="15"/>
                <w:color w:val="6A2887"/>
              </w:rPr>
              <w:t>✔</w:t>
            </w:r>
          </w:p>
        </w:tc>
        <w:tc>
          <w:tcPr>
            <w:tcW w:w="0" w:type="dxa"/>
            <w:vAlign w:val="bottom"/>
          </w:tcPr>
          <w:p>
            <w:pPr>
              <w:spacing w:after="0"/>
              <w:rPr>
                <w:sz w:val="1"/>
                <w:szCs w:val="1"/>
                <w:color w:val="auto"/>
              </w:rPr>
            </w:pPr>
          </w:p>
        </w:tc>
      </w:tr>
      <w:tr>
        <w:trPr>
          <w:trHeight w:val="73"/>
        </w:trPr>
        <w:tc>
          <w:tcPr>
            <w:tcW w:w="3660" w:type="dxa"/>
            <w:vAlign w:val="bottom"/>
            <w:shd w:val="clear" w:color="auto" w:fill="EFE9FC"/>
          </w:tcPr>
          <w:p>
            <w:pPr>
              <w:spacing w:after="0"/>
              <w:rPr>
                <w:sz w:val="6"/>
                <w:szCs w:val="6"/>
                <w:color w:val="auto"/>
              </w:rPr>
            </w:pPr>
          </w:p>
        </w:tc>
        <w:tc>
          <w:tcPr>
            <w:tcW w:w="1640" w:type="dxa"/>
            <w:vAlign w:val="bottom"/>
            <w:shd w:val="clear" w:color="auto" w:fill="EFE9FC"/>
          </w:tcPr>
          <w:p>
            <w:pPr>
              <w:spacing w:after="0"/>
              <w:rPr>
                <w:sz w:val="6"/>
                <w:szCs w:val="6"/>
                <w:color w:val="auto"/>
              </w:rPr>
            </w:pPr>
          </w:p>
        </w:tc>
        <w:tc>
          <w:tcPr>
            <w:tcW w:w="2140" w:type="dxa"/>
            <w:vAlign w:val="bottom"/>
            <w:shd w:val="clear" w:color="auto" w:fill="EFE9FC"/>
          </w:tcPr>
          <w:p>
            <w:pPr>
              <w:spacing w:after="0"/>
              <w:rPr>
                <w:sz w:val="6"/>
                <w:szCs w:val="6"/>
                <w:color w:val="auto"/>
              </w:rPr>
            </w:pPr>
          </w:p>
        </w:tc>
        <w:tc>
          <w:tcPr>
            <w:tcW w:w="1740" w:type="dxa"/>
            <w:vAlign w:val="bottom"/>
            <w:vMerge w:val="continue"/>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60" w:type="dxa"/>
            <w:vAlign w:val="bottom"/>
          </w:tcPr>
          <w:p>
            <w:pPr>
              <w:ind w:left="60"/>
              <w:spacing w:after="0"/>
              <w:rPr>
                <w:sz w:val="20"/>
                <w:szCs w:val="20"/>
                <w:color w:val="auto"/>
              </w:rPr>
            </w:pPr>
            <w:r>
              <w:rPr>
                <w:rFonts w:ascii="Arial" w:cs="Arial" w:eastAsia="Arial" w:hAnsi="Arial"/>
                <w:sz w:val="15"/>
                <w:szCs w:val="15"/>
                <w:color w:val="auto"/>
              </w:rPr>
              <w:t>Alfred Novak</w:t>
            </w:r>
          </w:p>
        </w:tc>
        <w:tc>
          <w:tcPr>
            <w:tcW w:w="1640" w:type="dxa"/>
            <w:vAlign w:val="bottom"/>
          </w:tcPr>
          <w:p>
            <w:pPr>
              <w:jc w:val="center"/>
              <w:ind w:left="145"/>
              <w:spacing w:after="0" w:line="151" w:lineRule="exact"/>
              <w:rPr>
                <w:sz w:val="20"/>
                <w:szCs w:val="20"/>
                <w:color w:val="auto"/>
              </w:rPr>
            </w:pPr>
            <w:r>
              <w:rPr>
                <w:rFonts w:ascii="MS PGothic" w:cs="MS PGothic" w:eastAsia="MS PGothic" w:hAnsi="MS PGothic"/>
                <w:sz w:val="15"/>
                <w:szCs w:val="15"/>
                <w:color w:val="6A2887"/>
                <w:w w:val="93"/>
              </w:rPr>
              <w:t>✔</w:t>
            </w:r>
          </w:p>
        </w:tc>
        <w:tc>
          <w:tcPr>
            <w:tcW w:w="2140" w:type="dxa"/>
            <w:vAlign w:val="bottom"/>
          </w:tcPr>
          <w:p>
            <w:pPr>
              <w:spacing w:after="0"/>
              <w:rPr>
                <w:sz w:val="15"/>
                <w:szCs w:val="15"/>
                <w:color w:val="auto"/>
              </w:rPr>
            </w:pPr>
          </w:p>
        </w:tc>
        <w:tc>
          <w:tcPr>
            <w:tcW w:w="1740" w:type="dxa"/>
            <w:vAlign w:val="bottom"/>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0" w:type="dxa"/>
            <w:vAlign w:val="bottom"/>
          </w:tcPr>
          <w:p>
            <w:pPr>
              <w:spacing w:after="0"/>
              <w:rPr>
                <w:sz w:val="1"/>
                <w:szCs w:val="1"/>
                <w:color w:val="auto"/>
              </w:rPr>
            </w:pPr>
          </w:p>
        </w:tc>
      </w:tr>
      <w:tr>
        <w:trPr>
          <w:trHeight w:val="289"/>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Sharon O’Kane</w:t>
            </w:r>
          </w:p>
        </w:tc>
        <w:tc>
          <w:tcPr>
            <w:tcW w:w="1640" w:type="dxa"/>
            <w:vAlign w:val="bottom"/>
            <w:shd w:val="clear" w:color="auto" w:fill="EFE9FC"/>
          </w:tcPr>
          <w:p>
            <w:pPr>
              <w:spacing w:after="0"/>
              <w:rPr>
                <w:sz w:val="24"/>
                <w:szCs w:val="24"/>
                <w:color w:val="auto"/>
              </w:rPr>
            </w:pPr>
          </w:p>
        </w:tc>
        <w:tc>
          <w:tcPr>
            <w:tcW w:w="2140" w:type="dxa"/>
            <w:vAlign w:val="bottom"/>
            <w:vMerge w:val="restart"/>
            <w:shd w:val="clear" w:color="auto" w:fill="EFE9FC"/>
          </w:tcPr>
          <w:p>
            <w:pPr>
              <w:ind w:left="1000"/>
              <w:spacing w:after="0" w:line="151" w:lineRule="exact"/>
              <w:rPr>
                <w:sz w:val="20"/>
                <w:szCs w:val="20"/>
                <w:color w:val="auto"/>
              </w:rPr>
            </w:pPr>
            <w:r>
              <w:rPr>
                <w:rFonts w:ascii="MS PGothic" w:cs="MS PGothic" w:eastAsia="MS PGothic" w:hAnsi="MS PGothic"/>
                <w:sz w:val="15"/>
                <w:szCs w:val="15"/>
                <w:color w:val="6A2887"/>
              </w:rPr>
              <w:t>✔</w:t>
            </w:r>
          </w:p>
        </w:tc>
        <w:tc>
          <w:tcPr>
            <w:tcW w:w="1740" w:type="dxa"/>
            <w:vAlign w:val="bottom"/>
            <w:shd w:val="clear" w:color="auto" w:fill="EFE9FC"/>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660" w:type="dxa"/>
            <w:vAlign w:val="bottom"/>
            <w:shd w:val="clear" w:color="auto" w:fill="EFE9FC"/>
          </w:tcPr>
          <w:p>
            <w:pPr>
              <w:spacing w:after="0"/>
              <w:rPr>
                <w:sz w:val="7"/>
                <w:szCs w:val="7"/>
                <w:color w:val="auto"/>
              </w:rPr>
            </w:pPr>
          </w:p>
        </w:tc>
        <w:tc>
          <w:tcPr>
            <w:tcW w:w="1640" w:type="dxa"/>
            <w:vAlign w:val="bottom"/>
            <w:shd w:val="clear" w:color="auto" w:fill="EFE9FC"/>
          </w:tcPr>
          <w:p>
            <w:pPr>
              <w:spacing w:after="0"/>
              <w:rPr>
                <w:sz w:val="7"/>
                <w:szCs w:val="7"/>
                <w:color w:val="auto"/>
              </w:rPr>
            </w:pPr>
          </w:p>
        </w:tc>
        <w:tc>
          <w:tcPr>
            <w:tcW w:w="2140" w:type="dxa"/>
            <w:vAlign w:val="bottom"/>
            <w:vMerge w:val="continue"/>
            <w:shd w:val="clear" w:color="auto" w:fill="EFE9FC"/>
          </w:tcPr>
          <w:p>
            <w:pPr>
              <w:spacing w:after="0"/>
              <w:rPr>
                <w:sz w:val="7"/>
                <w:szCs w:val="7"/>
                <w:color w:val="auto"/>
              </w:rPr>
            </w:pPr>
          </w:p>
        </w:tc>
        <w:tc>
          <w:tcPr>
            <w:tcW w:w="174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3660" w:type="dxa"/>
            <w:vAlign w:val="bottom"/>
          </w:tcPr>
          <w:p>
            <w:pPr>
              <w:ind w:left="60"/>
              <w:spacing w:after="0"/>
              <w:rPr>
                <w:sz w:val="20"/>
                <w:szCs w:val="20"/>
                <w:color w:val="auto"/>
              </w:rPr>
            </w:pPr>
            <w:r>
              <w:rPr>
                <w:rFonts w:ascii="Arial" w:cs="Arial" w:eastAsia="Arial" w:hAnsi="Arial"/>
                <w:sz w:val="15"/>
                <w:szCs w:val="15"/>
                <w:color w:val="auto"/>
              </w:rPr>
              <w:t>Arthur Rosenthal</w:t>
            </w:r>
          </w:p>
        </w:tc>
        <w:tc>
          <w:tcPr>
            <w:tcW w:w="1640" w:type="dxa"/>
            <w:vAlign w:val="bottom"/>
            <w:vMerge w:val="restart"/>
          </w:tcPr>
          <w:p>
            <w:pPr>
              <w:ind w:left="780"/>
              <w:spacing w:after="0" w:line="151" w:lineRule="exact"/>
              <w:rPr>
                <w:sz w:val="20"/>
                <w:szCs w:val="20"/>
                <w:color w:val="auto"/>
              </w:rPr>
            </w:pPr>
            <w:r>
              <w:rPr>
                <w:rFonts w:ascii="MS PGothic" w:cs="MS PGothic" w:eastAsia="MS PGothic" w:hAnsi="MS PGothic"/>
                <w:sz w:val="15"/>
                <w:szCs w:val="15"/>
                <w:color w:val="6A2887"/>
              </w:rPr>
              <w:t>✔</w:t>
            </w:r>
          </w:p>
        </w:tc>
        <w:tc>
          <w:tcPr>
            <w:tcW w:w="2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36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EFE9FC"/>
          </w:tcPr>
          <w:p>
            <w:pPr>
              <w:ind w:left="60"/>
              <w:spacing w:after="0"/>
              <w:rPr>
                <w:sz w:val="20"/>
                <w:szCs w:val="20"/>
                <w:color w:val="auto"/>
              </w:rPr>
            </w:pPr>
            <w:r>
              <w:rPr>
                <w:rFonts w:ascii="Arial" w:cs="Arial" w:eastAsia="Arial" w:hAnsi="Arial"/>
                <w:sz w:val="15"/>
                <w:szCs w:val="15"/>
                <w:color w:val="auto"/>
              </w:rPr>
              <w:t>Andrea Saia</w:t>
            </w:r>
          </w:p>
        </w:tc>
        <w:tc>
          <w:tcPr>
            <w:tcW w:w="1640" w:type="dxa"/>
            <w:vAlign w:val="bottom"/>
            <w:shd w:val="clear" w:color="auto" w:fill="EFE9FC"/>
          </w:tcPr>
          <w:p>
            <w:pPr>
              <w:spacing w:after="0"/>
              <w:rPr>
                <w:sz w:val="17"/>
                <w:szCs w:val="17"/>
                <w:color w:val="auto"/>
              </w:rPr>
            </w:pPr>
          </w:p>
        </w:tc>
        <w:tc>
          <w:tcPr>
            <w:tcW w:w="2140" w:type="dxa"/>
            <w:vAlign w:val="bottom"/>
            <w:shd w:val="clear" w:color="auto" w:fill="EFE9FC"/>
          </w:tcPr>
          <w:p>
            <w:pPr>
              <w:spacing w:after="0"/>
              <w:rPr>
                <w:sz w:val="17"/>
                <w:szCs w:val="17"/>
                <w:color w:val="auto"/>
              </w:rPr>
            </w:pPr>
          </w:p>
        </w:tc>
        <w:tc>
          <w:tcPr>
            <w:tcW w:w="1740" w:type="dxa"/>
            <w:vAlign w:val="bottom"/>
            <w:shd w:val="clear" w:color="auto" w:fill="EFE9FC"/>
          </w:tcPr>
          <w:p>
            <w:pPr>
              <w:jc w:val="center"/>
              <w:spacing w:after="0" w:line="151" w:lineRule="exact"/>
              <w:rPr>
                <w:sz w:val="20"/>
                <w:szCs w:val="20"/>
                <w:color w:val="auto"/>
              </w:rPr>
            </w:pPr>
            <w:r>
              <w:rPr>
                <w:rFonts w:ascii="MS PGothic" w:cs="MS PGothic" w:eastAsia="MS PGothic" w:hAnsi="MS PGothic"/>
                <w:sz w:val="15"/>
                <w:szCs w:val="15"/>
                <w:color w:val="6A2887"/>
                <w:w w:val="93"/>
              </w:rPr>
              <w:t>✔</w:t>
            </w:r>
          </w:p>
        </w:tc>
        <w:tc>
          <w:tcPr>
            <w:tcW w:w="0" w:type="dxa"/>
            <w:vAlign w:val="bottom"/>
          </w:tcPr>
          <w:p>
            <w:pPr>
              <w:spacing w:after="0"/>
              <w:rPr>
                <w:sz w:val="1"/>
                <w:szCs w:val="1"/>
                <w:color w:val="auto"/>
              </w:rPr>
            </w:pPr>
          </w:p>
        </w:tc>
      </w:tr>
      <w:tr>
        <w:trPr>
          <w:trHeight w:val="176"/>
        </w:trPr>
        <w:tc>
          <w:tcPr>
            <w:tcW w:w="3660" w:type="dxa"/>
            <w:vAlign w:val="bottom"/>
            <w:tcBorders>
              <w:bottom w:val="single" w:sz="8" w:color="EFE9FC"/>
            </w:tcBorders>
          </w:tcPr>
          <w:p>
            <w:pPr>
              <w:spacing w:after="0"/>
              <w:rPr>
                <w:sz w:val="15"/>
                <w:szCs w:val="15"/>
                <w:color w:val="auto"/>
              </w:rPr>
            </w:pPr>
          </w:p>
        </w:tc>
        <w:tc>
          <w:tcPr>
            <w:tcW w:w="1640" w:type="dxa"/>
            <w:vAlign w:val="bottom"/>
            <w:tcBorders>
              <w:bottom w:val="single" w:sz="8" w:color="6A2887"/>
            </w:tcBorders>
          </w:tcPr>
          <w:p>
            <w:pPr>
              <w:spacing w:after="0"/>
              <w:rPr>
                <w:sz w:val="15"/>
                <w:szCs w:val="15"/>
                <w:color w:val="auto"/>
              </w:rPr>
            </w:pPr>
          </w:p>
        </w:tc>
        <w:tc>
          <w:tcPr>
            <w:tcW w:w="2140" w:type="dxa"/>
            <w:vAlign w:val="bottom"/>
            <w:tcBorders>
              <w:bottom w:val="single" w:sz="8" w:color="6A2887"/>
            </w:tcBorders>
          </w:tcPr>
          <w:p>
            <w:pPr>
              <w:ind w:left="240"/>
              <w:spacing w:after="0"/>
              <w:rPr>
                <w:sz w:val="20"/>
                <w:szCs w:val="20"/>
                <w:color w:val="auto"/>
              </w:rPr>
            </w:pPr>
            <w:r>
              <w:rPr>
                <w:rFonts w:ascii="Arial" w:cs="Arial" w:eastAsia="Arial" w:hAnsi="Arial"/>
                <w:sz w:val="14"/>
                <w:szCs w:val="14"/>
                <w:b w:val="1"/>
                <w:bCs w:val="1"/>
                <w:color w:val="6A2887"/>
              </w:rPr>
              <w:t>Committee Actions in 2019</w:t>
            </w:r>
          </w:p>
        </w:tc>
        <w:tc>
          <w:tcPr>
            <w:tcW w:w="1740" w:type="dxa"/>
            <w:vAlign w:val="bottom"/>
            <w:tcBorders>
              <w:bottom w:val="single" w:sz="8" w:color="6A2887"/>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EFE9FC"/>
          </w:tcPr>
          <w:p>
            <w:pPr>
              <w:ind w:left="60"/>
              <w:spacing w:after="0" w:line="169" w:lineRule="exact"/>
              <w:rPr>
                <w:sz w:val="20"/>
                <w:szCs w:val="20"/>
                <w:color w:val="auto"/>
              </w:rPr>
            </w:pPr>
            <w:r>
              <w:rPr>
                <w:rFonts w:ascii="Arial" w:cs="Arial" w:eastAsia="Arial" w:hAnsi="Arial"/>
                <w:sz w:val="15"/>
                <w:szCs w:val="15"/>
                <w:color w:val="auto"/>
              </w:rPr>
              <w:t>Meetings</w:t>
            </w:r>
          </w:p>
        </w:tc>
        <w:tc>
          <w:tcPr>
            <w:tcW w:w="1640" w:type="dxa"/>
            <w:vAlign w:val="bottom"/>
            <w:shd w:val="clear" w:color="auto" w:fill="EFE9FC"/>
          </w:tcPr>
          <w:p>
            <w:pPr>
              <w:jc w:val="right"/>
              <w:ind w:right="545"/>
              <w:spacing w:after="0"/>
              <w:rPr>
                <w:sz w:val="20"/>
                <w:szCs w:val="20"/>
                <w:color w:val="auto"/>
              </w:rPr>
            </w:pPr>
            <w:r>
              <w:rPr>
                <w:rFonts w:ascii="Arial" w:cs="Arial" w:eastAsia="Arial" w:hAnsi="Arial"/>
                <w:sz w:val="15"/>
                <w:szCs w:val="15"/>
                <w:color w:val="auto"/>
              </w:rPr>
              <w:t>10</w:t>
            </w:r>
          </w:p>
        </w:tc>
        <w:tc>
          <w:tcPr>
            <w:tcW w:w="2140" w:type="dxa"/>
            <w:vAlign w:val="bottom"/>
            <w:shd w:val="clear" w:color="auto" w:fill="EFE9FC"/>
          </w:tcPr>
          <w:p>
            <w:pPr>
              <w:jc w:val="center"/>
              <w:ind w:left="66"/>
              <w:spacing w:after="0"/>
              <w:rPr>
                <w:sz w:val="20"/>
                <w:szCs w:val="20"/>
                <w:color w:val="auto"/>
              </w:rPr>
            </w:pPr>
            <w:r>
              <w:rPr>
                <w:rFonts w:ascii="Arial" w:cs="Arial" w:eastAsia="Arial" w:hAnsi="Arial"/>
                <w:sz w:val="15"/>
                <w:szCs w:val="15"/>
                <w:color w:val="auto"/>
                <w:w w:val="95"/>
              </w:rPr>
              <w:t>4</w:t>
            </w:r>
          </w:p>
        </w:tc>
        <w:tc>
          <w:tcPr>
            <w:tcW w:w="1740" w:type="dxa"/>
            <w:vAlign w:val="bottom"/>
            <w:shd w:val="clear" w:color="auto" w:fill="EFE9FC"/>
          </w:tcPr>
          <w:p>
            <w:pPr>
              <w:jc w:val="center"/>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5"/>
        </w:trPr>
        <w:tc>
          <w:tcPr>
            <w:tcW w:w="3660" w:type="dxa"/>
            <w:vAlign w:val="bottom"/>
            <w:tcBorders>
              <w:bottom w:val="single" w:sz="8" w:color="6A2887"/>
            </w:tcBorders>
          </w:tcPr>
          <w:p>
            <w:pPr>
              <w:ind w:left="60"/>
              <w:spacing w:after="0"/>
              <w:rPr>
                <w:sz w:val="20"/>
                <w:szCs w:val="20"/>
                <w:color w:val="auto"/>
              </w:rPr>
            </w:pPr>
            <w:r>
              <w:rPr>
                <w:rFonts w:ascii="Arial" w:cs="Arial" w:eastAsia="Arial" w:hAnsi="Arial"/>
                <w:sz w:val="15"/>
                <w:szCs w:val="15"/>
                <w:color w:val="auto"/>
              </w:rPr>
              <w:t>Written Resolutions</w:t>
            </w:r>
          </w:p>
        </w:tc>
        <w:tc>
          <w:tcPr>
            <w:tcW w:w="1640" w:type="dxa"/>
            <w:vAlign w:val="bottom"/>
            <w:tcBorders>
              <w:bottom w:val="single" w:sz="8" w:color="6A2887"/>
            </w:tcBorders>
          </w:tcPr>
          <w:p>
            <w:pPr>
              <w:jc w:val="right"/>
              <w:ind w:right="585"/>
              <w:spacing w:after="0"/>
              <w:rPr>
                <w:sz w:val="20"/>
                <w:szCs w:val="20"/>
                <w:color w:val="auto"/>
              </w:rPr>
            </w:pPr>
            <w:r>
              <w:rPr>
                <w:rFonts w:ascii="Arial" w:cs="Arial" w:eastAsia="Arial" w:hAnsi="Arial"/>
                <w:sz w:val="15"/>
                <w:szCs w:val="15"/>
                <w:color w:val="auto"/>
              </w:rPr>
              <w:t>2</w:t>
            </w:r>
          </w:p>
        </w:tc>
        <w:tc>
          <w:tcPr>
            <w:tcW w:w="2140" w:type="dxa"/>
            <w:vAlign w:val="bottom"/>
            <w:tcBorders>
              <w:bottom w:val="single" w:sz="8" w:color="6A2887"/>
            </w:tcBorders>
          </w:tcPr>
          <w:p>
            <w:pPr>
              <w:jc w:val="center"/>
              <w:ind w:left="66"/>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6A2887"/>
            </w:tcBorders>
          </w:tcPr>
          <w:p>
            <w:pPr>
              <w:jc w:val="center"/>
              <w:spacing w:after="0"/>
              <w:rPr>
                <w:sz w:val="20"/>
                <w:szCs w:val="20"/>
                <w:color w:val="auto"/>
              </w:rPr>
            </w:pPr>
            <w:r>
              <w:rPr>
                <w:rFonts w:ascii="Arial" w:cs="Arial" w:eastAsia="Arial" w:hAnsi="Arial"/>
                <w:sz w:val="15"/>
                <w:szCs w:val="15"/>
                <w:color w:val="auto"/>
                <w:w w:val="95"/>
              </w:rPr>
              <w:t>1</w:t>
            </w:r>
          </w:p>
        </w:tc>
        <w:tc>
          <w:tcPr>
            <w:tcW w:w="0" w:type="dxa"/>
            <w:vAlign w:val="bottom"/>
          </w:tcPr>
          <w:p>
            <w:pPr>
              <w:spacing w:after="0"/>
              <w:rPr>
                <w:sz w:val="1"/>
                <w:szCs w:val="1"/>
                <w:color w:val="auto"/>
              </w:rPr>
            </w:pPr>
          </w:p>
        </w:tc>
      </w:tr>
      <w:tr>
        <w:trPr>
          <w:trHeight w:val="170"/>
        </w:trPr>
        <w:tc>
          <w:tcPr>
            <w:tcW w:w="3660" w:type="dxa"/>
            <w:vAlign w:val="bottom"/>
          </w:tcPr>
          <w:p>
            <w:pPr>
              <w:ind w:left="220"/>
              <w:spacing w:after="0"/>
              <w:rPr>
                <w:sz w:val="20"/>
                <w:szCs w:val="20"/>
                <w:color w:val="auto"/>
              </w:rPr>
            </w:pPr>
            <w:r>
              <w:rPr>
                <w:rFonts w:ascii="Arial" w:cs="Arial" w:eastAsia="Arial" w:hAnsi="Arial"/>
                <w:sz w:val="13"/>
                <w:szCs w:val="13"/>
                <w:i w:val="1"/>
                <w:iCs w:val="1"/>
                <w:color w:val="auto"/>
              </w:rPr>
              <w:t>indicates committee chair</w:t>
            </w:r>
          </w:p>
        </w:tc>
        <w:tc>
          <w:tcPr>
            <w:tcW w:w="1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-360045</wp:posOffset>
            </wp:positionV>
            <wp:extent cx="23228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-111125</wp:posOffset>
            </wp:positionV>
            <wp:extent cx="6858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-1328420</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-977265</wp:posOffset>
            </wp:positionV>
            <wp:extent cx="6858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-745490</wp:posOffset>
            </wp:positionV>
            <wp:extent cx="6858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5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Audit and Compliance Committee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its charter, the Audit and Compliance Committee’s key responsibilities include:</w:t>
      </w:r>
    </w:p>
    <w:p>
      <w:pPr>
        <w:spacing w:after="0" w:line="46" w:lineRule="exact"/>
        <w:rPr>
          <w:sz w:val="20"/>
          <w:szCs w:val="20"/>
          <w:color w:val="auto"/>
        </w:rPr>
      </w:pPr>
    </w:p>
    <w:p>
      <w:pPr>
        <w:ind w:left="920" w:hanging="156"/>
        <w:spacing w:after="0"/>
        <w:tabs>
          <w:tab w:leader="none" w:pos="920" w:val="left"/>
        </w:tabs>
        <w:numPr>
          <w:ilvl w:val="0"/>
          <w:numId w:val="34"/>
        </w:numPr>
        <w:rPr>
          <w:rFonts w:ascii="Arial" w:cs="Arial" w:eastAsia="Arial" w:hAnsi="Arial"/>
          <w:sz w:val="16"/>
          <w:szCs w:val="16"/>
          <w:color w:val="6A2887"/>
        </w:rPr>
      </w:pPr>
      <w:r>
        <w:rPr>
          <w:rFonts w:ascii="Arial" w:cs="Arial" w:eastAsia="Arial" w:hAnsi="Arial"/>
          <w:sz w:val="16"/>
          <w:szCs w:val="16"/>
          <w:color w:val="auto"/>
        </w:rPr>
        <w:t>reviewing our consolidated financial statements and internal controls with management and the independent auditors;</w:t>
      </w:r>
    </w:p>
    <w:p>
      <w:pPr>
        <w:spacing w:after="0" w:line="45" w:lineRule="exact"/>
        <w:rPr>
          <w:rFonts w:ascii="Arial" w:cs="Arial" w:eastAsia="Arial" w:hAnsi="Arial"/>
          <w:sz w:val="16"/>
          <w:szCs w:val="16"/>
          <w:color w:val="6A2887"/>
        </w:rPr>
      </w:pPr>
    </w:p>
    <w:p>
      <w:pPr>
        <w:ind w:left="920" w:right="539" w:hanging="156"/>
        <w:spacing w:after="0" w:line="260" w:lineRule="auto"/>
        <w:tabs>
          <w:tab w:leader="none" w:pos="920" w:val="left"/>
        </w:tabs>
        <w:numPr>
          <w:ilvl w:val="0"/>
          <w:numId w:val="34"/>
        </w:numPr>
        <w:rPr>
          <w:rFonts w:ascii="Arial" w:cs="Arial" w:eastAsia="Arial" w:hAnsi="Arial"/>
          <w:sz w:val="16"/>
          <w:szCs w:val="16"/>
          <w:color w:val="6A2887"/>
        </w:rPr>
      </w:pPr>
      <w:r>
        <w:rPr>
          <w:rFonts w:ascii="Arial" w:cs="Arial" w:eastAsia="Arial" w:hAnsi="Arial"/>
          <w:sz w:val="16"/>
          <w:szCs w:val="16"/>
          <w:color w:val="auto"/>
        </w:rPr>
        <w:t>monitoring actions we take to comply with our internal accounting and control policies as well as external financial, legal and regulatory requirements;</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34"/>
        </w:numPr>
        <w:rPr>
          <w:rFonts w:ascii="Arial" w:cs="Arial" w:eastAsia="Arial" w:hAnsi="Arial"/>
          <w:sz w:val="16"/>
          <w:szCs w:val="16"/>
          <w:color w:val="6A2887"/>
        </w:rPr>
      </w:pPr>
      <w:r>
        <w:rPr>
          <w:rFonts w:ascii="Arial" w:cs="Arial" w:eastAsia="Arial" w:hAnsi="Arial"/>
          <w:sz w:val="16"/>
          <w:szCs w:val="16"/>
          <w:color w:val="auto"/>
        </w:rPr>
        <w:t>monitoring our internal audit functions;</w:t>
      </w:r>
    </w:p>
    <w:p>
      <w:pPr>
        <w:spacing w:after="0" w:line="59" w:lineRule="exact"/>
        <w:rPr>
          <w:rFonts w:ascii="Arial" w:cs="Arial" w:eastAsia="Arial" w:hAnsi="Arial"/>
          <w:sz w:val="16"/>
          <w:szCs w:val="16"/>
          <w:color w:val="6A2887"/>
        </w:rPr>
      </w:pPr>
    </w:p>
    <w:p>
      <w:pPr>
        <w:ind w:left="920" w:right="239" w:hanging="156"/>
        <w:spacing w:after="0" w:line="260" w:lineRule="auto"/>
        <w:tabs>
          <w:tab w:leader="none" w:pos="920" w:val="left"/>
        </w:tabs>
        <w:numPr>
          <w:ilvl w:val="0"/>
          <w:numId w:val="34"/>
        </w:numPr>
        <w:rPr>
          <w:rFonts w:ascii="Arial" w:cs="Arial" w:eastAsia="Arial" w:hAnsi="Arial"/>
          <w:sz w:val="16"/>
          <w:szCs w:val="16"/>
          <w:color w:val="6A2887"/>
        </w:rPr>
      </w:pPr>
      <w:r>
        <w:rPr>
          <w:rFonts w:ascii="Arial" w:cs="Arial" w:eastAsia="Arial" w:hAnsi="Arial"/>
          <w:sz w:val="16"/>
          <w:szCs w:val="16"/>
          <w:color w:val="auto"/>
        </w:rPr>
        <w:t>reviewing the qualifications and independence of our independent auditors engaged for the purpose of auditing our consolidated financial statements and issuing an audit report for inclusion in appropriate regulatory filings; and</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34"/>
        </w:numPr>
        <w:rPr>
          <w:rFonts w:ascii="Arial" w:cs="Arial" w:eastAsia="Arial" w:hAnsi="Arial"/>
          <w:sz w:val="16"/>
          <w:szCs w:val="16"/>
          <w:color w:val="6A2887"/>
        </w:rPr>
      </w:pPr>
      <w:r>
        <w:rPr>
          <w:rFonts w:ascii="Arial" w:cs="Arial" w:eastAsia="Arial" w:hAnsi="Arial"/>
          <w:sz w:val="16"/>
          <w:szCs w:val="16"/>
          <w:color w:val="auto"/>
        </w:rPr>
        <w:t>selecting, subject to required shareholder approvals, our independent auditors and evaluating their performance.</w:t>
      </w:r>
    </w:p>
    <w:p>
      <w:pPr>
        <w:spacing w:after="0" w:line="100" w:lineRule="exact"/>
        <w:rPr>
          <w:sz w:val="20"/>
          <w:szCs w:val="20"/>
          <w:color w:val="auto"/>
        </w:rPr>
      </w:pPr>
    </w:p>
    <w:p>
      <w:pPr>
        <w:ind w:left="760" w:right="459"/>
        <w:spacing w:after="0" w:line="249" w:lineRule="auto"/>
        <w:rPr>
          <w:sz w:val="20"/>
          <w:szCs w:val="20"/>
          <w:color w:val="auto"/>
        </w:rPr>
      </w:pPr>
      <w:r>
        <w:rPr>
          <w:rFonts w:ascii="Arial" w:cs="Arial" w:eastAsia="Arial" w:hAnsi="Arial"/>
          <w:sz w:val="16"/>
          <w:szCs w:val="16"/>
          <w:color w:val="auto"/>
        </w:rPr>
        <w:t>The Audit and Compliance Committee meets at least quarterly with management, the Chief Ethics and Integrity Officer, internal auditors and the independent auditors in separate executive sessions to discuss any matter that any of these groups believe should be discussed privately. Pursuant to its charter, the Audit and Compliance Committee has the authority, at the Company’s expense, to retain professional advisors, including legal, accounting or other consultants, to advise it in connection with the exercise of its powers and responsibilities. This committee is also responsible for engaging and providing for appropriate compensation of the independent auditors.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Committee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Under its charter, the Compensation Committee is responsible for, among other things, the following:</w:t>
      </w:r>
    </w:p>
    <w:p>
      <w:pPr>
        <w:spacing w:after="0" w:line="32" w:lineRule="exact"/>
        <w:rPr>
          <w:sz w:val="20"/>
          <w:szCs w:val="20"/>
          <w:color w:val="auto"/>
        </w:rPr>
      </w:pPr>
    </w:p>
    <w:p>
      <w:pPr>
        <w:ind w:left="920" w:hanging="156"/>
        <w:spacing w:after="0"/>
        <w:tabs>
          <w:tab w:leader="none" w:pos="920" w:val="left"/>
        </w:tabs>
        <w:numPr>
          <w:ilvl w:val="0"/>
          <w:numId w:val="35"/>
        </w:numPr>
        <w:rPr>
          <w:rFonts w:ascii="Arial" w:cs="Arial" w:eastAsia="Arial" w:hAnsi="Arial"/>
          <w:sz w:val="16"/>
          <w:szCs w:val="16"/>
          <w:color w:val="6A2887"/>
        </w:rPr>
      </w:pPr>
      <w:r>
        <w:rPr>
          <w:rFonts w:ascii="Arial" w:cs="Arial" w:eastAsia="Arial" w:hAnsi="Arial"/>
          <w:sz w:val="16"/>
          <w:szCs w:val="16"/>
          <w:color w:val="auto"/>
        </w:rPr>
        <w:t>Regarding the CEO:</w:t>
      </w:r>
    </w:p>
    <w:p>
      <w:pPr>
        <w:spacing w:after="0" w:line="59" w:lineRule="exact"/>
        <w:rPr>
          <w:rFonts w:ascii="Arial" w:cs="Arial" w:eastAsia="Arial" w:hAnsi="Arial"/>
          <w:sz w:val="16"/>
          <w:szCs w:val="16"/>
          <w:color w:val="6A2887"/>
        </w:rPr>
      </w:pPr>
    </w:p>
    <w:p>
      <w:pPr>
        <w:ind w:left="1140" w:hanging="160"/>
        <w:spacing w:after="0"/>
        <w:tabs>
          <w:tab w:leader="none" w:pos="1140" w:val="left"/>
        </w:tabs>
        <w:numPr>
          <w:ilvl w:val="1"/>
          <w:numId w:val="35"/>
        </w:numPr>
        <w:rPr>
          <w:rFonts w:ascii="Arial" w:cs="Arial" w:eastAsia="Arial" w:hAnsi="Arial"/>
          <w:sz w:val="16"/>
          <w:szCs w:val="16"/>
          <w:color w:val="6A2887"/>
        </w:rPr>
      </w:pPr>
      <w:r>
        <w:rPr>
          <w:rFonts w:ascii="Arial" w:cs="Arial" w:eastAsia="Arial" w:hAnsi="Arial"/>
          <w:sz w:val="16"/>
          <w:szCs w:val="16"/>
          <w:color w:val="auto"/>
        </w:rPr>
        <w:t>determining and approving his goals as they relate to his compensation;</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35"/>
        </w:numPr>
        <w:rPr>
          <w:rFonts w:ascii="Arial" w:cs="Arial" w:eastAsia="Arial" w:hAnsi="Arial"/>
          <w:sz w:val="16"/>
          <w:szCs w:val="16"/>
          <w:color w:val="6A2887"/>
        </w:rPr>
      </w:pPr>
      <w:r>
        <w:rPr>
          <w:rFonts w:ascii="Arial" w:cs="Arial" w:eastAsia="Arial" w:hAnsi="Arial"/>
          <w:sz w:val="16"/>
          <w:szCs w:val="16"/>
          <w:color w:val="auto"/>
        </w:rPr>
        <w:t>evaluating the CEO in light of those goals; and</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35"/>
        </w:numPr>
        <w:rPr>
          <w:rFonts w:ascii="Arial" w:cs="Arial" w:eastAsia="Arial" w:hAnsi="Arial"/>
          <w:sz w:val="16"/>
          <w:szCs w:val="16"/>
          <w:color w:val="6A2887"/>
        </w:rPr>
      </w:pPr>
      <w:r>
        <w:rPr>
          <w:rFonts w:ascii="Arial" w:cs="Arial" w:eastAsia="Arial" w:hAnsi="Arial"/>
          <w:sz w:val="16"/>
          <w:szCs w:val="16"/>
          <w:color w:val="auto"/>
        </w:rPr>
        <w:t>determining and approving the CEO’s compensation based on his performance;</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35"/>
        </w:numPr>
        <w:rPr>
          <w:rFonts w:ascii="Arial" w:cs="Arial" w:eastAsia="Arial" w:hAnsi="Arial"/>
          <w:sz w:val="16"/>
          <w:szCs w:val="16"/>
          <w:color w:val="6A2887"/>
        </w:rPr>
      </w:pPr>
      <w:r>
        <w:rPr>
          <w:rFonts w:ascii="Arial" w:cs="Arial" w:eastAsia="Arial" w:hAnsi="Arial"/>
          <w:sz w:val="16"/>
          <w:szCs w:val="16"/>
          <w:color w:val="auto"/>
        </w:rPr>
        <w:t>determining and approving the compensation of all other executive officers;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5"/>
        </w:numPr>
        <w:rPr>
          <w:rFonts w:ascii="Arial" w:cs="Arial" w:eastAsia="Arial" w:hAnsi="Arial"/>
          <w:sz w:val="16"/>
          <w:szCs w:val="16"/>
          <w:color w:val="6A2887"/>
        </w:rPr>
      </w:pPr>
      <w:r>
        <w:rPr>
          <w:rFonts w:ascii="Arial" w:cs="Arial" w:eastAsia="Arial" w:hAnsi="Arial"/>
          <w:sz w:val="16"/>
          <w:szCs w:val="16"/>
          <w:color w:val="auto"/>
        </w:rPr>
        <w:t>reviewing and certifying the achievement of any performance goals for long-term and short-term incentive plans;</w:t>
      </w:r>
    </w:p>
    <w:p>
      <w:pPr>
        <w:spacing w:after="0" w:line="45" w:lineRule="exact"/>
        <w:rPr>
          <w:rFonts w:ascii="Arial" w:cs="Arial" w:eastAsia="Arial" w:hAnsi="Arial"/>
          <w:sz w:val="16"/>
          <w:szCs w:val="16"/>
          <w:color w:val="6A2887"/>
        </w:rPr>
      </w:pPr>
    </w:p>
    <w:p>
      <w:pPr>
        <w:ind w:left="920" w:right="299" w:hanging="156"/>
        <w:spacing w:after="0" w:line="260" w:lineRule="auto"/>
        <w:tabs>
          <w:tab w:leader="none" w:pos="920" w:val="left"/>
        </w:tabs>
        <w:numPr>
          <w:ilvl w:val="0"/>
          <w:numId w:val="35"/>
        </w:numPr>
        <w:rPr>
          <w:rFonts w:ascii="Arial" w:cs="Arial" w:eastAsia="Arial" w:hAnsi="Arial"/>
          <w:sz w:val="16"/>
          <w:szCs w:val="16"/>
          <w:color w:val="6A2887"/>
        </w:rPr>
      </w:pPr>
      <w:r>
        <w:rPr>
          <w:rFonts w:ascii="Arial" w:cs="Arial" w:eastAsia="Arial" w:hAnsi="Arial"/>
          <w:sz w:val="16"/>
          <w:szCs w:val="16"/>
          <w:color w:val="auto"/>
        </w:rPr>
        <w:t>reviewing and approving incentive compensation plans and equity-based plans and, where required, recommending such plans for shareholder approval;</w:t>
      </w:r>
    </w:p>
    <w:p>
      <w:pPr>
        <w:spacing w:after="0" w:line="33" w:lineRule="exact"/>
        <w:rPr>
          <w:rFonts w:ascii="Arial" w:cs="Arial" w:eastAsia="Arial" w:hAnsi="Arial"/>
          <w:sz w:val="16"/>
          <w:szCs w:val="16"/>
          <w:color w:val="6A2887"/>
        </w:rPr>
      </w:pPr>
    </w:p>
    <w:p>
      <w:pPr>
        <w:ind w:left="920" w:hanging="156"/>
        <w:spacing w:after="0"/>
        <w:tabs>
          <w:tab w:leader="none" w:pos="920" w:val="left"/>
        </w:tabs>
        <w:numPr>
          <w:ilvl w:val="0"/>
          <w:numId w:val="35"/>
        </w:numPr>
        <w:rPr>
          <w:rFonts w:ascii="Arial" w:cs="Arial" w:eastAsia="Arial" w:hAnsi="Arial"/>
          <w:sz w:val="16"/>
          <w:szCs w:val="16"/>
          <w:color w:val="6A2887"/>
        </w:rPr>
      </w:pPr>
      <w:r>
        <w:rPr>
          <w:rFonts w:ascii="Arial" w:cs="Arial" w:eastAsia="Arial" w:hAnsi="Arial"/>
          <w:sz w:val="16"/>
          <w:szCs w:val="16"/>
          <w:color w:val="auto"/>
        </w:rPr>
        <w:t>administering (including adopting, amending and terminating) incentive compensation and equity-based plans;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19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20" w:right="840" w:hanging="156"/>
        <w:spacing w:after="0" w:line="253" w:lineRule="auto"/>
        <w:tabs>
          <w:tab w:leader="none" w:pos="920" w:val="left"/>
        </w:tabs>
        <w:numPr>
          <w:ilvl w:val="0"/>
          <w:numId w:val="36"/>
        </w:numPr>
        <w:rPr>
          <w:rFonts w:ascii="Arial" w:cs="Arial" w:eastAsia="Arial" w:hAnsi="Arial"/>
          <w:sz w:val="16"/>
          <w:szCs w:val="16"/>
          <w:color w:val="6A2887"/>
        </w:rPr>
      </w:pPr>
      <w:r>
        <w:rPr>
          <w:rFonts w:ascii="Arial" w:cs="Arial" w:eastAsia="Arial" w:hAnsi="Arial"/>
          <w:sz w:val="16"/>
          <w:szCs w:val="16"/>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25" w:lineRule="exact"/>
        <w:rPr>
          <w:rFonts w:ascii="Arial" w:cs="Arial" w:eastAsia="Arial" w:hAnsi="Arial"/>
          <w:sz w:val="16"/>
          <w:szCs w:val="16"/>
          <w:color w:val="6A2887"/>
        </w:rPr>
      </w:pPr>
    </w:p>
    <w:p>
      <w:pPr>
        <w:ind w:left="920" w:hanging="156"/>
        <w:spacing w:after="0"/>
        <w:tabs>
          <w:tab w:leader="none" w:pos="920" w:val="left"/>
        </w:tabs>
        <w:numPr>
          <w:ilvl w:val="0"/>
          <w:numId w:val="36"/>
        </w:numPr>
        <w:rPr>
          <w:rFonts w:ascii="Arial" w:cs="Arial" w:eastAsia="Arial" w:hAnsi="Arial"/>
          <w:sz w:val="16"/>
          <w:szCs w:val="16"/>
          <w:color w:val="6A2887"/>
        </w:rPr>
      </w:pPr>
      <w:r>
        <w:rPr>
          <w:rFonts w:ascii="Arial" w:cs="Arial" w:eastAsia="Arial" w:hAnsi="Arial"/>
          <w:sz w:val="16"/>
          <w:szCs w:val="16"/>
          <w:color w:val="auto"/>
        </w:rPr>
        <w:t>submitting to the Board for its approval an annual Remuneration Report to be included in our UK Annual Report;</w:t>
      </w:r>
    </w:p>
    <w:p>
      <w:pPr>
        <w:spacing w:after="0" w:line="45" w:lineRule="exact"/>
        <w:rPr>
          <w:rFonts w:ascii="Arial" w:cs="Arial" w:eastAsia="Arial" w:hAnsi="Arial"/>
          <w:sz w:val="16"/>
          <w:szCs w:val="16"/>
          <w:color w:val="6A2887"/>
        </w:rPr>
      </w:pPr>
    </w:p>
    <w:p>
      <w:pPr>
        <w:ind w:left="920" w:right="820" w:hanging="156"/>
        <w:spacing w:after="0" w:line="260" w:lineRule="auto"/>
        <w:tabs>
          <w:tab w:leader="none" w:pos="920" w:val="left"/>
        </w:tabs>
        <w:numPr>
          <w:ilvl w:val="0"/>
          <w:numId w:val="36"/>
        </w:numPr>
        <w:rPr>
          <w:rFonts w:ascii="Arial" w:cs="Arial" w:eastAsia="Arial" w:hAnsi="Arial"/>
          <w:sz w:val="16"/>
          <w:szCs w:val="16"/>
          <w:color w:val="6A2887"/>
        </w:rPr>
      </w:pPr>
      <w:r>
        <w:rPr>
          <w:rFonts w:ascii="Arial" w:cs="Arial" w:eastAsia="Arial" w:hAnsi="Arial"/>
          <w:sz w:val="16"/>
          <w:szCs w:val="16"/>
          <w:color w:val="auto"/>
        </w:rPr>
        <w:t>producing a report of the Compensation Committee for inclusion in appropriate US regulatory filings, as well as in the UK Annual Report; and</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36"/>
        </w:numPr>
        <w:rPr>
          <w:rFonts w:ascii="Arial" w:cs="Arial" w:eastAsia="Arial" w:hAnsi="Arial"/>
          <w:sz w:val="16"/>
          <w:szCs w:val="16"/>
          <w:color w:val="6A2887"/>
        </w:rPr>
      </w:pPr>
      <w:r>
        <w:rPr>
          <w:rFonts w:ascii="Arial" w:cs="Arial" w:eastAsia="Arial" w:hAnsi="Arial"/>
          <w:sz w:val="16"/>
          <w:szCs w:val="16"/>
          <w:color w:val="auto"/>
        </w:rPr>
        <w:t>approving employment agreements and severance arrangements or plans for executive officers.</w:t>
      </w:r>
    </w:p>
    <w:p>
      <w:pPr>
        <w:spacing w:after="0" w:line="86" w:lineRule="exact"/>
        <w:rPr>
          <w:sz w:val="20"/>
          <w:szCs w:val="20"/>
          <w:color w:val="auto"/>
        </w:rPr>
      </w:pPr>
    </w:p>
    <w:p>
      <w:pPr>
        <w:ind w:left="760" w:right="1160"/>
        <w:spacing w:after="0" w:line="253"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Nominating and Corporate Governance Committee</w:t>
      </w:r>
    </w:p>
    <w:p>
      <w:pPr>
        <w:spacing w:after="0" w:line="126" w:lineRule="exact"/>
        <w:rPr>
          <w:sz w:val="20"/>
          <w:szCs w:val="20"/>
          <w:color w:val="auto"/>
        </w:rPr>
      </w:pPr>
    </w:p>
    <w:p>
      <w:pPr>
        <w:ind w:left="760" w:right="960"/>
        <w:spacing w:after="0" w:line="278" w:lineRule="auto"/>
        <w:rPr>
          <w:sz w:val="20"/>
          <w:szCs w:val="20"/>
          <w:color w:val="auto"/>
        </w:rPr>
      </w:pPr>
      <w:r>
        <w:rPr>
          <w:rFonts w:ascii="Arial" w:cs="Arial" w:eastAsia="Arial" w:hAnsi="Arial"/>
          <w:sz w:val="15"/>
          <w:szCs w:val="15"/>
          <w:color w:val="auto"/>
        </w:rPr>
        <w:t>Under the terms of its charter, the Nominating and Corporate Governance Committee develops and recommends corporate governance principles and policies to our Board and administers the process for identifying candidates for membership on the Board, including developing criteria for Board and committee memberships and recommending and recruiting director nominees.</w:t>
      </w:r>
    </w:p>
    <w:p>
      <w:pPr>
        <w:spacing w:after="0" w:line="62" w:lineRule="exact"/>
        <w:rPr>
          <w:sz w:val="20"/>
          <w:szCs w:val="20"/>
          <w:color w:val="auto"/>
        </w:rPr>
      </w:pPr>
    </w:p>
    <w:p>
      <w:pPr>
        <w:ind w:left="760" w:right="900"/>
        <w:spacing w:after="0" w:line="249" w:lineRule="auto"/>
        <w:rPr>
          <w:sz w:val="20"/>
          <w:szCs w:val="20"/>
          <w:color w:val="auto"/>
        </w:rPr>
      </w:pPr>
      <w:r>
        <w:rPr>
          <w:rFonts w:ascii="Arial" w:cs="Arial" w:eastAsia="Arial" w:hAnsi="Arial"/>
          <w:sz w:val="16"/>
          <w:szCs w:val="16"/>
          <w:color w:val="auto"/>
        </w:rPr>
        <w:t>The Nominating and Governance Committee evaluates the independence and other standards applicable to service on the Board and its committees, including whether each Audit and Compliance Committee member is financially literate and whether the Audit and Compliance Committee has at least one “audit committee financial expert.” This committee also evaluates and recommends changes, as appropriate, to Board and committee size, composition and chairmanship and committee structure and administers the process for regular Board and committee self-evaluations. In addition, this committee prepares and recommends, for Board approval, the Company’s CEO succession planning policies and reviews succession planning activities.</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Governance Policies and Practices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Stock Ownership Guidelines</w:t>
      </w:r>
    </w:p>
    <w:p>
      <w:pPr>
        <w:spacing w:after="0" w:line="124" w:lineRule="exact"/>
        <w:rPr>
          <w:sz w:val="20"/>
          <w:szCs w:val="20"/>
          <w:color w:val="auto"/>
        </w:rPr>
      </w:pPr>
    </w:p>
    <w:p>
      <w:pPr>
        <w:jc w:val="both"/>
        <w:ind w:left="760" w:right="780"/>
        <w:spacing w:after="0" w:line="251" w:lineRule="auto"/>
        <w:rPr>
          <w:sz w:val="20"/>
          <w:szCs w:val="20"/>
          <w:color w:val="auto"/>
        </w:rPr>
      </w:pPr>
      <w:r>
        <w:rPr>
          <w:rFonts w:ascii="Arial" w:cs="Arial" w:eastAsia="Arial" w:hAnsi="Arial"/>
          <w:sz w:val="16"/>
          <w:szCs w:val="16"/>
          <w:color w:val="auto"/>
        </w:rPr>
        <w:t>The Board believes that ownership of our shares by our executive officers and directors further aligns their interests with that of our shareholders. We encourage our executive officers and non-executive directors to achieve the following levels of equity ownership in the Company within five years after the date he/she becomes a Section 16 officer or a non-executive director and, following such initial measurement date, to demonstrate the same levels on the last day of each financial year thereafter:</w:t>
      </w:r>
    </w:p>
    <w:p>
      <w:pPr>
        <w:spacing w:after="0" w:line="13" w:lineRule="exact"/>
        <w:rPr>
          <w:sz w:val="20"/>
          <w:szCs w:val="20"/>
          <w:color w:val="auto"/>
        </w:rPr>
      </w:pPr>
    </w:p>
    <w:p>
      <w:pPr>
        <w:ind w:left="920" w:hanging="156"/>
        <w:spacing w:after="0"/>
        <w:tabs>
          <w:tab w:leader="none" w:pos="920" w:val="left"/>
        </w:tabs>
        <w:numPr>
          <w:ilvl w:val="0"/>
          <w:numId w:val="37"/>
        </w:numPr>
        <w:rPr>
          <w:rFonts w:ascii="Arial" w:cs="Arial" w:eastAsia="Arial" w:hAnsi="Arial"/>
          <w:sz w:val="16"/>
          <w:szCs w:val="16"/>
          <w:color w:val="6A2887"/>
        </w:rPr>
      </w:pPr>
      <w:r>
        <w:rPr>
          <w:rFonts w:ascii="Arial" w:cs="Arial" w:eastAsia="Arial" w:hAnsi="Arial"/>
          <w:sz w:val="16"/>
          <w:szCs w:val="16"/>
          <w:color w:val="auto"/>
        </w:rPr>
        <w:t>Five times the base salary for the CEO;</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7"/>
        </w:numPr>
        <w:rPr>
          <w:rFonts w:ascii="Arial" w:cs="Arial" w:eastAsia="Arial" w:hAnsi="Arial"/>
          <w:sz w:val="16"/>
          <w:szCs w:val="16"/>
          <w:color w:val="6A2887"/>
        </w:rPr>
      </w:pPr>
      <w:r>
        <w:rPr>
          <w:rFonts w:ascii="Arial" w:cs="Arial" w:eastAsia="Arial" w:hAnsi="Arial"/>
          <w:sz w:val="16"/>
          <w:szCs w:val="16"/>
          <w:color w:val="auto"/>
        </w:rPr>
        <w:t>Three times the base salary for all executive officers, other than the CEO;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7"/>
        </w:numPr>
        <w:rPr>
          <w:rFonts w:ascii="Arial" w:cs="Arial" w:eastAsia="Arial" w:hAnsi="Arial"/>
          <w:sz w:val="16"/>
          <w:szCs w:val="16"/>
          <w:color w:val="6A2887"/>
        </w:rPr>
      </w:pPr>
      <w:r>
        <w:rPr>
          <w:rFonts w:ascii="Arial" w:cs="Arial" w:eastAsia="Arial" w:hAnsi="Arial"/>
          <w:sz w:val="16"/>
          <w:szCs w:val="16"/>
          <w:color w:val="auto"/>
        </w:rPr>
        <w:t>Five times the annual cash retainer for all non-executive directors.</w:t>
      </w:r>
    </w:p>
    <w:p>
      <w:pPr>
        <w:spacing w:after="0" w:line="100" w:lineRule="exact"/>
        <w:rPr>
          <w:sz w:val="20"/>
          <w:szCs w:val="20"/>
          <w:color w:val="auto"/>
        </w:rPr>
      </w:pPr>
    </w:p>
    <w:p>
      <w:pPr>
        <w:ind w:left="760" w:right="780"/>
        <w:spacing w:after="0" w:line="251" w:lineRule="auto"/>
        <w:rPr>
          <w:sz w:val="20"/>
          <w:szCs w:val="20"/>
          <w:color w:val="auto"/>
        </w:rPr>
      </w:pPr>
      <w:r>
        <w:rPr>
          <w:rFonts w:ascii="Arial" w:cs="Arial" w:eastAsia="Arial" w:hAnsi="Arial"/>
          <w:sz w:val="16"/>
          <w:szCs w:val="16"/>
          <w:color w:val="auto"/>
        </w:rPr>
        <w:t>Equity ownership used to determine the market value includes all ordinary shares, all unvested restricted stock units of our ordinary shares and all in-the-money, vested, unexercised stock appreciation rights (calculated as stock market value, minus exercise price, minus estimated tax expense at a 40% tax rate). The Company includes not only equity owned by the individual but also that held individually by or jointly with the individual’s spouse or children.</w:t>
      </w:r>
    </w:p>
    <w:p>
      <w:pPr>
        <w:spacing w:after="0" w:line="67" w:lineRule="exact"/>
        <w:rPr>
          <w:sz w:val="20"/>
          <w:szCs w:val="20"/>
          <w:color w:val="auto"/>
        </w:rPr>
      </w:pPr>
    </w:p>
    <w:p>
      <w:pPr>
        <w:ind w:left="760" w:right="900"/>
        <w:spacing w:after="0" w:line="253" w:lineRule="auto"/>
        <w:rPr>
          <w:sz w:val="20"/>
          <w:szCs w:val="20"/>
          <w:color w:val="auto"/>
        </w:rPr>
      </w:pPr>
      <w:r>
        <w:rPr>
          <w:rFonts w:ascii="Arial" w:cs="Arial" w:eastAsia="Arial" w:hAnsi="Arial"/>
          <w:sz w:val="16"/>
          <w:szCs w:val="16"/>
          <w:color w:val="auto"/>
        </w:rPr>
        <w:t>Compliance with our stock ownership guidelines is voluntary; however, an individual’s failure to comply with the guidelines is a factor considered by the Compensation Committee in connection with the award of future equity awards to the individual. Our first measurement date under the stock ownership guidelines will be in October 2020.</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Corporate Governance Best Practices</w:t>
      </w:r>
    </w:p>
    <w:p>
      <w:pPr>
        <w:spacing w:after="0" w:line="124" w:lineRule="exact"/>
        <w:rPr>
          <w:sz w:val="20"/>
          <w:szCs w:val="20"/>
          <w:color w:val="auto"/>
        </w:rPr>
      </w:pPr>
    </w:p>
    <w:p>
      <w:pPr>
        <w:ind w:left="760" w:right="800"/>
        <w:spacing w:after="0" w:line="253" w:lineRule="auto"/>
        <w:rPr>
          <w:sz w:val="20"/>
          <w:szCs w:val="20"/>
          <w:color w:val="auto"/>
        </w:rPr>
      </w:pPr>
      <w:r>
        <w:rPr>
          <w:rFonts w:ascii="Arial" w:cs="Arial" w:eastAsia="Arial" w:hAnsi="Arial"/>
          <w:sz w:val="16"/>
          <w:szCs w:val="16"/>
          <w:color w:val="auto"/>
        </w:rPr>
        <w:t>Throughout this proxy statement we have discussed certain best practices the Company adheres to in its corporate governance, including Stock Ownership Guidelines, mentioned directly above. The following is a list of other best practice actions the Board and the Company use and promote:</w:t>
      </w:r>
    </w:p>
    <w:p>
      <w:pPr>
        <w:spacing w:after="0" w:line="12" w:lineRule="exact"/>
        <w:rPr>
          <w:sz w:val="20"/>
          <w:szCs w:val="20"/>
          <w:color w:val="auto"/>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Annual Board and committee performance evaluations;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Annual elections for directors;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Separated roles of Chair of the Board and CEO;</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Majority voting for directors in uncontested elections;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Supermajority voting to change or amend the Company’s Articles of Association;</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38"/>
        </w:numPr>
        <w:rPr>
          <w:rFonts w:ascii="Arial" w:cs="Arial" w:eastAsia="Arial" w:hAnsi="Arial"/>
          <w:sz w:val="16"/>
          <w:szCs w:val="16"/>
          <w:color w:val="6A2887"/>
        </w:rPr>
      </w:pPr>
      <w:r>
        <w:rPr>
          <w:rFonts w:ascii="Arial" w:cs="Arial" w:eastAsia="Arial" w:hAnsi="Arial"/>
          <w:sz w:val="16"/>
          <w:szCs w:val="16"/>
          <w:color w:val="auto"/>
        </w:rPr>
        <w:t>Prohibiting repricing of grants in equity compensation plans; and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39"/>
        </w:numPr>
        <w:rPr>
          <w:rFonts w:ascii="Arial" w:cs="Arial" w:eastAsia="Arial" w:hAnsi="Arial"/>
          <w:sz w:val="16"/>
          <w:szCs w:val="16"/>
          <w:color w:val="6A2887"/>
        </w:rPr>
      </w:pPr>
      <w:r>
        <w:rPr>
          <w:rFonts w:ascii="Arial" w:cs="Arial" w:eastAsia="Arial" w:hAnsi="Arial"/>
          <w:sz w:val="16"/>
          <w:szCs w:val="16"/>
          <w:color w:val="auto"/>
        </w:rPr>
        <w:t>Prohibiting the pledging of Company securities, subject to a transition period for one director to unwind an existing pledge.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Communication with Directors</w:t>
      </w:r>
    </w:p>
    <w:p>
      <w:pPr>
        <w:spacing w:after="0" w:line="124" w:lineRule="exact"/>
        <w:rPr>
          <w:sz w:val="20"/>
          <w:szCs w:val="20"/>
          <w:color w:val="auto"/>
        </w:rPr>
      </w:pPr>
    </w:p>
    <w:p>
      <w:pPr>
        <w:ind w:left="760" w:right="479"/>
        <w:spacing w:after="0" w:line="262" w:lineRule="auto"/>
        <w:rPr>
          <w:sz w:val="20"/>
          <w:szCs w:val="20"/>
          <w:color w:val="auto"/>
        </w:rPr>
      </w:pPr>
      <w:r>
        <w:rPr>
          <w:rFonts w:ascii="Arial" w:cs="Arial" w:eastAsia="Arial" w:hAnsi="Arial"/>
          <w:sz w:val="15"/>
          <w:szCs w:val="15"/>
          <w:color w:val="auto"/>
        </w:rPr>
        <w:t>Any shareholder or other party interested in communicating with members of the Board, any of its committees, the independent directors as a group or any of the independent directors individually may send written communications to LivaNova Plc,</w:t>
      </w:r>
    </w:p>
    <w:p>
      <w:pPr>
        <w:spacing w:after="0" w:line="1" w:lineRule="exact"/>
        <w:rPr>
          <w:sz w:val="20"/>
          <w:szCs w:val="20"/>
          <w:color w:val="auto"/>
        </w:rPr>
      </w:pPr>
    </w:p>
    <w:p>
      <w:pPr>
        <w:ind w:left="760" w:right="279"/>
        <w:spacing w:after="0" w:line="268" w:lineRule="auto"/>
        <w:rPr>
          <w:sz w:val="20"/>
          <w:szCs w:val="20"/>
          <w:color w:val="auto"/>
        </w:rPr>
      </w:pPr>
      <w:r>
        <w:rPr>
          <w:rFonts w:ascii="Arial" w:cs="Arial" w:eastAsia="Arial" w:hAnsi="Arial"/>
          <w:sz w:val="15"/>
          <w:szCs w:val="15"/>
          <w:color w:val="auto"/>
        </w:rPr>
        <w:t>20 Eastbourne Terrace, London, England W2 6LG, Attention: Company Secretary or to company.secretariat@livanova.com.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the our business to the Board and its members.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Code of Business Conduct and Ethics</w:t>
      </w:r>
    </w:p>
    <w:p>
      <w:pPr>
        <w:spacing w:after="0" w:line="124" w:lineRule="exact"/>
        <w:rPr>
          <w:sz w:val="20"/>
          <w:szCs w:val="20"/>
          <w:color w:val="auto"/>
        </w:rPr>
      </w:pPr>
    </w:p>
    <w:p>
      <w:pPr>
        <w:ind w:left="760" w:right="239"/>
        <w:spacing w:after="0" w:line="268" w:lineRule="auto"/>
        <w:rPr>
          <w:sz w:val="20"/>
          <w:szCs w:val="20"/>
          <w:color w:val="auto"/>
        </w:rPr>
      </w:pPr>
      <w:r>
        <w:rPr>
          <w:rFonts w:ascii="Arial" w:cs="Arial" w:eastAsia="Arial" w:hAnsi="Arial"/>
          <w:sz w:val="15"/>
          <w:szCs w:val="15"/>
          <w:color w:val="auto"/>
        </w:rPr>
        <w:t xml:space="preserve">The Board has adopted a Corporate Code of Business Conduct and Ethics (the “Code”) for all directors, executive officers and other employees, agents and representatives. The Code is designed to deter wrongdoing and to promote honest and ethical conduct, including the ethical handling of actual or apparent conflicts;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and accountability for adherence to Code. A copy of the Code is available on our website at </w:t>
      </w:r>
      <w:r>
        <w:rPr>
          <w:rFonts w:ascii="Arial" w:cs="Arial" w:eastAsia="Arial" w:hAnsi="Arial"/>
          <w:sz w:val="15"/>
          <w:szCs w:val="15"/>
          <w:i w:val="1"/>
          <w:iCs w:val="1"/>
          <w:color w:val="auto"/>
        </w:rPr>
        <w:t>www.livanova.com</w:t>
      </w:r>
      <w:r>
        <w:rPr>
          <w:rFonts w:ascii="Arial" w:cs="Arial" w:eastAsia="Arial" w:hAnsi="Arial"/>
          <w:sz w:val="15"/>
          <w:szCs w:val="15"/>
          <w:color w:val="auto"/>
        </w:rPr>
        <w:t>. Any change to, or waiver from, the Code will be disclosed as required by applicable securities laws, which disclosure may occur on our website or by filing a Form 8-K.</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Hedging</w:t>
      </w:r>
    </w:p>
    <w:p>
      <w:pPr>
        <w:spacing w:after="0" w:line="110" w:lineRule="exact"/>
        <w:rPr>
          <w:sz w:val="20"/>
          <w:szCs w:val="20"/>
          <w:color w:val="auto"/>
        </w:rPr>
      </w:pPr>
    </w:p>
    <w:p>
      <w:pPr>
        <w:ind w:left="760" w:right="399"/>
        <w:spacing w:after="0" w:line="278" w:lineRule="auto"/>
        <w:rPr>
          <w:sz w:val="20"/>
          <w:szCs w:val="20"/>
          <w:color w:val="auto"/>
        </w:rPr>
      </w:pPr>
      <w:r>
        <w:rPr>
          <w:rFonts w:ascii="Arial" w:cs="Arial" w:eastAsia="Arial" w:hAnsi="Arial"/>
          <w:sz w:val="15"/>
          <w:szCs w:val="15"/>
          <w:color w:val="auto"/>
        </w:rPr>
        <w:t>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Related Party Transactions</w:t>
      </w:r>
    </w:p>
    <w:p>
      <w:pPr>
        <w:spacing w:after="0" w:line="126" w:lineRule="exact"/>
        <w:rPr>
          <w:sz w:val="20"/>
          <w:szCs w:val="20"/>
          <w:color w:val="auto"/>
        </w:rPr>
      </w:pPr>
    </w:p>
    <w:p>
      <w:pPr>
        <w:ind w:left="760" w:right="339"/>
        <w:spacing w:after="0" w:line="253" w:lineRule="auto"/>
        <w:rPr>
          <w:sz w:val="20"/>
          <w:szCs w:val="20"/>
          <w:color w:val="auto"/>
        </w:rPr>
      </w:pPr>
      <w:r>
        <w:rPr>
          <w:rFonts w:ascii="Arial" w:cs="Arial" w:eastAsia="Arial" w:hAnsi="Arial"/>
          <w:sz w:val="16"/>
          <w:szCs w:val="16"/>
          <w:color w:val="auto"/>
        </w:rPr>
        <w:t>We recognize that related party transactions involving the Company present a heightened risk of conflicts of interest or the perception of such a conflict. The Board has a formal written policy for reviewing, approving and ratifying transactions with related persons.</w:t>
      </w:r>
    </w:p>
    <w:p>
      <w:pPr>
        <w:spacing w:after="0" w:line="80" w:lineRule="exact"/>
        <w:rPr>
          <w:sz w:val="20"/>
          <w:szCs w:val="20"/>
          <w:color w:val="auto"/>
        </w:rPr>
      </w:pPr>
    </w:p>
    <w:p>
      <w:pPr>
        <w:ind w:left="760" w:right="699"/>
        <w:spacing w:after="0" w:line="260" w:lineRule="auto"/>
        <w:rPr>
          <w:sz w:val="20"/>
          <w:szCs w:val="20"/>
          <w:color w:val="auto"/>
        </w:rPr>
      </w:pPr>
      <w:r>
        <w:rPr>
          <w:rFonts w:ascii="Arial" w:cs="Arial" w:eastAsia="Arial" w:hAnsi="Arial"/>
          <w:sz w:val="16"/>
          <w:szCs w:val="16"/>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these purposes, a “Related Person” is:</w:t>
      </w:r>
    </w:p>
    <w:p>
      <w:pPr>
        <w:spacing w:after="0" w:line="32" w:lineRule="exact"/>
        <w:rPr>
          <w:sz w:val="20"/>
          <w:szCs w:val="20"/>
          <w:color w:val="auto"/>
        </w:rPr>
      </w:pPr>
    </w:p>
    <w:p>
      <w:pPr>
        <w:ind w:left="920" w:hanging="156"/>
        <w:spacing w:after="0"/>
        <w:tabs>
          <w:tab w:leader="none" w:pos="920" w:val="left"/>
        </w:tabs>
        <w:numPr>
          <w:ilvl w:val="0"/>
          <w:numId w:val="40"/>
        </w:numPr>
        <w:rPr>
          <w:rFonts w:ascii="Arial" w:cs="Arial" w:eastAsia="Arial" w:hAnsi="Arial"/>
          <w:sz w:val="16"/>
          <w:szCs w:val="16"/>
          <w:color w:val="6A2887"/>
        </w:rPr>
      </w:pPr>
      <w:r>
        <w:rPr>
          <w:rFonts w:ascii="Arial" w:cs="Arial" w:eastAsia="Arial" w:hAnsi="Arial"/>
          <w:sz w:val="16"/>
          <w:szCs w:val="16"/>
          <w:color w:val="auto"/>
        </w:rPr>
        <w:t>a senior officer (which shall include, at a minimum, each executive officer/Section 16 officer) or director;</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0"/>
        </w:numPr>
        <w:rPr>
          <w:rFonts w:ascii="Arial" w:cs="Arial" w:eastAsia="Arial" w:hAnsi="Arial"/>
          <w:sz w:val="16"/>
          <w:szCs w:val="16"/>
          <w:color w:val="6A2887"/>
        </w:rPr>
      </w:pPr>
      <w:r>
        <w:rPr>
          <w:rFonts w:ascii="Arial" w:cs="Arial" w:eastAsia="Arial" w:hAnsi="Arial"/>
          <w:sz w:val="16"/>
          <w:szCs w:val="16"/>
          <w:color w:val="auto"/>
        </w:rPr>
        <w:t>a shareholder owning more than 5% of the Company (or our controlled affiliates);</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0"/>
        </w:numPr>
        <w:rPr>
          <w:rFonts w:ascii="Arial" w:cs="Arial" w:eastAsia="Arial" w:hAnsi="Arial"/>
          <w:sz w:val="16"/>
          <w:szCs w:val="16"/>
          <w:color w:val="6A2887"/>
        </w:rPr>
      </w:pPr>
      <w:r>
        <w:rPr>
          <w:rFonts w:ascii="Arial" w:cs="Arial" w:eastAsia="Arial" w:hAnsi="Arial"/>
          <w:sz w:val="16"/>
          <w:szCs w:val="16"/>
          <w:color w:val="auto"/>
        </w:rPr>
        <w:t>a person who is an immediate family member of a senior officer or director; and</w:t>
      </w:r>
    </w:p>
    <w:p>
      <w:pPr>
        <w:spacing w:after="0" w:line="45" w:lineRule="exact"/>
        <w:rPr>
          <w:rFonts w:ascii="Arial" w:cs="Arial" w:eastAsia="Arial" w:hAnsi="Arial"/>
          <w:sz w:val="16"/>
          <w:szCs w:val="16"/>
          <w:color w:val="6A2887"/>
        </w:rPr>
      </w:pPr>
    </w:p>
    <w:p>
      <w:pPr>
        <w:ind w:left="920" w:right="619" w:hanging="156"/>
        <w:spacing w:after="0" w:line="260" w:lineRule="auto"/>
        <w:tabs>
          <w:tab w:leader="none" w:pos="920" w:val="left"/>
        </w:tabs>
        <w:numPr>
          <w:ilvl w:val="0"/>
          <w:numId w:val="40"/>
        </w:numPr>
        <w:rPr>
          <w:rFonts w:ascii="Arial" w:cs="Arial" w:eastAsia="Arial" w:hAnsi="Arial"/>
          <w:sz w:val="16"/>
          <w:szCs w:val="16"/>
          <w:color w:val="6A2887"/>
        </w:rPr>
      </w:pPr>
      <w:r>
        <w:rPr>
          <w:rFonts w:ascii="Arial" w:cs="Arial" w:eastAsia="Arial" w:hAnsi="Arial"/>
          <w:sz w:val="16"/>
          <w:szCs w:val="16"/>
          <w:color w:val="auto"/>
        </w:rPr>
        <w:t>an entity that is owned or controlled by someone listed above, or an entity in which someone listed above has a substantial ownership interest or control.</w:t>
      </w:r>
    </w:p>
    <w:p>
      <w:pPr>
        <w:spacing w:after="0" w:line="60" w:lineRule="exact"/>
        <w:rPr>
          <w:sz w:val="20"/>
          <w:szCs w:val="20"/>
          <w:color w:val="auto"/>
        </w:rPr>
      </w:pPr>
    </w:p>
    <w:p>
      <w:pPr>
        <w:ind w:left="760" w:right="219"/>
        <w:spacing w:after="0" w:line="260" w:lineRule="auto"/>
        <w:rPr>
          <w:sz w:val="20"/>
          <w:szCs w:val="20"/>
          <w:color w:val="auto"/>
        </w:rPr>
      </w:pPr>
      <w:r>
        <w:rPr>
          <w:rFonts w:ascii="Arial" w:cs="Arial" w:eastAsia="Arial" w:hAnsi="Arial"/>
          <w:sz w:val="16"/>
          <w:szCs w:val="16"/>
          <w:color w:val="auto"/>
        </w:rPr>
        <w:t>For these purposes, a “Related Person Transaction” is a transaction between the Company and any Related Person (including any transactions requiring disclosure under the Exchange Act), other than:</w:t>
      </w:r>
    </w:p>
    <w:p>
      <w:pPr>
        <w:spacing w:after="0" w:line="20" w:lineRule="exact"/>
        <w:rPr>
          <w:sz w:val="20"/>
          <w:szCs w:val="20"/>
          <w:color w:val="auto"/>
        </w:rPr>
      </w:pPr>
    </w:p>
    <w:p>
      <w:pPr>
        <w:ind w:left="920" w:hanging="156"/>
        <w:spacing w:after="0"/>
        <w:tabs>
          <w:tab w:leader="none" w:pos="920" w:val="left"/>
        </w:tabs>
        <w:numPr>
          <w:ilvl w:val="0"/>
          <w:numId w:val="41"/>
        </w:numPr>
        <w:rPr>
          <w:rFonts w:ascii="Arial" w:cs="Arial" w:eastAsia="Arial" w:hAnsi="Arial"/>
          <w:sz w:val="16"/>
          <w:szCs w:val="16"/>
          <w:color w:val="6A2887"/>
        </w:rPr>
      </w:pPr>
      <w:r>
        <w:rPr>
          <w:rFonts w:ascii="Arial" w:cs="Arial" w:eastAsia="Arial" w:hAnsi="Arial"/>
          <w:sz w:val="16"/>
          <w:szCs w:val="16"/>
          <w:color w:val="auto"/>
        </w:rPr>
        <w:t>transactions involving compensation approved by the Compensation Committee;</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1"/>
        </w:numPr>
        <w:rPr>
          <w:rFonts w:ascii="Arial" w:cs="Arial" w:eastAsia="Arial" w:hAnsi="Arial"/>
          <w:sz w:val="16"/>
          <w:szCs w:val="16"/>
          <w:color w:val="6A2887"/>
        </w:rPr>
      </w:pPr>
      <w:r>
        <w:rPr>
          <w:rFonts w:ascii="Arial" w:cs="Arial" w:eastAsia="Arial" w:hAnsi="Arial"/>
          <w:sz w:val="16"/>
          <w:szCs w:val="16"/>
          <w:color w:val="auto"/>
        </w:rPr>
        <w:t>transactions available to all employees generally;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1"/>
        </w:numPr>
        <w:rPr>
          <w:rFonts w:ascii="Arial" w:cs="Arial" w:eastAsia="Arial" w:hAnsi="Arial"/>
          <w:sz w:val="16"/>
          <w:szCs w:val="16"/>
          <w:color w:val="6A2887"/>
        </w:rPr>
      </w:pPr>
      <w:r>
        <w:rPr>
          <w:rFonts w:ascii="Arial" w:cs="Arial" w:eastAsia="Arial" w:hAnsi="Arial"/>
          <w:sz w:val="16"/>
          <w:szCs w:val="16"/>
          <w:color w:val="auto"/>
        </w:rPr>
        <w:t>transactions involving less than $50,000 when aggregated with all similar transactions.</w:t>
      </w:r>
    </w:p>
    <w:p>
      <w:pPr>
        <w:spacing w:after="0" w:line="100" w:lineRule="exact"/>
        <w:rPr>
          <w:sz w:val="20"/>
          <w:szCs w:val="20"/>
          <w:color w:val="auto"/>
        </w:rPr>
      </w:pPr>
    </w:p>
    <w:p>
      <w:pPr>
        <w:ind w:left="760" w:right="199"/>
        <w:spacing w:after="0" w:line="248" w:lineRule="auto"/>
        <w:rPr>
          <w:sz w:val="20"/>
          <w:szCs w:val="20"/>
          <w:color w:val="auto"/>
        </w:rPr>
      </w:pPr>
      <w:r>
        <w:rPr>
          <w:rFonts w:ascii="Arial" w:cs="Arial" w:eastAsia="Arial" w:hAnsi="Arial"/>
          <w:sz w:val="16"/>
          <w:szCs w:val="16"/>
          <w:color w:val="auto"/>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Board, Committee and Shareholder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420"/>
        <w:spacing w:after="0" w:line="260" w:lineRule="auto"/>
        <w:rPr>
          <w:sz w:val="20"/>
          <w:szCs w:val="20"/>
          <w:color w:val="auto"/>
        </w:rPr>
      </w:pPr>
      <w:r>
        <w:rPr>
          <w:rFonts w:ascii="Arial" w:cs="Arial" w:eastAsia="Arial" w:hAnsi="Arial"/>
          <w:sz w:val="16"/>
          <w:szCs w:val="16"/>
          <w:color w:val="auto"/>
        </w:rPr>
        <w:t>ratify a Related Person Transaction only if the transaction is on terms comparable to those that could be obtained in arm’s-length dealings with an unrelated third party.</w:t>
      </w:r>
    </w:p>
    <w:p>
      <w:pPr>
        <w:spacing w:after="0" w:line="74" w:lineRule="exact"/>
        <w:rPr>
          <w:sz w:val="20"/>
          <w:szCs w:val="20"/>
          <w:color w:val="auto"/>
        </w:rPr>
      </w:pPr>
    </w:p>
    <w:p>
      <w:pPr>
        <w:ind w:left="760" w:right="240"/>
        <w:spacing w:after="0" w:line="250" w:lineRule="auto"/>
        <w:rPr>
          <w:sz w:val="20"/>
          <w:szCs w:val="20"/>
          <w:color w:val="auto"/>
        </w:rPr>
      </w:pPr>
      <w:r>
        <w:rPr>
          <w:rFonts w:ascii="Arial" w:cs="Arial" w:eastAsia="Arial" w:hAnsi="Arial"/>
          <w:sz w:val="16"/>
          <w:szCs w:val="16"/>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81" w:lineRule="exact"/>
        <w:rPr>
          <w:sz w:val="20"/>
          <w:szCs w:val="20"/>
          <w:color w:val="auto"/>
        </w:rPr>
      </w:pPr>
    </w:p>
    <w:p>
      <w:pPr>
        <w:ind w:left="760" w:right="860"/>
        <w:spacing w:after="0" w:line="260" w:lineRule="auto"/>
        <w:rPr>
          <w:sz w:val="20"/>
          <w:szCs w:val="20"/>
          <w:color w:val="auto"/>
        </w:rPr>
      </w:pPr>
      <w:r>
        <w:rPr>
          <w:rFonts w:ascii="Arial" w:cs="Arial" w:eastAsia="Arial" w:hAnsi="Arial"/>
          <w:sz w:val="16"/>
          <w:szCs w:val="16"/>
          <w:color w:val="auto"/>
        </w:rPr>
        <w:t>Since the beginning of the fiscal year ended December 31, 2019, there were no Related Person Transactions and no such transactions are currently proposed.</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Succession Planning</w:t>
      </w:r>
    </w:p>
    <w:p>
      <w:pPr>
        <w:spacing w:after="0" w:line="139" w:lineRule="exact"/>
        <w:rPr>
          <w:sz w:val="20"/>
          <w:szCs w:val="20"/>
          <w:color w:val="auto"/>
        </w:rPr>
      </w:pPr>
    </w:p>
    <w:p>
      <w:pPr>
        <w:ind w:left="760" w:right="300"/>
        <w:spacing w:after="0" w:line="249" w:lineRule="auto"/>
        <w:rPr>
          <w:sz w:val="20"/>
          <w:szCs w:val="20"/>
          <w:color w:val="auto"/>
        </w:rPr>
      </w:pPr>
      <w:r>
        <w:rPr>
          <w:rFonts w:ascii="Arial" w:cs="Arial" w:eastAsia="Arial" w:hAnsi="Arial"/>
          <w:sz w:val="16"/>
          <w:szCs w:val="16"/>
          <w:color w:val="auto"/>
        </w:rPr>
        <w:t>Succession planning is a top priority for the Board and our management team, with the objective of having a pipeline of leaders for the immediate future and long term. The Board and management proactively address succession planning and the Board has delegated the responsibility for CEO and senior management succession planning to the Nominating and Corporate Governance Committee. The Board tasked the Nominating and Corporate Governance Committee with doing so in the context of the challenges and opportunities facing us, of the skills and expertise likely to be required by us in the future and to achieve the benefits of diversity in its widest sense.</w:t>
      </w:r>
    </w:p>
    <w:p>
      <w:pPr>
        <w:spacing w:after="0" w:line="70"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These processes enable the Board to address both long-term, planned occurrences, such as retirement or change in roles, as well as short-term unexpected events. Similar processes, led by the relevant management team, occur within each of our franchises and functions.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Environmental, Sustainability and Corporate Social Responsibility</w:t>
      </w:r>
    </w:p>
    <w:p>
      <w:pPr>
        <w:spacing w:after="0" w:line="126" w:lineRule="exact"/>
        <w:rPr>
          <w:sz w:val="20"/>
          <w:szCs w:val="20"/>
          <w:color w:val="auto"/>
        </w:rPr>
      </w:pPr>
    </w:p>
    <w:p>
      <w:pPr>
        <w:ind w:left="760" w:right="240"/>
        <w:spacing w:after="0" w:line="248" w:lineRule="auto"/>
        <w:rPr>
          <w:sz w:val="20"/>
          <w:szCs w:val="20"/>
          <w:color w:val="auto"/>
        </w:rPr>
      </w:pPr>
      <w:r>
        <w:rPr>
          <w:rFonts w:ascii="Arial" w:cs="Arial" w:eastAsia="Arial" w:hAnsi="Arial"/>
          <w:sz w:val="16"/>
          <w:szCs w:val="16"/>
          <w:color w:val="auto"/>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2017, we initiated an engagement in a dialogue with investors around their growing interest in environmental, social and governance (“ESG”) performance and the impact on financial results, and we continued this dialogue in 2019. The Board has increased its own involvement in the ESG arena by enshrining such matters in the charter of the Nominating and Corporate Governance Committee which now formally maintains oversight for these issues. The Company is required to, and does, report on its greenhouse gas emissions and on certain other environmental and social (including employee) matters in our UK Annual Report which is available on the Company’s website.</w:t>
      </w:r>
    </w:p>
    <w:p>
      <w:pPr>
        <w:spacing w:after="0" w:line="26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Availability of Governance Documents</w:t>
      </w:r>
    </w:p>
    <w:p>
      <w:pPr>
        <w:spacing w:after="0" w:line="126" w:lineRule="exact"/>
        <w:rPr>
          <w:sz w:val="20"/>
          <w:szCs w:val="20"/>
          <w:color w:val="auto"/>
        </w:rPr>
      </w:pPr>
    </w:p>
    <w:p>
      <w:pPr>
        <w:ind w:left="760" w:right="340"/>
        <w:spacing w:after="0" w:line="250" w:lineRule="auto"/>
        <w:rPr>
          <w:sz w:val="20"/>
          <w:szCs w:val="20"/>
          <w:color w:val="auto"/>
        </w:rPr>
      </w:pPr>
      <w:r>
        <w:rPr>
          <w:rFonts w:ascii="Arial" w:cs="Arial" w:eastAsia="Arial" w:hAnsi="Arial"/>
          <w:sz w:val="16"/>
          <w:szCs w:val="16"/>
          <w:color w:val="auto"/>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Arial" w:cs="Arial" w:eastAsia="Arial" w:hAnsi="Arial"/>
          <w:sz w:val="16"/>
          <w:szCs w:val="16"/>
          <w:i w:val="1"/>
          <w:iCs w:val="1"/>
          <w:u w:val="single" w:color="auto"/>
          <w:color w:val="auto"/>
        </w:rPr>
        <w:t>www.livanova.com</w:t>
      </w:r>
      <w:r>
        <w:rPr>
          <w:rFonts w:ascii="Arial" w:cs="Arial" w:eastAsia="Arial" w:hAnsi="Arial"/>
          <w:sz w:val="16"/>
          <w:szCs w:val="16"/>
          <w:color w:val="auto"/>
        </w:rPr>
        <w:t>, select “Investor Relations” from the drop-down menu, and then click on the “Corporate Governance” link located in a horizontal list in the middle of the screen. Requests for a printed copy should be addressed to LivaNova Plc, 20 Eastbourne Terrace, London, England W2 6LG, Attention: Company Secretary.</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Executive Officers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Executive Officers</w:t>
      </w:r>
    </w:p>
    <w:p>
      <w:pPr>
        <w:spacing w:after="0" w:line="225"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2280" w:type="dxa"/>
            <w:vAlign w:val="bottom"/>
            <w:tcBorders>
              <w:bottom w:val="single" w:sz="8" w:color="6A2887"/>
            </w:tcBorders>
          </w:tcPr>
          <w:p>
            <w:pPr>
              <w:ind w:left="60"/>
              <w:spacing w:after="0"/>
              <w:rPr>
                <w:sz w:val="20"/>
                <w:szCs w:val="20"/>
                <w:color w:val="auto"/>
              </w:rPr>
            </w:pPr>
            <w:r>
              <w:rPr>
                <w:rFonts w:ascii="Arial" w:cs="Arial" w:eastAsia="Arial" w:hAnsi="Arial"/>
                <w:sz w:val="14"/>
                <w:szCs w:val="14"/>
                <w:b w:val="1"/>
                <w:bCs w:val="1"/>
                <w:color w:val="6A2887"/>
              </w:rPr>
              <w:t>Name</w:t>
            </w:r>
          </w:p>
        </w:tc>
        <w:tc>
          <w:tcPr>
            <w:tcW w:w="1460" w:type="dxa"/>
            <w:vAlign w:val="bottom"/>
            <w:tcBorders>
              <w:bottom w:val="single" w:sz="8" w:color="6A2887"/>
            </w:tcBorders>
          </w:tcPr>
          <w:p>
            <w:pPr>
              <w:jc w:val="center"/>
              <w:ind w:left="724"/>
              <w:spacing w:after="0"/>
              <w:rPr>
                <w:sz w:val="20"/>
                <w:szCs w:val="20"/>
                <w:color w:val="auto"/>
              </w:rPr>
            </w:pPr>
            <w:r>
              <w:rPr>
                <w:rFonts w:ascii="Arial" w:cs="Arial" w:eastAsia="Arial" w:hAnsi="Arial"/>
                <w:sz w:val="14"/>
                <w:szCs w:val="14"/>
                <w:b w:val="1"/>
                <w:bCs w:val="1"/>
                <w:color w:val="6A2887"/>
                <w:w w:val="98"/>
              </w:rPr>
              <w:t>Age</w:t>
            </w:r>
          </w:p>
        </w:tc>
        <w:tc>
          <w:tcPr>
            <w:tcW w:w="5440" w:type="dxa"/>
            <w:vAlign w:val="bottom"/>
            <w:tcBorders>
              <w:bottom w:val="single" w:sz="8" w:color="6A2887"/>
            </w:tcBorders>
          </w:tcPr>
          <w:p>
            <w:pPr>
              <w:ind w:left="200"/>
              <w:spacing w:after="0"/>
              <w:rPr>
                <w:sz w:val="20"/>
                <w:szCs w:val="20"/>
                <w:color w:val="auto"/>
              </w:rPr>
            </w:pPr>
            <w:r>
              <w:rPr>
                <w:rFonts w:ascii="Arial" w:cs="Arial" w:eastAsia="Arial" w:hAnsi="Arial"/>
                <w:sz w:val="14"/>
                <w:szCs w:val="14"/>
                <w:b w:val="1"/>
                <w:bCs w:val="1"/>
                <w:color w:val="6A2887"/>
              </w:rPr>
              <w:t>Position</w:t>
            </w:r>
          </w:p>
        </w:tc>
      </w:tr>
      <w:tr>
        <w:trPr>
          <w:trHeight w:val="221"/>
        </w:trPr>
        <w:tc>
          <w:tcPr>
            <w:tcW w:w="2280" w:type="dxa"/>
            <w:vAlign w:val="bottom"/>
          </w:tcPr>
          <w:p>
            <w:pPr>
              <w:ind w:left="60"/>
              <w:spacing w:after="0"/>
              <w:rPr>
                <w:sz w:val="20"/>
                <w:szCs w:val="20"/>
                <w:color w:val="auto"/>
              </w:rPr>
            </w:pPr>
            <w:r>
              <w:rPr>
                <w:rFonts w:ascii="Arial" w:cs="Arial" w:eastAsia="Arial" w:hAnsi="Arial"/>
                <w:sz w:val="15"/>
                <w:szCs w:val="15"/>
                <w:color w:val="auto"/>
              </w:rPr>
              <w:t>Damien McDonald</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55</w:t>
            </w:r>
          </w:p>
        </w:tc>
        <w:tc>
          <w:tcPr>
            <w:tcW w:w="5440" w:type="dxa"/>
            <w:vAlign w:val="bottom"/>
          </w:tcPr>
          <w:p>
            <w:pPr>
              <w:ind w:left="200"/>
              <w:spacing w:after="0"/>
              <w:rPr>
                <w:sz w:val="20"/>
                <w:szCs w:val="20"/>
                <w:color w:val="auto"/>
              </w:rPr>
            </w:pPr>
            <w:r>
              <w:rPr>
                <w:rFonts w:ascii="Arial" w:cs="Arial" w:eastAsia="Arial" w:hAnsi="Arial"/>
                <w:sz w:val="15"/>
                <w:szCs w:val="15"/>
                <w:color w:val="auto"/>
              </w:rPr>
              <w:t>Chief Executive Officer</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Thad Huston</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50</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Chief Financial Officer</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Keyna Skeffington</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58</w:t>
            </w:r>
          </w:p>
        </w:tc>
        <w:tc>
          <w:tcPr>
            <w:tcW w:w="5440" w:type="dxa"/>
            <w:vAlign w:val="bottom"/>
          </w:tcPr>
          <w:p>
            <w:pPr>
              <w:ind w:left="200"/>
              <w:spacing w:after="0"/>
              <w:rPr>
                <w:sz w:val="20"/>
                <w:szCs w:val="20"/>
                <w:color w:val="auto"/>
              </w:rPr>
            </w:pPr>
            <w:r>
              <w:rPr>
                <w:rFonts w:ascii="Arial" w:cs="Arial" w:eastAsia="Arial" w:hAnsi="Arial"/>
                <w:sz w:val="15"/>
                <w:szCs w:val="15"/>
                <w:color w:val="auto"/>
              </w:rPr>
              <w:t>Senior Vice President, General Counsel and Company Secretary</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Edward Andrle</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62</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Former General Manager, Neuromodulation Franchise</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Alistair Simpson</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50</w:t>
            </w:r>
          </w:p>
        </w:tc>
        <w:tc>
          <w:tcPr>
            <w:tcW w:w="5440" w:type="dxa"/>
            <w:vAlign w:val="bottom"/>
          </w:tcPr>
          <w:p>
            <w:pPr>
              <w:ind w:left="200"/>
              <w:spacing w:after="0"/>
              <w:rPr>
                <w:sz w:val="20"/>
                <w:szCs w:val="20"/>
                <w:color w:val="auto"/>
              </w:rPr>
            </w:pPr>
            <w:r>
              <w:rPr>
                <w:rFonts w:ascii="Arial" w:cs="Arial" w:eastAsia="Arial" w:hAnsi="Arial"/>
                <w:sz w:val="15"/>
                <w:szCs w:val="15"/>
                <w:color w:val="auto"/>
              </w:rPr>
              <w:t>Former General Manager, Cardiovascular Franchise</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63"/>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Marco Dolci</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58</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Head of Global Operations and R&amp;D</w:t>
            </w:r>
          </w:p>
        </w:tc>
      </w:tr>
      <w:tr>
        <w:trPr>
          <w:trHeight w:val="222"/>
        </w:trPr>
        <w:tc>
          <w:tcPr>
            <w:tcW w:w="2280" w:type="dxa"/>
            <w:vAlign w:val="bottom"/>
          </w:tcPr>
          <w:p>
            <w:pPr>
              <w:ind w:left="60"/>
              <w:spacing w:after="0"/>
              <w:rPr>
                <w:sz w:val="20"/>
                <w:szCs w:val="20"/>
                <w:color w:val="auto"/>
              </w:rPr>
            </w:pPr>
            <w:r>
              <w:rPr>
                <w:rFonts w:ascii="Arial" w:cs="Arial" w:eastAsia="Arial" w:hAnsi="Arial"/>
                <w:sz w:val="15"/>
                <w:szCs w:val="15"/>
                <w:color w:val="auto"/>
              </w:rPr>
              <w:t>Trui Hebbelinck</w:t>
            </w:r>
          </w:p>
        </w:tc>
        <w:tc>
          <w:tcPr>
            <w:tcW w:w="1460" w:type="dxa"/>
            <w:vAlign w:val="bottom"/>
          </w:tcPr>
          <w:p>
            <w:pPr>
              <w:jc w:val="center"/>
              <w:ind w:left="724"/>
              <w:spacing w:after="0"/>
              <w:rPr>
                <w:sz w:val="20"/>
                <w:szCs w:val="20"/>
                <w:color w:val="auto"/>
              </w:rPr>
            </w:pPr>
            <w:r>
              <w:rPr>
                <w:rFonts w:ascii="Arial" w:cs="Arial" w:eastAsia="Arial" w:hAnsi="Arial"/>
                <w:sz w:val="15"/>
                <w:szCs w:val="15"/>
                <w:color w:val="auto"/>
              </w:rPr>
              <w:t>48</w:t>
            </w:r>
          </w:p>
        </w:tc>
        <w:tc>
          <w:tcPr>
            <w:tcW w:w="5440" w:type="dxa"/>
            <w:vAlign w:val="bottom"/>
          </w:tcPr>
          <w:p>
            <w:pPr>
              <w:ind w:left="200"/>
              <w:spacing w:after="0"/>
              <w:rPr>
                <w:sz w:val="20"/>
                <w:szCs w:val="20"/>
                <w:color w:val="auto"/>
              </w:rPr>
            </w:pPr>
            <w:r>
              <w:rPr>
                <w:rFonts w:ascii="Arial" w:cs="Arial" w:eastAsia="Arial" w:hAnsi="Arial"/>
                <w:sz w:val="15"/>
                <w:szCs w:val="15"/>
                <w:color w:val="auto"/>
              </w:rPr>
              <w:t>Chief Human Resources Officer</w:t>
            </w:r>
          </w:p>
        </w:tc>
      </w:tr>
      <w:tr>
        <w:trPr>
          <w:trHeight w:val="35"/>
        </w:trPr>
        <w:tc>
          <w:tcPr>
            <w:tcW w:w="2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40" w:type="dxa"/>
            <w:vAlign w:val="bottom"/>
          </w:tcPr>
          <w:p>
            <w:pPr>
              <w:spacing w:after="0"/>
              <w:rPr>
                <w:sz w:val="3"/>
                <w:szCs w:val="3"/>
                <w:color w:val="auto"/>
              </w:rPr>
            </w:pPr>
          </w:p>
        </w:tc>
      </w:tr>
      <w:tr>
        <w:trPr>
          <w:trHeight w:val="250"/>
        </w:trPr>
        <w:tc>
          <w:tcPr>
            <w:tcW w:w="228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Roy Khoury</w:t>
            </w:r>
          </w:p>
        </w:tc>
        <w:tc>
          <w:tcPr>
            <w:tcW w:w="1460" w:type="dxa"/>
            <w:vAlign w:val="bottom"/>
            <w:tcBorders>
              <w:bottom w:val="single" w:sz="8" w:color="EFE9FC"/>
            </w:tcBorders>
            <w:shd w:val="clear" w:color="auto" w:fill="EFE9FC"/>
          </w:tcPr>
          <w:p>
            <w:pPr>
              <w:jc w:val="center"/>
              <w:ind w:left="724"/>
              <w:spacing w:after="0"/>
              <w:rPr>
                <w:sz w:val="20"/>
                <w:szCs w:val="20"/>
                <w:color w:val="auto"/>
              </w:rPr>
            </w:pPr>
            <w:r>
              <w:rPr>
                <w:rFonts w:ascii="Arial" w:cs="Arial" w:eastAsia="Arial" w:hAnsi="Arial"/>
                <w:sz w:val="15"/>
                <w:szCs w:val="15"/>
                <w:color w:val="auto"/>
              </w:rPr>
              <w:t>46</w:t>
            </w:r>
          </w:p>
        </w:tc>
        <w:tc>
          <w:tcPr>
            <w:tcW w:w="5440" w:type="dxa"/>
            <w:vAlign w:val="bottom"/>
            <w:tcBorders>
              <w:bottom w:val="single" w:sz="8" w:color="EFE9FC"/>
            </w:tcBorders>
            <w:shd w:val="clear" w:color="auto" w:fill="EFE9FC"/>
          </w:tcPr>
          <w:p>
            <w:pPr>
              <w:ind w:left="200"/>
              <w:spacing w:after="0"/>
              <w:rPr>
                <w:sz w:val="20"/>
                <w:szCs w:val="20"/>
                <w:color w:val="auto"/>
              </w:rPr>
            </w:pPr>
            <w:r>
              <w:rPr>
                <w:rFonts w:ascii="Arial" w:cs="Arial" w:eastAsia="Arial" w:hAnsi="Arial"/>
                <w:sz w:val="15"/>
                <w:szCs w:val="15"/>
                <w:color w:val="auto"/>
              </w:rPr>
              <w:t>President, International, Senior Vice President, Global Strategic Marketing</w:t>
            </w:r>
          </w:p>
        </w:tc>
      </w:tr>
      <w:tr>
        <w:trPr>
          <w:trHeight w:val="20"/>
        </w:trPr>
        <w:tc>
          <w:tcPr>
            <w:tcW w:w="2280" w:type="dxa"/>
            <w:vAlign w:val="bottom"/>
            <w:shd w:val="clear" w:color="auto" w:fill="6A2887"/>
          </w:tcPr>
          <w:p>
            <w:pPr>
              <w:spacing w:after="0" w:line="20" w:lineRule="exact"/>
              <w:rPr>
                <w:sz w:val="1"/>
                <w:szCs w:val="1"/>
                <w:color w:val="auto"/>
              </w:rPr>
            </w:pPr>
          </w:p>
        </w:tc>
        <w:tc>
          <w:tcPr>
            <w:tcW w:w="1460" w:type="dxa"/>
            <w:vAlign w:val="bottom"/>
            <w:shd w:val="clear" w:color="auto" w:fill="6A2887"/>
          </w:tcPr>
          <w:p>
            <w:pPr>
              <w:spacing w:after="0" w:line="20" w:lineRule="exact"/>
              <w:rPr>
                <w:sz w:val="1"/>
                <w:szCs w:val="1"/>
                <w:color w:val="auto"/>
              </w:rPr>
            </w:pPr>
          </w:p>
        </w:tc>
        <w:tc>
          <w:tcPr>
            <w:tcW w:w="5440" w:type="dxa"/>
            <w:vAlign w:val="bottom"/>
            <w:shd w:val="clear" w:color="auto" w:fill="6A2887"/>
          </w:tcPr>
          <w:p>
            <w:pPr>
              <w:spacing w:after="0" w:line="20" w:lineRule="exact"/>
              <w:rPr>
                <w:sz w:val="1"/>
                <w:szCs w:val="1"/>
                <w:color w:val="auto"/>
              </w:rPr>
            </w:pPr>
          </w:p>
        </w:tc>
      </w:tr>
    </w:tbl>
    <w:p>
      <w:pPr>
        <w:spacing w:after="0" w:line="63" w:lineRule="exact"/>
        <w:rPr>
          <w:sz w:val="20"/>
          <w:szCs w:val="20"/>
          <w:color w:val="auto"/>
        </w:rPr>
      </w:pPr>
    </w:p>
    <w:p>
      <w:pPr>
        <w:ind w:left="760" w:right="799"/>
        <w:spacing w:after="0" w:line="286" w:lineRule="auto"/>
        <w:rPr>
          <w:sz w:val="20"/>
          <w:szCs w:val="20"/>
          <w:color w:val="auto"/>
        </w:rPr>
      </w:pPr>
      <w:r>
        <w:rPr>
          <w:rFonts w:ascii="Arial" w:cs="Arial" w:eastAsia="Arial" w:hAnsi="Arial"/>
          <w:sz w:val="16"/>
          <w:szCs w:val="16"/>
          <w:b w:val="1"/>
          <w:bCs w:val="1"/>
          <w:color w:val="auto"/>
        </w:rPr>
        <w:t>Damien McDonald</w:t>
      </w:r>
      <w:r>
        <w:rPr>
          <w:rFonts w:ascii="Arial" w:cs="Arial" w:eastAsia="Arial" w:hAnsi="Arial"/>
          <w:sz w:val="16"/>
          <w:szCs w:val="16"/>
          <w:color w:val="auto"/>
        </w:rPr>
        <w:t>’s biographical information is set forth under “</w:t>
      </w:r>
      <w:r>
        <w:rPr>
          <w:rFonts w:ascii="Arial" w:cs="Arial" w:eastAsia="Arial" w:hAnsi="Arial"/>
          <w:sz w:val="16"/>
          <w:szCs w:val="16"/>
          <w:i w:val="1"/>
          <w:iCs w:val="1"/>
          <w:color w:val="auto"/>
        </w:rPr>
        <w:t>Background Information Regarding Directors and Director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Nominees.”</w:t>
      </w:r>
    </w:p>
    <w:p>
      <w:pPr>
        <w:spacing w:after="0" w:line="21" w:lineRule="exact"/>
        <w:rPr>
          <w:sz w:val="20"/>
          <w:szCs w:val="20"/>
          <w:color w:val="auto"/>
        </w:rPr>
      </w:pPr>
    </w:p>
    <w:p>
      <w:pPr>
        <w:ind w:left="760" w:right="239"/>
        <w:spacing w:after="0" w:line="252" w:lineRule="auto"/>
        <w:rPr>
          <w:sz w:val="20"/>
          <w:szCs w:val="20"/>
          <w:color w:val="auto"/>
        </w:rPr>
      </w:pPr>
      <w:r>
        <w:rPr>
          <w:rFonts w:ascii="Arial" w:cs="Arial" w:eastAsia="Arial" w:hAnsi="Arial"/>
          <w:sz w:val="16"/>
          <w:szCs w:val="16"/>
          <w:b w:val="1"/>
          <w:bCs w:val="1"/>
          <w:color w:val="auto"/>
        </w:rPr>
        <w:t xml:space="preserve">Thad Huston </w:t>
      </w:r>
      <w:r>
        <w:rPr>
          <w:rFonts w:ascii="Arial" w:cs="Arial" w:eastAsia="Arial" w:hAnsi="Arial"/>
          <w:sz w:val="16"/>
          <w:szCs w:val="16"/>
          <w:color w:val="auto"/>
        </w:rPr>
        <w:t>joined LivaNova in May 2017 as Chief Financial Officer. Mr. Huston served as Group Chief Financial Officer,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&amp; Global Surgery Group at Johnson &amp; Johnson, a global consumer health products company, from 2013 to 2017. From 2010 to 2013, Mr. Huston served as President of Johnson &amp; Johnson’s Xian-Janssen Pharmaceuticals division in China. Prior to this, Mr. Huston served as Vice President, Finance, Chief Financial Officer and Chief Operations Officer in Johnson &amp; Johnson’s Pharmaceutical Research and Development division and as Vice President, Finance and Chief Financial Officer at Ortho-McNeil Pharmaceuticals. Prior to this, he held senior financial roles at various Johnson &amp; Johnson locations in the US, China, Belgium, Russia and Hungary. Mr. Huston holds a bachelor’s degree in Finance from Pennsylvania State University. He is a Certified Management Accountant.</w:t>
      </w:r>
    </w:p>
    <w:p>
      <w:pPr>
        <w:spacing w:after="0" w:line="61" w:lineRule="exact"/>
        <w:rPr>
          <w:sz w:val="20"/>
          <w:szCs w:val="20"/>
          <w:color w:val="auto"/>
        </w:rPr>
      </w:pPr>
    </w:p>
    <w:p>
      <w:pPr>
        <w:ind w:left="760" w:right="379"/>
        <w:spacing w:after="0" w:line="254" w:lineRule="auto"/>
        <w:rPr>
          <w:sz w:val="20"/>
          <w:szCs w:val="20"/>
          <w:color w:val="auto"/>
        </w:rPr>
      </w:pPr>
      <w:r>
        <w:rPr>
          <w:rFonts w:ascii="Arial" w:cs="Arial" w:eastAsia="Arial" w:hAnsi="Arial"/>
          <w:sz w:val="16"/>
          <w:szCs w:val="16"/>
          <w:b w:val="1"/>
          <w:bCs w:val="1"/>
          <w:color w:val="auto"/>
        </w:rPr>
        <w:t xml:space="preserve">Keyna Skeffington </w:t>
      </w:r>
      <w:r>
        <w:rPr>
          <w:rFonts w:ascii="Arial" w:cs="Arial" w:eastAsia="Arial" w:hAnsi="Arial"/>
          <w:sz w:val="16"/>
          <w:szCs w:val="16"/>
          <w:color w:val="auto"/>
        </w:rPr>
        <w:t>joined LivaNova in June 2017 in the role of Senior Vice President and General Counsel and became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Secretary in October 2019. Prior to joining the Company, Ms. Skeffington served in various roles at Medtronic Plc from 2004 to 2017, most recently as Vice President of Legal – Corporate and Securities and Assistant Secretary (2006 to 2017). She also served as Senior Legal Counsel for Medtronic’s Cardiac Surgery Business from 2005 to 2006. Before joining Medtronic, Ms. Skeffington was a Partner at the firm now known as Faegre Drinker Biddle &amp; Reath LLP. Ms. Skeffington holds a BA in International Relations and Russian from Mount Holyoke College and a JD from Tulane University Law School.</w:t>
      </w:r>
    </w:p>
    <w:p>
      <w:pPr>
        <w:spacing w:after="0" w:line="60" w:lineRule="exact"/>
        <w:rPr>
          <w:sz w:val="20"/>
          <w:szCs w:val="20"/>
          <w:color w:val="auto"/>
        </w:rPr>
      </w:pPr>
    </w:p>
    <w:p>
      <w:pPr>
        <w:ind w:left="760" w:right="279"/>
        <w:spacing w:after="0" w:line="252" w:lineRule="auto"/>
        <w:rPr>
          <w:sz w:val="20"/>
          <w:szCs w:val="20"/>
          <w:color w:val="auto"/>
        </w:rPr>
      </w:pPr>
      <w:r>
        <w:rPr>
          <w:rFonts w:ascii="Arial" w:cs="Arial" w:eastAsia="Arial" w:hAnsi="Arial"/>
          <w:sz w:val="16"/>
          <w:szCs w:val="16"/>
          <w:b w:val="1"/>
          <w:bCs w:val="1"/>
          <w:color w:val="auto"/>
        </w:rPr>
        <w:t xml:space="preserve">Edward Andrle </w:t>
      </w:r>
      <w:r>
        <w:rPr>
          <w:rFonts w:ascii="Arial" w:cs="Arial" w:eastAsia="Arial" w:hAnsi="Arial"/>
          <w:sz w:val="16"/>
          <w:szCs w:val="16"/>
          <w:color w:val="auto"/>
        </w:rPr>
        <w:t>joined LivaNova in 2015 when Cyberonics merged with Sorin to form the Company. Mr. Andrle now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advisor to the Company, a role he has had since January 1, 2020. Mr. Andrle’s initial role with the Company was as General Manager of the Neuromodulation franchise. At Sorin, Mr. Andrle served as Vice-President of Strategy &amp; Business Development. Prior to joining Sorin, he co-founded, developed and sold three medical device companies:TERAMED focused on an endovascular system to treat abdominal aortic aneurysms and was acquired by Johnson &amp; Johnson; Myocor developed an implantable device to treat mitral valve regurgitation and was acquired by Edwards; and StarFire Medical developed technology to treat brain aneurysms and was acquired by NFocus Neuromedical (Covidien). Mr. Andrle holds a B.S. in Chemical Engineering from the University of Notre Dame and an M.B.A. from the Stanford Graduate School of Business.</w:t>
      </w:r>
    </w:p>
    <w:p>
      <w:pPr>
        <w:spacing w:after="0" w:line="48" w:lineRule="exact"/>
        <w:rPr>
          <w:sz w:val="20"/>
          <w:szCs w:val="20"/>
          <w:color w:val="auto"/>
        </w:rPr>
      </w:pPr>
    </w:p>
    <w:p>
      <w:pPr>
        <w:ind w:left="760" w:right="379"/>
        <w:spacing w:after="0" w:line="253" w:lineRule="auto"/>
        <w:rPr>
          <w:sz w:val="20"/>
          <w:szCs w:val="20"/>
          <w:color w:val="auto"/>
        </w:rPr>
      </w:pPr>
      <w:r>
        <w:rPr>
          <w:rFonts w:ascii="Arial" w:cs="Arial" w:eastAsia="Arial" w:hAnsi="Arial"/>
          <w:sz w:val="16"/>
          <w:szCs w:val="16"/>
          <w:b w:val="1"/>
          <w:bCs w:val="1"/>
          <w:color w:val="auto"/>
        </w:rPr>
        <w:t xml:space="preserve">Alistair Simpson </w:t>
      </w:r>
      <w:r>
        <w:rPr>
          <w:rFonts w:ascii="Arial" w:cs="Arial" w:eastAsia="Arial" w:hAnsi="Arial"/>
          <w:sz w:val="16"/>
          <w:szCs w:val="16"/>
          <w:color w:val="auto"/>
        </w:rPr>
        <w:t>joined LivaNova in April 2017 in the role of General Manager, Cardiovascular. Mr. Simpson now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advisor to the Company, a role he has had since January 1, 2020. Prior to joining the Company, Mr. Simpson was Vice President Global Marketing at Kerr Corporation, a subsidiary of Danaher Corporation, where he was responsible for strategy and product development for the consumable franchise. Earlier in his career he spent 16 years with Johnson &amp; Johnson in various strategic and commercial roles both in Europe and North America, within the Ethicon and Cordis franchises where he held marketing leadership roles in the suture business and the interventional cardiology business. Mr. Simpson holds a B.S. in Geography from the University of Glasgow, Scotland and an M.B.A. from the University of Pittsburgh.</w:t>
      </w:r>
    </w:p>
    <w:p>
      <w:pPr>
        <w:spacing w:after="0" w:line="60" w:lineRule="exact"/>
        <w:rPr>
          <w:sz w:val="20"/>
          <w:szCs w:val="20"/>
          <w:color w:val="auto"/>
        </w:rPr>
      </w:pPr>
    </w:p>
    <w:p>
      <w:pPr>
        <w:ind w:left="760" w:right="299"/>
        <w:spacing w:after="0" w:line="270" w:lineRule="auto"/>
        <w:rPr>
          <w:sz w:val="20"/>
          <w:szCs w:val="20"/>
          <w:color w:val="auto"/>
        </w:rPr>
      </w:pPr>
      <w:r>
        <w:rPr>
          <w:rFonts w:ascii="Arial" w:cs="Arial" w:eastAsia="Arial" w:hAnsi="Arial"/>
          <w:sz w:val="15"/>
          <w:szCs w:val="15"/>
          <w:b w:val="1"/>
          <w:bCs w:val="1"/>
          <w:color w:val="auto"/>
        </w:rPr>
        <w:t xml:space="preserve">Marco Dolci </w:t>
      </w:r>
      <w:r>
        <w:rPr>
          <w:rFonts w:ascii="Arial" w:cs="Arial" w:eastAsia="Arial" w:hAnsi="Arial"/>
          <w:sz w:val="15"/>
          <w:szCs w:val="15"/>
          <w:color w:val="auto"/>
        </w:rPr>
        <w:t>joined LivaNova in March 2017 as President, Europe and subsequently became President, Europe and Head of</w:t>
      </w:r>
      <w:r>
        <w:rPr>
          <w:rFonts w:ascii="Arial" w:cs="Arial" w:eastAsia="Arial" w:hAnsi="Arial"/>
          <w:sz w:val="15"/>
          <w:szCs w:val="15"/>
          <w:b w:val="1"/>
          <w:bCs w:val="1"/>
          <w:color w:val="auto"/>
        </w:rPr>
        <w:t xml:space="preserve"> </w:t>
      </w:r>
      <w:r>
        <w:rPr>
          <w:rFonts w:ascii="Arial" w:cs="Arial" w:eastAsia="Arial" w:hAnsi="Arial"/>
          <w:sz w:val="15"/>
          <w:szCs w:val="15"/>
          <w:color w:val="auto"/>
        </w:rPr>
        <w:t>Global Manufacturing Operations (December 2018 to January 2020) and has been in his current role as Head of Global Operations and R&amp;D since January 2020. Prior to joining the Company, Mr. Dolci was with Danaher Corporation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Prior to his tenure at Danaher, Mr. Dolci served as President and CEO, EMEA for Hitachi Medical System Europe Holding AG. Earlier in his career, he worked in various positions at Eastman Kodak S.A. – Health Care Division, GE Healthcare and Philips Medical Systems. Mr. Dolci holds a master’s degree in nuclear physics from University of Milan and an Executive M.B.A. from Polytechnic University of Milan.</w:t>
      </w:r>
    </w:p>
    <w:p>
      <w:pPr>
        <w:spacing w:after="0" w:line="49" w:lineRule="exact"/>
        <w:rPr>
          <w:sz w:val="20"/>
          <w:szCs w:val="20"/>
          <w:color w:val="auto"/>
        </w:rPr>
      </w:pPr>
    </w:p>
    <w:p>
      <w:pPr>
        <w:ind w:left="760" w:right="379"/>
        <w:spacing w:after="0" w:line="321" w:lineRule="auto"/>
        <w:rPr>
          <w:sz w:val="20"/>
          <w:szCs w:val="20"/>
          <w:color w:val="auto"/>
        </w:rPr>
      </w:pPr>
      <w:r>
        <w:rPr>
          <w:rFonts w:ascii="Arial" w:cs="Arial" w:eastAsia="Arial" w:hAnsi="Arial"/>
          <w:sz w:val="15"/>
          <w:szCs w:val="15"/>
          <w:b w:val="1"/>
          <w:bCs w:val="1"/>
          <w:color w:val="auto"/>
        </w:rPr>
        <w:t xml:space="preserve">Trui Hebbelinck </w:t>
      </w:r>
      <w:r>
        <w:rPr>
          <w:rFonts w:ascii="Arial" w:cs="Arial" w:eastAsia="Arial" w:hAnsi="Arial"/>
          <w:sz w:val="15"/>
          <w:szCs w:val="15"/>
          <w:color w:val="auto"/>
        </w:rPr>
        <w:t>joined LivaNova in March 2019 as the Company’s Chief Human Resources Officer and oversees global human</w:t>
      </w:r>
      <w:r>
        <w:rPr>
          <w:rFonts w:ascii="Arial" w:cs="Arial" w:eastAsia="Arial" w:hAnsi="Arial"/>
          <w:sz w:val="15"/>
          <w:szCs w:val="15"/>
          <w:b w:val="1"/>
          <w:bCs w:val="1"/>
          <w:color w:val="auto"/>
        </w:rPr>
        <w:t xml:space="preserve"> </w:t>
      </w:r>
      <w:r>
        <w:rPr>
          <w:rFonts w:ascii="Arial" w:cs="Arial" w:eastAsia="Arial" w:hAnsi="Arial"/>
          <w:sz w:val="15"/>
          <w:szCs w:val="15"/>
          <w:color w:val="auto"/>
        </w:rPr>
        <w:t>resources. Prior to joining LivaNova, Ms. Hebbelinck served as VP, Human Resources Trading &amp; Supply with Royal Dutch</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5"/>
          <w:szCs w:val="25"/>
          <w:b w:val="1"/>
          <w:bCs w:val="1"/>
          <w:color w:val="auto"/>
          <w:vertAlign w:val="subscript"/>
        </w:rPr>
        <w:t>23</w:t>
      </w:r>
      <w:r>
        <w:rPr>
          <w:sz w:val="20"/>
          <w:szCs w:val="20"/>
          <w:color w:val="auto"/>
        </w:rPr>
        <w:tab/>
      </w:r>
      <w:r>
        <w:rPr>
          <w:rFonts w:ascii="Arial" w:cs="Arial" w:eastAsia="Arial" w:hAnsi="Arial"/>
          <w:sz w:val="11"/>
          <w:szCs w:val="11"/>
          <w:b w:val="1"/>
          <w:bCs w:val="1"/>
          <w:color w:val="6A2887"/>
        </w:rPr>
        <w:t xml:space="preserve">LIVANOVA </w:t>
      </w:r>
      <w:r>
        <w:rPr>
          <w:rFonts w:ascii="Arial" w:cs="Arial" w:eastAsia="Arial" w:hAnsi="Arial"/>
          <w:sz w:val="11"/>
          <w:szCs w:val="11"/>
          <w:color w:val="000000"/>
        </w:rPr>
        <w:t>|</w:t>
      </w:r>
      <w:r>
        <w:rPr>
          <w:rFonts w:ascii="Arial" w:cs="Arial" w:eastAsia="Arial" w:hAnsi="Arial"/>
          <w:sz w:val="11"/>
          <w:szCs w:val="11"/>
          <w:b w:val="1"/>
          <w:bCs w:val="1"/>
          <w:color w:val="6A2887"/>
        </w:rPr>
        <w:t xml:space="preserve"> </w:t>
      </w:r>
      <w:r>
        <w:rPr>
          <w:rFonts w:ascii="Arial" w:cs="Arial" w:eastAsia="Arial" w:hAnsi="Arial"/>
          <w:sz w:val="11"/>
          <w:szCs w:val="11"/>
          <w:color w:val="6A2887"/>
        </w:rPr>
        <w:t>2020</w:t>
      </w:r>
      <w:r>
        <w:rPr>
          <w:rFonts w:ascii="Arial" w:cs="Arial" w:eastAsia="Arial" w:hAnsi="Arial"/>
          <w:sz w:val="11"/>
          <w:szCs w:val="11"/>
          <w:b w:val="1"/>
          <w:bCs w:val="1"/>
          <w:color w:val="6A2887"/>
        </w:rPr>
        <w:t xml:space="preserve"> </w:t>
      </w:r>
      <w:r>
        <w:rPr>
          <w:rFonts w:ascii="Arial" w:cs="Arial" w:eastAsia="Arial" w:hAnsi="Arial"/>
          <w:sz w:val="11"/>
          <w:szCs w:val="11"/>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3"/>
          <w:szCs w:val="13"/>
          <w:b w:val="1"/>
          <w:bCs w:val="1"/>
          <w:color w:val="666666"/>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340"/>
        <w:spacing w:after="0" w:line="250" w:lineRule="auto"/>
        <w:rPr>
          <w:sz w:val="20"/>
          <w:szCs w:val="20"/>
          <w:color w:val="auto"/>
        </w:rPr>
      </w:pPr>
      <w:r>
        <w:rPr>
          <w:rFonts w:ascii="Arial" w:cs="Arial" w:eastAsia="Arial" w:hAnsi="Arial"/>
          <w:sz w:val="16"/>
          <w:szCs w:val="16"/>
          <w:color w:val="auto"/>
        </w:rPr>
        <w:t>Shell plc, a global petrochemical company, from September 2015 to March 2019 and as its VP HR Operations UK, Ireland, Nordics, South Africa from January 2014 to September 2015. Prior to Shell, Ms. Hebelinck served as VP, HR International with General Electric Corporation and in Human Resources with GE Capital Real Estate and GE Healthcare. Ms. Hebbelinck earned a Master of Science in Psychology from Ghent University and a post-graduate degree in Business Management &amp; Administration from the University of Leuven.</w:t>
      </w:r>
    </w:p>
    <w:p>
      <w:pPr>
        <w:spacing w:after="0" w:line="61" w:lineRule="exact"/>
        <w:rPr>
          <w:sz w:val="20"/>
          <w:szCs w:val="20"/>
          <w:color w:val="auto"/>
        </w:rPr>
      </w:pPr>
    </w:p>
    <w:p>
      <w:pPr>
        <w:ind w:left="760" w:right="300"/>
        <w:spacing w:after="0" w:line="253" w:lineRule="auto"/>
        <w:rPr>
          <w:sz w:val="20"/>
          <w:szCs w:val="20"/>
          <w:color w:val="auto"/>
        </w:rPr>
      </w:pPr>
      <w:r>
        <w:rPr>
          <w:rFonts w:ascii="Arial" w:cs="Arial" w:eastAsia="Arial" w:hAnsi="Arial"/>
          <w:sz w:val="16"/>
          <w:szCs w:val="16"/>
          <w:b w:val="1"/>
          <w:bCs w:val="1"/>
          <w:color w:val="auto"/>
        </w:rPr>
        <w:t xml:space="preserve">Roy Khoury </w:t>
      </w:r>
      <w:r>
        <w:rPr>
          <w:rFonts w:ascii="Arial" w:cs="Arial" w:eastAsia="Arial" w:hAnsi="Arial"/>
          <w:sz w:val="16"/>
          <w:szCs w:val="16"/>
          <w:color w:val="auto"/>
        </w:rPr>
        <w:t>joined LivaNova in June 2016 as President, International Markets and was promoted to his current role,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Global Strategic Marketing in January 2020. From August 2015 to July 2016, Mr. Khoury served as a Senior Healthcare Consultant. Prior to that, Mr. Khoury spent more than eight years in various roles at Allergan Pharmaceuticals, a global pharmaceutical company, including as Vice President Commercial Operations, International Markets (September 2014 to</w:t>
      </w:r>
    </w:p>
    <w:p>
      <w:pPr>
        <w:ind w:left="760" w:right="300"/>
        <w:spacing w:after="0" w:line="250" w:lineRule="auto"/>
        <w:rPr>
          <w:sz w:val="20"/>
          <w:szCs w:val="20"/>
          <w:color w:val="auto"/>
        </w:rPr>
      </w:pPr>
      <w:r>
        <w:rPr>
          <w:rFonts w:ascii="Arial" w:cs="Arial" w:eastAsia="Arial" w:hAnsi="Arial"/>
          <w:sz w:val="16"/>
          <w:szCs w:val="16"/>
          <w:color w:val="auto"/>
        </w:rPr>
        <w:t>July 2015); Senior Director, Marketing Neurosciences and Urology, EMEA (July 2012 to September 2014); Business Unit Head/ General Manager Ophthalmology Emerging Markets EMEA (November 2009 to September 2012); and Group Lead Marketing Manager Europe/Africa/Middle East (June 2008 to February 2010). Earlier in his career, he held manager and director positions with Novartis Pharmaceuticals Ltd. UK and ApotheCom Associates LLC. Mr. Khoury has a degree in Business Administration from LaSalle with minors in English literature and biology.</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Executive </w:t>
      </w:r>
      <w:r>
        <w:rPr>
          <w:rFonts w:ascii="Arial" w:cs="Arial" w:eastAsia="Arial" w:hAnsi="Arial"/>
          <w:sz w:val="47"/>
          <w:szCs w:val="47"/>
          <w:b w:val="1"/>
          <w:bCs w:val="1"/>
          <w:color w:val="666666"/>
        </w:rPr>
        <w:t>Compensation</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Compensation Committee Report</w:t>
      </w:r>
    </w:p>
    <w:p>
      <w:pPr>
        <w:spacing w:after="0" w:line="146" w:lineRule="exact"/>
        <w:rPr>
          <w:sz w:val="20"/>
          <w:szCs w:val="20"/>
          <w:color w:val="auto"/>
        </w:rPr>
      </w:pPr>
    </w:p>
    <w:p>
      <w:pPr>
        <w:ind w:left="760" w:right="199"/>
        <w:spacing w:after="0" w:line="247" w:lineRule="auto"/>
        <w:rPr>
          <w:sz w:val="20"/>
          <w:szCs w:val="20"/>
          <w:color w:val="auto"/>
        </w:rPr>
      </w:pPr>
      <w:r>
        <w:rPr>
          <w:rFonts w:ascii="Arial" w:cs="Arial" w:eastAsia="Arial" w:hAnsi="Arial"/>
          <w:sz w:val="16"/>
          <w:szCs w:val="16"/>
          <w:color w:val="auto"/>
        </w:rPr>
        <w:t>Set out below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The Compensation Committee recommended to the Board that the Compensation Discussion and Analysis be included in the Form 10-K and proxy statement. We join with management in welcoming shareholders to examine our pay practices and in affirming the commitment of these pay practices to the long-term interests of shareholders. The Compensation Committee has reviewed and discussed the disclosure set forth below under the heading “Compensation Discussion and Analysis” with management and, based on the review and discussions, it has recommended to the Board that the “Compensation Discussion and Analysis” be included in a Form 10-K and our proxy statement for the 2020 AGM.</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Stacy Enxing Seng</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Arthur Rosenthal, Ph.D. (chair)</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Compensation Discussion &amp; Analysis</w:t>
      </w:r>
    </w:p>
    <w:p>
      <w:pPr>
        <w:spacing w:after="0" w:line="132" w:lineRule="exact"/>
        <w:rPr>
          <w:sz w:val="20"/>
          <w:szCs w:val="20"/>
          <w:color w:val="auto"/>
        </w:rPr>
      </w:pPr>
    </w:p>
    <w:p>
      <w:pPr>
        <w:ind w:left="760" w:right="319"/>
        <w:spacing w:after="0" w:line="251" w:lineRule="auto"/>
        <w:rPr>
          <w:sz w:val="20"/>
          <w:szCs w:val="20"/>
          <w:color w:val="auto"/>
        </w:rPr>
      </w:pPr>
      <w:r>
        <w:rPr>
          <w:rFonts w:ascii="Arial" w:cs="Arial" w:eastAsia="Arial" w:hAnsi="Arial"/>
          <w:sz w:val="16"/>
          <w:szCs w:val="16"/>
          <w:color w:val="auto"/>
        </w:rPr>
        <w:t>This Compensation Discussion and Analysis (“CD&amp;A”) describes our executive compensation programs for our Named Executive Officers (“NEOs”) and the oversight by the Compensation Committee in setting executive compensation for the year ended December 31, 2019. This CD&amp;A supplements and should be read together with the compensation tables and related disclosure following this CD&amp;A.</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Our Named Executive Officers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Named Executive Officers (“NEOs”) for the year ended December 31, 2019 are:</w:t>
      </w:r>
    </w:p>
    <w:p>
      <w:pPr>
        <w:spacing w:after="0" w:line="46" w:lineRule="exact"/>
        <w:rPr>
          <w:sz w:val="20"/>
          <w:szCs w:val="20"/>
          <w:color w:val="auto"/>
        </w:rPr>
      </w:pPr>
    </w:p>
    <w:p>
      <w:pPr>
        <w:ind w:left="920" w:hanging="156"/>
        <w:spacing w:after="0"/>
        <w:tabs>
          <w:tab w:leader="none" w:pos="920" w:val="left"/>
        </w:tabs>
        <w:numPr>
          <w:ilvl w:val="0"/>
          <w:numId w:val="42"/>
        </w:numPr>
        <w:rPr>
          <w:rFonts w:ascii="Arial" w:cs="Arial" w:eastAsia="Arial" w:hAnsi="Arial"/>
          <w:sz w:val="16"/>
          <w:szCs w:val="16"/>
          <w:color w:val="6A2887"/>
        </w:rPr>
      </w:pPr>
      <w:r>
        <w:rPr>
          <w:rFonts w:ascii="Arial" w:cs="Arial" w:eastAsia="Arial" w:hAnsi="Arial"/>
          <w:sz w:val="16"/>
          <w:szCs w:val="16"/>
          <w:color w:val="auto"/>
        </w:rPr>
        <w:t>Damien McDonald, CEO;</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2"/>
        </w:numPr>
        <w:rPr>
          <w:rFonts w:ascii="Arial" w:cs="Arial" w:eastAsia="Arial" w:hAnsi="Arial"/>
          <w:sz w:val="16"/>
          <w:szCs w:val="16"/>
          <w:color w:val="6A2887"/>
        </w:rPr>
      </w:pPr>
      <w:r>
        <w:rPr>
          <w:rFonts w:ascii="Arial" w:cs="Arial" w:eastAsia="Arial" w:hAnsi="Arial"/>
          <w:sz w:val="16"/>
          <w:szCs w:val="16"/>
          <w:color w:val="auto"/>
        </w:rPr>
        <w:t>Thad Huston, CFO;</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2"/>
        </w:numPr>
        <w:rPr>
          <w:rFonts w:ascii="Arial" w:cs="Arial" w:eastAsia="Arial" w:hAnsi="Arial"/>
          <w:sz w:val="16"/>
          <w:szCs w:val="16"/>
          <w:color w:val="6A2887"/>
        </w:rPr>
      </w:pPr>
      <w:r>
        <w:rPr>
          <w:rFonts w:ascii="Arial" w:cs="Arial" w:eastAsia="Arial" w:hAnsi="Arial"/>
          <w:sz w:val="16"/>
          <w:szCs w:val="16"/>
          <w:color w:val="auto"/>
        </w:rPr>
        <w:t>Keyna Skeffington, SVP, GC and Corporate Secretary;</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2"/>
        </w:numPr>
        <w:rPr>
          <w:rFonts w:ascii="Arial" w:cs="Arial" w:eastAsia="Arial" w:hAnsi="Arial"/>
          <w:sz w:val="16"/>
          <w:szCs w:val="16"/>
          <w:color w:val="6A2887"/>
        </w:rPr>
      </w:pPr>
      <w:r>
        <w:rPr>
          <w:rFonts w:ascii="Arial" w:cs="Arial" w:eastAsia="Arial" w:hAnsi="Arial"/>
          <w:sz w:val="16"/>
          <w:szCs w:val="16"/>
          <w:color w:val="auto"/>
        </w:rPr>
        <w:t>Edward Andrle, Former GM, Neuromodulation Franchise; and</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2"/>
        </w:numPr>
        <w:rPr>
          <w:rFonts w:ascii="Arial" w:cs="Arial" w:eastAsia="Arial" w:hAnsi="Arial"/>
          <w:sz w:val="16"/>
          <w:szCs w:val="16"/>
          <w:color w:val="6A2887"/>
        </w:rPr>
      </w:pPr>
      <w:r>
        <w:rPr>
          <w:rFonts w:ascii="Arial" w:cs="Arial" w:eastAsia="Arial" w:hAnsi="Arial"/>
          <w:sz w:val="16"/>
          <w:szCs w:val="16"/>
          <w:color w:val="auto"/>
        </w:rPr>
        <w:t>Alistair Simpson, Former GM, Cardiovascular Franchise.</w:t>
      </w:r>
    </w:p>
    <w:p>
      <w:pPr>
        <w:spacing w:after="0" w:line="27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CD&amp;A Executive Summary</w:t>
      </w:r>
    </w:p>
    <w:p>
      <w:pPr>
        <w:spacing w:after="0" w:line="126" w:lineRule="exact"/>
        <w:rPr>
          <w:sz w:val="20"/>
          <w:szCs w:val="20"/>
          <w:color w:val="auto"/>
        </w:rPr>
      </w:pPr>
    </w:p>
    <w:p>
      <w:pPr>
        <w:ind w:left="760" w:right="319"/>
        <w:spacing w:after="0" w:line="250" w:lineRule="auto"/>
        <w:rPr>
          <w:sz w:val="20"/>
          <w:szCs w:val="20"/>
          <w:color w:val="auto"/>
        </w:rPr>
      </w:pPr>
      <w:r>
        <w:rPr>
          <w:rFonts w:ascii="Arial" w:cs="Arial" w:eastAsia="Arial" w:hAnsi="Arial"/>
          <w:sz w:val="16"/>
          <w:szCs w:val="16"/>
          <w:color w:val="auto"/>
        </w:rPr>
        <w:t>Our market-competitive executive compensation program attracts and retains executives who perform at a high level and contribute to the success of the Company. It also provides strong financial incentives for the NEOs to increase shareholder value. To accomplish this, the Company pays its NEOs a base salary in cash; a bonus in cash in the event the metrics of the Short-Term Incentive Plan (“STIP”) are met; equity in the form of service-based awards and performance-based awards; and other employment benefits. All of these are more fully described in this CD&amp;A and in the narrative and tables included herein.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Company Performance in the Year Ended December 31, 2019</w:t>
      </w:r>
    </w:p>
    <w:p>
      <w:pPr>
        <w:spacing w:after="0" w:line="124" w:lineRule="exact"/>
        <w:rPr>
          <w:sz w:val="20"/>
          <w:szCs w:val="20"/>
          <w:color w:val="auto"/>
        </w:rPr>
      </w:pPr>
    </w:p>
    <w:p>
      <w:pPr>
        <w:ind w:left="760" w:right="439"/>
        <w:spacing w:after="0" w:line="248" w:lineRule="auto"/>
        <w:rPr>
          <w:sz w:val="20"/>
          <w:szCs w:val="20"/>
          <w:color w:val="auto"/>
        </w:rPr>
      </w:pPr>
      <w:r>
        <w:rPr>
          <w:rFonts w:ascii="Arial" w:cs="Arial" w:eastAsia="Arial" w:hAnsi="Arial"/>
          <w:sz w:val="16"/>
          <w:szCs w:val="16"/>
          <w:color w:val="auto"/>
        </w:rPr>
        <w:t>The year ended December 31, 2019 was a challenging one for the Company. Our 2019 Short-Term Incentive Plan (“STIP”) had financial objectives, non-financial objectives and, for most NEOs, leadership objectives. None of the financial objectives were achieved for the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 All the non-financial objectives were achieved with the exceptions of one Regulatory project and the Commercialization element, leading to a 30% achievement at Target. However, given the Company’s overall financial results,</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800"/>
        <w:spacing w:after="0" w:line="246" w:lineRule="auto"/>
        <w:rPr>
          <w:sz w:val="20"/>
          <w:szCs w:val="20"/>
          <w:color w:val="auto"/>
        </w:rPr>
      </w:pPr>
      <w:r>
        <w:rPr>
          <w:rFonts w:ascii="Arial" w:cs="Arial" w:eastAsia="Arial" w:hAnsi="Arial"/>
          <w:sz w:val="16"/>
          <w:szCs w:val="16"/>
          <w:color w:val="auto"/>
        </w:rPr>
        <w:t>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 Mr. Simpson. Achievements for Mr. Andrle and Mr. Simpson were considered at 70% given their departures from their roles within the Company. This resulted in the following payouts in relation to the leadership objective: Mr. Huston at 80% (resulting in a payment of 12% of Target (80% of 15%)); Ms. Skeffington at 80% (resulting in a payment of 12% of Target (80% of 15%));</w:t>
      </w:r>
    </w:p>
    <w:p>
      <w:pPr>
        <w:spacing w:after="0" w:line="2"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Mr. Andrle at 70% (resulting in a payout of 14% of Target (70% of 20%); and Mr. Simpson at 70% (resulting in a payment of 14% of Target (70% of 20%)).</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the year ended December 31, 2019:</w:t>
      </w:r>
    </w:p>
    <w:p>
      <w:pPr>
        <w:spacing w:after="0" w:line="46" w:lineRule="exact"/>
        <w:rPr>
          <w:sz w:val="20"/>
          <w:szCs w:val="20"/>
          <w:color w:val="auto"/>
        </w:rPr>
      </w:pPr>
    </w:p>
    <w:p>
      <w:pPr>
        <w:ind w:left="920" w:hanging="156"/>
        <w:spacing w:after="0"/>
        <w:tabs>
          <w:tab w:leader="none" w:pos="920" w:val="left"/>
        </w:tabs>
        <w:numPr>
          <w:ilvl w:val="0"/>
          <w:numId w:val="43"/>
        </w:numPr>
        <w:rPr>
          <w:rFonts w:ascii="Arial" w:cs="Arial" w:eastAsia="Arial" w:hAnsi="Arial"/>
          <w:sz w:val="16"/>
          <w:szCs w:val="16"/>
          <w:color w:val="6A2887"/>
        </w:rPr>
      </w:pPr>
      <w:r>
        <w:rPr>
          <w:rFonts w:ascii="Arial" w:cs="Arial" w:eastAsia="Arial" w:hAnsi="Arial"/>
          <w:sz w:val="16"/>
          <w:szCs w:val="16"/>
          <w:color w:val="auto"/>
        </w:rPr>
        <w:t>The Company’s total net sales were $1,084.2 million versus $1,107.0 in 2018, a decrease of 2.1% from 2018;</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3"/>
        </w:numPr>
        <w:rPr>
          <w:rFonts w:ascii="Arial" w:cs="Arial" w:eastAsia="Arial" w:hAnsi="Arial"/>
          <w:sz w:val="16"/>
          <w:szCs w:val="16"/>
          <w:color w:val="6A2887"/>
        </w:rPr>
      </w:pPr>
      <w:r>
        <w:rPr>
          <w:rFonts w:ascii="Arial" w:cs="Arial" w:eastAsia="Arial" w:hAnsi="Arial"/>
          <w:sz w:val="16"/>
          <w:szCs w:val="16"/>
          <w:color w:val="auto"/>
        </w:rPr>
        <w:t>Cardiovascular sales were $656.6 million, a 0.7% decrease from 2018;</w:t>
      </w:r>
    </w:p>
    <w:p>
      <w:pPr>
        <w:spacing w:after="0" w:line="32" w:lineRule="exact"/>
        <w:rPr>
          <w:rFonts w:ascii="Arial" w:cs="Arial" w:eastAsia="Arial" w:hAnsi="Arial"/>
          <w:sz w:val="16"/>
          <w:szCs w:val="16"/>
          <w:color w:val="6A2887"/>
        </w:rPr>
      </w:pPr>
    </w:p>
    <w:p>
      <w:pPr>
        <w:ind w:left="1140" w:right="940" w:hanging="160"/>
        <w:spacing w:after="0" w:line="260" w:lineRule="auto"/>
        <w:tabs>
          <w:tab w:leader="none" w:pos="1140" w:val="left"/>
        </w:tabs>
        <w:numPr>
          <w:ilvl w:val="1"/>
          <w:numId w:val="43"/>
        </w:numPr>
        <w:rPr>
          <w:rFonts w:ascii="Arial" w:cs="Arial" w:eastAsia="Arial" w:hAnsi="Arial"/>
          <w:sz w:val="16"/>
          <w:szCs w:val="16"/>
          <w:color w:val="6A2887"/>
        </w:rPr>
      </w:pPr>
      <w:r>
        <w:rPr>
          <w:rFonts w:ascii="Arial" w:cs="Arial" w:eastAsia="Arial" w:hAnsi="Arial"/>
          <w:sz w:val="16"/>
          <w:szCs w:val="16"/>
          <w:color w:val="auto"/>
        </w:rPr>
        <w:t>Sales in cardiopulmonary products were $504.7 million, a 3.1% decrease from 2018, primarily due to the impact of exiting a Canadian distribution agreement and a component supplier issue related to the Inspire oxygenator;</w:t>
      </w:r>
    </w:p>
    <w:p>
      <w:pPr>
        <w:spacing w:after="0" w:line="19" w:lineRule="exact"/>
        <w:rPr>
          <w:rFonts w:ascii="Arial" w:cs="Arial" w:eastAsia="Arial" w:hAnsi="Arial"/>
          <w:sz w:val="16"/>
          <w:szCs w:val="16"/>
          <w:color w:val="6A2887"/>
        </w:rPr>
      </w:pPr>
    </w:p>
    <w:p>
      <w:pPr>
        <w:ind w:left="1140" w:right="860" w:hanging="160"/>
        <w:spacing w:after="0" w:line="260" w:lineRule="auto"/>
        <w:tabs>
          <w:tab w:leader="none" w:pos="1140" w:val="left"/>
        </w:tabs>
        <w:numPr>
          <w:ilvl w:val="1"/>
          <w:numId w:val="43"/>
        </w:numPr>
        <w:rPr>
          <w:rFonts w:ascii="Arial" w:cs="Arial" w:eastAsia="Arial" w:hAnsi="Arial"/>
          <w:sz w:val="16"/>
          <w:szCs w:val="16"/>
          <w:color w:val="6A2887"/>
        </w:rPr>
      </w:pPr>
      <w:r>
        <w:rPr>
          <w:rFonts w:ascii="Arial" w:cs="Arial" w:eastAsia="Arial" w:hAnsi="Arial"/>
          <w:sz w:val="16"/>
          <w:szCs w:val="16"/>
          <w:color w:val="auto"/>
        </w:rPr>
        <w:t>Heart valve sales, including tissue and mechanical heart valves, were $120.0 million, a decrease of 0.7% compared to 2018; and</w:t>
      </w:r>
    </w:p>
    <w:p>
      <w:pPr>
        <w:spacing w:after="0" w:line="19" w:lineRule="exact"/>
        <w:rPr>
          <w:rFonts w:ascii="Arial" w:cs="Arial" w:eastAsia="Arial" w:hAnsi="Arial"/>
          <w:sz w:val="16"/>
          <w:szCs w:val="16"/>
          <w:color w:val="6A2887"/>
        </w:rPr>
      </w:pPr>
    </w:p>
    <w:p>
      <w:pPr>
        <w:ind w:left="1140" w:right="1400" w:hanging="160"/>
        <w:spacing w:after="0" w:line="291" w:lineRule="auto"/>
        <w:tabs>
          <w:tab w:leader="none" w:pos="1140" w:val="left"/>
        </w:tabs>
        <w:numPr>
          <w:ilvl w:val="1"/>
          <w:numId w:val="43"/>
        </w:numPr>
        <w:rPr>
          <w:rFonts w:ascii="Arial" w:cs="Arial" w:eastAsia="Arial" w:hAnsi="Arial"/>
          <w:sz w:val="15"/>
          <w:szCs w:val="15"/>
          <w:color w:val="6A2887"/>
        </w:rPr>
      </w:pPr>
      <w:r>
        <w:rPr>
          <w:rFonts w:ascii="Arial" w:cs="Arial" w:eastAsia="Arial" w:hAnsi="Arial"/>
          <w:sz w:val="15"/>
          <w:szCs w:val="15"/>
          <w:color w:val="auto"/>
        </w:rPr>
        <w:t>Advanced Circulatory Support (“ACS”) sales were $31.9 million, an increase of 64.1%, primarily related to growth in ProtekDuo and one additional quarter of sales in 2019 versus 2018 since the acquisition of TandemLife in April 2018;</w:t>
      </w:r>
    </w:p>
    <w:p>
      <w:pPr>
        <w:ind w:left="920" w:right="1140" w:hanging="156"/>
        <w:spacing w:after="0" w:line="260" w:lineRule="auto"/>
        <w:tabs>
          <w:tab w:leader="none" w:pos="920" w:val="left"/>
        </w:tabs>
        <w:numPr>
          <w:ilvl w:val="0"/>
          <w:numId w:val="43"/>
        </w:numPr>
        <w:rPr>
          <w:rFonts w:ascii="Arial" w:cs="Arial" w:eastAsia="Arial" w:hAnsi="Arial"/>
          <w:sz w:val="16"/>
          <w:szCs w:val="16"/>
          <w:color w:val="6A2887"/>
        </w:rPr>
      </w:pPr>
      <w:r>
        <w:rPr>
          <w:rFonts w:ascii="Arial" w:cs="Arial" w:eastAsia="Arial" w:hAnsi="Arial"/>
          <w:sz w:val="16"/>
          <w:szCs w:val="16"/>
          <w:color w:val="auto"/>
        </w:rPr>
        <w:t>Neuromodulation sales were $424.5 million, a 1.2% increase compared to 2018, primarily driven by adoption of the SenTiva VNS Therapy System and very strong growth in the Europe and Rest of World regions; and</w:t>
      </w:r>
    </w:p>
    <w:p>
      <w:pPr>
        <w:spacing w:after="0" w:line="19" w:lineRule="exact"/>
        <w:rPr>
          <w:rFonts w:ascii="Arial" w:cs="Arial" w:eastAsia="Arial" w:hAnsi="Arial"/>
          <w:sz w:val="16"/>
          <w:szCs w:val="16"/>
          <w:color w:val="6A2887"/>
        </w:rPr>
      </w:pPr>
    </w:p>
    <w:p>
      <w:pPr>
        <w:ind w:left="920" w:right="860" w:hanging="156"/>
        <w:spacing w:after="0" w:line="251" w:lineRule="auto"/>
        <w:tabs>
          <w:tab w:leader="none" w:pos="920" w:val="left"/>
        </w:tabs>
        <w:numPr>
          <w:ilvl w:val="0"/>
          <w:numId w:val="43"/>
        </w:numPr>
        <w:rPr>
          <w:rFonts w:ascii="Arial" w:cs="Arial" w:eastAsia="Arial" w:hAnsi="Arial"/>
          <w:sz w:val="16"/>
          <w:szCs w:val="16"/>
          <w:color w:val="6A2887"/>
        </w:rPr>
      </w:pPr>
      <w:r>
        <w:rPr>
          <w:rFonts w:ascii="Arial" w:cs="Arial" w:eastAsia="Arial" w:hAnsi="Arial"/>
          <w:sz w:val="16"/>
          <w:szCs w:val="16"/>
          <w:color w:val="auto"/>
        </w:rPr>
        <w:t>The full year operating loss from continuing operations was $168.9 million and adjusted operating income from continuing operations was $179.7 million, a decrease of 16.9% as compared to 2018, primarily impacted by performance in Neuromodulation, investments in research and development to support Strategic Portfolio Initiatives, commercial investments in ACS and the Rest of World region, offset somewhat by favorable product mix and gross margin improvements.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Actions in 2019 to Contribute to Future Revenue</w:t>
      </w:r>
    </w:p>
    <w:p>
      <w:pPr>
        <w:spacing w:after="0" w:line="124"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While LivaNova’s 2019 financial results were disappointing, numerous management actions and other prior-year efforts bore fruit that will contribute to the Company’s success in the future.</w:t>
      </w:r>
    </w:p>
    <w:p>
      <w:pPr>
        <w:spacing w:after="0" w:line="20" w:lineRule="exact"/>
        <w:rPr>
          <w:sz w:val="20"/>
          <w:szCs w:val="20"/>
          <w:color w:val="auto"/>
        </w:rPr>
      </w:pPr>
    </w:p>
    <w:p>
      <w:pPr>
        <w:ind w:left="920" w:right="960" w:hanging="156"/>
        <w:spacing w:after="0" w:line="250" w:lineRule="auto"/>
        <w:tabs>
          <w:tab w:leader="none" w:pos="920" w:val="left"/>
        </w:tabs>
        <w:numPr>
          <w:ilvl w:val="0"/>
          <w:numId w:val="44"/>
        </w:numPr>
        <w:rPr>
          <w:rFonts w:ascii="Arial" w:cs="Arial" w:eastAsia="Arial" w:hAnsi="Arial"/>
          <w:sz w:val="16"/>
          <w:szCs w:val="16"/>
          <w:color w:val="6A2887"/>
        </w:rPr>
      </w:pPr>
      <w:r>
        <w:rPr>
          <w:rFonts w:ascii="Arial" w:cs="Arial" w:eastAsia="Arial" w:hAnsi="Arial"/>
          <w:sz w:val="16"/>
          <w:szCs w:val="16"/>
          <w:color w:val="auto"/>
        </w:rPr>
        <w:t>In February 2019, the US Centers for Medicare &amp; Medicaid Services (“CMS”) finalized its National Coverage Determination for the Vagus Nerve Stimulation (“VNS”) Therapy System for difficult to treat depression (“DTD”) which initiates coverage for Medicare beneficiaries through Coverage with Evidence Development when offered in a CMS-approved, double-blind, randomized placebo-controlled trial with a follow-up duration of one year, as well as coverage for VNS Therapy device replacement.</w:t>
      </w:r>
    </w:p>
    <w:p>
      <w:pPr>
        <w:spacing w:after="0" w:line="13" w:lineRule="exact"/>
        <w:rPr>
          <w:rFonts w:ascii="Arial" w:cs="Arial" w:eastAsia="Arial" w:hAnsi="Arial"/>
          <w:sz w:val="16"/>
          <w:szCs w:val="16"/>
          <w:color w:val="6A2887"/>
        </w:rPr>
      </w:pPr>
    </w:p>
    <w:p>
      <w:pPr>
        <w:ind w:left="920" w:right="820" w:hanging="156"/>
        <w:spacing w:after="0" w:line="253" w:lineRule="auto"/>
        <w:tabs>
          <w:tab w:leader="none" w:pos="920" w:val="left"/>
        </w:tabs>
        <w:numPr>
          <w:ilvl w:val="0"/>
          <w:numId w:val="44"/>
        </w:numPr>
        <w:rPr>
          <w:rFonts w:ascii="Arial" w:cs="Arial" w:eastAsia="Arial" w:hAnsi="Arial"/>
          <w:sz w:val="16"/>
          <w:szCs w:val="16"/>
          <w:color w:val="6A2887"/>
        </w:rPr>
      </w:pPr>
      <w:r>
        <w:rPr>
          <w:rFonts w:ascii="Arial" w:cs="Arial" w:eastAsia="Arial" w:hAnsi="Arial"/>
          <w:sz w:val="16"/>
          <w:szCs w:val="16"/>
          <w:color w:val="auto"/>
        </w:rPr>
        <w:t>In July 2019, we launched Bi-Flow, our innovative arterial femoral cannula, which received CE Mark in early 2019 and is the only bidirectional arterial cannula designed to prevent leg ischemia during cardiac surgery procedures requiring femoral artery cannulation.</w:t>
      </w:r>
    </w:p>
    <w:p>
      <w:pPr>
        <w:spacing w:after="0" w:line="25" w:lineRule="exact"/>
        <w:rPr>
          <w:rFonts w:ascii="Arial" w:cs="Arial" w:eastAsia="Arial" w:hAnsi="Arial"/>
          <w:sz w:val="16"/>
          <w:szCs w:val="16"/>
          <w:color w:val="6A2887"/>
        </w:rPr>
      </w:pPr>
    </w:p>
    <w:p>
      <w:pPr>
        <w:ind w:left="920" w:right="1580" w:hanging="156"/>
        <w:spacing w:after="0" w:line="260" w:lineRule="auto"/>
        <w:tabs>
          <w:tab w:leader="none" w:pos="920" w:val="left"/>
        </w:tabs>
        <w:numPr>
          <w:ilvl w:val="0"/>
          <w:numId w:val="44"/>
        </w:numPr>
        <w:rPr>
          <w:rFonts w:ascii="Arial" w:cs="Arial" w:eastAsia="Arial" w:hAnsi="Arial"/>
          <w:sz w:val="16"/>
          <w:szCs w:val="16"/>
          <w:color w:val="6A2887"/>
        </w:rPr>
      </w:pPr>
      <w:r>
        <w:rPr>
          <w:rFonts w:ascii="Arial" w:cs="Arial" w:eastAsia="Arial" w:hAnsi="Arial"/>
          <w:sz w:val="16"/>
          <w:szCs w:val="16"/>
          <w:color w:val="auto"/>
        </w:rPr>
        <w:t>In July 2019, we acquired Miami Instruments, LLC’s minimally invasive cardiac surgery instruments business for cash consideration of up to $17.0 million.</w:t>
      </w:r>
    </w:p>
    <w:p>
      <w:pPr>
        <w:spacing w:after="0" w:line="19" w:lineRule="exact"/>
        <w:rPr>
          <w:rFonts w:ascii="Arial" w:cs="Arial" w:eastAsia="Arial" w:hAnsi="Arial"/>
          <w:sz w:val="16"/>
          <w:szCs w:val="16"/>
          <w:color w:val="6A2887"/>
        </w:rPr>
      </w:pPr>
    </w:p>
    <w:p>
      <w:pPr>
        <w:ind w:left="920" w:right="980" w:hanging="156"/>
        <w:spacing w:after="0" w:line="260" w:lineRule="auto"/>
        <w:tabs>
          <w:tab w:leader="none" w:pos="920" w:val="left"/>
        </w:tabs>
        <w:numPr>
          <w:ilvl w:val="0"/>
          <w:numId w:val="44"/>
        </w:numPr>
        <w:rPr>
          <w:rFonts w:ascii="Arial" w:cs="Arial" w:eastAsia="Arial" w:hAnsi="Arial"/>
          <w:sz w:val="16"/>
          <w:szCs w:val="16"/>
          <w:color w:val="6A2887"/>
        </w:rPr>
      </w:pPr>
      <w:r>
        <w:rPr>
          <w:rFonts w:ascii="Arial" w:cs="Arial" w:eastAsia="Arial" w:hAnsi="Arial"/>
          <w:sz w:val="16"/>
          <w:szCs w:val="16"/>
          <w:color w:val="auto"/>
        </w:rPr>
        <w:t>In July 2019, the US Food and Drug Administration approved our LifeSPARC system, a new generation of the ACS pump and controller and we began a limited commercial release in the US.</w:t>
      </w:r>
    </w:p>
    <w:p>
      <w:pPr>
        <w:spacing w:after="0" w:line="6" w:lineRule="exact"/>
        <w:rPr>
          <w:rFonts w:ascii="Arial" w:cs="Arial" w:eastAsia="Arial" w:hAnsi="Arial"/>
          <w:sz w:val="16"/>
          <w:szCs w:val="16"/>
          <w:color w:val="6A2887"/>
        </w:rPr>
      </w:pPr>
    </w:p>
    <w:p>
      <w:pPr>
        <w:jc w:val="both"/>
        <w:ind w:left="920" w:right="900" w:hanging="156"/>
        <w:spacing w:after="0" w:line="253" w:lineRule="auto"/>
        <w:tabs>
          <w:tab w:leader="none" w:pos="920" w:val="left"/>
        </w:tabs>
        <w:numPr>
          <w:ilvl w:val="0"/>
          <w:numId w:val="44"/>
        </w:numPr>
        <w:rPr>
          <w:rFonts w:ascii="Arial" w:cs="Arial" w:eastAsia="Arial" w:hAnsi="Arial"/>
          <w:sz w:val="16"/>
          <w:szCs w:val="16"/>
          <w:color w:val="6A2887"/>
        </w:rPr>
      </w:pPr>
      <w:r>
        <w:rPr>
          <w:rFonts w:ascii="Arial" w:cs="Arial" w:eastAsia="Arial" w:hAnsi="Arial"/>
          <w:sz w:val="16"/>
          <w:szCs w:val="16"/>
          <w:color w:val="auto"/>
        </w:rPr>
        <w:t>In September 2019, CMS accepted the protocol for our RECOVER clinical study, evaluating VNS Therapy for DTD. RECOVER is a double-blind randomized, placebo-controlled study with a follow-up duration of at least one year. RECOVER will include up to 500 unipolar and up to 500 bipolar patents at a maximum of 100 sites in the US.</w:t>
      </w:r>
    </w:p>
    <w:p>
      <w:pPr>
        <w:spacing w:after="0" w:line="25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Shareholder Engagement and Consideration of Prior Year’s Say on Pay Vote</w:t>
      </w:r>
    </w:p>
    <w:p>
      <w:pPr>
        <w:spacing w:after="0" w:line="126" w:lineRule="exact"/>
        <w:rPr>
          <w:sz w:val="20"/>
          <w:szCs w:val="20"/>
          <w:color w:val="auto"/>
        </w:rPr>
      </w:pPr>
    </w:p>
    <w:p>
      <w:pPr>
        <w:ind w:left="760" w:right="1260"/>
        <w:spacing w:after="0" w:line="260" w:lineRule="auto"/>
        <w:rPr>
          <w:sz w:val="20"/>
          <w:szCs w:val="20"/>
          <w:color w:val="auto"/>
        </w:rPr>
      </w:pPr>
      <w:r>
        <w:rPr>
          <w:rFonts w:ascii="Arial" w:cs="Arial" w:eastAsia="Arial" w:hAnsi="Arial"/>
          <w:sz w:val="16"/>
          <w:szCs w:val="16"/>
          <w:color w:val="auto"/>
        </w:rPr>
        <w:t>We are committed to engagement with our shareholders on executive compensation and corporate governance matters and review all shareholder input and feedback.</w:t>
      </w:r>
    </w:p>
    <w:p>
      <w:pPr>
        <w:spacing w:after="0" w:line="74" w:lineRule="exact"/>
        <w:rPr>
          <w:sz w:val="20"/>
          <w:szCs w:val="20"/>
          <w:color w:val="auto"/>
        </w:rPr>
      </w:pPr>
    </w:p>
    <w:p>
      <w:pPr>
        <w:ind w:left="760" w:right="780"/>
        <w:spacing w:after="0" w:line="251" w:lineRule="auto"/>
        <w:rPr>
          <w:sz w:val="20"/>
          <w:szCs w:val="20"/>
          <w:color w:val="auto"/>
        </w:rPr>
      </w:pPr>
      <w:r>
        <w:rPr>
          <w:rFonts w:ascii="Arial" w:cs="Arial" w:eastAsia="Arial" w:hAnsi="Arial"/>
          <w:sz w:val="16"/>
          <w:szCs w:val="16"/>
          <w:color w:val="auto"/>
        </w:rPr>
        <w:t>At the 2019 AGM, the vote on “Say on Pay” regarding NEO compensation garnered shareholder support of 95.40%. The advisory vote on the UK directors’ remuneration report regarding executive and non-executive director remuneration also showed strong support with 95.55% approval. The Compensation Committee reviewed shareholder and other stakeholder feedback along with the results of each of these votes and incorporated it when making compensation decisions.</w:t>
      </w:r>
    </w:p>
    <w:p>
      <w:pPr>
        <w:spacing w:after="0" w:line="81" w:lineRule="exact"/>
        <w:rPr>
          <w:sz w:val="20"/>
          <w:szCs w:val="20"/>
          <w:color w:val="auto"/>
        </w:rPr>
      </w:pPr>
    </w:p>
    <w:p>
      <w:pPr>
        <w:ind w:left="760" w:right="800"/>
        <w:spacing w:after="0" w:line="253"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our sole executive director. The remuneration policy received the support of 96.05% of the shareholders in 2019. This policy remains in force until the 2022 AGM when a new remuneration policy will be presented to shareholders for their approval.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Executive Compensation Philosophy</w:t>
      </w:r>
    </w:p>
    <w:p>
      <w:pPr>
        <w:spacing w:after="0" w:line="139" w:lineRule="exact"/>
        <w:rPr>
          <w:sz w:val="20"/>
          <w:szCs w:val="20"/>
          <w:color w:val="auto"/>
        </w:rPr>
      </w:pPr>
    </w:p>
    <w:p>
      <w:pPr>
        <w:ind w:left="760" w:right="239"/>
        <w:spacing w:after="0" w:line="251" w:lineRule="auto"/>
        <w:rPr>
          <w:sz w:val="20"/>
          <w:szCs w:val="20"/>
          <w:color w:val="auto"/>
        </w:rPr>
      </w:pPr>
      <w:r>
        <w:rPr>
          <w:rFonts w:ascii="Arial" w:cs="Arial" w:eastAsia="Arial" w:hAnsi="Arial"/>
          <w:sz w:val="16"/>
          <w:szCs w:val="16"/>
          <w:color w:val="auto"/>
        </w:rPr>
        <w:t>The Compensation Committee has structured the Company’s executive compensation program to be an incentive for our NEOs to perform at their highest level, take appropriate risks and drive shareholder return in the short and long term. We determine the compensation strategy for our NEOs and oversee its operation to ensure our goals – shareholder alignment, rewarding appropriate performance and competitive pay – are achieved in practice.</w:t>
      </w:r>
    </w:p>
    <w:p>
      <w:pPr>
        <w:spacing w:after="0" w:line="81" w:lineRule="exact"/>
        <w:rPr>
          <w:sz w:val="20"/>
          <w:szCs w:val="20"/>
          <w:color w:val="auto"/>
        </w:rPr>
      </w:pPr>
    </w:p>
    <w:p>
      <w:pPr>
        <w:jc w:val="both"/>
        <w:ind w:left="760" w:right="299"/>
        <w:spacing w:after="0" w:line="253" w:lineRule="auto"/>
        <w:rPr>
          <w:sz w:val="20"/>
          <w:szCs w:val="20"/>
          <w:color w:val="auto"/>
        </w:rPr>
      </w:pPr>
      <w:r>
        <w:rPr>
          <w:rFonts w:ascii="Arial" w:cs="Arial" w:eastAsia="Arial" w:hAnsi="Arial"/>
          <w:sz w:val="16"/>
          <w:szCs w:val="16"/>
          <w:color w:val="auto"/>
        </w:rPr>
        <w:t>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12" w:lineRule="exact"/>
        <w:rPr>
          <w:sz w:val="20"/>
          <w:szCs w:val="20"/>
          <w:color w:val="auto"/>
        </w:rPr>
      </w:pPr>
    </w:p>
    <w:p>
      <w:pPr>
        <w:ind w:left="920" w:right="939" w:hanging="156"/>
        <w:spacing w:after="0" w:line="260" w:lineRule="auto"/>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Target NEO pay around the market median to attract, motivate and retain talented executive officers with the skills and experience to ensure our long-term success;</w:t>
      </w:r>
    </w:p>
    <w:p>
      <w:pPr>
        <w:spacing w:after="0" w:line="6" w:lineRule="exact"/>
        <w:rPr>
          <w:rFonts w:ascii="Arial" w:cs="Arial" w:eastAsia="Arial" w:hAnsi="Arial"/>
          <w:sz w:val="16"/>
          <w:szCs w:val="16"/>
          <w:color w:val="6A2887"/>
        </w:rPr>
      </w:pPr>
    </w:p>
    <w:p>
      <w:pPr>
        <w:ind w:left="920" w:right="479" w:hanging="156"/>
        <w:spacing w:after="0" w:line="260" w:lineRule="auto"/>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Use multiple pay and award vehicles that work together to reward performance and retain talent, while maintaining alignment with shareholder interests;</w:t>
      </w:r>
    </w:p>
    <w:p>
      <w:pPr>
        <w:spacing w:after="0" w:line="19" w:lineRule="exact"/>
        <w:rPr>
          <w:rFonts w:ascii="Arial" w:cs="Arial" w:eastAsia="Arial" w:hAnsi="Arial"/>
          <w:sz w:val="16"/>
          <w:szCs w:val="16"/>
          <w:color w:val="6A2887"/>
        </w:rPr>
      </w:pPr>
    </w:p>
    <w:p>
      <w:pPr>
        <w:ind w:left="920" w:right="559" w:hanging="156"/>
        <w:spacing w:after="0" w:line="260" w:lineRule="auto"/>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Reward individual performance with base salary and a cash-based short-term bonus while ensuring a meaningful link to our operational performance and shareholder interests;</w:t>
      </w:r>
    </w:p>
    <w:p>
      <w:pPr>
        <w:spacing w:after="0" w:line="6" w:lineRule="exact"/>
        <w:rPr>
          <w:rFonts w:ascii="Arial" w:cs="Arial" w:eastAsia="Arial" w:hAnsi="Arial"/>
          <w:sz w:val="16"/>
          <w:szCs w:val="16"/>
          <w:color w:val="6A2887"/>
        </w:rPr>
      </w:pPr>
    </w:p>
    <w:p>
      <w:pPr>
        <w:ind w:left="920" w:right="779" w:hanging="156"/>
        <w:spacing w:after="0" w:line="260" w:lineRule="auto"/>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Pay a substantial portion of each NEO’s compensation as variable pay contingent upon the achievement of our business objectives;</w:t>
      </w:r>
    </w:p>
    <w:p>
      <w:pPr>
        <w:spacing w:after="0" w:line="6" w:lineRule="exact"/>
        <w:rPr>
          <w:rFonts w:ascii="Arial" w:cs="Arial" w:eastAsia="Arial" w:hAnsi="Arial"/>
          <w:sz w:val="16"/>
          <w:szCs w:val="16"/>
          <w:color w:val="6A2887"/>
        </w:rPr>
      </w:pPr>
    </w:p>
    <w:p>
      <w:pPr>
        <w:jc w:val="both"/>
        <w:ind w:left="920" w:right="499" w:hanging="156"/>
        <w:spacing w:after="0" w:line="253" w:lineRule="auto"/>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12" w:lineRule="exact"/>
        <w:rPr>
          <w:rFonts w:ascii="Arial" w:cs="Arial" w:eastAsia="Arial" w:hAnsi="Arial"/>
          <w:sz w:val="16"/>
          <w:szCs w:val="16"/>
          <w:color w:val="6A2887"/>
        </w:rPr>
      </w:pPr>
    </w:p>
    <w:p>
      <w:pPr>
        <w:ind w:left="920" w:hanging="156"/>
        <w:spacing w:after="0"/>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Encourage NEOs to have a meaningful ownership interest in the Company with stock ownership guidelines;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Vest equity awards over time to promote retention and mitigate risks;</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Have clawback provisions in our plans to mitigate risks; and</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5"/>
        </w:numPr>
        <w:rPr>
          <w:rFonts w:ascii="Arial" w:cs="Arial" w:eastAsia="Arial" w:hAnsi="Arial"/>
          <w:sz w:val="16"/>
          <w:szCs w:val="16"/>
          <w:color w:val="6A2887"/>
        </w:rPr>
      </w:pPr>
      <w:r>
        <w:rPr>
          <w:rFonts w:ascii="Arial" w:cs="Arial" w:eastAsia="Arial" w:hAnsi="Arial"/>
          <w:sz w:val="16"/>
          <w:szCs w:val="16"/>
          <w:color w:val="auto"/>
        </w:rPr>
        <w:t>Work with an independent compensation consultant to ensure our program is meeting its goals.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further aligns the executive compensation program with shareholder interests by:</w:t>
      </w:r>
    </w:p>
    <w:p>
      <w:pPr>
        <w:spacing w:after="0" w:line="32" w:lineRule="exact"/>
        <w:rPr>
          <w:sz w:val="20"/>
          <w:szCs w:val="20"/>
          <w:color w:val="auto"/>
        </w:rPr>
      </w:pPr>
    </w:p>
    <w:p>
      <w:pPr>
        <w:ind w:left="920" w:hanging="156"/>
        <w:spacing w:after="0"/>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Having a double trigger change in control provision before cash severance may be paid;</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Prohibiting excise tax gross-up payments;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Prohibiting stock option repricing and discounted stock option grants;</w:t>
      </w:r>
    </w:p>
    <w:p>
      <w:pPr>
        <w:spacing w:after="0" w:line="32" w:lineRule="exact"/>
        <w:rPr>
          <w:rFonts w:ascii="Arial" w:cs="Arial" w:eastAsia="Arial" w:hAnsi="Arial"/>
          <w:sz w:val="16"/>
          <w:szCs w:val="16"/>
          <w:color w:val="6A2887"/>
        </w:rPr>
      </w:pPr>
    </w:p>
    <w:p>
      <w:pPr>
        <w:ind w:left="920" w:right="419" w:hanging="156"/>
        <w:spacing w:after="0" w:line="260" w:lineRule="auto"/>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Not allowing our officers or directors to pledge their LivaNova stock, subject to a transition period for one director to unwind an existing obligation;</w:t>
      </w:r>
    </w:p>
    <w:p>
      <w:pPr>
        <w:spacing w:after="0" w:line="6" w:lineRule="exact"/>
        <w:rPr>
          <w:rFonts w:ascii="Arial" w:cs="Arial" w:eastAsia="Arial" w:hAnsi="Arial"/>
          <w:sz w:val="16"/>
          <w:szCs w:val="16"/>
          <w:color w:val="6A2887"/>
        </w:rPr>
      </w:pPr>
    </w:p>
    <w:p>
      <w:pPr>
        <w:ind w:left="920" w:right="399" w:hanging="156"/>
        <w:spacing w:after="0" w:line="260" w:lineRule="auto"/>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Prohibiting hedging transactions of any type of Company security, including without limitation puts, calls, equity swaps, collars, exchange funds, prepaid variable forwards or other financial instruments or derivative securities; and</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46"/>
        </w:numPr>
        <w:rPr>
          <w:rFonts w:ascii="Arial" w:cs="Arial" w:eastAsia="Arial" w:hAnsi="Arial"/>
          <w:sz w:val="16"/>
          <w:szCs w:val="16"/>
          <w:color w:val="6A2887"/>
        </w:rPr>
      </w:pPr>
      <w:r>
        <w:rPr>
          <w:rFonts w:ascii="Arial" w:cs="Arial" w:eastAsia="Arial" w:hAnsi="Arial"/>
          <w:sz w:val="16"/>
          <w:szCs w:val="16"/>
          <w:color w:val="auto"/>
        </w:rPr>
        <w:t>Allocating 50% of NEO long-term incentives to performance-based awards.</w:t>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Participants in Executive Compensation Design and Decision-Making Process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Role of the Compensation Committee</w:t>
      </w:r>
    </w:p>
    <w:p>
      <w:pPr>
        <w:spacing w:after="0" w:line="110" w:lineRule="exact"/>
        <w:rPr>
          <w:sz w:val="20"/>
          <w:szCs w:val="20"/>
          <w:color w:val="auto"/>
        </w:rPr>
      </w:pPr>
    </w:p>
    <w:p>
      <w:pPr>
        <w:ind w:left="760" w:right="259"/>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The Compensation Committee determines our compensation philosophy, program design and is the decision-making body on all matters relating to the compensation paid to our NEOs. The Compensation Committee has the sole authority to retain and terminate a compensation consultant to assist with its responsibilities as well as the sole authority to approve the compensation consultant’s fees, which the Company pays. For more information about the Compensation Committee, its members and its duties as set forth in its charter, please refer to the section entitled “Board, Committee and Shareholders Meetings – Compensation Committee” beginning on page </w:t>
      </w:r>
      <w:hyperlink w:anchor="page22">
        <w:r>
          <w:rPr>
            <w:rFonts w:ascii="Arial" w:cs="Arial" w:eastAsia="Arial" w:hAnsi="Arial"/>
            <w:sz w:val="16"/>
            <w:szCs w:val="16"/>
            <w:u w:val="single" w:color="auto"/>
            <w:color w:val="0000EE"/>
          </w:rPr>
          <w:t>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Role of the Compensation Consultant</w:t>
      </w:r>
    </w:p>
    <w:p>
      <w:pPr>
        <w:spacing w:after="0" w:line="124" w:lineRule="exact"/>
        <w:rPr>
          <w:sz w:val="20"/>
          <w:szCs w:val="20"/>
          <w:color w:val="auto"/>
        </w:rPr>
      </w:pPr>
    </w:p>
    <w:p>
      <w:pPr>
        <w:ind w:left="760" w:right="239"/>
        <w:spacing w:after="0" w:line="251" w:lineRule="auto"/>
        <w:rPr>
          <w:sz w:val="20"/>
          <w:szCs w:val="20"/>
          <w:color w:val="auto"/>
        </w:rPr>
      </w:pPr>
      <w:r>
        <w:rPr>
          <w:rFonts w:ascii="Arial" w:cs="Arial" w:eastAsia="Arial" w:hAnsi="Arial"/>
          <w:sz w:val="16"/>
          <w:szCs w:val="16"/>
          <w:color w:val="auto"/>
        </w:rPr>
        <w:t>The Compensation Committee directly engages a compensation consultant, Pearl Meyer &amp; Partners, LLC (“Pearl Meyer”), to advise it on competitive pay practices, determine our peers for compensation purposes, provide market data and assist us in the analysis of that data. Pearl Meyer is independent of the Company and does not perform any services for the Company or any of its executive officers or other employees.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Role of the CEO</w:t>
      </w:r>
    </w:p>
    <w:p>
      <w:pPr>
        <w:spacing w:after="0" w:line="124"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Our Compensation Committee works with our executive management, including our CEO, to oversee our executive compensation program. Our CEO plays a key role in the process as it relates to executive officers other than himself. For the NEOs other than himself, our CEO:</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47"/>
        </w:numPr>
        <w:rPr>
          <w:rFonts w:ascii="Arial" w:cs="Arial" w:eastAsia="Arial" w:hAnsi="Arial"/>
          <w:sz w:val="16"/>
          <w:szCs w:val="16"/>
          <w:color w:val="6A2887"/>
        </w:rPr>
      </w:pPr>
      <w:r>
        <w:rPr>
          <w:rFonts w:ascii="Arial" w:cs="Arial" w:eastAsia="Arial" w:hAnsi="Arial"/>
          <w:sz w:val="16"/>
          <w:szCs w:val="16"/>
          <w:color w:val="auto"/>
        </w:rPr>
        <w:t>recommends performance objectives for our annual STIP;</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7"/>
        </w:numPr>
        <w:rPr>
          <w:rFonts w:ascii="Arial" w:cs="Arial" w:eastAsia="Arial" w:hAnsi="Arial"/>
          <w:sz w:val="16"/>
          <w:szCs w:val="16"/>
          <w:color w:val="6A2887"/>
        </w:rPr>
      </w:pPr>
      <w:r>
        <w:rPr>
          <w:rFonts w:ascii="Arial" w:cs="Arial" w:eastAsia="Arial" w:hAnsi="Arial"/>
          <w:sz w:val="16"/>
          <w:szCs w:val="16"/>
          <w:color w:val="auto"/>
        </w:rPr>
        <w:t>recommends adjustments to annual base salaries and target amounts under our STIP;</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7"/>
        </w:numPr>
        <w:rPr>
          <w:rFonts w:ascii="Arial" w:cs="Arial" w:eastAsia="Arial" w:hAnsi="Arial"/>
          <w:sz w:val="16"/>
          <w:szCs w:val="16"/>
          <w:color w:val="6A2887"/>
        </w:rPr>
      </w:pPr>
      <w:r>
        <w:rPr>
          <w:rFonts w:ascii="Arial" w:cs="Arial" w:eastAsia="Arial" w:hAnsi="Arial"/>
          <w:sz w:val="16"/>
          <w:szCs w:val="16"/>
          <w:color w:val="auto"/>
        </w:rPr>
        <w:t>recommends equity incentive awards under our long-term incentive plan (“LTIP”);</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47"/>
        </w:numPr>
        <w:rPr>
          <w:rFonts w:ascii="Arial" w:cs="Arial" w:eastAsia="Arial" w:hAnsi="Arial"/>
          <w:sz w:val="16"/>
          <w:szCs w:val="16"/>
          <w:color w:val="6A2887"/>
        </w:rPr>
      </w:pPr>
      <w:r>
        <w:rPr>
          <w:rFonts w:ascii="Arial" w:cs="Arial" w:eastAsia="Arial" w:hAnsi="Arial"/>
          <w:sz w:val="16"/>
          <w:szCs w:val="16"/>
          <w:color w:val="auto"/>
        </w:rPr>
        <w:t>prepares an evaluation of each executive officer; and</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47"/>
        </w:numPr>
        <w:rPr>
          <w:rFonts w:ascii="Arial" w:cs="Arial" w:eastAsia="Arial" w:hAnsi="Arial"/>
          <w:sz w:val="16"/>
          <w:szCs w:val="16"/>
          <w:color w:val="6A2887"/>
        </w:rPr>
      </w:pPr>
      <w:r>
        <w:rPr>
          <w:rFonts w:ascii="Arial" w:cs="Arial" w:eastAsia="Arial" w:hAnsi="Arial"/>
          <w:sz w:val="16"/>
          <w:szCs w:val="16"/>
          <w:color w:val="auto"/>
        </w:rPr>
        <w:t>prepares an analysis of performance objective achievements and recommends annual bonus amounts.</w:t>
      </w:r>
    </w:p>
    <w:p>
      <w:pPr>
        <w:spacing w:after="0" w:line="100" w:lineRule="exact"/>
        <w:rPr>
          <w:sz w:val="20"/>
          <w:szCs w:val="20"/>
          <w:color w:val="auto"/>
        </w:rPr>
      </w:pPr>
    </w:p>
    <w:p>
      <w:pPr>
        <w:ind w:left="760" w:right="580"/>
        <w:spacing w:after="0" w:line="260" w:lineRule="auto"/>
        <w:rPr>
          <w:sz w:val="20"/>
          <w:szCs w:val="20"/>
          <w:color w:val="auto"/>
        </w:rPr>
      </w:pPr>
      <w:r>
        <w:rPr>
          <w:rFonts w:ascii="Arial" w:cs="Arial" w:eastAsia="Arial" w:hAnsi="Arial"/>
          <w:sz w:val="16"/>
          <w:szCs w:val="16"/>
          <w:color w:val="auto"/>
        </w:rPr>
        <w:t>With respect to himself, our CEO prepares a self-evaluation that is reviewed by the Compensation Committee and used by the Compensation Committee in setting his compensation.</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How We Establish Executive Compensation Levels</w:t>
      </w:r>
    </w:p>
    <w:p>
      <w:pPr>
        <w:spacing w:after="0" w:line="139" w:lineRule="exact"/>
        <w:rPr>
          <w:sz w:val="20"/>
          <w:szCs w:val="20"/>
          <w:color w:val="auto"/>
        </w:rPr>
      </w:pPr>
    </w:p>
    <w:p>
      <w:pPr>
        <w:ind w:left="760" w:right="540"/>
        <w:spacing w:after="0" w:line="267" w:lineRule="auto"/>
        <w:rPr>
          <w:sz w:val="20"/>
          <w:szCs w:val="20"/>
          <w:color w:val="auto"/>
        </w:rPr>
      </w:pPr>
      <w:r>
        <w:rPr>
          <w:rFonts w:ascii="Arial" w:cs="Arial" w:eastAsia="Arial" w:hAnsi="Arial"/>
          <w:sz w:val="15"/>
          <w:szCs w:val="15"/>
          <w:color w:val="auto"/>
        </w:rPr>
        <w:t>In making executive compensation determinations, the Compensation Committee relies on several factors to set compensation elements and compensation targets consistent with our executive compensation program objectives. These factors include:</w:t>
      </w:r>
    </w:p>
    <w:p>
      <w:pPr>
        <w:spacing w:after="0" w:line="1" w:lineRule="exact"/>
        <w:rPr>
          <w:sz w:val="20"/>
          <w:szCs w:val="20"/>
          <w:color w:val="auto"/>
        </w:rPr>
      </w:pPr>
    </w:p>
    <w:p>
      <w:pPr>
        <w:ind w:left="920" w:right="560" w:hanging="156"/>
        <w:spacing w:after="0" w:line="253" w:lineRule="auto"/>
        <w:tabs>
          <w:tab w:leader="none" w:pos="920" w:val="left"/>
        </w:tabs>
        <w:numPr>
          <w:ilvl w:val="0"/>
          <w:numId w:val="48"/>
        </w:numPr>
        <w:rPr>
          <w:rFonts w:ascii="Arial" w:cs="Arial" w:eastAsia="Arial" w:hAnsi="Arial"/>
          <w:sz w:val="16"/>
          <w:szCs w:val="16"/>
          <w:color w:val="6A2887"/>
        </w:rPr>
      </w:pPr>
      <w:r>
        <w:rPr>
          <w:rFonts w:ascii="Arial" w:cs="Arial" w:eastAsia="Arial" w:hAnsi="Arial"/>
          <w:sz w:val="16"/>
          <w:szCs w:val="16"/>
          <w:b w:val="1"/>
          <w:bCs w:val="1"/>
          <w:i w:val="1"/>
          <w:iCs w:val="1"/>
          <w:color w:val="auto"/>
        </w:rPr>
        <w:t xml:space="preserve">Assessment of Company Performance. </w:t>
      </w:r>
      <w:r>
        <w:rPr>
          <w:rFonts w:ascii="Arial" w:cs="Arial" w:eastAsia="Arial" w:hAnsi="Arial"/>
          <w:sz w:val="16"/>
          <w:szCs w:val="16"/>
          <w:color w:val="auto"/>
        </w:rPr>
        <w:t>The Compensation Committee establishes specific, measurable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objectives that the Board, the Compensation Committee and management believe will drive shareholder value. Achievement or failure to achieve those performance objectives determines substantially all of the pay-outs under the STIP (individual objectives may also be relevant depending on the year) and the lapsing or not of forfeiture restrictions on performance-based equity incentive awards under the LTIP.</w:t>
      </w:r>
    </w:p>
    <w:p>
      <w:pPr>
        <w:spacing w:after="0" w:line="2" w:lineRule="exact"/>
        <w:rPr>
          <w:rFonts w:ascii="Arial" w:cs="Arial" w:eastAsia="Arial" w:hAnsi="Arial"/>
          <w:sz w:val="16"/>
          <w:szCs w:val="16"/>
          <w:color w:val="6A2887"/>
        </w:rPr>
      </w:pPr>
    </w:p>
    <w:p>
      <w:pPr>
        <w:ind w:left="920" w:hanging="156"/>
        <w:spacing w:after="0"/>
        <w:tabs>
          <w:tab w:leader="none" w:pos="920" w:val="left"/>
        </w:tabs>
        <w:numPr>
          <w:ilvl w:val="0"/>
          <w:numId w:val="48"/>
        </w:numPr>
        <w:rPr>
          <w:rFonts w:ascii="Arial" w:cs="Arial" w:eastAsia="Arial" w:hAnsi="Arial"/>
          <w:sz w:val="16"/>
          <w:szCs w:val="16"/>
          <w:color w:val="6A2887"/>
        </w:rPr>
      </w:pPr>
      <w:r>
        <w:rPr>
          <w:rFonts w:ascii="Arial" w:cs="Arial" w:eastAsia="Arial" w:hAnsi="Arial"/>
          <w:sz w:val="16"/>
          <w:szCs w:val="16"/>
          <w:b w:val="1"/>
          <w:bCs w:val="1"/>
          <w:i w:val="1"/>
          <w:iCs w:val="1"/>
          <w:color w:val="auto"/>
        </w:rPr>
        <w:t xml:space="preserve">Assessment of Individual Performance. </w:t>
      </w:r>
      <w:r>
        <w:rPr>
          <w:rFonts w:ascii="Arial" w:cs="Arial" w:eastAsia="Arial" w:hAnsi="Arial"/>
          <w:sz w:val="16"/>
          <w:szCs w:val="16"/>
          <w:color w:val="auto"/>
        </w:rPr>
        <w:t>Individual performance has a strong impact on compensation.</w:t>
      </w:r>
    </w:p>
    <w:p>
      <w:pPr>
        <w:spacing w:after="0" w:line="45" w:lineRule="exact"/>
        <w:rPr>
          <w:rFonts w:ascii="Arial" w:cs="Arial" w:eastAsia="Arial" w:hAnsi="Arial"/>
          <w:sz w:val="16"/>
          <w:szCs w:val="16"/>
          <w:color w:val="6A2887"/>
        </w:rPr>
      </w:pPr>
    </w:p>
    <w:p>
      <w:pPr>
        <w:ind w:left="1140" w:right="260" w:hanging="160"/>
        <w:spacing w:after="0" w:line="255" w:lineRule="auto"/>
        <w:tabs>
          <w:tab w:leader="none" w:pos="1140" w:val="left"/>
        </w:tabs>
        <w:numPr>
          <w:ilvl w:val="1"/>
          <w:numId w:val="48"/>
        </w:numPr>
        <w:rPr>
          <w:rFonts w:ascii="Arial" w:cs="Arial" w:eastAsia="Arial" w:hAnsi="Arial"/>
          <w:sz w:val="16"/>
          <w:szCs w:val="16"/>
          <w:color w:val="6A2887"/>
        </w:rPr>
      </w:pPr>
      <w:r>
        <w:rPr>
          <w:rFonts w:ascii="Arial" w:cs="Arial" w:eastAsia="Arial" w:hAnsi="Arial"/>
          <w:sz w:val="16"/>
          <w:szCs w:val="16"/>
          <w:b w:val="1"/>
          <w:bCs w:val="1"/>
          <w:color w:val="auto"/>
        </w:rPr>
        <w:t>CEO</w:t>
      </w:r>
      <w:r>
        <w:rPr>
          <w:rFonts w:ascii="Arial" w:cs="Arial" w:eastAsia="Arial" w:hAnsi="Arial"/>
          <w:sz w:val="16"/>
          <w:szCs w:val="16"/>
          <w:color w:val="auto"/>
        </w:rPr>
        <w:t>. The Compensation Committee meets with our CEO at the beginning of the year to agree on the CEO’s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objectives for the year. At the end of the year, the Compensation Committee and the chairman of the Board meet in executive session to assess the CEO’s performance against his performance objectives, his contribution to our performance, his ethics and integrity and other leadership attributes.</w:t>
      </w:r>
    </w:p>
    <w:p>
      <w:pPr>
        <w:spacing w:after="0" w:line="1" w:lineRule="exact"/>
        <w:rPr>
          <w:rFonts w:ascii="Arial" w:cs="Arial" w:eastAsia="Arial" w:hAnsi="Arial"/>
          <w:sz w:val="16"/>
          <w:szCs w:val="16"/>
          <w:color w:val="6A2887"/>
        </w:rPr>
      </w:pPr>
    </w:p>
    <w:p>
      <w:pPr>
        <w:ind w:left="1140" w:right="480" w:hanging="160"/>
        <w:spacing w:after="0" w:line="255" w:lineRule="auto"/>
        <w:tabs>
          <w:tab w:leader="none" w:pos="1140" w:val="left"/>
        </w:tabs>
        <w:numPr>
          <w:ilvl w:val="1"/>
          <w:numId w:val="48"/>
        </w:numPr>
        <w:rPr>
          <w:rFonts w:ascii="Arial" w:cs="Arial" w:eastAsia="Arial" w:hAnsi="Arial"/>
          <w:sz w:val="16"/>
          <w:szCs w:val="16"/>
          <w:color w:val="6A2887"/>
        </w:rPr>
      </w:pPr>
      <w:r>
        <w:rPr>
          <w:rFonts w:ascii="Arial" w:cs="Arial" w:eastAsia="Arial" w:hAnsi="Arial"/>
          <w:sz w:val="16"/>
          <w:szCs w:val="16"/>
          <w:b w:val="1"/>
          <w:bCs w:val="1"/>
          <w:color w:val="auto"/>
        </w:rPr>
        <w:t>Other NEOs</w:t>
      </w:r>
      <w:r>
        <w:rPr>
          <w:rFonts w:ascii="Arial" w:cs="Arial" w:eastAsia="Arial" w:hAnsi="Arial"/>
          <w:sz w:val="16"/>
          <w:szCs w:val="16"/>
          <w:color w:val="auto"/>
        </w:rPr>
        <w:t>. For all other NEOs, the Compensation Committee receives performance assessments and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from the CEO and also exercises its judgment based on the Board’s interactions with the individuals. As with the CEO, an executive officer’s performance assessment is based on individual achievements and contributions, contribution to our company’s performance, ethics and integrity and other leadership accomplishments.</w:t>
      </w:r>
    </w:p>
    <w:p>
      <w:pPr>
        <w:spacing w:after="0" w:line="1" w:lineRule="exact"/>
        <w:rPr>
          <w:rFonts w:ascii="Arial" w:cs="Arial" w:eastAsia="Arial" w:hAnsi="Arial"/>
          <w:sz w:val="16"/>
          <w:szCs w:val="16"/>
          <w:color w:val="6A2887"/>
        </w:rPr>
      </w:pPr>
    </w:p>
    <w:p>
      <w:pPr>
        <w:ind w:left="920" w:right="260" w:hanging="156"/>
        <w:spacing w:after="0" w:line="251" w:lineRule="auto"/>
        <w:tabs>
          <w:tab w:leader="none" w:pos="920" w:val="left"/>
        </w:tabs>
        <w:numPr>
          <w:ilvl w:val="0"/>
          <w:numId w:val="48"/>
        </w:numPr>
        <w:rPr>
          <w:rFonts w:ascii="Arial" w:cs="Arial" w:eastAsia="Arial" w:hAnsi="Arial"/>
          <w:sz w:val="16"/>
          <w:szCs w:val="16"/>
          <w:color w:val="6A2887"/>
        </w:rPr>
      </w:pPr>
      <w:r>
        <w:rPr>
          <w:rFonts w:ascii="Arial" w:cs="Arial" w:eastAsia="Arial" w:hAnsi="Arial"/>
          <w:sz w:val="16"/>
          <w:szCs w:val="16"/>
          <w:b w:val="1"/>
          <w:bCs w:val="1"/>
          <w:i w:val="1"/>
          <w:iCs w:val="1"/>
          <w:color w:val="auto"/>
        </w:rPr>
        <w:t xml:space="preserve">Benchmarking Analysis. </w:t>
      </w:r>
      <w:r>
        <w:rPr>
          <w:rFonts w:ascii="Arial" w:cs="Arial" w:eastAsia="Arial" w:hAnsi="Arial"/>
          <w:sz w:val="16"/>
          <w:szCs w:val="16"/>
          <w:color w:val="auto"/>
        </w:rPr>
        <w:t>The Compensation Committee reviews peer-group data as a market check for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decisions, but does not base compensation targets on peer-group data alone. The Compensation Committee compares the overall pay of individual NEOs to the most relevant benchmarking data available from its independent advisor, Pearl Meyer. The NEO’s pay is driven primarily by individual and Company performance, as well as internal pay equity; peer group data is used as a market check to compare individual pay to the broad middle range (25th to 75th percentile) of peer group pay. The Compensation Committee typically seeks to maintain base salary toward the middle of peer group pay, but will permit annual bonus opportunities and long-term equity incentive awards to approach the upper end of the broad middle range when justified by individual and Company performance. Pearl Meyer uses the peer group companies as well as survey data from Radford to perform the benchmark analysis.</w:t>
      </w:r>
    </w:p>
    <w:p>
      <w:pPr>
        <w:spacing w:after="0" w:line="84" w:lineRule="exact"/>
        <w:rPr>
          <w:sz w:val="20"/>
          <w:szCs w:val="20"/>
          <w:color w:val="auto"/>
        </w:rPr>
      </w:pPr>
    </w:p>
    <w:p>
      <w:pPr>
        <w:jc w:val="both"/>
        <w:ind w:left="760" w:right="500"/>
        <w:spacing w:after="0" w:line="253" w:lineRule="auto"/>
        <w:rPr>
          <w:sz w:val="20"/>
          <w:szCs w:val="20"/>
          <w:color w:val="auto"/>
        </w:rPr>
      </w:pPr>
      <w:r>
        <w:rPr>
          <w:rFonts w:ascii="Arial" w:cs="Arial" w:eastAsia="Arial" w:hAnsi="Arial"/>
          <w:sz w:val="16"/>
          <w:szCs w:val="16"/>
          <w:color w:val="auto"/>
        </w:rPr>
        <w:t>The peer group used to benchmark executive compensation for the year ended December 31, 2019 consisted of 20 companies (the “2019 Peer Group”) selected by the Compensation Committee with advice from its independent compensation consultant, Pearl Meyer, as follows:</w:t>
      </w:r>
    </w:p>
    <w:p>
      <w:pPr>
        <w:spacing w:after="0" w:line="9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Abiomed, Inc.</w:t>
      </w:r>
      <w:r>
        <w:rPr>
          <w:sz w:val="20"/>
          <w:szCs w:val="20"/>
          <w:color w:val="auto"/>
        </w:rPr>
        <w:tab/>
      </w:r>
      <w:r>
        <w:rPr>
          <w:rFonts w:ascii="Arial" w:cs="Arial" w:eastAsia="Arial" w:hAnsi="Arial"/>
          <w:sz w:val="15"/>
          <w:szCs w:val="15"/>
          <w:color w:val="auto"/>
        </w:rPr>
        <w:t>Masimo Corporation</w:t>
      </w:r>
    </w:p>
    <w:p>
      <w:pPr>
        <w:spacing w:after="0" w:line="46"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Cantel Medical Corp.</w:t>
      </w:r>
      <w:r>
        <w:rPr>
          <w:sz w:val="20"/>
          <w:szCs w:val="20"/>
          <w:color w:val="auto"/>
        </w:rPr>
        <w:tab/>
      </w:r>
      <w:r>
        <w:rPr>
          <w:rFonts w:ascii="Arial" w:cs="Arial" w:eastAsia="Arial" w:hAnsi="Arial"/>
          <w:sz w:val="15"/>
          <w:szCs w:val="15"/>
          <w:color w:val="auto"/>
        </w:rPr>
        <w:t>Merit Medical Systems,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CONMED Corporation</w:t>
      </w:r>
      <w:r>
        <w:rPr>
          <w:sz w:val="20"/>
          <w:szCs w:val="20"/>
          <w:color w:val="auto"/>
        </w:rPr>
        <w:tab/>
      </w:r>
      <w:r>
        <w:rPr>
          <w:rFonts w:ascii="Arial" w:cs="Arial" w:eastAsia="Arial" w:hAnsi="Arial"/>
          <w:sz w:val="15"/>
          <w:szCs w:val="15"/>
          <w:color w:val="auto"/>
        </w:rPr>
        <w:t>Nuvasive,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DexCom, Inc.</w:t>
      </w:r>
      <w:r>
        <w:rPr>
          <w:sz w:val="20"/>
          <w:szCs w:val="20"/>
          <w:color w:val="auto"/>
        </w:rPr>
        <w:tab/>
      </w:r>
      <w:r>
        <w:rPr>
          <w:rFonts w:ascii="Arial" w:cs="Arial" w:eastAsia="Arial" w:hAnsi="Arial"/>
          <w:sz w:val="16"/>
          <w:szCs w:val="16"/>
          <w:color w:val="auto"/>
        </w:rPr>
        <w:t>ResMed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Globus Medical, Inc.</w:t>
      </w:r>
      <w:r>
        <w:rPr>
          <w:sz w:val="20"/>
          <w:szCs w:val="20"/>
          <w:color w:val="auto"/>
        </w:rPr>
        <w:tab/>
      </w:r>
      <w:r>
        <w:rPr>
          <w:rFonts w:ascii="Arial" w:cs="Arial" w:eastAsia="Arial" w:hAnsi="Arial"/>
          <w:sz w:val="15"/>
          <w:szCs w:val="15"/>
          <w:color w:val="auto"/>
        </w:rPr>
        <w:t>STERIS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Teleflex Incorporated</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Hologic, Inc.</w:t>
      </w:r>
      <w:r>
        <w:rPr>
          <w:sz w:val="20"/>
          <w:szCs w:val="20"/>
          <w:color w:val="auto"/>
        </w:rPr>
        <w:tab/>
      </w:r>
      <w:r>
        <w:rPr>
          <w:rFonts w:ascii="Arial" w:cs="Arial" w:eastAsia="Arial" w:hAnsi="Arial"/>
          <w:sz w:val="15"/>
          <w:szCs w:val="15"/>
          <w:color w:val="auto"/>
        </w:rPr>
        <w:t>The Cooper Companies,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ICU Medical, Inc.</w:t>
      </w:r>
      <w:r>
        <w:rPr>
          <w:sz w:val="20"/>
          <w:szCs w:val="20"/>
          <w:color w:val="auto"/>
        </w:rPr>
        <w:tab/>
      </w:r>
      <w:r>
        <w:rPr>
          <w:rFonts w:ascii="Arial" w:cs="Arial" w:eastAsia="Arial" w:hAnsi="Arial"/>
          <w:sz w:val="15"/>
          <w:szCs w:val="15"/>
          <w:color w:val="auto"/>
        </w:rPr>
        <w:t>Varian Medical Systems,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Integer Holdings, Corporation</w:t>
      </w:r>
      <w:r>
        <w:rPr>
          <w:sz w:val="20"/>
          <w:szCs w:val="20"/>
          <w:color w:val="auto"/>
        </w:rPr>
        <w:tab/>
      </w:r>
      <w:r>
        <w:rPr>
          <w:rFonts w:ascii="Arial" w:cs="Arial" w:eastAsia="Arial" w:hAnsi="Arial"/>
          <w:sz w:val="15"/>
          <w:szCs w:val="15"/>
          <w:color w:val="auto"/>
        </w:rPr>
        <w:t>West Pharmaceutical Services, Inc.</w:t>
      </w:r>
    </w:p>
    <w:p>
      <w:pPr>
        <w:spacing w:after="0" w:line="73"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Integra LifeSciences Holdings Corporation</w:t>
      </w:r>
      <w:r>
        <w:rPr>
          <w:sz w:val="20"/>
          <w:szCs w:val="20"/>
          <w:color w:val="auto"/>
        </w:rPr>
        <w:tab/>
      </w:r>
      <w:r>
        <w:rPr>
          <w:rFonts w:ascii="Arial" w:cs="Arial" w:eastAsia="Arial" w:hAnsi="Arial"/>
          <w:sz w:val="15"/>
          <w:szCs w:val="15"/>
          <w:color w:val="auto"/>
        </w:rPr>
        <w:t>Wright Medical Group, N.V.</w:t>
      </w:r>
    </w:p>
    <w:p>
      <w:pPr>
        <w:spacing w:after="0" w:line="161" w:lineRule="exact"/>
        <w:rPr>
          <w:sz w:val="20"/>
          <w:szCs w:val="20"/>
          <w:color w:val="auto"/>
        </w:rPr>
      </w:pPr>
    </w:p>
    <w:p>
      <w:pPr>
        <w:ind w:left="920" w:right="320" w:hanging="156"/>
        <w:spacing w:after="0" w:line="264" w:lineRule="auto"/>
        <w:tabs>
          <w:tab w:leader="none" w:pos="920" w:val="left"/>
        </w:tabs>
        <w:numPr>
          <w:ilvl w:val="0"/>
          <w:numId w:val="49"/>
        </w:numPr>
        <w:rPr>
          <w:rFonts w:ascii="Arial" w:cs="Arial" w:eastAsia="Arial" w:hAnsi="Arial"/>
          <w:sz w:val="16"/>
          <w:szCs w:val="16"/>
          <w:color w:val="6A2887"/>
        </w:rPr>
      </w:pPr>
      <w:r>
        <w:rPr>
          <w:rFonts w:ascii="Arial" w:cs="Arial" w:eastAsia="Arial" w:hAnsi="Arial"/>
          <w:sz w:val="16"/>
          <w:szCs w:val="16"/>
          <w:b w:val="1"/>
          <w:bCs w:val="1"/>
          <w:i w:val="1"/>
          <w:iCs w:val="1"/>
          <w:color w:val="auto"/>
        </w:rPr>
        <w:t>Overall Competitiveness</w:t>
      </w:r>
      <w:r>
        <w:rPr>
          <w:rFonts w:ascii="Arial" w:cs="Arial" w:eastAsia="Arial" w:hAnsi="Arial"/>
          <w:sz w:val="16"/>
          <w:szCs w:val="16"/>
          <w:color w:val="auto"/>
        </w:rPr>
        <w:t>. The Compensation Committee uses aggregated market data from the Radford survey data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peer group as a reference point to ensure that executive compensation falls within the broad middle range of comparable pay at peer companies with which the Company competes for talent.</w:t>
      </w:r>
    </w:p>
    <w:p>
      <w:pPr>
        <w:ind w:left="920" w:right="700" w:hanging="156"/>
        <w:spacing w:after="0" w:line="321" w:lineRule="auto"/>
        <w:tabs>
          <w:tab w:leader="none" w:pos="920" w:val="left"/>
        </w:tabs>
        <w:numPr>
          <w:ilvl w:val="0"/>
          <w:numId w:val="49"/>
        </w:numPr>
        <w:rPr>
          <w:rFonts w:ascii="Arial" w:cs="Arial" w:eastAsia="Arial" w:hAnsi="Arial"/>
          <w:sz w:val="15"/>
          <w:szCs w:val="15"/>
          <w:color w:val="6A2887"/>
        </w:rPr>
      </w:pPr>
      <w:r>
        <w:rPr>
          <w:rFonts w:ascii="Arial" w:cs="Arial" w:eastAsia="Arial" w:hAnsi="Arial"/>
          <w:sz w:val="15"/>
          <w:szCs w:val="15"/>
          <w:b w:val="1"/>
          <w:bCs w:val="1"/>
          <w:i w:val="1"/>
          <w:iCs w:val="1"/>
          <w:color w:val="auto"/>
        </w:rPr>
        <w:t>UK Remuneration Policy</w:t>
      </w:r>
      <w:r>
        <w:rPr>
          <w:rFonts w:ascii="Arial" w:cs="Arial" w:eastAsia="Arial" w:hAnsi="Arial"/>
          <w:sz w:val="15"/>
          <w:szCs w:val="15"/>
          <w:color w:val="auto"/>
        </w:rPr>
        <w:t>. For our CEO, who is also a director, the Compensation Committee must ensure that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plan it approves for him is consistent with our shareholder-approved UK remuneration policy. Under English</w:t>
      </w:r>
    </w:p>
    <w:p>
      <w:pPr>
        <w:sectPr>
          <w:pgSz w:w="11900" w:h="16838" w:orient="portrait"/>
          <w:cols w:equalWidth="0" w:num="1">
            <w:col w:w="10180"/>
          </w:cols>
          <w:pgMar w:left="320" w:top="131" w:right="1399" w:bottom="1440" w:gutter="0" w:footer="0" w:header="0"/>
        </w:sectPr>
      </w:pPr>
    </w:p>
    <w:p>
      <w:pPr>
        <w:spacing w:after="0" w:line="50"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39370</wp:posOffset>
            </wp:positionV>
            <wp:extent cx="1954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39370</wp:posOffset>
            </wp:positionV>
            <wp:extent cx="1954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right="279"/>
        <w:spacing w:after="0" w:line="251" w:lineRule="auto"/>
        <w:rPr>
          <w:sz w:val="20"/>
          <w:szCs w:val="20"/>
          <w:color w:val="auto"/>
        </w:rPr>
      </w:pPr>
      <w:r>
        <w:rPr>
          <w:rFonts w:ascii="Arial" w:cs="Arial" w:eastAsia="Arial" w:hAnsi="Arial"/>
          <w:sz w:val="16"/>
          <w:szCs w:val="16"/>
          <w:color w:val="auto"/>
        </w:rPr>
        <w:t>company law, we were obliged to adopt a remuneration policy for our directors, including our CEO, who is also a director. Under that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Executive Compensation Program Design</w:t>
      </w:r>
    </w:p>
    <w:p>
      <w:pPr>
        <w:spacing w:after="0" w:line="126" w:lineRule="exact"/>
        <w:rPr>
          <w:sz w:val="20"/>
          <w:szCs w:val="20"/>
          <w:color w:val="auto"/>
        </w:rPr>
      </w:pPr>
    </w:p>
    <w:p>
      <w:pPr>
        <w:ind w:left="760" w:right="299"/>
        <w:spacing w:after="0" w:line="251" w:lineRule="auto"/>
        <w:rPr>
          <w:sz w:val="20"/>
          <w:szCs w:val="20"/>
          <w:color w:val="auto"/>
        </w:rPr>
      </w:pPr>
      <w:r>
        <w:rPr>
          <w:rFonts w:ascii="Arial" w:cs="Arial" w:eastAsia="Arial" w:hAnsi="Arial"/>
          <w:sz w:val="16"/>
          <w:szCs w:val="16"/>
          <w:color w:val="auto"/>
        </w:rPr>
        <w:t>We do not currently have, and we do not expect to have, formal policies relating to the allocation of total compensation among the various elements of our compensation program (other than for our CEO who, as a director, is subject to the shareholder-approved remuneration policy). We intend to continue to evaluate the mix of base salary, short-term incentive compensation and long-term incentive compensation to appropriately align the interests of our NEOs with those of our shareholders.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executive compensation program currently consists of the following:</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500" w:type="dxa"/>
            <w:vAlign w:val="bottom"/>
            <w:tcBorders>
              <w:bottom w:val="single" w:sz="8" w:color="6A2887"/>
            </w:tcBorders>
          </w:tcPr>
          <w:p>
            <w:pPr>
              <w:ind w:left="60"/>
              <w:spacing w:after="0"/>
              <w:rPr>
                <w:sz w:val="20"/>
                <w:szCs w:val="20"/>
                <w:color w:val="auto"/>
              </w:rPr>
            </w:pPr>
            <w:r>
              <w:rPr>
                <w:rFonts w:ascii="Arial" w:cs="Arial" w:eastAsia="Arial" w:hAnsi="Arial"/>
                <w:sz w:val="14"/>
                <w:szCs w:val="14"/>
                <w:b w:val="1"/>
                <w:bCs w:val="1"/>
                <w:color w:val="6A2887"/>
              </w:rPr>
              <w:t>Element and Purpose</w:t>
            </w:r>
          </w:p>
        </w:tc>
        <w:tc>
          <w:tcPr>
            <w:tcW w:w="4680" w:type="dxa"/>
            <w:vAlign w:val="bottom"/>
            <w:tcBorders>
              <w:bottom w:val="single" w:sz="8" w:color="6A2887"/>
            </w:tcBorders>
          </w:tcPr>
          <w:p>
            <w:pPr>
              <w:ind w:left="200"/>
              <w:spacing w:after="0"/>
              <w:rPr>
                <w:sz w:val="20"/>
                <w:szCs w:val="20"/>
                <w:color w:val="auto"/>
              </w:rPr>
            </w:pPr>
            <w:r>
              <w:rPr>
                <w:rFonts w:ascii="Arial" w:cs="Arial" w:eastAsia="Arial" w:hAnsi="Arial"/>
                <w:sz w:val="14"/>
                <w:szCs w:val="14"/>
                <w:b w:val="1"/>
                <w:bCs w:val="1"/>
                <w:color w:val="6A2887"/>
              </w:rPr>
              <w:t>Key Features</w:t>
            </w:r>
          </w:p>
        </w:tc>
        <w:tc>
          <w:tcPr>
            <w:tcW w:w="0" w:type="dxa"/>
            <w:vAlign w:val="bottom"/>
          </w:tcPr>
          <w:p>
            <w:pPr>
              <w:spacing w:after="0"/>
              <w:rPr>
                <w:sz w:val="1"/>
                <w:szCs w:val="1"/>
                <w:color w:val="auto"/>
              </w:rPr>
            </w:pPr>
          </w:p>
        </w:tc>
      </w:tr>
      <w:tr>
        <w:trPr>
          <w:trHeight w:val="201"/>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Base Salary</w:t>
            </w:r>
          </w:p>
        </w:tc>
        <w:tc>
          <w:tcPr>
            <w:tcW w:w="4680" w:type="dxa"/>
            <w:vAlign w:val="bottom"/>
          </w:tcPr>
          <w:p>
            <w:pPr>
              <w:ind w:left="200"/>
              <w:spacing w:after="0"/>
              <w:rPr>
                <w:sz w:val="20"/>
                <w:szCs w:val="20"/>
                <w:color w:val="auto"/>
              </w:rPr>
            </w:pPr>
            <w:r>
              <w:rPr>
                <w:rFonts w:ascii="Arial" w:cs="Arial" w:eastAsia="Arial" w:hAnsi="Arial"/>
                <w:sz w:val="16"/>
                <w:szCs w:val="16"/>
                <w:color w:val="auto"/>
              </w:rPr>
              <w:t>Fixed annually at the beginning of the financial year by the</w:t>
            </w:r>
          </w:p>
        </w:tc>
        <w:tc>
          <w:tcPr>
            <w:tcW w:w="0" w:type="dxa"/>
            <w:vAlign w:val="bottom"/>
          </w:tcPr>
          <w:p>
            <w:pPr>
              <w:spacing w:after="0"/>
              <w:rPr>
                <w:sz w:val="1"/>
                <w:szCs w:val="1"/>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Purpose: Attract and retain NEOs; compensate for individual</w:t>
            </w:r>
          </w:p>
        </w:tc>
        <w:tc>
          <w:tcPr>
            <w:tcW w:w="4680" w:type="dxa"/>
            <w:vAlign w:val="bottom"/>
          </w:tcPr>
          <w:p>
            <w:pPr>
              <w:ind w:left="200"/>
              <w:spacing w:after="0"/>
              <w:rPr>
                <w:sz w:val="20"/>
                <w:szCs w:val="20"/>
                <w:color w:val="auto"/>
              </w:rPr>
            </w:pPr>
            <w:r>
              <w:rPr>
                <w:rFonts w:ascii="Arial" w:cs="Arial" w:eastAsia="Arial" w:hAnsi="Arial"/>
                <w:sz w:val="16"/>
                <w:szCs w:val="16"/>
                <w:color w:val="auto"/>
              </w:rPr>
              <w:t>Compensation Committee</w:t>
            </w:r>
          </w:p>
        </w:tc>
        <w:tc>
          <w:tcPr>
            <w:tcW w:w="0" w:type="dxa"/>
            <w:vAlign w:val="bottom"/>
          </w:tcPr>
          <w:p>
            <w:pPr>
              <w:spacing w:after="0"/>
              <w:rPr>
                <w:sz w:val="1"/>
                <w:szCs w:val="1"/>
                <w:color w:val="auto"/>
              </w:rPr>
            </w:pPr>
          </w:p>
        </w:tc>
      </w:tr>
      <w:tr>
        <w:trPr>
          <w:trHeight w:val="211"/>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performance</w:t>
            </w: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Measured against compensation peer group</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Serves as the baseline from which short-term incentives are</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calculated</w:t>
            </w:r>
          </w:p>
        </w:tc>
        <w:tc>
          <w:tcPr>
            <w:tcW w:w="0" w:type="dxa"/>
            <w:vAlign w:val="bottom"/>
          </w:tcPr>
          <w:p>
            <w:pPr>
              <w:spacing w:after="0"/>
              <w:rPr>
                <w:sz w:val="1"/>
                <w:szCs w:val="1"/>
                <w:color w:val="auto"/>
              </w:rPr>
            </w:pPr>
          </w:p>
        </w:tc>
      </w:tr>
      <w:tr>
        <w:trPr>
          <w:trHeight w:val="60"/>
        </w:trPr>
        <w:tc>
          <w:tcPr>
            <w:tcW w:w="4500" w:type="dxa"/>
            <w:vAlign w:val="bottom"/>
          </w:tcPr>
          <w:p>
            <w:pPr>
              <w:spacing w:after="0"/>
              <w:rPr>
                <w:sz w:val="5"/>
                <w:szCs w:val="5"/>
                <w:color w:val="auto"/>
              </w:rPr>
            </w:pPr>
          </w:p>
        </w:tc>
        <w:tc>
          <w:tcPr>
            <w:tcW w:w="4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b w:val="1"/>
                <w:bCs w:val="1"/>
                <w:color w:val="auto"/>
              </w:rPr>
              <w:t>Short-Term Incentives</w:t>
            </w: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Annual cash-based bonus plan expressed as a percentage of</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i w:val="1"/>
                <w:iCs w:val="1"/>
                <w:color w:val="auto"/>
              </w:rPr>
              <w:t>Purpose: Provide formulaic incentives to achieve or exceed</w:t>
            </w: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the NEO’s weighted average base salary</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ind w:left="60"/>
              <w:spacing w:after="0"/>
              <w:rPr>
                <w:sz w:val="20"/>
                <w:szCs w:val="20"/>
                <w:color w:val="auto"/>
              </w:rPr>
            </w:pPr>
            <w:r>
              <w:rPr>
                <w:rFonts w:ascii="Arial" w:cs="Arial" w:eastAsia="Arial" w:hAnsi="Arial"/>
                <w:sz w:val="16"/>
                <w:szCs w:val="16"/>
                <w:i w:val="1"/>
                <w:iCs w:val="1"/>
                <w:color w:val="auto"/>
              </w:rPr>
              <w:t>budgeted Adjusted Net Sales (1) and Adjusted Net Income</w:t>
            </w:r>
          </w:p>
        </w:tc>
        <w:tc>
          <w:tcPr>
            <w:tcW w:w="4680" w:type="dxa"/>
            <w:vAlign w:val="bottom"/>
            <w:vMerge w:val="restart"/>
            <w:shd w:val="clear" w:color="auto" w:fill="EFE9FC"/>
          </w:tcPr>
          <w:p>
            <w:pPr>
              <w:ind w:left="200"/>
              <w:spacing w:after="0"/>
              <w:rPr>
                <w:sz w:val="20"/>
                <w:szCs w:val="20"/>
                <w:color w:val="auto"/>
              </w:rPr>
            </w:pPr>
            <w:r>
              <w:rPr>
                <w:rFonts w:ascii="Arial" w:cs="Arial" w:eastAsia="Arial" w:hAnsi="Arial"/>
                <w:sz w:val="16"/>
                <w:szCs w:val="16"/>
                <w:color w:val="auto"/>
              </w:rPr>
              <w:t>Incentive payouts range from threshold to maximum levels,</w:t>
            </w:r>
          </w:p>
        </w:tc>
        <w:tc>
          <w:tcPr>
            <w:tcW w:w="0" w:type="dxa"/>
            <w:vAlign w:val="bottom"/>
          </w:tcPr>
          <w:p>
            <w:pPr>
              <w:spacing w:after="0"/>
              <w:rPr>
                <w:sz w:val="1"/>
                <w:szCs w:val="1"/>
                <w:color w:val="auto"/>
              </w:rPr>
            </w:pPr>
          </w:p>
        </w:tc>
      </w:tr>
      <w:tr>
        <w:trPr>
          <w:trHeight w:val="70"/>
        </w:trPr>
        <w:tc>
          <w:tcPr>
            <w:tcW w:w="4500" w:type="dxa"/>
            <w:vAlign w:val="bottom"/>
            <w:vMerge w:val="restart"/>
            <w:shd w:val="clear" w:color="auto" w:fill="EFE9FC"/>
          </w:tcPr>
          <w:p>
            <w:pPr>
              <w:ind w:left="60"/>
              <w:spacing w:after="0"/>
              <w:rPr>
                <w:sz w:val="20"/>
                <w:szCs w:val="20"/>
                <w:color w:val="auto"/>
              </w:rPr>
            </w:pPr>
            <w:r>
              <w:rPr>
                <w:rFonts w:ascii="Arial" w:cs="Arial" w:eastAsia="Arial" w:hAnsi="Arial"/>
                <w:sz w:val="16"/>
                <w:szCs w:val="16"/>
                <w:i w:val="1"/>
                <w:iCs w:val="1"/>
                <w:color w:val="auto"/>
              </w:rPr>
              <w:t>(2) and drive non-financial initiatives supporting our success</w:t>
            </w:r>
          </w:p>
        </w:tc>
        <w:tc>
          <w:tcPr>
            <w:tcW w:w="4680" w:type="dxa"/>
            <w:vAlign w:val="bottom"/>
            <w:vMerge w:val="continue"/>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00" w:type="dxa"/>
            <w:vAlign w:val="bottom"/>
            <w:vMerge w:val="continue"/>
            <w:shd w:val="clear" w:color="auto" w:fill="EFE9FC"/>
          </w:tcPr>
          <w:p>
            <w:pPr>
              <w:spacing w:after="0"/>
              <w:rPr>
                <w:sz w:val="12"/>
                <w:szCs w:val="12"/>
                <w:color w:val="auto"/>
              </w:rPr>
            </w:pPr>
          </w:p>
        </w:tc>
        <w:tc>
          <w:tcPr>
            <w:tcW w:w="4680" w:type="dxa"/>
            <w:vAlign w:val="bottom"/>
            <w:vMerge w:val="restart"/>
            <w:shd w:val="clear" w:color="auto" w:fill="EFE9FC"/>
          </w:tcPr>
          <w:p>
            <w:pPr>
              <w:ind w:left="200"/>
              <w:spacing w:after="0"/>
              <w:rPr>
                <w:sz w:val="20"/>
                <w:szCs w:val="20"/>
                <w:color w:val="auto"/>
              </w:rPr>
            </w:pPr>
            <w:r>
              <w:rPr>
                <w:rFonts w:ascii="Arial" w:cs="Arial" w:eastAsia="Arial" w:hAnsi="Arial"/>
                <w:sz w:val="16"/>
                <w:szCs w:val="16"/>
                <w:color w:val="auto"/>
              </w:rPr>
              <w:t>depending on level of performance measured against</w:t>
            </w:r>
          </w:p>
        </w:tc>
        <w:tc>
          <w:tcPr>
            <w:tcW w:w="0" w:type="dxa"/>
            <w:vAlign w:val="bottom"/>
          </w:tcPr>
          <w:p>
            <w:pPr>
              <w:spacing w:after="0"/>
              <w:rPr>
                <w:sz w:val="1"/>
                <w:szCs w:val="1"/>
                <w:color w:val="auto"/>
              </w:rPr>
            </w:pPr>
          </w:p>
        </w:tc>
      </w:tr>
      <w:tr>
        <w:trPr>
          <w:trHeight w:val="48"/>
        </w:trPr>
        <w:tc>
          <w:tcPr>
            <w:tcW w:w="4500" w:type="dxa"/>
            <w:vAlign w:val="bottom"/>
            <w:shd w:val="clear" w:color="auto" w:fill="EFE9FC"/>
          </w:tcPr>
          <w:p>
            <w:pPr>
              <w:spacing w:after="0"/>
              <w:rPr>
                <w:sz w:val="4"/>
                <w:szCs w:val="4"/>
                <w:color w:val="auto"/>
              </w:rPr>
            </w:pPr>
          </w:p>
        </w:tc>
        <w:tc>
          <w:tcPr>
            <w:tcW w:w="4680" w:type="dxa"/>
            <w:vAlign w:val="bottom"/>
            <w:vMerge w:val="continue"/>
            <w:shd w:val="clear" w:color="auto" w:fill="EFE9FC"/>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Compensation Committee determined metrics</w:t>
            </w:r>
          </w:p>
        </w:tc>
        <w:tc>
          <w:tcPr>
            <w:tcW w:w="0" w:type="dxa"/>
            <w:vAlign w:val="bottom"/>
          </w:tcPr>
          <w:p>
            <w:pPr>
              <w:spacing w:after="0"/>
              <w:rPr>
                <w:sz w:val="1"/>
                <w:szCs w:val="1"/>
                <w:color w:val="auto"/>
              </w:rPr>
            </w:pPr>
          </w:p>
        </w:tc>
      </w:tr>
      <w:tr>
        <w:trPr>
          <w:trHeight w:val="237"/>
        </w:trPr>
        <w:tc>
          <w:tcPr>
            <w:tcW w:w="4500" w:type="dxa"/>
            <w:vAlign w:val="bottom"/>
            <w:shd w:val="clear" w:color="auto" w:fill="EFE9FC"/>
          </w:tcPr>
          <w:p>
            <w:pPr>
              <w:spacing w:after="0"/>
              <w:rPr>
                <w:sz w:val="20"/>
                <w:szCs w:val="20"/>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Bonus payment based on the achievement of two financial</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objectives – budgeted Adjusted Net Sales and Adjusted Net</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Income – eight non-financial objectives relating to: design,</w:t>
            </w:r>
          </w:p>
        </w:tc>
        <w:tc>
          <w:tcPr>
            <w:tcW w:w="0" w:type="dxa"/>
            <w:vAlign w:val="bottom"/>
          </w:tcPr>
          <w:p>
            <w:pPr>
              <w:spacing w:after="0"/>
              <w:rPr>
                <w:sz w:val="1"/>
                <w:szCs w:val="1"/>
                <w:color w:val="auto"/>
              </w:rPr>
            </w:pPr>
          </w:p>
        </w:tc>
      </w:tr>
      <w:tr>
        <w:trPr>
          <w:trHeight w:val="189"/>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clinical, regulatory and commercialization projects; and, with</w:t>
            </w:r>
          </w:p>
        </w:tc>
        <w:tc>
          <w:tcPr>
            <w:tcW w:w="0" w:type="dxa"/>
            <w:vAlign w:val="bottom"/>
          </w:tcPr>
          <w:p>
            <w:pPr>
              <w:spacing w:after="0"/>
              <w:rPr>
                <w:sz w:val="1"/>
                <w:szCs w:val="1"/>
                <w:color w:val="auto"/>
              </w:rPr>
            </w:pPr>
          </w:p>
        </w:tc>
      </w:tr>
      <w:tr>
        <w:trPr>
          <w:trHeight w:val="195"/>
        </w:trPr>
        <w:tc>
          <w:tcPr>
            <w:tcW w:w="4500" w:type="dxa"/>
            <w:vAlign w:val="bottom"/>
            <w:shd w:val="clear" w:color="auto" w:fill="EFE9FC"/>
          </w:tcPr>
          <w:p>
            <w:pPr>
              <w:spacing w:after="0"/>
              <w:rPr>
                <w:sz w:val="16"/>
                <w:szCs w:val="16"/>
                <w:color w:val="auto"/>
              </w:rPr>
            </w:pPr>
          </w:p>
        </w:tc>
        <w:tc>
          <w:tcPr>
            <w:tcW w:w="4680" w:type="dxa"/>
            <w:vAlign w:val="bottom"/>
            <w:shd w:val="clear" w:color="auto" w:fill="EFE9FC"/>
          </w:tcPr>
          <w:p>
            <w:pPr>
              <w:ind w:left="200"/>
              <w:spacing w:after="0"/>
              <w:rPr>
                <w:sz w:val="20"/>
                <w:szCs w:val="20"/>
                <w:color w:val="auto"/>
              </w:rPr>
            </w:pPr>
            <w:r>
              <w:rPr>
                <w:rFonts w:ascii="Arial" w:cs="Arial" w:eastAsia="Arial" w:hAnsi="Arial"/>
                <w:sz w:val="16"/>
                <w:szCs w:val="16"/>
                <w:color w:val="auto"/>
              </w:rPr>
              <w:t>the exception of Mr. McDonald, leadership</w:t>
            </w:r>
          </w:p>
        </w:tc>
        <w:tc>
          <w:tcPr>
            <w:tcW w:w="0" w:type="dxa"/>
            <w:vAlign w:val="bottom"/>
          </w:tcPr>
          <w:p>
            <w:pPr>
              <w:spacing w:after="0"/>
              <w:rPr>
                <w:sz w:val="1"/>
                <w:szCs w:val="1"/>
                <w:color w:val="auto"/>
              </w:rPr>
            </w:pPr>
          </w:p>
        </w:tc>
      </w:tr>
      <w:tr>
        <w:trPr>
          <w:trHeight w:val="74"/>
        </w:trPr>
        <w:tc>
          <w:tcPr>
            <w:tcW w:w="4500" w:type="dxa"/>
            <w:vAlign w:val="bottom"/>
            <w:shd w:val="clear" w:color="auto" w:fill="EFE9FC"/>
          </w:tcPr>
          <w:p>
            <w:pPr>
              <w:spacing w:after="0"/>
              <w:rPr>
                <w:sz w:val="6"/>
                <w:szCs w:val="6"/>
                <w:color w:val="auto"/>
              </w:rPr>
            </w:pPr>
          </w:p>
        </w:tc>
        <w:tc>
          <w:tcPr>
            <w:tcW w:w="468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4680" w:type="dxa"/>
            <w:vAlign w:val="bottom"/>
          </w:tcPr>
          <w:p>
            <w:pPr>
              <w:ind w:left="200"/>
              <w:spacing w:after="0"/>
              <w:rPr>
                <w:sz w:val="20"/>
                <w:szCs w:val="20"/>
                <w:color w:val="auto"/>
              </w:rPr>
            </w:pPr>
            <w:r>
              <w:rPr>
                <w:rFonts w:ascii="Arial" w:cs="Arial" w:eastAsia="Arial" w:hAnsi="Arial"/>
                <w:sz w:val="16"/>
                <w:szCs w:val="16"/>
                <w:b w:val="1"/>
                <w:bCs w:val="1"/>
                <w:color w:val="auto"/>
              </w:rPr>
              <w:t>Service-Based Awards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00" w:type="dxa"/>
            <w:vAlign w:val="bottom"/>
          </w:tcPr>
          <w:p>
            <w:pPr>
              <w:ind w:left="60"/>
              <w:spacing w:after="0"/>
              <w:rPr>
                <w:sz w:val="20"/>
                <w:szCs w:val="20"/>
                <w:color w:val="auto"/>
              </w:rPr>
            </w:pPr>
            <w:r>
              <w:rPr>
                <w:rFonts w:ascii="Arial" w:cs="Arial" w:eastAsia="Arial" w:hAnsi="Arial"/>
                <w:sz w:val="16"/>
                <w:szCs w:val="16"/>
                <w:i w:val="1"/>
                <w:iCs w:val="1"/>
                <w:color w:val="auto"/>
              </w:rPr>
              <w:t>Purpose: Create alignment with shareholder interests;</w:t>
            </w: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Restricted Stock Units vest in equal or substantially equal</w:t>
            </w:r>
          </w:p>
        </w:tc>
        <w:tc>
          <w:tcPr>
            <w:tcW w:w="0" w:type="dxa"/>
            <w:vAlign w:val="bottom"/>
          </w:tcPr>
          <w:p>
            <w:pPr>
              <w:spacing w:after="0"/>
              <w:rPr>
                <w:sz w:val="1"/>
                <w:szCs w:val="1"/>
                <w:color w:val="auto"/>
              </w:rPr>
            </w:pPr>
          </w:p>
        </w:tc>
      </w:tr>
      <w:tr>
        <w:trPr>
          <w:trHeight w:val="70"/>
        </w:trPr>
        <w:tc>
          <w:tcPr>
            <w:tcW w:w="450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motivate, attract and retain top talent</w:t>
            </w:r>
          </w:p>
        </w:tc>
        <w:tc>
          <w:tcPr>
            <w:tcW w:w="4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500" w:type="dxa"/>
            <w:vAlign w:val="bottom"/>
            <w:vMerge w:val="continue"/>
          </w:tcPr>
          <w:p>
            <w:pPr>
              <w:spacing w:after="0"/>
              <w:rPr>
                <w:sz w:val="12"/>
                <w:szCs w:val="12"/>
                <w:color w:val="auto"/>
              </w:rPr>
            </w:pPr>
          </w:p>
        </w:tc>
        <w:tc>
          <w:tcPr>
            <w:tcW w:w="4680" w:type="dxa"/>
            <w:vAlign w:val="bottom"/>
            <w:vMerge w:val="restart"/>
          </w:tcPr>
          <w:p>
            <w:pPr>
              <w:ind w:left="200"/>
              <w:spacing w:after="0"/>
              <w:rPr>
                <w:sz w:val="20"/>
                <w:szCs w:val="20"/>
                <w:color w:val="auto"/>
              </w:rPr>
            </w:pPr>
            <w:r>
              <w:rPr>
                <w:rFonts w:ascii="Arial" w:cs="Arial" w:eastAsia="Arial" w:hAnsi="Arial"/>
                <w:sz w:val="16"/>
                <w:szCs w:val="16"/>
                <w:color w:val="auto"/>
              </w:rPr>
              <w:t>amounts on each of the first four anniversaries of the grant</w:t>
            </w:r>
          </w:p>
        </w:tc>
        <w:tc>
          <w:tcPr>
            <w:tcW w:w="0" w:type="dxa"/>
            <w:vAlign w:val="bottom"/>
          </w:tcPr>
          <w:p>
            <w:pPr>
              <w:spacing w:after="0"/>
              <w:rPr>
                <w:sz w:val="1"/>
                <w:szCs w:val="1"/>
                <w:color w:val="auto"/>
              </w:rPr>
            </w:pPr>
          </w:p>
        </w:tc>
      </w:tr>
      <w:tr>
        <w:trPr>
          <w:trHeight w:val="48"/>
        </w:trPr>
        <w:tc>
          <w:tcPr>
            <w:tcW w:w="4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Stock Appreciation Rights vest in equal or substantially equal</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amounts on each of the first four anniversaries of the grant</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date</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680" w:type="dxa"/>
            <w:vAlign w:val="bottom"/>
          </w:tcPr>
          <w:p>
            <w:pPr>
              <w:ind w:left="200"/>
              <w:spacing w:after="0"/>
              <w:rPr>
                <w:sz w:val="20"/>
                <w:szCs w:val="20"/>
                <w:color w:val="auto"/>
              </w:rPr>
            </w:pPr>
            <w:r>
              <w:rPr>
                <w:rFonts w:ascii="Arial" w:cs="Arial" w:eastAsia="Arial" w:hAnsi="Arial"/>
                <w:sz w:val="16"/>
                <w:szCs w:val="16"/>
                <w:b w:val="1"/>
                <w:bCs w:val="1"/>
                <w:color w:val="auto"/>
              </w:rPr>
              <w:t>Performance-Based Awards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Relative Total Shareholder Return Performance Stock Units</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are subject to a three-year relative total shareholder return</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market condition</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Adjusted Free Cash Flow Performance Stock Units are subject</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to achievement of a three-year cumulative adjusted free cash</w:t>
            </w:r>
          </w:p>
        </w:tc>
        <w:tc>
          <w:tcPr>
            <w:tcW w:w="0" w:type="dxa"/>
            <w:vAlign w:val="bottom"/>
          </w:tcPr>
          <w:p>
            <w:pPr>
              <w:spacing w:after="0"/>
              <w:rPr>
                <w:sz w:val="1"/>
                <w:szCs w:val="1"/>
                <w:color w:val="auto"/>
              </w:rPr>
            </w:pPr>
          </w:p>
        </w:tc>
      </w:tr>
      <w:tr>
        <w:trPr>
          <w:trHeight w:val="195"/>
        </w:trPr>
        <w:tc>
          <w:tcPr>
            <w:tcW w:w="450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6"/>
                <w:szCs w:val="16"/>
                <w:color w:val="auto"/>
              </w:rPr>
              <w:t>flow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12700</wp:posOffset>
            </wp:positionV>
            <wp:extent cx="58293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2" w:lineRule="exact"/>
        <w:rPr>
          <w:sz w:val="20"/>
          <w:szCs w:val="20"/>
          <w:color w:val="auto"/>
        </w:rPr>
      </w:pPr>
    </w:p>
    <w:p>
      <w:pPr>
        <w:ind w:left="980" w:hanging="216"/>
        <w:spacing w:after="0"/>
        <w:tabs>
          <w:tab w:leader="none" w:pos="9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Net Sales are our net sales at budgeted currency exchange rates, excluding net sales from acquisitions.</w:t>
      </w:r>
    </w:p>
    <w:p>
      <w:pPr>
        <w:spacing w:after="0" w:line="26" w:lineRule="exact"/>
        <w:rPr>
          <w:rFonts w:ascii="Arial" w:cs="Arial" w:eastAsia="Arial" w:hAnsi="Arial"/>
          <w:sz w:val="13"/>
          <w:szCs w:val="13"/>
          <w:i w:val="1"/>
          <w:iCs w:val="1"/>
          <w:color w:val="auto"/>
        </w:rPr>
      </w:pPr>
    </w:p>
    <w:p>
      <w:pPr>
        <w:ind w:left="980" w:right="259" w:hanging="216"/>
        <w:spacing w:after="0" w:line="259" w:lineRule="auto"/>
        <w:tabs>
          <w:tab w:leader="none" w:pos="9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Adjusted Net Income is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Compensation</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Compensation Committee Actions – 2019</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took the following actions in 2019:</w:t>
      </w:r>
    </w:p>
    <w:p>
      <w:pPr>
        <w:spacing w:after="0" w:line="32" w:lineRule="exact"/>
        <w:rPr>
          <w:sz w:val="20"/>
          <w:szCs w:val="20"/>
          <w:color w:val="auto"/>
        </w:rPr>
      </w:pPr>
    </w:p>
    <w:p>
      <w:pPr>
        <w:ind w:left="920" w:hanging="156"/>
        <w:spacing w:after="0"/>
        <w:tabs>
          <w:tab w:leader="none" w:pos="920" w:val="left"/>
        </w:tabs>
        <w:numPr>
          <w:ilvl w:val="0"/>
          <w:numId w:val="51"/>
        </w:numPr>
        <w:rPr>
          <w:rFonts w:ascii="Arial" w:cs="Arial" w:eastAsia="Arial" w:hAnsi="Arial"/>
          <w:sz w:val="16"/>
          <w:szCs w:val="16"/>
          <w:color w:val="6A2887"/>
        </w:rPr>
      </w:pPr>
      <w:r>
        <w:rPr>
          <w:rFonts w:ascii="Arial" w:cs="Arial" w:eastAsia="Arial" w:hAnsi="Arial"/>
          <w:sz w:val="16"/>
          <w:szCs w:val="16"/>
          <w:color w:val="auto"/>
        </w:rPr>
        <w:t>Approved the 2019 STIP and the 2019 LTIP;</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51"/>
        </w:numPr>
        <w:rPr>
          <w:rFonts w:ascii="Arial" w:cs="Arial" w:eastAsia="Arial" w:hAnsi="Arial"/>
          <w:sz w:val="16"/>
          <w:szCs w:val="16"/>
          <w:color w:val="6A2887"/>
        </w:rPr>
      </w:pPr>
      <w:r>
        <w:rPr>
          <w:rFonts w:ascii="Arial" w:cs="Arial" w:eastAsia="Arial" w:hAnsi="Arial"/>
          <w:sz w:val="16"/>
          <w:szCs w:val="16"/>
          <w:color w:val="auto"/>
        </w:rPr>
        <w:t>Re-appointed Pearl Meyer as its compensation advisor for the 2019 financial year;</w:t>
      </w:r>
    </w:p>
    <w:p>
      <w:pPr>
        <w:sectPr>
          <w:pgSz w:w="11900" w:h="16838" w:orient="portrait"/>
          <w:cols w:equalWidth="0" w:num="1">
            <w:col w:w="10139"/>
          </w:cols>
          <w:pgMar w:left="320" w:top="131"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29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hanging="156"/>
        <w:spacing w:after="0"/>
        <w:tabs>
          <w:tab w:leader="none" w:pos="920" w:val="left"/>
        </w:tabs>
        <w:numPr>
          <w:ilvl w:val="0"/>
          <w:numId w:val="52"/>
        </w:numPr>
        <w:rPr>
          <w:rFonts w:ascii="Arial" w:cs="Arial" w:eastAsia="Arial" w:hAnsi="Arial"/>
          <w:sz w:val="16"/>
          <w:szCs w:val="16"/>
          <w:color w:val="6A2887"/>
        </w:rPr>
      </w:pPr>
      <w:r>
        <w:rPr>
          <w:rFonts w:ascii="Arial" w:cs="Arial" w:eastAsia="Arial" w:hAnsi="Arial"/>
          <w:sz w:val="16"/>
          <w:szCs w:val="16"/>
          <w:color w:val="auto"/>
        </w:rPr>
        <w:t>Approved base salaries and STIP percentages for all NEOs;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52"/>
        </w:numPr>
        <w:rPr>
          <w:rFonts w:ascii="Arial" w:cs="Arial" w:eastAsia="Arial" w:hAnsi="Arial"/>
          <w:sz w:val="16"/>
          <w:szCs w:val="16"/>
          <w:color w:val="6A2887"/>
        </w:rPr>
      </w:pPr>
      <w:r>
        <w:rPr>
          <w:rFonts w:ascii="Arial" w:cs="Arial" w:eastAsia="Arial" w:hAnsi="Arial"/>
          <w:sz w:val="16"/>
          <w:szCs w:val="16"/>
          <w:color w:val="auto"/>
        </w:rPr>
        <w:t>Amended the Employee Stock Purchase Plan to eliminate open market purchases.</w:t>
      </w:r>
    </w:p>
    <w:p>
      <w:pPr>
        <w:spacing w:after="0" w:line="26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at Risk</w:t>
      </w:r>
    </w:p>
    <w:p>
      <w:pPr>
        <w:spacing w:after="0" w:line="139" w:lineRule="exact"/>
        <w:rPr>
          <w:sz w:val="20"/>
          <w:szCs w:val="20"/>
          <w:color w:val="auto"/>
        </w:rPr>
      </w:pPr>
    </w:p>
    <w:p>
      <w:pPr>
        <w:ind w:left="760" w:right="920"/>
        <w:spacing w:after="0" w:line="260" w:lineRule="auto"/>
        <w:rPr>
          <w:sz w:val="20"/>
          <w:szCs w:val="20"/>
          <w:color w:val="auto"/>
        </w:rPr>
      </w:pPr>
      <w:r>
        <w:rPr>
          <w:rFonts w:ascii="Arial" w:cs="Arial" w:eastAsia="Arial" w:hAnsi="Arial"/>
          <w:sz w:val="16"/>
          <w:szCs w:val="16"/>
          <w:color w:val="auto"/>
        </w:rPr>
        <w:t>The following pie charts show the relative weighting of Target pay for our CEO and the average for the other NEOs as a group for 2019:</w:t>
      </w:r>
    </w:p>
    <w:p>
      <w:pPr>
        <w:spacing w:after="0" w:line="76" w:lineRule="exact"/>
        <w:rPr>
          <w:sz w:val="20"/>
          <w:szCs w:val="20"/>
          <w:color w:val="auto"/>
        </w:rPr>
      </w:pPr>
    </w:p>
    <w:p>
      <w:pPr>
        <w:ind w:left="2140"/>
        <w:spacing w:after="0"/>
        <w:tabs>
          <w:tab w:leader="none" w:pos="6440" w:val="left"/>
        </w:tabs>
        <w:rPr>
          <w:sz w:val="20"/>
          <w:szCs w:val="20"/>
          <w:color w:val="auto"/>
        </w:rPr>
      </w:pPr>
      <w:r>
        <w:rPr>
          <w:rFonts w:ascii="Arial" w:cs="Arial" w:eastAsia="Arial" w:hAnsi="Arial"/>
          <w:sz w:val="18"/>
          <w:szCs w:val="18"/>
          <w:b w:val="1"/>
          <w:bCs w:val="1"/>
          <w:color w:val="auto"/>
        </w:rPr>
        <w:t>CEO Target Pay Mix</w:t>
      </w:r>
      <w:r>
        <w:rPr>
          <w:sz w:val="20"/>
          <w:szCs w:val="20"/>
          <w:color w:val="auto"/>
        </w:rPr>
        <w:tab/>
      </w:r>
      <w:r>
        <w:rPr>
          <w:rFonts w:ascii="Arial" w:cs="Arial" w:eastAsia="Arial" w:hAnsi="Arial"/>
          <w:sz w:val="17"/>
          <w:szCs w:val="17"/>
          <w:b w:val="1"/>
          <w:bCs w:val="1"/>
          <w:color w:val="auto"/>
        </w:rPr>
        <w:t>NEO’s Average Target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106045</wp:posOffset>
            </wp:positionV>
            <wp:extent cx="5743575" cy="12687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435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Benchmarking of Cash Compensation</w:t>
      </w:r>
    </w:p>
    <w:p>
      <w:pPr>
        <w:spacing w:after="0" w:line="110" w:lineRule="exact"/>
        <w:rPr>
          <w:sz w:val="20"/>
          <w:szCs w:val="20"/>
          <w:color w:val="auto"/>
        </w:rPr>
      </w:pPr>
    </w:p>
    <w:p>
      <w:pPr>
        <w:ind w:left="760" w:right="800"/>
        <w:spacing w:after="0" w:line="268" w:lineRule="auto"/>
        <w:rPr>
          <w:sz w:val="20"/>
          <w:szCs w:val="20"/>
          <w:color w:val="auto"/>
        </w:rPr>
      </w:pPr>
      <w:r>
        <w:rPr>
          <w:rFonts w:ascii="Arial" w:cs="Arial" w:eastAsia="Arial" w:hAnsi="Arial"/>
          <w:sz w:val="15"/>
          <w:szCs w:val="15"/>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6A2887"/>
              </w:rPr>
              <w:t>U.S. Target Total</w:t>
            </w:r>
          </w:p>
        </w:tc>
      </w:t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6A2887"/>
              </w:rPr>
              <w:t>Cash Benchmark</w:t>
            </w:r>
          </w:p>
        </w:tc>
      </w:tr>
      <w:tr>
        <w:trPr>
          <w:trHeight w:val="196"/>
        </w:trPr>
        <w:tc>
          <w:tcPr>
            <w:tcW w:w="4600" w:type="dxa"/>
            <w:vAlign w:val="bottom"/>
            <w:tcBorders>
              <w:bottom w:val="single" w:sz="8" w:color="6A2887"/>
            </w:tcBorders>
          </w:tcPr>
          <w:p>
            <w:pPr>
              <w:spacing w:after="0"/>
              <w:rPr>
                <w:sz w:val="17"/>
                <w:szCs w:val="17"/>
                <w:color w:val="auto"/>
              </w:rPr>
            </w:pPr>
          </w:p>
        </w:tc>
        <w:tc>
          <w:tcPr>
            <w:tcW w:w="458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Percentile</w:t>
            </w:r>
          </w:p>
        </w:tc>
      </w:tr>
      <w:tr>
        <w:trPr>
          <w:trHeight w:val="256"/>
        </w:trPr>
        <w:tc>
          <w:tcPr>
            <w:tcW w:w="46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4580" w:type="dxa"/>
            <w:vAlign w:val="bottom"/>
          </w:tcPr>
          <w:p>
            <w:pPr>
              <w:jc w:val="right"/>
              <w:spacing w:after="0" w:line="256" w:lineRule="exact"/>
              <w:rPr>
                <w:sz w:val="20"/>
                <w:szCs w:val="20"/>
                <w:color w:val="auto"/>
              </w:rPr>
            </w:pPr>
            <w:r>
              <w:rPr>
                <w:rFonts w:ascii="Arial" w:cs="Arial" w:eastAsia="Arial" w:hAnsi="Arial"/>
                <w:sz w:val="15"/>
                <w:szCs w:val="15"/>
                <w:color w:val="auto"/>
              </w:rPr>
              <w:t>69</w:t>
            </w:r>
            <w:r>
              <w:rPr>
                <w:rFonts w:ascii="Arial" w:cs="Arial" w:eastAsia="Arial" w:hAnsi="Arial"/>
                <w:sz w:val="23"/>
                <w:szCs w:val="23"/>
                <w:color w:val="auto"/>
                <w:vertAlign w:val="superscript"/>
              </w:rPr>
              <w:t>th</w:t>
            </w:r>
          </w:p>
        </w:tc>
      </w:tr>
      <w:tr>
        <w:trPr>
          <w:trHeight w:val="283"/>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&gt;75</w:t>
            </w:r>
            <w:r>
              <w:rPr>
                <w:rFonts w:ascii="Arial" w:cs="Arial" w:eastAsia="Arial" w:hAnsi="Arial"/>
                <w:sz w:val="23"/>
                <w:szCs w:val="23"/>
                <w:color w:val="auto"/>
                <w:vertAlign w:val="superscript"/>
              </w:rPr>
              <w:t>th</w:t>
            </w:r>
          </w:p>
        </w:tc>
      </w:tr>
      <w:tr>
        <w:trPr>
          <w:trHeight w:val="256"/>
        </w:trPr>
        <w:tc>
          <w:tcPr>
            <w:tcW w:w="4600" w:type="dxa"/>
            <w:vAlign w:val="bottom"/>
            <w:tcBorders>
              <w:bottom w:val="single" w:sz="8" w:color="6A2887"/>
            </w:tcBorders>
          </w:tcPr>
          <w:p>
            <w:pPr>
              <w:ind w:left="40"/>
              <w:spacing w:after="0"/>
              <w:rPr>
                <w:sz w:val="20"/>
                <w:szCs w:val="20"/>
                <w:color w:val="auto"/>
              </w:rPr>
            </w:pPr>
            <w:r>
              <w:rPr>
                <w:rFonts w:ascii="Arial" w:cs="Arial" w:eastAsia="Arial" w:hAnsi="Arial"/>
                <w:sz w:val="15"/>
                <w:szCs w:val="15"/>
                <w:color w:val="auto"/>
              </w:rPr>
              <w:t>Keyna Skeffington</w:t>
            </w:r>
          </w:p>
        </w:tc>
        <w:tc>
          <w:tcPr>
            <w:tcW w:w="4580" w:type="dxa"/>
            <w:vAlign w:val="bottom"/>
            <w:tcBorders>
              <w:bottom w:val="single" w:sz="8" w:color="6A2887"/>
            </w:tcBorders>
          </w:tcPr>
          <w:p>
            <w:pPr>
              <w:jc w:val="right"/>
              <w:spacing w:after="0" w:line="256" w:lineRule="exact"/>
              <w:rPr>
                <w:sz w:val="20"/>
                <w:szCs w:val="20"/>
                <w:color w:val="auto"/>
              </w:rPr>
            </w:pPr>
            <w:r>
              <w:rPr>
                <w:rFonts w:ascii="Arial" w:cs="Arial" w:eastAsia="Arial" w:hAnsi="Arial"/>
                <w:sz w:val="15"/>
                <w:szCs w:val="15"/>
                <w:color w:val="auto"/>
              </w:rPr>
              <w:t>51</w:t>
            </w:r>
            <w:r>
              <w:rPr>
                <w:rFonts w:ascii="Arial" w:cs="Arial" w:eastAsia="Arial" w:hAnsi="Arial"/>
                <w:sz w:val="23"/>
                <w:szCs w:val="23"/>
                <w:color w:val="auto"/>
                <w:vertAlign w:val="superscript"/>
              </w:rPr>
              <w:t>st</w:t>
            </w:r>
          </w:p>
        </w:tc>
      </w:tr>
    </w:tbl>
    <w:p>
      <w:pPr>
        <w:spacing w:after="0" w:line="26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Base Salary</w:t>
      </w:r>
    </w:p>
    <w:p>
      <w:pPr>
        <w:spacing w:after="0" w:line="126" w:lineRule="exact"/>
        <w:rPr>
          <w:sz w:val="20"/>
          <w:szCs w:val="20"/>
          <w:color w:val="auto"/>
        </w:rPr>
      </w:pPr>
    </w:p>
    <w:p>
      <w:pPr>
        <w:ind w:left="760" w:right="980"/>
        <w:spacing w:after="0" w:line="251" w:lineRule="auto"/>
        <w:rPr>
          <w:sz w:val="20"/>
          <w:szCs w:val="20"/>
          <w:color w:val="auto"/>
        </w:rPr>
      </w:pPr>
      <w:r>
        <w:rPr>
          <w:rFonts w:ascii="Arial" w:cs="Arial" w:eastAsia="Arial" w:hAnsi="Arial"/>
          <w:sz w:val="16"/>
          <w:szCs w:val="16"/>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it considers the following factors:</w:t>
      </w:r>
    </w:p>
    <w:p>
      <w:pPr>
        <w:spacing w:after="0" w:line="27" w:lineRule="exact"/>
        <w:rPr>
          <w:sz w:val="20"/>
          <w:szCs w:val="20"/>
          <w:color w:val="auto"/>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Individual performance during the recently concluded financial year and potential future contribution;</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Responsibilities, including any recent changes in those responsibilities;</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Level of expertise and experience of the NEO compared to that required for a position;</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Strategic importance of a position;</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Internal pay equity among positions; and</w:t>
      </w:r>
    </w:p>
    <w:p>
      <w:pPr>
        <w:spacing w:after="0" w:line="59" w:lineRule="exact"/>
        <w:rPr>
          <w:rFonts w:ascii="Arial" w:cs="Arial" w:eastAsia="Arial" w:hAnsi="Arial"/>
          <w:sz w:val="16"/>
          <w:szCs w:val="16"/>
          <w:color w:val="6A2887"/>
        </w:rPr>
      </w:pPr>
    </w:p>
    <w:p>
      <w:pPr>
        <w:ind w:left="920" w:hanging="156"/>
        <w:spacing w:after="0"/>
        <w:tabs>
          <w:tab w:leader="none" w:pos="920" w:val="left"/>
        </w:tabs>
        <w:numPr>
          <w:ilvl w:val="0"/>
          <w:numId w:val="53"/>
        </w:numPr>
        <w:rPr>
          <w:rFonts w:ascii="Arial" w:cs="Arial" w:eastAsia="Arial" w:hAnsi="Arial"/>
          <w:sz w:val="16"/>
          <w:szCs w:val="16"/>
          <w:color w:val="6A2887"/>
        </w:rPr>
      </w:pPr>
      <w:r>
        <w:rPr>
          <w:rFonts w:ascii="Arial" w:cs="Arial" w:eastAsia="Arial" w:hAnsi="Arial"/>
          <w:sz w:val="16"/>
          <w:szCs w:val="16"/>
          <w:color w:val="auto"/>
        </w:rPr>
        <w:t>Competitive benchmarking data.</w:t>
      </w:r>
    </w:p>
    <w:p>
      <w:pPr>
        <w:spacing w:after="0" w:line="100" w:lineRule="exact"/>
        <w:rPr>
          <w:sz w:val="20"/>
          <w:szCs w:val="20"/>
          <w:color w:val="auto"/>
        </w:rPr>
      </w:pPr>
    </w:p>
    <w:p>
      <w:pPr>
        <w:jc w:val="both"/>
        <w:ind w:left="760" w:right="1100"/>
        <w:spacing w:after="0" w:line="253" w:lineRule="auto"/>
        <w:rPr>
          <w:sz w:val="20"/>
          <w:szCs w:val="20"/>
          <w:color w:val="auto"/>
        </w:rPr>
      </w:pPr>
      <w:r>
        <w:rPr>
          <w:rFonts w:ascii="Arial" w:cs="Arial" w:eastAsia="Arial" w:hAnsi="Arial"/>
          <w:sz w:val="16"/>
          <w:szCs w:val="16"/>
          <w:color w:val="auto"/>
        </w:rPr>
        <w:t>Each of the NEOs is party to an employment agreement that provides for a specified base salary. That base salary is generally reviewed annually and serves as the baseline from which the calculations of certain other elements of compensation are made (e.g. under the STIP).</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679"/>
        <w:spacing w:after="0" w:line="278" w:lineRule="auto"/>
        <w:rPr>
          <w:sz w:val="20"/>
          <w:szCs w:val="20"/>
          <w:color w:val="auto"/>
        </w:rPr>
      </w:pPr>
      <w:r>
        <w:rPr>
          <w:rFonts w:ascii="Arial" w:cs="Arial" w:eastAsia="Arial" w:hAnsi="Arial"/>
          <w:sz w:val="16"/>
          <w:szCs w:val="16"/>
          <w:color w:val="auto"/>
        </w:rPr>
        <w:t>In February 2019, the Compensation Committee approved adjustments to the NEO’s base salaries effective April 1, 2019 as follows: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3360" w:type="dxa"/>
            <w:vAlign w:val="bottom"/>
          </w:tcPr>
          <w:p>
            <w:pPr>
              <w:jc w:val="right"/>
              <w:ind w:right="85"/>
              <w:spacing w:after="0"/>
              <w:rPr>
                <w:sz w:val="20"/>
                <w:szCs w:val="20"/>
                <w:color w:val="auto"/>
              </w:rPr>
            </w:pPr>
            <w:r>
              <w:rPr>
                <w:rFonts w:ascii="Arial" w:cs="Arial" w:eastAsia="Arial" w:hAnsi="Arial"/>
                <w:sz w:val="14"/>
                <w:szCs w:val="14"/>
                <w:b w:val="1"/>
                <w:bCs w:val="1"/>
                <w:color w:val="6A2887"/>
              </w:rPr>
              <w:t>2019 Base Salary</w:t>
            </w:r>
          </w:p>
        </w:tc>
        <w:tc>
          <w:tcPr>
            <w:tcW w:w="1420" w:type="dxa"/>
            <w:vAlign w:val="bottom"/>
          </w:tcPr>
          <w:p>
            <w:pPr>
              <w:jc w:val="right"/>
              <w:ind w:right="85"/>
              <w:spacing w:after="0"/>
              <w:rPr>
                <w:sz w:val="20"/>
                <w:szCs w:val="20"/>
                <w:color w:val="auto"/>
              </w:rPr>
            </w:pPr>
            <w:r>
              <w:rPr>
                <w:rFonts w:ascii="Arial" w:cs="Arial" w:eastAsia="Arial" w:hAnsi="Arial"/>
                <w:sz w:val="14"/>
                <w:szCs w:val="14"/>
                <w:b w:val="1"/>
                <w:bCs w:val="1"/>
                <w:color w:val="6A2887"/>
              </w:rPr>
              <w:t>2018 Base Salary</w:t>
            </w:r>
          </w:p>
        </w:tc>
        <w:tc>
          <w:tcPr>
            <w:tcW w:w="1080" w:type="dxa"/>
            <w:vAlign w:val="bottom"/>
          </w:tcPr>
          <w:p>
            <w:pPr>
              <w:jc w:val="right"/>
              <w:ind w:right="25"/>
              <w:spacing w:after="0"/>
              <w:rPr>
                <w:sz w:val="20"/>
                <w:szCs w:val="20"/>
                <w:color w:val="auto"/>
              </w:rPr>
            </w:pPr>
            <w:r>
              <w:rPr>
                <w:rFonts w:ascii="Arial" w:cs="Arial" w:eastAsia="Arial" w:hAnsi="Arial"/>
                <w:sz w:val="14"/>
                <w:szCs w:val="14"/>
                <w:b w:val="1"/>
                <w:bCs w:val="1"/>
                <w:color w:val="6A2887"/>
              </w:rPr>
              <w:t>Change from</w:t>
            </w:r>
          </w:p>
        </w:tc>
      </w:tr>
      <w:tr>
        <w:trPr>
          <w:trHeight w:val="216"/>
        </w:trPr>
        <w:tc>
          <w:tcPr>
            <w:tcW w:w="3320" w:type="dxa"/>
            <w:vAlign w:val="bottom"/>
            <w:tcBorders>
              <w:bottom w:val="single" w:sz="8" w:color="6A2887"/>
            </w:tcBorders>
          </w:tcPr>
          <w:p>
            <w:pPr>
              <w:spacing w:after="0"/>
              <w:rPr>
                <w:sz w:val="18"/>
                <w:szCs w:val="18"/>
                <w:color w:val="auto"/>
              </w:rPr>
            </w:pPr>
          </w:p>
        </w:tc>
        <w:tc>
          <w:tcPr>
            <w:tcW w:w="336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w:t>
            </w:r>
          </w:p>
        </w:tc>
        <w:tc>
          <w:tcPr>
            <w:tcW w:w="142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w:t>
            </w:r>
          </w:p>
        </w:tc>
        <w:tc>
          <w:tcPr>
            <w:tcW w:w="108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4"/>
                <w:szCs w:val="14"/>
                <w:b w:val="1"/>
                <w:bCs w:val="1"/>
                <w:color w:val="6A2887"/>
              </w:rPr>
              <w:t>2018</w:t>
            </w:r>
            <w:r>
              <w:rPr>
                <w:rFonts w:ascii="Arial" w:cs="Arial" w:eastAsia="Arial" w:hAnsi="Arial"/>
                <w:sz w:val="21"/>
                <w:szCs w:val="21"/>
                <w:b w:val="1"/>
                <w:bCs w:val="1"/>
                <w:color w:val="6A2887"/>
                <w:vertAlign w:val="superscript"/>
              </w:rPr>
              <w:t>(1)</w:t>
            </w:r>
          </w:p>
        </w:tc>
      </w:tr>
      <w:tr>
        <w:trPr>
          <w:trHeight w:val="215"/>
        </w:trPr>
        <w:tc>
          <w:tcPr>
            <w:tcW w:w="33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933,202</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933,202</w:t>
            </w:r>
          </w:p>
        </w:tc>
        <w:tc>
          <w:tcPr>
            <w:tcW w:w="10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2"/>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3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516,674</w:t>
            </w:r>
          </w:p>
        </w:tc>
        <w:tc>
          <w:tcPr>
            <w:tcW w:w="14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492,754</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5%</w:t>
            </w:r>
          </w:p>
        </w:tc>
      </w:tr>
      <w:tr>
        <w:trPr>
          <w:trHeight w:val="222"/>
        </w:trPr>
        <w:tc>
          <w:tcPr>
            <w:tcW w:w="33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433,751</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395,479</w:t>
            </w:r>
          </w:p>
        </w:tc>
        <w:tc>
          <w:tcPr>
            <w:tcW w:w="10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2"/>
        </w:trPr>
        <w:tc>
          <w:tcPr>
            <w:tcW w:w="3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33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440,000</w:t>
            </w:r>
          </w:p>
        </w:tc>
        <w:tc>
          <w:tcPr>
            <w:tcW w:w="14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400,000</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10%</w:t>
            </w:r>
          </w:p>
        </w:tc>
      </w:tr>
      <w:tr>
        <w:trPr>
          <w:trHeight w:val="221"/>
        </w:trPr>
        <w:tc>
          <w:tcPr>
            <w:tcW w:w="332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3360" w:type="dxa"/>
            <w:vAlign w:val="bottom"/>
          </w:tcPr>
          <w:p>
            <w:pPr>
              <w:jc w:val="right"/>
              <w:ind w:right="45"/>
              <w:spacing w:after="0"/>
              <w:rPr>
                <w:sz w:val="20"/>
                <w:szCs w:val="20"/>
                <w:color w:val="auto"/>
              </w:rPr>
            </w:pPr>
            <w:r>
              <w:rPr>
                <w:rFonts w:ascii="Arial" w:cs="Arial" w:eastAsia="Arial" w:hAnsi="Arial"/>
                <w:sz w:val="15"/>
                <w:szCs w:val="15"/>
                <w:color w:val="auto"/>
              </w:rPr>
              <w:t>433,751</w:t>
            </w:r>
          </w:p>
        </w:tc>
        <w:tc>
          <w:tcPr>
            <w:tcW w:w="1420" w:type="dxa"/>
            <w:vAlign w:val="bottom"/>
          </w:tcPr>
          <w:p>
            <w:pPr>
              <w:jc w:val="right"/>
              <w:ind w:right="45"/>
              <w:spacing w:after="0"/>
              <w:rPr>
                <w:sz w:val="20"/>
                <w:szCs w:val="20"/>
                <w:color w:val="auto"/>
              </w:rPr>
            </w:pPr>
            <w:r>
              <w:rPr>
                <w:rFonts w:ascii="Arial" w:cs="Arial" w:eastAsia="Arial" w:hAnsi="Arial"/>
                <w:sz w:val="15"/>
                <w:szCs w:val="15"/>
                <w:color w:val="auto"/>
              </w:rPr>
              <w:t>395,479</w:t>
            </w:r>
          </w:p>
        </w:tc>
        <w:tc>
          <w:tcPr>
            <w:tcW w:w="108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jc w:val="both"/>
        <w:ind w:left="980" w:right="359" w:hanging="216"/>
        <w:spacing w:after="0" w:line="259" w:lineRule="auto"/>
        <w:tabs>
          <w:tab w:leader="none" w:pos="98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59" w:lineRule="exact"/>
        <w:rPr>
          <w:sz w:val="20"/>
          <w:szCs w:val="20"/>
          <w:color w:val="auto"/>
        </w:rPr>
      </w:pPr>
    </w:p>
    <w:p>
      <w:pPr>
        <w:ind w:left="760" w:right="219"/>
        <w:spacing w:after="0" w:line="286" w:lineRule="auto"/>
        <w:rPr>
          <w:sz w:val="20"/>
          <w:szCs w:val="20"/>
          <w:color w:val="auto"/>
        </w:rPr>
      </w:pPr>
      <w:r>
        <w:rPr>
          <w:rFonts w:ascii="Arial" w:cs="Arial" w:eastAsia="Arial" w:hAnsi="Arial"/>
          <w:sz w:val="15"/>
          <w:szCs w:val="15"/>
          <w:color w:val="auto"/>
        </w:rPr>
        <w:t>The table below shows the benchmarking data provided by the Committee’s independent consultant, Pearl Meyer, based on U.S. benchmarking data for target total cash (Base Salary and 2019 STIP at Target). Pearl Meyer reviews LivaNova’s compensation peer group to assess whether the roster remains appropriate for benchmarking executive compensation. The review is part of the annual process to maintain alignment between the Company and the companies with which the Company competes for talent. The Committee did not benchmark Messrs. Andrle and Simpson, as they became executive officers effective January 1, 2019. The Compensation Committee seeks to pay at the median but, as indicated below and in other benchmarking disclosure in this CD&amp;A, Mr. Huston’s compensation is above the median because we stretched to hire him from his former employer, Johnson &amp; Johnson.</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6A2887"/>
              </w:rPr>
              <w:t>U.S. Target Total</w:t>
            </w:r>
          </w:p>
        </w:tc>
      </w:tr>
      <w:tr>
        <w:trPr>
          <w:trHeight w:val="162"/>
        </w:trPr>
        <w:tc>
          <w:tcPr>
            <w:tcW w:w="4600" w:type="dxa"/>
            <w:vAlign w:val="bottom"/>
          </w:tcPr>
          <w:p>
            <w:pPr>
              <w:spacing w:after="0"/>
              <w:rPr>
                <w:sz w:val="14"/>
                <w:szCs w:val="14"/>
                <w:color w:val="auto"/>
              </w:rPr>
            </w:pPr>
          </w:p>
        </w:tc>
        <w:tc>
          <w:tcPr>
            <w:tcW w:w="4580" w:type="dxa"/>
            <w:vAlign w:val="bottom"/>
          </w:tcPr>
          <w:p>
            <w:pPr>
              <w:jc w:val="right"/>
              <w:ind w:right="26"/>
              <w:spacing w:after="0"/>
              <w:rPr>
                <w:sz w:val="20"/>
                <w:szCs w:val="20"/>
                <w:color w:val="auto"/>
              </w:rPr>
            </w:pPr>
            <w:r>
              <w:rPr>
                <w:rFonts w:ascii="Arial" w:cs="Arial" w:eastAsia="Arial" w:hAnsi="Arial"/>
                <w:sz w:val="14"/>
                <w:szCs w:val="14"/>
                <w:b w:val="1"/>
                <w:bCs w:val="1"/>
                <w:color w:val="6A2887"/>
              </w:rPr>
              <w:t>Cash Benchmark</w:t>
            </w:r>
          </w:p>
        </w:tc>
      </w:tr>
      <w:tr>
        <w:trPr>
          <w:trHeight w:val="196"/>
        </w:trPr>
        <w:tc>
          <w:tcPr>
            <w:tcW w:w="4600" w:type="dxa"/>
            <w:vAlign w:val="bottom"/>
            <w:tcBorders>
              <w:bottom w:val="single" w:sz="8" w:color="6A2887"/>
            </w:tcBorders>
          </w:tcPr>
          <w:p>
            <w:pPr>
              <w:spacing w:after="0"/>
              <w:rPr>
                <w:sz w:val="17"/>
                <w:szCs w:val="17"/>
                <w:color w:val="auto"/>
              </w:rPr>
            </w:pPr>
          </w:p>
        </w:tc>
        <w:tc>
          <w:tcPr>
            <w:tcW w:w="458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Percentile</w:t>
            </w:r>
          </w:p>
        </w:tc>
      </w:tr>
      <w:tr>
        <w:trPr>
          <w:trHeight w:val="221"/>
        </w:trPr>
        <w:tc>
          <w:tcPr>
            <w:tcW w:w="46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4580" w:type="dxa"/>
            <w:vAlign w:val="bottom"/>
          </w:tcPr>
          <w:p>
            <w:pPr>
              <w:jc w:val="right"/>
              <w:spacing w:after="0"/>
              <w:rPr>
                <w:sz w:val="20"/>
                <w:szCs w:val="20"/>
                <w:color w:val="auto"/>
              </w:rPr>
            </w:pPr>
            <w:r>
              <w:rPr>
                <w:rFonts w:ascii="Arial" w:cs="Arial" w:eastAsia="Arial" w:hAnsi="Arial"/>
                <w:sz w:val="15"/>
                <w:szCs w:val="15"/>
                <w:color w:val="auto"/>
              </w:rPr>
              <w:t>69th</w:t>
            </w:r>
          </w:p>
        </w:tc>
      </w:tr>
      <w:tr>
        <w:trPr>
          <w:trHeight w:val="22"/>
        </w:trPr>
        <w:tc>
          <w:tcPr>
            <w:tcW w:w="4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50"/>
        </w:trPr>
        <w:tc>
          <w:tcPr>
            <w:tcW w:w="4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45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&gt;75th</w:t>
            </w:r>
          </w:p>
        </w:tc>
      </w:tr>
      <w:tr>
        <w:trPr>
          <w:trHeight w:val="221"/>
        </w:trPr>
        <w:tc>
          <w:tcPr>
            <w:tcW w:w="46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4580" w:type="dxa"/>
            <w:vAlign w:val="bottom"/>
          </w:tcPr>
          <w:p>
            <w:pPr>
              <w:jc w:val="right"/>
              <w:spacing w:after="0"/>
              <w:rPr>
                <w:sz w:val="20"/>
                <w:szCs w:val="20"/>
                <w:color w:val="auto"/>
              </w:rPr>
            </w:pPr>
            <w:r>
              <w:rPr>
                <w:rFonts w:ascii="Arial" w:cs="Arial" w:eastAsia="Arial" w:hAnsi="Arial"/>
                <w:sz w:val="15"/>
                <w:szCs w:val="15"/>
                <w:color w:val="auto"/>
              </w:rPr>
              <w:t>51st</w:t>
            </w:r>
          </w:p>
        </w:tc>
      </w:tr>
      <w:tr>
        <w:trPr>
          <w:trHeight w:val="22"/>
        </w:trPr>
        <w:tc>
          <w:tcPr>
            <w:tcW w:w="4600" w:type="dxa"/>
            <w:vAlign w:val="bottom"/>
            <w:tcBorders>
              <w:bottom w:val="single" w:sz="8" w:color="6A2887"/>
            </w:tcBorders>
          </w:tcPr>
          <w:p>
            <w:pPr>
              <w:spacing w:after="0" w:line="20" w:lineRule="exact"/>
              <w:rPr>
                <w:sz w:val="1"/>
                <w:szCs w:val="1"/>
                <w:color w:val="auto"/>
              </w:rPr>
            </w:pPr>
          </w:p>
        </w:tc>
        <w:tc>
          <w:tcPr>
            <w:tcW w:w="4580" w:type="dxa"/>
            <w:vAlign w:val="bottom"/>
            <w:tcBorders>
              <w:bottom w:val="single" w:sz="8" w:color="6A2887"/>
            </w:tcBorders>
          </w:tcPr>
          <w:p>
            <w:pPr>
              <w:spacing w:after="0" w:line="20" w:lineRule="exact"/>
              <w:rPr>
                <w:sz w:val="1"/>
                <w:szCs w:val="1"/>
                <w:color w:val="auto"/>
              </w:rPr>
            </w:pPr>
          </w:p>
        </w:tc>
      </w:tr>
    </w:tbl>
    <w:p>
      <w:pPr>
        <w:spacing w:after="0" w:line="260"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Short-Term Incentive Plan (the “2019 STIP”)</w:t>
      </w:r>
    </w:p>
    <w:p>
      <w:pPr>
        <w:spacing w:after="0" w:line="139" w:lineRule="exact"/>
        <w:rPr>
          <w:sz w:val="20"/>
          <w:szCs w:val="20"/>
          <w:color w:val="auto"/>
        </w:rPr>
      </w:pPr>
    </w:p>
    <w:p>
      <w:pPr>
        <w:ind w:left="760" w:right="299"/>
        <w:spacing w:after="0" w:line="271" w:lineRule="auto"/>
        <w:rPr>
          <w:sz w:val="20"/>
          <w:szCs w:val="20"/>
          <w:color w:val="auto"/>
        </w:rPr>
      </w:pPr>
      <w:r>
        <w:rPr>
          <w:rFonts w:ascii="Arial" w:cs="Arial" w:eastAsia="Arial" w:hAnsi="Arial"/>
          <w:sz w:val="16"/>
          <w:szCs w:val="16"/>
          <w:color w:val="auto"/>
        </w:rPr>
        <w:t>Our STIP is an annual cash-based incentive bonus plan and is an important component of our total compensation program. It provides incentives that compensate our executive officers for achieving objectives intended to enhance shareholder value. It also promotes retention of our NEOs.</w:t>
      </w:r>
    </w:p>
    <w:p>
      <w:pPr>
        <w:spacing w:after="0" w:line="65" w:lineRule="exact"/>
        <w:rPr>
          <w:sz w:val="20"/>
          <w:szCs w:val="20"/>
          <w:color w:val="auto"/>
        </w:rPr>
      </w:pPr>
    </w:p>
    <w:p>
      <w:pPr>
        <w:ind w:left="760" w:right="279"/>
        <w:spacing w:after="0" w:line="267"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a director. Under that shareholder-approved remuneration policy, our CEO’s maximum short-term incentive opportunity cannot exceed 200% of his base salary. At present, Mr. McDonald’s award under the STIP could exceed the 200% cap, but in the case of a calculated payment higher than 200%, the Compensation Committee would affirmatively act to reduce the award to not exceed 200% of his base salary in compliance with the UK remuneration policy.</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table below shows the minimum, Target and maximum achievement of the short-term incentive payment under the 2019 STIP:</w:t>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3220" w:type="dxa"/>
            <w:vAlign w:val="bottom"/>
          </w:tcPr>
          <w:p>
            <w:pPr>
              <w:jc w:val="right"/>
              <w:ind w:right="85"/>
              <w:spacing w:after="0"/>
              <w:rPr>
                <w:sz w:val="20"/>
                <w:szCs w:val="20"/>
                <w:color w:val="auto"/>
              </w:rPr>
            </w:pPr>
            <w:r>
              <w:rPr>
                <w:rFonts w:ascii="Arial" w:cs="Arial" w:eastAsia="Arial" w:hAnsi="Arial"/>
                <w:sz w:val="14"/>
                <w:szCs w:val="14"/>
                <w:b w:val="1"/>
                <w:bCs w:val="1"/>
                <w:color w:val="6A2887"/>
              </w:rPr>
              <w:t>2019 STIP Minimum</w:t>
            </w:r>
          </w:p>
        </w:tc>
        <w:tc>
          <w:tcPr>
            <w:tcW w:w="1400" w:type="dxa"/>
            <w:vAlign w:val="bottom"/>
          </w:tcPr>
          <w:p>
            <w:pPr>
              <w:jc w:val="right"/>
              <w:ind w:right="85"/>
              <w:spacing w:after="0"/>
              <w:rPr>
                <w:sz w:val="20"/>
                <w:szCs w:val="20"/>
                <w:color w:val="auto"/>
              </w:rPr>
            </w:pPr>
            <w:r>
              <w:rPr>
                <w:rFonts w:ascii="Arial" w:cs="Arial" w:eastAsia="Arial" w:hAnsi="Arial"/>
                <w:sz w:val="14"/>
                <w:szCs w:val="14"/>
                <w:b w:val="1"/>
                <w:bCs w:val="1"/>
                <w:color w:val="6A2887"/>
              </w:rPr>
              <w:t>2019 STIP Target</w:t>
            </w:r>
          </w:p>
        </w:tc>
        <w:tc>
          <w:tcPr>
            <w:tcW w:w="1560" w:type="dxa"/>
            <w:vAlign w:val="bottom"/>
          </w:tcPr>
          <w:p>
            <w:pPr>
              <w:jc w:val="right"/>
              <w:ind w:right="25"/>
              <w:spacing w:after="0"/>
              <w:rPr>
                <w:sz w:val="20"/>
                <w:szCs w:val="20"/>
                <w:color w:val="auto"/>
              </w:rPr>
            </w:pPr>
            <w:r>
              <w:rPr>
                <w:rFonts w:ascii="Arial" w:cs="Arial" w:eastAsia="Arial" w:hAnsi="Arial"/>
                <w:sz w:val="14"/>
                <w:szCs w:val="14"/>
                <w:b w:val="1"/>
                <w:bCs w:val="1"/>
                <w:color w:val="6A2887"/>
              </w:rPr>
              <w:t>2019 STIP Maximum</w:t>
            </w:r>
          </w:p>
        </w:tc>
      </w:tr>
      <w:tr>
        <w:trPr>
          <w:trHeight w:val="162"/>
        </w:trPr>
        <w:tc>
          <w:tcPr>
            <w:tcW w:w="3000" w:type="dxa"/>
            <w:vAlign w:val="bottom"/>
          </w:tcPr>
          <w:p>
            <w:pPr>
              <w:spacing w:after="0"/>
              <w:rPr>
                <w:sz w:val="14"/>
                <w:szCs w:val="14"/>
                <w:color w:val="auto"/>
              </w:rPr>
            </w:pPr>
          </w:p>
        </w:tc>
        <w:tc>
          <w:tcPr>
            <w:tcW w:w="3220" w:type="dxa"/>
            <w:vAlign w:val="bottom"/>
          </w:tcPr>
          <w:p>
            <w:pPr>
              <w:jc w:val="right"/>
              <w:ind w:right="85"/>
              <w:spacing w:after="0"/>
              <w:rPr>
                <w:sz w:val="20"/>
                <w:szCs w:val="20"/>
                <w:color w:val="auto"/>
              </w:rPr>
            </w:pPr>
            <w:r>
              <w:rPr>
                <w:rFonts w:ascii="Arial" w:cs="Arial" w:eastAsia="Arial" w:hAnsi="Arial"/>
                <w:sz w:val="14"/>
                <w:szCs w:val="14"/>
                <w:b w:val="1"/>
                <w:bCs w:val="1"/>
                <w:color w:val="6A2887"/>
              </w:rPr>
              <w:t>(Percentage of</w:t>
            </w:r>
          </w:p>
        </w:tc>
        <w:tc>
          <w:tcPr>
            <w:tcW w:w="1400" w:type="dxa"/>
            <w:vAlign w:val="bottom"/>
          </w:tcPr>
          <w:p>
            <w:pPr>
              <w:jc w:val="right"/>
              <w:ind w:right="85"/>
              <w:spacing w:after="0"/>
              <w:rPr>
                <w:sz w:val="20"/>
                <w:szCs w:val="20"/>
                <w:color w:val="auto"/>
              </w:rPr>
            </w:pPr>
            <w:r>
              <w:rPr>
                <w:rFonts w:ascii="Arial" w:cs="Arial" w:eastAsia="Arial" w:hAnsi="Arial"/>
                <w:sz w:val="14"/>
                <w:szCs w:val="14"/>
                <w:b w:val="1"/>
                <w:bCs w:val="1"/>
                <w:color w:val="6A2887"/>
              </w:rPr>
              <w:t>(Percentage of</w:t>
            </w:r>
          </w:p>
        </w:tc>
        <w:tc>
          <w:tcPr>
            <w:tcW w:w="1560" w:type="dxa"/>
            <w:vAlign w:val="bottom"/>
          </w:tcPr>
          <w:p>
            <w:pPr>
              <w:jc w:val="right"/>
              <w:ind w:right="25"/>
              <w:spacing w:after="0"/>
              <w:rPr>
                <w:sz w:val="20"/>
                <w:szCs w:val="20"/>
                <w:color w:val="auto"/>
              </w:rPr>
            </w:pPr>
            <w:r>
              <w:rPr>
                <w:rFonts w:ascii="Arial" w:cs="Arial" w:eastAsia="Arial" w:hAnsi="Arial"/>
                <w:sz w:val="14"/>
                <w:szCs w:val="14"/>
                <w:b w:val="1"/>
                <w:bCs w:val="1"/>
                <w:color w:val="6A2887"/>
              </w:rPr>
              <w:t>(Percentage of</w:t>
            </w:r>
          </w:p>
        </w:tc>
      </w:tr>
      <w:tr>
        <w:trPr>
          <w:trHeight w:val="216"/>
        </w:trPr>
        <w:tc>
          <w:tcPr>
            <w:tcW w:w="30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w:t>
            </w:r>
          </w:p>
        </w:tc>
        <w:tc>
          <w:tcPr>
            <w:tcW w:w="322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Base Salary)</w:t>
            </w:r>
          </w:p>
        </w:tc>
        <w:tc>
          <w:tcPr>
            <w:tcW w:w="1400" w:type="dxa"/>
            <w:vAlign w:val="bottom"/>
            <w:tcBorders>
              <w:bottom w:val="single" w:sz="8" w:color="6A2887"/>
            </w:tcBorders>
          </w:tcPr>
          <w:p>
            <w:pPr>
              <w:jc w:val="right"/>
              <w:ind w:right="65"/>
              <w:spacing w:after="0" w:line="216" w:lineRule="exact"/>
              <w:rPr>
                <w:sz w:val="20"/>
                <w:szCs w:val="20"/>
                <w:color w:val="auto"/>
              </w:rPr>
            </w:pPr>
            <w:r>
              <w:rPr>
                <w:rFonts w:ascii="Arial" w:cs="Arial" w:eastAsia="Arial" w:hAnsi="Arial"/>
                <w:sz w:val="14"/>
                <w:szCs w:val="14"/>
                <w:b w:val="1"/>
                <w:bCs w:val="1"/>
                <w:color w:val="6A2887"/>
              </w:rPr>
              <w:t>Base Salary)</w:t>
            </w:r>
            <w:r>
              <w:rPr>
                <w:rFonts w:ascii="Arial" w:cs="Arial" w:eastAsia="Arial" w:hAnsi="Arial"/>
                <w:sz w:val="21"/>
                <w:szCs w:val="21"/>
                <w:b w:val="1"/>
                <w:bCs w:val="1"/>
                <w:color w:val="6A2887"/>
                <w:vertAlign w:val="superscript"/>
              </w:rPr>
              <w:t>(1)</w:t>
            </w:r>
          </w:p>
        </w:tc>
        <w:tc>
          <w:tcPr>
            <w:tcW w:w="156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Target)</w:t>
            </w:r>
          </w:p>
        </w:tc>
      </w:tr>
      <w:tr>
        <w:trPr>
          <w:trHeight w:val="215"/>
        </w:trPr>
        <w:tc>
          <w:tcPr>
            <w:tcW w:w="30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125%</w:t>
            </w:r>
          </w:p>
        </w:tc>
        <w:tc>
          <w:tcPr>
            <w:tcW w:w="156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2"/>
        </w:trPr>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2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90%</w:t>
            </w:r>
          </w:p>
        </w:tc>
        <w:tc>
          <w:tcPr>
            <w:tcW w:w="15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160%</w:t>
            </w:r>
          </w:p>
        </w:tc>
      </w:tr>
      <w:tr>
        <w:trPr>
          <w:trHeight w:val="221"/>
        </w:trPr>
        <w:tc>
          <w:tcPr>
            <w:tcW w:w="30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70%</w:t>
            </w:r>
          </w:p>
        </w:tc>
        <w:tc>
          <w:tcPr>
            <w:tcW w:w="1560" w:type="dxa"/>
            <w:vAlign w:val="bottom"/>
          </w:tcPr>
          <w:p>
            <w:pPr>
              <w:jc w:val="right"/>
              <w:spacing w:after="0"/>
              <w:rPr>
                <w:sz w:val="20"/>
                <w:szCs w:val="20"/>
                <w:color w:val="auto"/>
              </w:rPr>
            </w:pPr>
            <w:r>
              <w:rPr>
                <w:rFonts w:ascii="Arial" w:cs="Arial" w:eastAsia="Arial" w:hAnsi="Arial"/>
                <w:sz w:val="15"/>
                <w:szCs w:val="15"/>
                <w:color w:val="auto"/>
              </w:rPr>
              <w:t>160%</w:t>
            </w:r>
          </w:p>
        </w:tc>
      </w:tr>
      <w:tr>
        <w:trPr>
          <w:trHeight w:val="22"/>
        </w:trPr>
        <w:tc>
          <w:tcPr>
            <w:tcW w:w="3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32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65%</w:t>
            </w:r>
          </w:p>
        </w:tc>
        <w:tc>
          <w:tcPr>
            <w:tcW w:w="15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156%</w:t>
            </w:r>
          </w:p>
        </w:tc>
      </w:tr>
      <w:tr>
        <w:trPr>
          <w:trHeight w:val="221"/>
        </w:trPr>
        <w:tc>
          <w:tcPr>
            <w:tcW w:w="30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3220" w:type="dxa"/>
            <w:vAlign w:val="bottom"/>
          </w:tcPr>
          <w:p>
            <w:pPr>
              <w:jc w:val="right"/>
              <w:ind w:right="45"/>
              <w:spacing w:after="0"/>
              <w:rPr>
                <w:sz w:val="20"/>
                <w:szCs w:val="20"/>
                <w:color w:val="auto"/>
              </w:rPr>
            </w:pPr>
            <w:r>
              <w:rPr>
                <w:rFonts w:ascii="Arial" w:cs="Arial" w:eastAsia="Arial" w:hAnsi="Arial"/>
                <w:sz w:val="15"/>
                <w:szCs w:val="15"/>
                <w:color w:val="auto"/>
              </w:rPr>
              <w:t>0%</w:t>
            </w:r>
          </w:p>
        </w:tc>
        <w:tc>
          <w:tcPr>
            <w:tcW w:w="1400" w:type="dxa"/>
            <w:vAlign w:val="bottom"/>
          </w:tcPr>
          <w:p>
            <w:pPr>
              <w:jc w:val="right"/>
              <w:ind w:right="45"/>
              <w:spacing w:after="0"/>
              <w:rPr>
                <w:sz w:val="20"/>
                <w:szCs w:val="20"/>
                <w:color w:val="auto"/>
              </w:rPr>
            </w:pPr>
            <w:r>
              <w:rPr>
                <w:rFonts w:ascii="Arial" w:cs="Arial" w:eastAsia="Arial" w:hAnsi="Arial"/>
                <w:sz w:val="15"/>
                <w:szCs w:val="15"/>
                <w:color w:val="auto"/>
              </w:rPr>
              <w:t>60%</w:t>
            </w:r>
          </w:p>
        </w:tc>
        <w:tc>
          <w:tcPr>
            <w:tcW w:w="1560" w:type="dxa"/>
            <w:vAlign w:val="bottom"/>
          </w:tcPr>
          <w:p>
            <w:pPr>
              <w:jc w:val="right"/>
              <w:spacing w:after="0"/>
              <w:rPr>
                <w:sz w:val="20"/>
                <w:szCs w:val="20"/>
                <w:color w:val="auto"/>
              </w:rPr>
            </w:pPr>
            <w:r>
              <w:rPr>
                <w:rFonts w:ascii="Arial" w:cs="Arial" w:eastAsia="Arial" w:hAnsi="Arial"/>
                <w:sz w:val="15"/>
                <w:szCs w:val="15"/>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hanging="216"/>
        <w:spacing w:after="0"/>
        <w:tabs>
          <w:tab w:leader="none" w:pos="980"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The Target Percentages for the following NEOs changed in 2019 as follows: Damien McDonald: 100% from January through March and increased to</w:t>
      </w:r>
    </w:p>
    <w:p>
      <w:pPr>
        <w:spacing w:after="0" w:line="13" w:lineRule="exact"/>
        <w:rPr>
          <w:rFonts w:ascii="Arial" w:cs="Arial" w:eastAsia="Arial" w:hAnsi="Arial"/>
          <w:sz w:val="13"/>
          <w:szCs w:val="13"/>
          <w:i w:val="1"/>
          <w:iCs w:val="1"/>
          <w:color w:val="auto"/>
        </w:rPr>
      </w:pPr>
    </w:p>
    <w:p>
      <w:pPr>
        <w:ind w:left="98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125% effective April 1, 2019; Keyna Skeffington: 60% from January through March 31, 2019 and increased to 70% effective April 1, 2019; Ed Andrle:</w:t>
      </w:r>
    </w:p>
    <w:p>
      <w:pPr>
        <w:ind w:left="980" w:right="499"/>
        <w:spacing w:after="0" w:line="258" w:lineRule="auto"/>
        <w:rPr>
          <w:rFonts w:ascii="Arial" w:cs="Arial" w:eastAsia="Arial" w:hAnsi="Arial"/>
          <w:sz w:val="13"/>
          <w:szCs w:val="13"/>
          <w:i w:val="1"/>
          <w:iCs w:val="1"/>
          <w:color w:val="auto"/>
        </w:rPr>
      </w:pPr>
      <w:r>
        <w:rPr>
          <w:rFonts w:ascii="Arial" w:cs="Arial" w:eastAsia="Arial" w:hAnsi="Arial"/>
          <w:sz w:val="13"/>
          <w:szCs w:val="13"/>
          <w:i w:val="1"/>
          <w:iCs w:val="1"/>
          <w:color w:val="auto"/>
        </w:rPr>
        <w:t>60% from January through March 31, 2019 and increased to 65% effective April 1, 2019; and Alistair Simpson: 50% from January through March 31, 2019 and increased to 60% effective April 1, 2019.</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Short-Term Incentive Plan Pay-Out</w:t>
      </w:r>
    </w:p>
    <w:p>
      <w:pPr>
        <w:spacing w:after="0" w:line="124" w:lineRule="exact"/>
        <w:rPr>
          <w:sz w:val="20"/>
          <w:szCs w:val="20"/>
          <w:color w:val="auto"/>
        </w:rPr>
      </w:pPr>
    </w:p>
    <w:p>
      <w:pPr>
        <w:ind w:left="760" w:right="820"/>
        <w:spacing w:after="0" w:line="250" w:lineRule="auto"/>
        <w:rPr>
          <w:sz w:val="20"/>
          <w:szCs w:val="20"/>
          <w:color w:val="auto"/>
        </w:rPr>
      </w:pPr>
      <w:r>
        <w:rPr>
          <w:rFonts w:ascii="Arial" w:cs="Arial" w:eastAsia="Arial" w:hAnsi="Arial"/>
          <w:sz w:val="16"/>
          <w:szCs w:val="16"/>
          <w:color w:val="auto"/>
        </w:rPr>
        <w:t>Bonuses are based on performance over the calendar year, which is also our financial year, and are generally paid in April of the following year after completion of the audit of our annual financial statements. Payouts under the 2019 STIP were based on the achievement of financial objectives (Adjusted Net Sales and Adjusted Net Income at the Company level for Messrs. McDonald and Huston and Ms. Skeffington and comparable performance at the applicable franchise level for Messrs. Andrle and Simpson), eight non-financial objectives and, for all NEOs with the exception of Mr. McDonald, a leadership objective.</w:t>
      </w:r>
    </w:p>
    <w:p>
      <w:pPr>
        <w:spacing w:after="0" w:line="81" w:lineRule="exact"/>
        <w:rPr>
          <w:sz w:val="20"/>
          <w:szCs w:val="20"/>
          <w:color w:val="auto"/>
        </w:rPr>
      </w:pPr>
    </w:p>
    <w:p>
      <w:pPr>
        <w:ind w:left="760" w:right="920"/>
        <w:spacing w:after="0" w:line="251" w:lineRule="auto"/>
        <w:rPr>
          <w:sz w:val="20"/>
          <w:szCs w:val="20"/>
          <w:color w:val="auto"/>
        </w:rPr>
      </w:pPr>
      <w:r>
        <w:rPr>
          <w:rFonts w:ascii="Arial" w:cs="Arial" w:eastAsia="Arial" w:hAnsi="Arial"/>
          <w:sz w:val="16"/>
          <w:szCs w:val="16"/>
          <w:color w:val="auto"/>
        </w:rPr>
        <w:t>None of the financial objectives were achieved for the 2019 STIP and, consequently, the payout related to the financial objectives was zero for all our NEOs other than Mr. Simpson. The Compensation Committee determined that the performance of the Cardiovascular segment warranted recognition because the threshold was missed by a very slight margin and awarded Mr. Simpson a discretionary payment at the threshold level.</w:t>
      </w:r>
    </w:p>
    <w:p>
      <w:pPr>
        <w:spacing w:after="0" w:line="67" w:lineRule="exact"/>
        <w:rPr>
          <w:sz w:val="20"/>
          <w:szCs w:val="20"/>
          <w:color w:val="auto"/>
        </w:rPr>
      </w:pPr>
    </w:p>
    <w:p>
      <w:pPr>
        <w:ind w:left="760" w:right="940"/>
        <w:spacing w:after="0" w:line="248"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2019, plus a Leadership objective focused on developing our future leaders. The Design projects element was the completion of two product development projects, the Clinical projects element was achievement of enrollment objectives for two clinical studies, the Regulatory projects element included three regulatory submission objectives and a fourth project, and the Commercialization element was a commercial launch objective. Together, the nine product development project objectives represent 25% of each executive’s Target bonus, but total 40% if all objectives were achieved, representing a potential overachievement of 15%. The Leadership objective was valued at 15% for Mr. Huston and Ms. Skeffington and 20% for Messrs. Andrle and Simpson and could not be overachieved. The table below summarizes the Non-Financial objectives.</w:t>
      </w:r>
    </w:p>
    <w:p>
      <w:pPr>
        <w:spacing w:after="0" w:line="3"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700" w:type="dxa"/>
            <w:vAlign w:val="bottom"/>
            <w:tcBorders>
              <w:bottom w:val="single" w:sz="8" w:color="6A2887"/>
            </w:tcBorders>
          </w:tcPr>
          <w:p>
            <w:pPr>
              <w:spacing w:after="0"/>
              <w:rPr>
                <w:sz w:val="17"/>
                <w:szCs w:val="17"/>
                <w:color w:val="auto"/>
              </w:rPr>
            </w:pPr>
          </w:p>
        </w:tc>
        <w:tc>
          <w:tcPr>
            <w:tcW w:w="740" w:type="dxa"/>
            <w:vAlign w:val="bottom"/>
            <w:tcBorders>
              <w:bottom w:val="single" w:sz="8" w:color="6A2887"/>
            </w:tcBorders>
          </w:tcPr>
          <w:p>
            <w:pPr>
              <w:spacing w:after="0"/>
              <w:rPr>
                <w:sz w:val="17"/>
                <w:szCs w:val="17"/>
                <w:color w:val="auto"/>
              </w:rPr>
            </w:pPr>
          </w:p>
        </w:tc>
        <w:tc>
          <w:tcPr>
            <w:tcW w:w="2480" w:type="dxa"/>
            <w:vAlign w:val="bottom"/>
            <w:tcBorders>
              <w:bottom w:val="single" w:sz="8" w:color="6A2887"/>
            </w:tcBorders>
            <w:gridSpan w:val="2"/>
          </w:tcPr>
          <w:p>
            <w:pPr>
              <w:jc w:val="right"/>
              <w:ind w:right="544"/>
              <w:spacing w:after="0"/>
              <w:rPr>
                <w:sz w:val="20"/>
                <w:szCs w:val="20"/>
                <w:color w:val="auto"/>
              </w:rPr>
            </w:pPr>
            <w:r>
              <w:rPr>
                <w:rFonts w:ascii="Arial" w:cs="Arial" w:eastAsia="Arial" w:hAnsi="Arial"/>
                <w:sz w:val="14"/>
                <w:szCs w:val="14"/>
                <w:b w:val="1"/>
                <w:bCs w:val="1"/>
                <w:color w:val="6A2887"/>
              </w:rPr>
              <w:t>Non-Financial Objectives</w:t>
            </w:r>
          </w:p>
        </w:tc>
        <w:tc>
          <w:tcPr>
            <w:tcW w:w="940" w:type="dxa"/>
            <w:vAlign w:val="bottom"/>
            <w:tcBorders>
              <w:bottom w:val="single" w:sz="8" w:color="6A2887"/>
            </w:tcBorders>
          </w:tcPr>
          <w:p>
            <w:pPr>
              <w:spacing w:after="0"/>
              <w:rPr>
                <w:sz w:val="17"/>
                <w:szCs w:val="17"/>
                <w:color w:val="auto"/>
              </w:rPr>
            </w:pPr>
          </w:p>
        </w:tc>
      </w:tr>
      <w:tr>
        <w:trPr>
          <w:trHeight w:val="223"/>
        </w:trPr>
        <w:tc>
          <w:tcPr>
            <w:tcW w:w="4320" w:type="dxa"/>
            <w:vAlign w:val="bottom"/>
            <w:tcBorders>
              <w:bottom w:val="single" w:sz="8" w:color="6A2887"/>
            </w:tcBorders>
          </w:tcPr>
          <w:p>
            <w:pPr>
              <w:spacing w:after="0"/>
              <w:rPr>
                <w:sz w:val="19"/>
                <w:szCs w:val="19"/>
                <w:color w:val="auto"/>
              </w:rPr>
            </w:pPr>
          </w:p>
        </w:tc>
        <w:tc>
          <w:tcPr>
            <w:tcW w:w="70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Design</w:t>
            </w:r>
          </w:p>
        </w:tc>
        <w:tc>
          <w:tcPr>
            <w:tcW w:w="74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Clinical</w:t>
            </w:r>
          </w:p>
        </w:tc>
        <w:tc>
          <w:tcPr>
            <w:tcW w:w="98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Regulatory</w:t>
            </w:r>
          </w:p>
        </w:tc>
        <w:tc>
          <w:tcPr>
            <w:tcW w:w="150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Commercialization</w:t>
            </w:r>
          </w:p>
        </w:tc>
        <w:tc>
          <w:tcPr>
            <w:tcW w:w="9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Leadership</w:t>
            </w:r>
          </w:p>
        </w:tc>
      </w:tr>
      <w:tr>
        <w:trPr>
          <w:trHeight w:val="221"/>
        </w:trPr>
        <w:tc>
          <w:tcPr>
            <w:tcW w:w="43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7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w:t>
            </w:r>
          </w:p>
        </w:tc>
      </w:tr>
      <w:tr>
        <w:trPr>
          <w:trHeight w:val="222"/>
        </w:trPr>
        <w:tc>
          <w:tcPr>
            <w:tcW w:w="43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2"/>
        </w:trPr>
        <w:tc>
          <w:tcPr>
            <w:tcW w:w="4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7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1"/>
        </w:trPr>
        <w:tc>
          <w:tcPr>
            <w:tcW w:w="432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980" w:type="dxa"/>
            <w:vAlign w:val="bottom"/>
          </w:tcPr>
          <w:p>
            <w:pPr>
              <w:jc w:val="right"/>
              <w:ind w:right="45"/>
              <w:spacing w:after="0"/>
              <w:rPr>
                <w:sz w:val="20"/>
                <w:szCs w:val="20"/>
                <w:color w:val="auto"/>
              </w:rPr>
            </w:pPr>
            <w:r>
              <w:rPr>
                <w:rFonts w:ascii="Arial" w:cs="Arial" w:eastAsia="Arial" w:hAnsi="Arial"/>
                <w:sz w:val="15"/>
                <w:szCs w:val="15"/>
                <w:color w:val="auto"/>
              </w:rPr>
              <w:t>15%</w:t>
            </w:r>
          </w:p>
        </w:tc>
        <w:tc>
          <w:tcPr>
            <w:tcW w:w="150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9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2"/>
        </w:trPr>
        <w:tc>
          <w:tcPr>
            <w:tcW w:w="4320" w:type="dxa"/>
            <w:vAlign w:val="bottom"/>
            <w:tcBorders>
              <w:bottom w:val="single" w:sz="8" w:color="6A2887"/>
            </w:tcBorders>
          </w:tcPr>
          <w:p>
            <w:pPr>
              <w:spacing w:after="0" w:line="20" w:lineRule="exact"/>
              <w:rPr>
                <w:sz w:val="1"/>
                <w:szCs w:val="1"/>
                <w:color w:val="auto"/>
              </w:rPr>
            </w:pPr>
          </w:p>
        </w:tc>
        <w:tc>
          <w:tcPr>
            <w:tcW w:w="700" w:type="dxa"/>
            <w:vAlign w:val="bottom"/>
            <w:tcBorders>
              <w:bottom w:val="single" w:sz="8" w:color="6A2887"/>
            </w:tcBorders>
          </w:tcPr>
          <w:p>
            <w:pPr>
              <w:spacing w:after="0" w:line="20" w:lineRule="exact"/>
              <w:rPr>
                <w:sz w:val="1"/>
                <w:szCs w:val="1"/>
                <w:color w:val="auto"/>
              </w:rPr>
            </w:pPr>
          </w:p>
        </w:tc>
        <w:tc>
          <w:tcPr>
            <w:tcW w:w="740" w:type="dxa"/>
            <w:vAlign w:val="bottom"/>
            <w:tcBorders>
              <w:bottom w:val="single" w:sz="8" w:color="6A2887"/>
            </w:tcBorders>
          </w:tcPr>
          <w:p>
            <w:pPr>
              <w:spacing w:after="0" w:line="20" w:lineRule="exact"/>
              <w:rPr>
                <w:sz w:val="1"/>
                <w:szCs w:val="1"/>
                <w:color w:val="auto"/>
              </w:rPr>
            </w:pPr>
          </w:p>
        </w:tc>
        <w:tc>
          <w:tcPr>
            <w:tcW w:w="980" w:type="dxa"/>
            <w:vAlign w:val="bottom"/>
            <w:tcBorders>
              <w:bottom w:val="single" w:sz="8" w:color="6A2887"/>
            </w:tcBorders>
          </w:tcPr>
          <w:p>
            <w:pPr>
              <w:spacing w:after="0" w:line="20" w:lineRule="exact"/>
              <w:rPr>
                <w:sz w:val="1"/>
                <w:szCs w:val="1"/>
                <w:color w:val="auto"/>
              </w:rPr>
            </w:pPr>
          </w:p>
        </w:tc>
        <w:tc>
          <w:tcPr>
            <w:tcW w:w="1500" w:type="dxa"/>
            <w:vAlign w:val="bottom"/>
            <w:tcBorders>
              <w:bottom w:val="single" w:sz="8" w:color="6A2887"/>
            </w:tcBorders>
          </w:tcPr>
          <w:p>
            <w:pPr>
              <w:spacing w:after="0" w:line="20" w:lineRule="exact"/>
              <w:rPr>
                <w:sz w:val="1"/>
                <w:szCs w:val="1"/>
                <w:color w:val="auto"/>
              </w:rPr>
            </w:pPr>
          </w:p>
        </w:tc>
        <w:tc>
          <w:tcPr>
            <w:tcW w:w="940" w:type="dxa"/>
            <w:vAlign w:val="bottom"/>
            <w:tcBorders>
              <w:bottom w:val="single" w:sz="8" w:color="6A2887"/>
            </w:tcBorders>
          </w:tcPr>
          <w:p>
            <w:pPr>
              <w:spacing w:after="0" w:line="20" w:lineRule="exact"/>
              <w:rPr>
                <w:sz w:val="1"/>
                <w:szCs w:val="1"/>
                <w:color w:val="auto"/>
              </w:rPr>
            </w:pPr>
          </w:p>
        </w:tc>
      </w:tr>
    </w:tbl>
    <w:p>
      <w:pPr>
        <w:spacing w:after="0" w:line="83" w:lineRule="exact"/>
        <w:rPr>
          <w:sz w:val="20"/>
          <w:szCs w:val="20"/>
          <w:color w:val="auto"/>
        </w:rPr>
      </w:pPr>
    </w:p>
    <w:p>
      <w:pPr>
        <w:ind w:left="760" w:right="800"/>
        <w:spacing w:after="0" w:line="262" w:lineRule="auto"/>
        <w:rPr>
          <w:sz w:val="20"/>
          <w:szCs w:val="20"/>
          <w:color w:val="auto"/>
        </w:rPr>
      </w:pPr>
      <w:r>
        <w:rPr>
          <w:rFonts w:ascii="Arial" w:cs="Arial" w:eastAsia="Arial" w:hAnsi="Arial"/>
          <w:sz w:val="15"/>
          <w:szCs w:val="15"/>
          <w:color w:val="auto"/>
        </w:rPr>
        <w:t>In 2019, all the non-financial objectives were achieved with the exceptions of one Regulatory project and the Commercialization element leading to a total achievement of 30% at Target. However, given the Company’s overall financial results, the Compensation Committee reduced the payout under the STIP to 25% at Target. The Leadership objectives were achieved by each of the NEOs, but due to the Company’s performance, management recommended and the Compensation Committee approved, that payout of this portion be at 80% of target for Mr. Huston and Ms. Skeffington and at 70% of target for Mr. Andrle and</w:t>
      </w:r>
    </w:p>
    <w:p>
      <w:pPr>
        <w:spacing w:after="0" w:line="4" w:lineRule="exact"/>
        <w:rPr>
          <w:sz w:val="20"/>
          <w:szCs w:val="20"/>
          <w:color w:val="auto"/>
        </w:rPr>
      </w:pPr>
    </w:p>
    <w:p>
      <w:pPr>
        <w:ind w:left="760" w:right="900"/>
        <w:spacing w:after="0" w:line="246" w:lineRule="auto"/>
        <w:rPr>
          <w:sz w:val="20"/>
          <w:szCs w:val="20"/>
          <w:color w:val="auto"/>
        </w:rPr>
      </w:pPr>
      <w:r>
        <w:rPr>
          <w:rFonts w:ascii="Arial" w:cs="Arial" w:eastAsia="Arial" w:hAnsi="Arial"/>
          <w:sz w:val="16"/>
          <w:szCs w:val="16"/>
          <w:color w:val="auto"/>
        </w:rPr>
        <w:t>Mr. Simpson. Achievements for Mr. Andrle and Mr. Simpson were considered at 70% given their departures from their roles within the Company. This resulted in the following payouts in relation to the leadership objective: Mr. Huston at 80% (resulting in a payment of 12% of Target (80% of 15%)); Ms. Skeffington at 80% (resulting in a payment of 12% of Target (80% of 15%));</w:t>
      </w:r>
    </w:p>
    <w:p>
      <w:pPr>
        <w:spacing w:after="0" w:line="1"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Mr. Andrle at 70% (resulting in a payout of 14% of Target (70% of 20%); and Mr. Simpson at 70% (resulting in a payment of 14% of Target (70% of 20%)).</w:t>
      </w:r>
    </w:p>
    <w:p>
      <w:pPr>
        <w:spacing w:after="0" w:line="60" w:lineRule="exact"/>
        <w:rPr>
          <w:sz w:val="20"/>
          <w:szCs w:val="20"/>
          <w:color w:val="auto"/>
        </w:rPr>
      </w:pPr>
    </w:p>
    <w:p>
      <w:pPr>
        <w:ind w:left="760" w:right="1160"/>
        <w:spacing w:after="0" w:line="260" w:lineRule="auto"/>
        <w:rPr>
          <w:sz w:val="20"/>
          <w:szCs w:val="20"/>
          <w:color w:val="auto"/>
        </w:rPr>
      </w:pPr>
      <w:r>
        <w:rPr>
          <w:rFonts w:ascii="Arial" w:cs="Arial" w:eastAsia="Arial" w:hAnsi="Arial"/>
          <w:sz w:val="16"/>
          <w:szCs w:val="16"/>
          <w:color w:val="auto"/>
        </w:rPr>
        <w:t>The following table shows the percentage of achievement of the elements of the 2019 STIP and the amount paid to the NEOs under the STIP:</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440" w:type="dxa"/>
            <w:vAlign w:val="bottom"/>
          </w:tcPr>
          <w:p>
            <w:pPr>
              <w:spacing w:after="0"/>
              <w:rPr>
                <w:sz w:val="15"/>
                <w:szCs w:val="15"/>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6A2887"/>
              </w:rPr>
              <w:t>STIP</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6A2887"/>
              </w:rPr>
              <w:t>Weighted</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6A2887"/>
              </w:rPr>
              <w:t>Target</w:t>
            </w:r>
          </w:p>
        </w:tc>
        <w:tc>
          <w:tcPr>
            <w:tcW w:w="11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6A2887"/>
              </w:rPr>
              <w:t>Weighted</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6A2887"/>
              </w:rPr>
              <w:t>Non-</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6A2887"/>
              </w:rPr>
              <w:t>(% of</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6A2887"/>
              </w:rPr>
              <w:t>Financial</w:t>
            </w: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6A2887"/>
              </w:rPr>
              <w:t>Financial</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6A2887"/>
              </w:rPr>
              <w:t>Financial</w:t>
            </w:r>
          </w:p>
        </w:tc>
        <w:tc>
          <w:tcPr>
            <w:tcW w:w="84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Arial" w:cs="Arial" w:eastAsia="Arial" w:hAnsi="Arial"/>
                <w:sz w:val="14"/>
                <w:szCs w:val="14"/>
                <w:b w:val="1"/>
                <w:bCs w:val="1"/>
                <w:color w:val="6A2887"/>
              </w:rPr>
              <w:t>STIP</w:t>
            </w:r>
          </w:p>
        </w:tc>
      </w:tr>
      <w:tr>
        <w:trPr>
          <w:trHeight w:val="162"/>
        </w:trPr>
        <w:tc>
          <w:tcPr>
            <w:tcW w:w="14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Arial" w:cs="Arial" w:eastAsia="Arial" w:hAnsi="Arial"/>
                <w:sz w:val="14"/>
                <w:szCs w:val="14"/>
                <w:b w:val="1"/>
                <w:bCs w:val="1"/>
                <w:color w:val="6A2887"/>
              </w:rPr>
              <w:t>Base</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6A2887"/>
              </w:rPr>
              <w:t>Performance</w:t>
            </w:r>
          </w:p>
        </w:tc>
        <w:tc>
          <w:tcPr>
            <w:tcW w:w="1100" w:type="dxa"/>
            <w:vAlign w:val="bottom"/>
          </w:tcPr>
          <w:p>
            <w:pPr>
              <w:jc w:val="right"/>
              <w:ind w:right="66"/>
              <w:spacing w:after="0"/>
              <w:rPr>
                <w:sz w:val="20"/>
                <w:szCs w:val="20"/>
                <w:color w:val="auto"/>
              </w:rPr>
            </w:pPr>
            <w:r>
              <w:rPr>
                <w:rFonts w:ascii="Arial" w:cs="Arial" w:eastAsia="Arial" w:hAnsi="Arial"/>
                <w:sz w:val="14"/>
                <w:szCs w:val="14"/>
                <w:b w:val="1"/>
                <w:bCs w:val="1"/>
                <w:color w:val="6A2887"/>
              </w:rPr>
              <w:t>Performance</w:t>
            </w:r>
          </w:p>
        </w:tc>
        <w:tc>
          <w:tcPr>
            <w:tcW w:w="1000" w:type="dxa"/>
            <w:vAlign w:val="bottom"/>
          </w:tcPr>
          <w:p>
            <w:pPr>
              <w:jc w:val="right"/>
              <w:ind w:right="65"/>
              <w:spacing w:after="0"/>
              <w:rPr>
                <w:sz w:val="20"/>
                <w:szCs w:val="20"/>
                <w:color w:val="auto"/>
              </w:rPr>
            </w:pPr>
            <w:r>
              <w:rPr>
                <w:rFonts w:ascii="Arial" w:cs="Arial" w:eastAsia="Arial" w:hAnsi="Arial"/>
                <w:sz w:val="14"/>
                <w:szCs w:val="14"/>
                <w:b w:val="1"/>
                <w:bCs w:val="1"/>
                <w:color w:val="6A2887"/>
              </w:rPr>
              <w:t>Leadership</w:t>
            </w:r>
          </w:p>
        </w:tc>
        <w:tc>
          <w:tcPr>
            <w:tcW w:w="1000" w:type="dxa"/>
            <w:vAlign w:val="bottom"/>
          </w:tcPr>
          <w:p>
            <w:pPr>
              <w:jc w:val="right"/>
              <w:ind w:right="65"/>
              <w:spacing w:after="0"/>
              <w:rPr>
                <w:sz w:val="20"/>
                <w:szCs w:val="20"/>
                <w:color w:val="auto"/>
              </w:rPr>
            </w:pPr>
            <w:r>
              <w:rPr>
                <w:rFonts w:ascii="Arial" w:cs="Arial" w:eastAsia="Arial" w:hAnsi="Arial"/>
                <w:sz w:val="14"/>
                <w:szCs w:val="14"/>
                <w:b w:val="1"/>
                <w:bCs w:val="1"/>
                <w:color w:val="6A2887"/>
              </w:rPr>
              <w:t>Leadership</w:t>
            </w:r>
          </w:p>
        </w:tc>
        <w:tc>
          <w:tcPr>
            <w:tcW w:w="1120" w:type="dxa"/>
            <w:vAlign w:val="bottom"/>
          </w:tcPr>
          <w:p>
            <w:pPr>
              <w:jc w:val="right"/>
              <w:ind w:right="86"/>
              <w:spacing w:after="0"/>
              <w:rPr>
                <w:sz w:val="20"/>
                <w:szCs w:val="20"/>
                <w:color w:val="auto"/>
              </w:rPr>
            </w:pPr>
            <w:r>
              <w:rPr>
                <w:rFonts w:ascii="Arial" w:cs="Arial" w:eastAsia="Arial" w:hAnsi="Arial"/>
                <w:sz w:val="14"/>
                <w:szCs w:val="14"/>
                <w:b w:val="1"/>
                <w:bCs w:val="1"/>
                <w:color w:val="6A2887"/>
              </w:rPr>
              <w:t>Performance</w:t>
            </w:r>
          </w:p>
        </w:tc>
        <w:tc>
          <w:tcPr>
            <w:tcW w:w="840" w:type="dxa"/>
            <w:vAlign w:val="bottom"/>
          </w:tcPr>
          <w:p>
            <w:pPr>
              <w:jc w:val="right"/>
              <w:ind w:right="65"/>
              <w:spacing w:after="0"/>
              <w:rPr>
                <w:sz w:val="20"/>
                <w:szCs w:val="20"/>
                <w:color w:val="auto"/>
              </w:rPr>
            </w:pPr>
            <w:r>
              <w:rPr>
                <w:rFonts w:ascii="Arial" w:cs="Arial" w:eastAsia="Arial" w:hAnsi="Arial"/>
                <w:sz w:val="14"/>
                <w:szCs w:val="14"/>
                <w:b w:val="1"/>
                <w:bCs w:val="1"/>
                <w:color w:val="6A2887"/>
              </w:rPr>
              <w:t>STIP</w:t>
            </w:r>
          </w:p>
        </w:tc>
        <w:tc>
          <w:tcPr>
            <w:tcW w:w="720" w:type="dxa"/>
            <w:vAlign w:val="bottom"/>
          </w:tcPr>
          <w:p>
            <w:pPr>
              <w:jc w:val="right"/>
              <w:ind w:right="25"/>
              <w:spacing w:after="0"/>
              <w:rPr>
                <w:sz w:val="20"/>
                <w:szCs w:val="20"/>
                <w:color w:val="auto"/>
              </w:rPr>
            </w:pPr>
            <w:r>
              <w:rPr>
                <w:rFonts w:ascii="Arial" w:cs="Arial" w:eastAsia="Arial" w:hAnsi="Arial"/>
                <w:sz w:val="14"/>
                <w:szCs w:val="14"/>
                <w:b w:val="1"/>
                <w:bCs w:val="1"/>
                <w:color w:val="6A2887"/>
              </w:rPr>
              <w:t>Payout</w:t>
            </w:r>
          </w:p>
        </w:tc>
      </w:tr>
      <w:tr>
        <w:trPr>
          <w:trHeight w:val="216"/>
        </w:trPr>
        <w:tc>
          <w:tcPr>
            <w:tcW w:w="1440" w:type="dxa"/>
            <w:vAlign w:val="bottom"/>
            <w:tcBorders>
              <w:bottom w:val="single" w:sz="8" w:color="6A2887"/>
            </w:tcBorders>
          </w:tcPr>
          <w:p>
            <w:pPr>
              <w:spacing w:after="0"/>
              <w:rPr>
                <w:sz w:val="18"/>
                <w:szCs w:val="18"/>
                <w:color w:val="auto"/>
              </w:rPr>
            </w:pPr>
          </w:p>
        </w:tc>
        <w:tc>
          <w:tcPr>
            <w:tcW w:w="840" w:type="dxa"/>
            <w:vAlign w:val="bottom"/>
            <w:tcBorders>
              <w:bottom w:val="single" w:sz="8" w:color="6A2887"/>
            </w:tcBorders>
          </w:tcPr>
          <w:p>
            <w:pPr>
              <w:jc w:val="right"/>
              <w:ind w:right="26"/>
              <w:spacing w:after="0" w:line="216" w:lineRule="exact"/>
              <w:rPr>
                <w:sz w:val="20"/>
                <w:szCs w:val="20"/>
                <w:color w:val="auto"/>
              </w:rPr>
            </w:pPr>
            <w:r>
              <w:rPr>
                <w:rFonts w:ascii="Arial" w:cs="Arial" w:eastAsia="Arial" w:hAnsi="Arial"/>
                <w:sz w:val="14"/>
                <w:szCs w:val="14"/>
                <w:b w:val="1"/>
                <w:bCs w:val="1"/>
                <w:color w:val="6A2887"/>
              </w:rPr>
              <w:t>Salary)</w:t>
            </w:r>
            <w:r>
              <w:rPr>
                <w:rFonts w:ascii="Arial" w:cs="Arial" w:eastAsia="Arial" w:hAnsi="Arial"/>
                <w:sz w:val="21"/>
                <w:szCs w:val="21"/>
                <w:b w:val="1"/>
                <w:bCs w:val="1"/>
                <w:color w:val="6A2887"/>
                <w:vertAlign w:val="superscript"/>
              </w:rPr>
              <w:t>(1)</w:t>
            </w:r>
          </w:p>
        </w:tc>
        <w:tc>
          <w:tcPr>
            <w:tcW w:w="1120" w:type="dxa"/>
            <w:vAlign w:val="bottom"/>
            <w:tcBorders>
              <w:bottom w:val="single" w:sz="8" w:color="6A2887"/>
            </w:tcBorders>
          </w:tcPr>
          <w:p>
            <w:pPr>
              <w:jc w:val="right"/>
              <w:ind w:right="25"/>
              <w:spacing w:after="0"/>
              <w:rPr>
                <w:sz w:val="20"/>
                <w:szCs w:val="20"/>
                <w:color w:val="auto"/>
              </w:rPr>
            </w:pPr>
            <w:r>
              <w:rPr>
                <w:rFonts w:ascii="Arial" w:cs="Arial" w:eastAsia="Arial" w:hAnsi="Arial"/>
                <w:sz w:val="14"/>
                <w:szCs w:val="14"/>
                <w:b w:val="1"/>
                <w:bCs w:val="1"/>
                <w:color w:val="6A2887"/>
              </w:rPr>
              <w:t>Weight %</w:t>
            </w:r>
          </w:p>
        </w:tc>
        <w:tc>
          <w:tcPr>
            <w:tcW w:w="1100" w:type="dxa"/>
            <w:vAlign w:val="bottom"/>
            <w:tcBorders>
              <w:bottom w:val="single" w:sz="8" w:color="6A2887"/>
            </w:tcBorders>
          </w:tcPr>
          <w:p>
            <w:pPr>
              <w:jc w:val="right"/>
              <w:ind w:right="26"/>
              <w:spacing w:after="0"/>
              <w:rPr>
                <w:sz w:val="20"/>
                <w:szCs w:val="20"/>
                <w:color w:val="auto"/>
              </w:rPr>
            </w:pPr>
            <w:r>
              <w:rPr>
                <w:rFonts w:ascii="Arial" w:cs="Arial" w:eastAsia="Arial" w:hAnsi="Arial"/>
                <w:sz w:val="14"/>
                <w:szCs w:val="14"/>
                <w:b w:val="1"/>
                <w:bCs w:val="1"/>
                <w:color w:val="6A2887"/>
              </w:rPr>
              <w:t>Payout %</w:t>
            </w:r>
          </w:p>
        </w:tc>
        <w:tc>
          <w:tcPr>
            <w:tcW w:w="1000" w:type="dxa"/>
            <w:vAlign w:val="bottom"/>
            <w:tcBorders>
              <w:bottom w:val="single" w:sz="8" w:color="6A2887"/>
            </w:tcBorders>
          </w:tcPr>
          <w:p>
            <w:pPr>
              <w:jc w:val="right"/>
              <w:ind w:right="25"/>
              <w:spacing w:after="0"/>
              <w:rPr>
                <w:sz w:val="20"/>
                <w:szCs w:val="20"/>
                <w:color w:val="auto"/>
              </w:rPr>
            </w:pPr>
            <w:r>
              <w:rPr>
                <w:rFonts w:ascii="Arial" w:cs="Arial" w:eastAsia="Arial" w:hAnsi="Arial"/>
                <w:sz w:val="14"/>
                <w:szCs w:val="14"/>
                <w:b w:val="1"/>
                <w:bCs w:val="1"/>
                <w:color w:val="6A2887"/>
              </w:rPr>
              <w:t>Weight %</w:t>
            </w:r>
          </w:p>
        </w:tc>
        <w:tc>
          <w:tcPr>
            <w:tcW w:w="1000" w:type="dxa"/>
            <w:vAlign w:val="bottom"/>
            <w:tcBorders>
              <w:bottom w:val="single" w:sz="8" w:color="6A2887"/>
            </w:tcBorders>
          </w:tcPr>
          <w:p>
            <w:pPr>
              <w:jc w:val="right"/>
              <w:ind w:right="25"/>
              <w:spacing w:after="0"/>
              <w:rPr>
                <w:sz w:val="20"/>
                <w:szCs w:val="20"/>
                <w:color w:val="auto"/>
              </w:rPr>
            </w:pPr>
            <w:r>
              <w:rPr>
                <w:rFonts w:ascii="Arial" w:cs="Arial" w:eastAsia="Arial" w:hAnsi="Arial"/>
                <w:sz w:val="14"/>
                <w:szCs w:val="14"/>
                <w:b w:val="1"/>
                <w:bCs w:val="1"/>
                <w:color w:val="6A2887"/>
              </w:rPr>
              <w:t>Payout %</w:t>
            </w:r>
          </w:p>
        </w:tc>
        <w:tc>
          <w:tcPr>
            <w:tcW w:w="1120" w:type="dxa"/>
            <w:vAlign w:val="bottom"/>
            <w:tcBorders>
              <w:bottom w:val="single" w:sz="8" w:color="6A2887"/>
            </w:tcBorders>
          </w:tcPr>
          <w:p>
            <w:pPr>
              <w:jc w:val="right"/>
              <w:ind w:right="46"/>
              <w:spacing w:after="0"/>
              <w:rPr>
                <w:sz w:val="20"/>
                <w:szCs w:val="20"/>
                <w:color w:val="auto"/>
              </w:rPr>
            </w:pPr>
            <w:r>
              <w:rPr>
                <w:rFonts w:ascii="Arial" w:cs="Arial" w:eastAsia="Arial" w:hAnsi="Arial"/>
                <w:sz w:val="14"/>
                <w:szCs w:val="14"/>
                <w:b w:val="1"/>
                <w:bCs w:val="1"/>
                <w:color w:val="6A2887"/>
              </w:rPr>
              <w:t>Payout %</w:t>
            </w:r>
          </w:p>
        </w:tc>
        <w:tc>
          <w:tcPr>
            <w:tcW w:w="840" w:type="dxa"/>
            <w:vAlign w:val="bottom"/>
            <w:tcBorders>
              <w:bottom w:val="single" w:sz="8" w:color="6A2887"/>
            </w:tcBorders>
          </w:tcPr>
          <w:p>
            <w:pPr>
              <w:jc w:val="right"/>
              <w:ind w:right="25"/>
              <w:spacing w:after="0"/>
              <w:rPr>
                <w:sz w:val="20"/>
                <w:szCs w:val="20"/>
                <w:color w:val="auto"/>
              </w:rPr>
            </w:pPr>
            <w:r>
              <w:rPr>
                <w:rFonts w:ascii="Arial" w:cs="Arial" w:eastAsia="Arial" w:hAnsi="Arial"/>
                <w:sz w:val="14"/>
                <w:szCs w:val="14"/>
                <w:b w:val="1"/>
                <w:bCs w:val="1"/>
                <w:color w:val="6A2887"/>
              </w:rPr>
              <w:t>Payout %</w:t>
            </w:r>
          </w:p>
        </w:tc>
        <w:tc>
          <w:tcPr>
            <w:tcW w:w="72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4"/>
                <w:szCs w:val="14"/>
                <w:b w:val="1"/>
                <w:bCs w:val="1"/>
                <w:color w:val="6A2887"/>
              </w:rPr>
              <w:t>($)</w:t>
            </w:r>
            <w:r>
              <w:rPr>
                <w:rFonts w:ascii="Arial" w:cs="Arial" w:eastAsia="Arial" w:hAnsi="Arial"/>
                <w:sz w:val="21"/>
                <w:szCs w:val="21"/>
                <w:b w:val="1"/>
                <w:bCs w:val="1"/>
                <w:color w:val="6A2887"/>
                <w:vertAlign w:val="superscript"/>
              </w:rPr>
              <w:t>(2)</w:t>
            </w:r>
          </w:p>
        </w:tc>
      </w:tr>
      <w:tr>
        <w:trPr>
          <w:trHeight w:val="215"/>
        </w:trPr>
        <w:tc>
          <w:tcPr>
            <w:tcW w:w="144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125%</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75%</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NA</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N/A</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25%</w:t>
            </w:r>
          </w:p>
        </w:tc>
        <w:tc>
          <w:tcPr>
            <w:tcW w:w="720" w:type="dxa"/>
            <w:vAlign w:val="bottom"/>
          </w:tcPr>
          <w:p>
            <w:pPr>
              <w:jc w:val="right"/>
              <w:spacing w:after="0"/>
              <w:rPr>
                <w:sz w:val="20"/>
                <w:szCs w:val="20"/>
                <w:color w:val="auto"/>
              </w:rPr>
            </w:pPr>
            <w:r>
              <w:rPr>
                <w:rFonts w:ascii="Arial" w:cs="Arial" w:eastAsia="Arial" w:hAnsi="Arial"/>
                <w:sz w:val="15"/>
                <w:szCs w:val="15"/>
                <w:color w:val="auto"/>
              </w:rPr>
              <w:t>277,245</w:t>
            </w:r>
          </w:p>
        </w:tc>
      </w:tr>
      <w:tr>
        <w:trPr>
          <w:trHeight w:val="22"/>
        </w:trPr>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840" w:type="dxa"/>
            <w:vAlign w:val="bottom"/>
            <w:tcBorders>
              <w:bottom w:val="single" w:sz="8" w:color="EFE9FC"/>
            </w:tcBorders>
            <w:shd w:val="clear" w:color="auto" w:fill="EFE9FC"/>
          </w:tcPr>
          <w:p>
            <w:pPr>
              <w:jc w:val="right"/>
              <w:ind w:right="6"/>
              <w:spacing w:after="0"/>
              <w:rPr>
                <w:sz w:val="20"/>
                <w:szCs w:val="20"/>
                <w:color w:val="auto"/>
              </w:rPr>
            </w:pPr>
            <w:r>
              <w:rPr>
                <w:rFonts w:ascii="Arial" w:cs="Arial" w:eastAsia="Arial" w:hAnsi="Arial"/>
                <w:sz w:val="15"/>
                <w:szCs w:val="15"/>
                <w:color w:val="auto"/>
              </w:rPr>
              <w:t>90%</w:t>
            </w:r>
          </w:p>
        </w:tc>
        <w:tc>
          <w:tcPr>
            <w:tcW w:w="112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60%</w:t>
            </w:r>
          </w:p>
        </w:tc>
        <w:tc>
          <w:tcPr>
            <w:tcW w:w="110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15%</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12%</w:t>
            </w:r>
          </w:p>
        </w:tc>
        <w:tc>
          <w:tcPr>
            <w:tcW w:w="112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37%</w:t>
            </w:r>
          </w:p>
        </w:tc>
        <w:tc>
          <w:tcPr>
            <w:tcW w:w="7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170,088</w:t>
            </w:r>
          </w:p>
        </w:tc>
      </w:tr>
      <w:tr>
        <w:trPr>
          <w:trHeight w:val="221"/>
        </w:trPr>
        <w:tc>
          <w:tcPr>
            <w:tcW w:w="144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70%</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60%</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15%</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12%</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37%</w:t>
            </w:r>
          </w:p>
        </w:tc>
        <w:tc>
          <w:tcPr>
            <w:tcW w:w="720" w:type="dxa"/>
            <w:vAlign w:val="bottom"/>
          </w:tcPr>
          <w:p>
            <w:pPr>
              <w:jc w:val="right"/>
              <w:spacing w:after="0"/>
              <w:rPr>
                <w:sz w:val="20"/>
                <w:szCs w:val="20"/>
                <w:color w:val="auto"/>
              </w:rPr>
            </w:pPr>
            <w:r>
              <w:rPr>
                <w:rFonts w:ascii="Arial" w:cs="Arial" w:eastAsia="Arial" w:hAnsi="Arial"/>
                <w:sz w:val="15"/>
                <w:szCs w:val="15"/>
                <w:color w:val="auto"/>
              </w:rPr>
              <w:t>106,289</w:t>
            </w:r>
          </w:p>
        </w:tc>
      </w:tr>
      <w:tr>
        <w:trPr>
          <w:trHeight w:val="22"/>
        </w:trPr>
        <w:tc>
          <w:tcPr>
            <w:tcW w:w="1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1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840" w:type="dxa"/>
            <w:vAlign w:val="bottom"/>
            <w:tcBorders>
              <w:bottom w:val="single" w:sz="8" w:color="EFE9FC"/>
            </w:tcBorders>
            <w:shd w:val="clear" w:color="auto" w:fill="EFE9FC"/>
          </w:tcPr>
          <w:p>
            <w:pPr>
              <w:jc w:val="right"/>
              <w:ind w:right="6"/>
              <w:spacing w:after="0"/>
              <w:rPr>
                <w:sz w:val="20"/>
                <w:szCs w:val="20"/>
                <w:color w:val="auto"/>
              </w:rPr>
            </w:pPr>
            <w:r>
              <w:rPr>
                <w:rFonts w:ascii="Arial" w:cs="Arial" w:eastAsia="Arial" w:hAnsi="Arial"/>
                <w:sz w:val="15"/>
                <w:szCs w:val="15"/>
                <w:color w:val="auto"/>
              </w:rPr>
              <w:t>65%</w:t>
            </w:r>
          </w:p>
        </w:tc>
        <w:tc>
          <w:tcPr>
            <w:tcW w:w="112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55%</w:t>
            </w:r>
          </w:p>
        </w:tc>
        <w:tc>
          <w:tcPr>
            <w:tcW w:w="110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20%</w:t>
            </w:r>
          </w:p>
        </w:tc>
        <w:tc>
          <w:tcPr>
            <w:tcW w:w="10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14%</w:t>
            </w:r>
          </w:p>
        </w:tc>
        <w:tc>
          <w:tcPr>
            <w:tcW w:w="112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39%</w:t>
            </w:r>
          </w:p>
        </w:tc>
        <w:tc>
          <w:tcPr>
            <w:tcW w:w="7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107,116</w:t>
            </w:r>
          </w:p>
        </w:tc>
      </w:tr>
      <w:tr>
        <w:trPr>
          <w:trHeight w:val="222"/>
        </w:trPr>
        <w:tc>
          <w:tcPr>
            <w:tcW w:w="144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60%</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55%</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7.34%</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20%</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14%</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46%</w:t>
            </w:r>
          </w:p>
        </w:tc>
        <w:tc>
          <w:tcPr>
            <w:tcW w:w="720" w:type="dxa"/>
            <w:vAlign w:val="bottom"/>
          </w:tcPr>
          <w:p>
            <w:pPr>
              <w:jc w:val="right"/>
              <w:spacing w:after="0"/>
              <w:rPr>
                <w:sz w:val="20"/>
                <w:szCs w:val="20"/>
                <w:color w:val="auto"/>
              </w:rPr>
            </w:pPr>
            <w:r>
              <w:rPr>
                <w:rFonts w:ascii="Arial" w:cs="Arial" w:eastAsia="Arial" w:hAnsi="Arial"/>
                <w:sz w:val="15"/>
                <w:szCs w:val="15"/>
                <w:color w:val="auto"/>
              </w:rPr>
              <w:t>113,445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hanging="216"/>
        <w:spacing w:after="0"/>
        <w:tabs>
          <w:tab w:leader="none" w:pos="98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The Target Percentages for the following NEOs changed in 2019 as follows: Damien McDonald: 100% from January through March and increased to</w:t>
      </w:r>
    </w:p>
    <w:p>
      <w:pPr>
        <w:spacing w:after="0" w:line="13" w:lineRule="exact"/>
        <w:rPr>
          <w:rFonts w:ascii="Arial" w:cs="Arial" w:eastAsia="Arial" w:hAnsi="Arial"/>
          <w:sz w:val="13"/>
          <w:szCs w:val="13"/>
          <w:i w:val="1"/>
          <w:iCs w:val="1"/>
          <w:color w:val="auto"/>
        </w:rPr>
      </w:pPr>
    </w:p>
    <w:p>
      <w:pPr>
        <w:ind w:left="98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125% effective April 1, 2019; Keyna Skeffington: 60% from January through March 31, 2019 and increased to 70% effective April 1, 2019; Ed Andrle:</w:t>
      </w:r>
    </w:p>
    <w:p>
      <w:pPr>
        <w:ind w:left="980" w:right="1080"/>
        <w:spacing w:after="0" w:line="249" w:lineRule="auto"/>
        <w:rPr>
          <w:rFonts w:ascii="Arial" w:cs="Arial" w:eastAsia="Arial" w:hAnsi="Arial"/>
          <w:sz w:val="13"/>
          <w:szCs w:val="13"/>
          <w:i w:val="1"/>
          <w:iCs w:val="1"/>
          <w:color w:val="auto"/>
        </w:rPr>
      </w:pPr>
      <w:r>
        <w:rPr>
          <w:rFonts w:ascii="Arial" w:cs="Arial" w:eastAsia="Arial" w:hAnsi="Arial"/>
          <w:sz w:val="13"/>
          <w:szCs w:val="13"/>
          <w:i w:val="1"/>
          <w:iCs w:val="1"/>
          <w:color w:val="auto"/>
        </w:rPr>
        <w:t>60% from January through March 31, 2019 and increased to 65% effective April 1, 2019; and Alistair Simpson: 50% from January through March 31, 2019 and increased to 60% effective April 1, 2019.</w:t>
      </w:r>
    </w:p>
    <w:p>
      <w:pPr>
        <w:ind w:left="980" w:right="880" w:hanging="216"/>
        <w:spacing w:after="0" w:line="259" w:lineRule="auto"/>
        <w:tabs>
          <w:tab w:leader="none" w:pos="980" w:val="left"/>
        </w:tabs>
        <w:numPr>
          <w:ilvl w:val="0"/>
          <w:numId w:val="56"/>
        </w:numPr>
        <w:rPr>
          <w:rFonts w:ascii="Arial" w:cs="Arial" w:eastAsia="Arial" w:hAnsi="Arial"/>
          <w:sz w:val="13"/>
          <w:szCs w:val="13"/>
          <w:i w:val="1"/>
          <w:iCs w:val="1"/>
          <w:color w:val="auto"/>
        </w:rPr>
      </w:pPr>
      <w:r>
        <w:rPr>
          <w:rFonts w:ascii="Arial" w:cs="Arial" w:eastAsia="Arial" w:hAnsi="Arial"/>
          <w:sz w:val="13"/>
          <w:szCs w:val="13"/>
          <w:i w:val="1"/>
          <w:iCs w:val="1"/>
          <w:color w:val="auto"/>
        </w:rPr>
        <w:t>For payout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Long-Term Incentive Plan (the “2019 LTIP”)</w:t>
      </w:r>
    </w:p>
    <w:p>
      <w:pPr>
        <w:spacing w:after="0" w:line="124" w:lineRule="exact"/>
        <w:rPr>
          <w:sz w:val="20"/>
          <w:szCs w:val="20"/>
          <w:color w:val="auto"/>
        </w:rPr>
      </w:pPr>
    </w:p>
    <w:p>
      <w:pPr>
        <w:ind w:left="760" w:right="299"/>
        <w:spacing w:after="0" w:line="268" w:lineRule="auto"/>
        <w:rPr>
          <w:sz w:val="20"/>
          <w:szCs w:val="20"/>
          <w:color w:val="auto"/>
        </w:rPr>
      </w:pPr>
      <w:r>
        <w:rPr>
          <w:rFonts w:ascii="Arial" w:cs="Arial" w:eastAsia="Arial" w:hAnsi="Arial"/>
          <w:sz w:val="16"/>
          <w:szCs w:val="16"/>
          <w:color w:val="auto"/>
        </w:rPr>
        <w:t>The purpose of our LTIP is to promote our long-term success and enhance our value by providing employees with an incentive 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w:t>
      </w:r>
    </w:p>
    <w:p>
      <w:pPr>
        <w:spacing w:after="0" w:line="83" w:lineRule="exact"/>
        <w:rPr>
          <w:sz w:val="20"/>
          <w:szCs w:val="20"/>
          <w:color w:val="auto"/>
        </w:rPr>
      </w:pPr>
    </w:p>
    <w:p>
      <w:pPr>
        <w:ind w:left="760" w:right="199"/>
        <w:spacing w:after="0" w:line="266" w:lineRule="auto"/>
        <w:rPr>
          <w:sz w:val="20"/>
          <w:szCs w:val="20"/>
          <w:color w:val="auto"/>
        </w:rPr>
      </w:pPr>
      <w:r>
        <w:rPr>
          <w:rFonts w:ascii="Arial" w:cs="Arial" w:eastAsia="Arial" w:hAnsi="Arial"/>
          <w:sz w:val="16"/>
          <w:szCs w:val="16"/>
          <w:color w:val="auto"/>
        </w:rPr>
        <w:t>We typically grant equity awards to executive officers under the 2019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 but when an LTIP award is granted, the award to our CEO in his capacity as an executive director of the Company, is circumscribed by any restrictions or limits in the Company’s UK remuneration policy then in effect.</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2019 LTIP Design</w:t>
      </w:r>
    </w:p>
    <w:p>
      <w:pPr>
        <w:spacing w:after="0" w:line="128" w:lineRule="exact"/>
        <w:rPr>
          <w:sz w:val="20"/>
          <w:szCs w:val="20"/>
          <w:color w:val="auto"/>
        </w:rPr>
      </w:pPr>
    </w:p>
    <w:p>
      <w:pPr>
        <w:ind w:left="760" w:right="419"/>
        <w:spacing w:after="0" w:line="271" w:lineRule="auto"/>
        <w:rPr>
          <w:sz w:val="20"/>
          <w:szCs w:val="20"/>
          <w:color w:val="auto"/>
        </w:rPr>
      </w:pPr>
      <w:r>
        <w:rPr>
          <w:rFonts w:ascii="Arial" w:cs="Arial" w:eastAsia="Arial" w:hAnsi="Arial"/>
          <w:sz w:val="16"/>
          <w:szCs w:val="16"/>
          <w:color w:val="auto"/>
        </w:rPr>
        <w:t>In March 2019, the Compensation Committee approved our 2019 LTIP in which all NEOs participate. Pursuant to the 2019 LTIP, the Committee approved an equity award value for each of four award vehicles for each participant with an effective date of March 30, 2019, as follows:</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Arial" w:cs="Arial" w:eastAsia="Arial" w:hAnsi="Arial"/>
                <w:sz w:val="14"/>
                <w:szCs w:val="14"/>
                <w:b w:val="1"/>
                <w:bCs w:val="1"/>
                <w:color w:val="6A2887"/>
              </w:rPr>
              <w:t>Total Award</w:t>
            </w:r>
          </w:p>
        </w:tc>
      </w:tr>
      <w:tr>
        <w:trPr>
          <w:trHeight w:val="196"/>
        </w:trPr>
        <w:tc>
          <w:tcPr>
            <w:tcW w:w="2700" w:type="dxa"/>
            <w:vAlign w:val="bottom"/>
            <w:tcBorders>
              <w:bottom w:val="single" w:sz="8" w:color="6A2887"/>
            </w:tcBorders>
          </w:tcPr>
          <w:p>
            <w:pPr>
              <w:spacing w:after="0"/>
              <w:rPr>
                <w:sz w:val="17"/>
                <w:szCs w:val="17"/>
                <w:color w:val="auto"/>
              </w:rPr>
            </w:pPr>
          </w:p>
        </w:tc>
        <w:tc>
          <w:tcPr>
            <w:tcW w:w="2220" w:type="dxa"/>
            <w:vAlign w:val="bottom"/>
            <w:tcBorders>
              <w:bottom w:val="single" w:sz="8" w:color="6A2887"/>
            </w:tcBorders>
          </w:tcPr>
          <w:p>
            <w:pPr>
              <w:jc w:val="right"/>
              <w:ind w:right="64"/>
              <w:spacing w:after="0"/>
              <w:rPr>
                <w:sz w:val="20"/>
                <w:szCs w:val="20"/>
                <w:color w:val="auto"/>
              </w:rPr>
            </w:pPr>
            <w:r>
              <w:rPr>
                <w:rFonts w:ascii="Arial" w:cs="Arial" w:eastAsia="Arial" w:hAnsi="Arial"/>
                <w:sz w:val="14"/>
                <w:szCs w:val="14"/>
                <w:b w:val="1"/>
                <w:bCs w:val="1"/>
                <w:color w:val="6A2887"/>
              </w:rPr>
              <w:t>RSUs ($)</w:t>
            </w:r>
          </w:p>
        </w:tc>
        <w:tc>
          <w:tcPr>
            <w:tcW w:w="920" w:type="dxa"/>
            <w:vAlign w:val="bottom"/>
            <w:tcBorders>
              <w:bottom w:val="single" w:sz="8" w:color="6A2887"/>
            </w:tcBorders>
          </w:tcPr>
          <w:p>
            <w:pPr>
              <w:jc w:val="right"/>
              <w:ind w:right="64"/>
              <w:spacing w:after="0"/>
              <w:rPr>
                <w:sz w:val="20"/>
                <w:szCs w:val="20"/>
                <w:color w:val="auto"/>
              </w:rPr>
            </w:pPr>
            <w:r>
              <w:rPr>
                <w:rFonts w:ascii="Arial" w:cs="Arial" w:eastAsia="Arial" w:hAnsi="Arial"/>
                <w:sz w:val="14"/>
                <w:szCs w:val="14"/>
                <w:b w:val="1"/>
                <w:bCs w:val="1"/>
                <w:color w:val="6A2887"/>
              </w:rPr>
              <w:t>SARs ($)</w:t>
            </w:r>
          </w:p>
        </w:tc>
        <w:tc>
          <w:tcPr>
            <w:tcW w:w="1200" w:type="dxa"/>
            <w:vAlign w:val="bottom"/>
            <w:tcBorders>
              <w:bottom w:val="single" w:sz="8" w:color="6A2887"/>
            </w:tcBorders>
          </w:tcPr>
          <w:p>
            <w:pPr>
              <w:jc w:val="right"/>
              <w:ind w:right="64"/>
              <w:spacing w:after="0"/>
              <w:rPr>
                <w:sz w:val="20"/>
                <w:szCs w:val="20"/>
                <w:color w:val="auto"/>
              </w:rPr>
            </w:pPr>
            <w:r>
              <w:rPr>
                <w:rFonts w:ascii="Arial" w:cs="Arial" w:eastAsia="Arial" w:hAnsi="Arial"/>
                <w:sz w:val="14"/>
                <w:szCs w:val="14"/>
                <w:b w:val="1"/>
                <w:bCs w:val="1"/>
                <w:color w:val="6A2887"/>
              </w:rPr>
              <w:t>rTSR PSUs ($)</w:t>
            </w:r>
          </w:p>
        </w:tc>
        <w:tc>
          <w:tcPr>
            <w:tcW w:w="114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FCF PSUs ($)</w:t>
            </w:r>
          </w:p>
        </w:tc>
        <w:tc>
          <w:tcPr>
            <w:tcW w:w="100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Value ($)</w:t>
            </w:r>
          </w:p>
        </w:tc>
      </w:tr>
      <w:tr>
        <w:trPr>
          <w:trHeight w:val="221"/>
        </w:trPr>
        <w:tc>
          <w:tcPr>
            <w:tcW w:w="27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1,250,000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1,250,000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1,500,000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1,500,000</w:t>
            </w:r>
          </w:p>
        </w:tc>
        <w:tc>
          <w:tcPr>
            <w:tcW w:w="1000" w:type="dxa"/>
            <w:vAlign w:val="bottom"/>
          </w:tcPr>
          <w:p>
            <w:pPr>
              <w:jc w:val="right"/>
              <w:spacing w:after="0"/>
              <w:rPr>
                <w:sz w:val="20"/>
                <w:szCs w:val="20"/>
                <w:color w:val="auto"/>
              </w:rPr>
            </w:pPr>
            <w:r>
              <w:rPr>
                <w:rFonts w:ascii="Arial" w:cs="Arial" w:eastAsia="Arial" w:hAnsi="Arial"/>
                <w:sz w:val="15"/>
                <w:szCs w:val="15"/>
                <w:color w:val="auto"/>
              </w:rPr>
              <w:t>5,500,000</w:t>
            </w:r>
          </w:p>
        </w:tc>
      </w:tr>
      <w:tr>
        <w:trPr>
          <w:trHeight w:val="22"/>
        </w:trPr>
        <w:tc>
          <w:tcPr>
            <w:tcW w:w="2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7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2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9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2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1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500,000</w:t>
            </w:r>
          </w:p>
        </w:tc>
        <w:tc>
          <w:tcPr>
            <w:tcW w:w="10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2,000,000</w:t>
            </w:r>
          </w:p>
        </w:tc>
      </w:tr>
      <w:tr>
        <w:trPr>
          <w:trHeight w:val="222"/>
        </w:trPr>
        <w:tc>
          <w:tcPr>
            <w:tcW w:w="27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225,000</w:t>
            </w:r>
          </w:p>
        </w:tc>
        <w:tc>
          <w:tcPr>
            <w:tcW w:w="1000" w:type="dxa"/>
            <w:vAlign w:val="bottom"/>
          </w:tcPr>
          <w:p>
            <w:pPr>
              <w:jc w:val="right"/>
              <w:spacing w:after="0"/>
              <w:rPr>
                <w:sz w:val="20"/>
                <w:szCs w:val="20"/>
                <w:color w:val="auto"/>
              </w:rPr>
            </w:pPr>
            <w:r>
              <w:rPr>
                <w:rFonts w:ascii="Arial" w:cs="Arial" w:eastAsia="Arial" w:hAnsi="Arial"/>
                <w:sz w:val="15"/>
                <w:szCs w:val="15"/>
                <w:color w:val="auto"/>
              </w:rPr>
              <w:t>900,000</w:t>
            </w:r>
          </w:p>
        </w:tc>
      </w:tr>
      <w:tr>
        <w:trPr>
          <w:trHeight w:val="22"/>
        </w:trPr>
        <w:tc>
          <w:tcPr>
            <w:tcW w:w="2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27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22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9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20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14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187,500</w:t>
            </w:r>
          </w:p>
        </w:tc>
        <w:tc>
          <w:tcPr>
            <w:tcW w:w="10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750,000</w:t>
            </w:r>
          </w:p>
        </w:tc>
      </w:tr>
      <w:tr>
        <w:trPr>
          <w:trHeight w:val="221"/>
        </w:trPr>
        <w:tc>
          <w:tcPr>
            <w:tcW w:w="27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222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20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187,500</w:t>
            </w:r>
          </w:p>
        </w:tc>
        <w:tc>
          <w:tcPr>
            <w:tcW w:w="1000" w:type="dxa"/>
            <w:vAlign w:val="bottom"/>
          </w:tcPr>
          <w:p>
            <w:pPr>
              <w:jc w:val="right"/>
              <w:spacing w:after="0"/>
              <w:rPr>
                <w:sz w:val="20"/>
                <w:szCs w:val="20"/>
                <w:color w:val="auto"/>
              </w:rPr>
            </w:pPr>
            <w:r>
              <w:rPr>
                <w:rFonts w:ascii="Arial" w:cs="Arial" w:eastAsia="Arial" w:hAnsi="Arial"/>
                <w:sz w:val="15"/>
                <w:szCs w:val="15"/>
                <w:color w:val="auto"/>
              </w:rPr>
              <w:t>750,000</w:t>
            </w:r>
          </w:p>
        </w:tc>
      </w:tr>
      <w:tr>
        <w:trPr>
          <w:trHeight w:val="22"/>
        </w:trPr>
        <w:tc>
          <w:tcPr>
            <w:tcW w:w="2700" w:type="dxa"/>
            <w:vAlign w:val="bottom"/>
            <w:tcBorders>
              <w:bottom w:val="single" w:sz="8" w:color="6A2887"/>
            </w:tcBorders>
          </w:tcPr>
          <w:p>
            <w:pPr>
              <w:spacing w:after="0" w:line="20" w:lineRule="exact"/>
              <w:rPr>
                <w:sz w:val="1"/>
                <w:szCs w:val="1"/>
                <w:color w:val="auto"/>
              </w:rPr>
            </w:pPr>
          </w:p>
        </w:tc>
        <w:tc>
          <w:tcPr>
            <w:tcW w:w="2220" w:type="dxa"/>
            <w:vAlign w:val="bottom"/>
            <w:tcBorders>
              <w:bottom w:val="single" w:sz="8" w:color="6A2887"/>
            </w:tcBorders>
          </w:tcPr>
          <w:p>
            <w:pPr>
              <w:spacing w:after="0" w:line="20" w:lineRule="exact"/>
              <w:rPr>
                <w:sz w:val="1"/>
                <w:szCs w:val="1"/>
                <w:color w:val="auto"/>
              </w:rPr>
            </w:pPr>
          </w:p>
        </w:tc>
        <w:tc>
          <w:tcPr>
            <w:tcW w:w="92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1140" w:type="dxa"/>
            <w:vAlign w:val="bottom"/>
            <w:tcBorders>
              <w:bottom w:val="single" w:sz="8" w:color="6A2887"/>
            </w:tcBorders>
          </w:tcPr>
          <w:p>
            <w:pPr>
              <w:spacing w:after="0" w:line="20" w:lineRule="exact"/>
              <w:rPr>
                <w:sz w:val="1"/>
                <w:szCs w:val="1"/>
                <w:color w:val="auto"/>
              </w:rPr>
            </w:pPr>
          </w:p>
        </w:tc>
        <w:tc>
          <w:tcPr>
            <w:tcW w:w="1000" w:type="dxa"/>
            <w:vAlign w:val="bottom"/>
            <w:tcBorders>
              <w:bottom w:val="single" w:sz="8" w:color="6A2887"/>
            </w:tcBorders>
          </w:tcPr>
          <w:p>
            <w:pPr>
              <w:spacing w:after="0" w:line="20" w:lineRule="exact"/>
              <w:rPr>
                <w:sz w:val="1"/>
                <w:szCs w:val="1"/>
                <w:color w:val="auto"/>
              </w:rPr>
            </w:pPr>
          </w:p>
        </w:tc>
      </w:tr>
    </w:tbl>
    <w:p>
      <w:pPr>
        <w:spacing w:after="0" w:line="28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Service-Based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Restricted Stock Units (“RSUs”)</w:t>
      </w:r>
    </w:p>
    <w:p>
      <w:pPr>
        <w:spacing w:after="0" w:line="120" w:lineRule="exact"/>
        <w:rPr>
          <w:sz w:val="20"/>
          <w:szCs w:val="20"/>
          <w:color w:val="auto"/>
        </w:rPr>
      </w:pPr>
    </w:p>
    <w:p>
      <w:pPr>
        <w:ind w:left="760" w:right="219"/>
        <w:spacing w:after="0" w:line="268"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2020.</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Stock Appreciation Rights (“SARs”)</w:t>
      </w:r>
    </w:p>
    <w:p>
      <w:pPr>
        <w:spacing w:after="0" w:line="120" w:lineRule="exact"/>
        <w:rPr>
          <w:sz w:val="20"/>
          <w:szCs w:val="20"/>
          <w:color w:val="auto"/>
        </w:rPr>
      </w:pPr>
    </w:p>
    <w:p>
      <w:pPr>
        <w:ind w:left="760" w:right="299"/>
        <w:spacing w:after="0" w:line="268"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the Nasdaq as of the grant date and rounding down to the nearest whole right. The first vesting occurred on March 30, 2020.</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Performance-Based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Relative Total Shareholder Return Performance Stock Units</w:t>
      </w:r>
    </w:p>
    <w:p>
      <w:pPr>
        <w:spacing w:after="0" w:line="106" w:lineRule="exact"/>
        <w:rPr>
          <w:sz w:val="20"/>
          <w:szCs w:val="20"/>
          <w:color w:val="auto"/>
        </w:rPr>
      </w:pPr>
    </w:p>
    <w:p>
      <w:pPr>
        <w:ind w:left="760" w:right="259"/>
        <w:spacing w:after="0" w:line="267" w:lineRule="auto"/>
        <w:rPr>
          <w:sz w:val="20"/>
          <w:szCs w:val="20"/>
          <w:color w:val="auto"/>
        </w:rPr>
      </w:pPr>
      <w:r>
        <w:rPr>
          <w:rFonts w:ascii="Arial" w:cs="Arial" w:eastAsia="Arial" w:hAnsi="Arial"/>
          <w:sz w:val="16"/>
          <w:szCs w:val="16"/>
          <w:color w:val="auto"/>
        </w:rPr>
        <w:t>Each participant received an award of Performance Stock Units (“PSUs”) subject to a three-year relative total shareholder return (“rTSR”) market condition.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our TSR for the three-year period 2019 through 2021 will be compared to the TSR for a group of 29 companies (the “2019 rTSR Comparator Group”) selected by the Committee’s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940"/>
        <w:spacing w:after="0" w:line="260" w:lineRule="auto"/>
        <w:rPr>
          <w:sz w:val="20"/>
          <w:szCs w:val="20"/>
          <w:color w:val="auto"/>
        </w:rPr>
      </w:pPr>
      <w:r>
        <w:rPr>
          <w:rFonts w:ascii="Arial" w:cs="Arial" w:eastAsia="Arial" w:hAnsi="Arial"/>
          <w:sz w:val="16"/>
          <w:szCs w:val="16"/>
          <w:color w:val="auto"/>
        </w:rPr>
        <w:t>compensation consultant, Pearl Meyer, and the number of shares of our stock actually delivered to the participants will be determined by the following chart, with linear interpolation applied between specified levels: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180" w:type="dxa"/>
            <w:vAlign w:val="bottom"/>
          </w:tcPr>
          <w:p>
            <w:pPr>
              <w:ind w:left="60"/>
              <w:spacing w:after="0"/>
              <w:rPr>
                <w:sz w:val="20"/>
                <w:szCs w:val="20"/>
                <w:color w:val="auto"/>
              </w:rPr>
            </w:pPr>
            <w:r>
              <w:rPr>
                <w:rFonts w:ascii="Arial" w:cs="Arial" w:eastAsia="Arial" w:hAnsi="Arial"/>
                <w:sz w:val="14"/>
                <w:szCs w:val="14"/>
                <w:b w:val="1"/>
                <w:bCs w:val="1"/>
                <w:color w:val="6A2887"/>
              </w:rPr>
              <w:t>TSR Performance</w:t>
            </w:r>
          </w:p>
        </w:tc>
        <w:tc>
          <w:tcPr>
            <w:tcW w:w="5000" w:type="dxa"/>
            <w:vAlign w:val="bottom"/>
          </w:tcPr>
          <w:p>
            <w:pPr>
              <w:spacing w:after="0"/>
              <w:rPr>
                <w:sz w:val="14"/>
                <w:szCs w:val="14"/>
                <w:color w:val="auto"/>
              </w:rPr>
            </w:pPr>
          </w:p>
        </w:tc>
      </w:tr>
      <w:tr>
        <w:trPr>
          <w:trHeight w:val="196"/>
        </w:trPr>
        <w:tc>
          <w:tcPr>
            <w:tcW w:w="4180" w:type="dxa"/>
            <w:vAlign w:val="bottom"/>
            <w:tcBorders>
              <w:bottom w:val="single" w:sz="8" w:color="6A2887"/>
            </w:tcBorders>
          </w:tcPr>
          <w:p>
            <w:pPr>
              <w:ind w:left="60"/>
              <w:spacing w:after="0"/>
              <w:rPr>
                <w:sz w:val="20"/>
                <w:szCs w:val="20"/>
                <w:color w:val="auto"/>
              </w:rPr>
            </w:pPr>
            <w:r>
              <w:rPr>
                <w:rFonts w:ascii="Arial" w:cs="Arial" w:eastAsia="Arial" w:hAnsi="Arial"/>
                <w:sz w:val="14"/>
                <w:szCs w:val="14"/>
                <w:b w:val="1"/>
                <w:bCs w:val="1"/>
                <w:color w:val="6A2887"/>
              </w:rPr>
              <w:t>Percentile Rank</w:t>
            </w:r>
          </w:p>
        </w:tc>
        <w:tc>
          <w:tcPr>
            <w:tcW w:w="500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Percent Funding for Objective</w:t>
            </w:r>
          </w:p>
        </w:tc>
      </w:tr>
      <w:tr>
        <w:trPr>
          <w:trHeight w:val="256"/>
        </w:trPr>
        <w:tc>
          <w:tcPr>
            <w:tcW w:w="4180" w:type="dxa"/>
            <w:vAlign w:val="bottom"/>
          </w:tcPr>
          <w:p>
            <w:pPr>
              <w:ind w:left="60"/>
              <w:spacing w:after="0" w:line="256"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c>
          <w:tcPr>
            <w:tcW w:w="500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83"/>
        </w:trPr>
        <w:tc>
          <w:tcPr>
            <w:tcW w:w="4180" w:type="dxa"/>
            <w:vAlign w:val="bottom"/>
            <w:shd w:val="clear" w:color="auto" w:fill="EFE9FC"/>
          </w:tcPr>
          <w:p>
            <w:pPr>
              <w:ind w:left="60"/>
              <w:spacing w:after="0"/>
              <w:rPr>
                <w:sz w:val="20"/>
                <w:szCs w:val="20"/>
                <w:color w:val="auto"/>
              </w:rPr>
            </w:pPr>
            <w:r>
              <w:rPr>
                <w:rFonts w:ascii="Arial" w:cs="Arial" w:eastAsia="Arial" w:hAnsi="Arial"/>
                <w:sz w:val="15"/>
                <w:szCs w:val="15"/>
                <w:color w:val="auto"/>
              </w:rPr>
              <w:t>80</w:t>
            </w:r>
            <w:r>
              <w:rPr>
                <w:rFonts w:ascii="Arial" w:cs="Arial" w:eastAsia="Arial" w:hAnsi="Arial"/>
                <w:sz w:val="23"/>
                <w:szCs w:val="23"/>
                <w:color w:val="auto"/>
                <w:vertAlign w:val="superscript"/>
              </w:rPr>
              <w:t>th</w:t>
            </w:r>
          </w:p>
        </w:tc>
        <w:tc>
          <w:tcPr>
            <w:tcW w:w="50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57"/>
        </w:trPr>
        <w:tc>
          <w:tcPr>
            <w:tcW w:w="4180" w:type="dxa"/>
            <w:vAlign w:val="bottom"/>
          </w:tcPr>
          <w:p>
            <w:pPr>
              <w:ind w:left="60"/>
              <w:spacing w:after="0" w:line="256"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500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83"/>
        </w:trPr>
        <w:tc>
          <w:tcPr>
            <w:tcW w:w="4180" w:type="dxa"/>
            <w:vAlign w:val="bottom"/>
            <w:shd w:val="clear" w:color="auto" w:fill="EFE9FC"/>
          </w:tcPr>
          <w:p>
            <w:pPr>
              <w:ind w:left="60"/>
              <w:spacing w:after="0"/>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50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40%</w:t>
            </w:r>
          </w:p>
        </w:tc>
      </w:tr>
      <w:tr>
        <w:trPr>
          <w:trHeight w:val="257"/>
        </w:trPr>
        <w:tc>
          <w:tcPr>
            <w:tcW w:w="4180" w:type="dxa"/>
            <w:vAlign w:val="bottom"/>
            <w:tcBorders>
              <w:bottom w:val="single" w:sz="8" w:color="6A2887"/>
            </w:tcBorders>
          </w:tcPr>
          <w:p>
            <w:pPr>
              <w:ind w:left="60"/>
              <w:spacing w:after="0" w:line="256" w:lineRule="exact"/>
              <w:rPr>
                <w:sz w:val="20"/>
                <w:szCs w:val="20"/>
                <w:color w:val="auto"/>
              </w:rPr>
            </w:pPr>
            <w:r>
              <w:rPr>
                <w:rFonts w:ascii="Arial" w:cs="Arial" w:eastAsia="Arial" w:hAnsi="Arial"/>
                <w:sz w:val="15"/>
                <w:szCs w:val="15"/>
                <w:color w:val="auto"/>
              </w:rPr>
              <w:t>&lt;30</w:t>
            </w:r>
            <w:r>
              <w:rPr>
                <w:rFonts w:ascii="Arial" w:cs="Arial" w:eastAsia="Arial" w:hAnsi="Arial"/>
                <w:sz w:val="23"/>
                <w:szCs w:val="23"/>
                <w:color w:val="auto"/>
                <w:vertAlign w:val="superscript"/>
              </w:rPr>
              <w:t>th</w:t>
            </w:r>
          </w:p>
        </w:tc>
        <w:tc>
          <w:tcPr>
            <w:tcW w:w="5000" w:type="dxa"/>
            <w:vAlign w:val="bottom"/>
            <w:tcBorders>
              <w:bottom w:val="single" w:sz="8" w:color="6A2887"/>
            </w:tcBorders>
          </w:tcPr>
          <w:p>
            <w:pPr>
              <w:jc w:val="right"/>
              <w:spacing w:after="0"/>
              <w:rPr>
                <w:sz w:val="20"/>
                <w:szCs w:val="20"/>
                <w:color w:val="auto"/>
              </w:rPr>
            </w:pPr>
            <w:r>
              <w:rPr>
                <w:rFonts w:ascii="Arial" w:cs="Arial" w:eastAsia="Arial" w:hAnsi="Arial"/>
                <w:sz w:val="15"/>
                <w:szCs w:val="15"/>
                <w:color w:val="auto"/>
              </w:rPr>
              <w:t>0%</w:t>
            </w: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companies comprise the 2019 rTSR Comparator Group:</w:t>
      </w:r>
    </w:p>
    <w:p>
      <w:pPr>
        <w:spacing w:after="0" w:line="127"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ABIOMED, Inc.</w:t>
      </w:r>
      <w:r>
        <w:rPr>
          <w:sz w:val="20"/>
          <w:szCs w:val="20"/>
          <w:color w:val="auto"/>
        </w:rPr>
        <w:tab/>
      </w:r>
      <w:r>
        <w:rPr>
          <w:rFonts w:ascii="Arial" w:cs="Arial" w:eastAsia="Arial" w:hAnsi="Arial"/>
          <w:sz w:val="15"/>
          <w:szCs w:val="15"/>
          <w:color w:val="auto"/>
        </w:rPr>
        <w:t>Intuitive Surgical,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Baxter International Inc.</w:t>
      </w:r>
      <w:r>
        <w:rPr>
          <w:sz w:val="20"/>
          <w:szCs w:val="20"/>
          <w:color w:val="auto"/>
        </w:rPr>
        <w:tab/>
      </w:r>
      <w:r>
        <w:rPr>
          <w:rFonts w:ascii="Arial" w:cs="Arial" w:eastAsia="Arial" w:hAnsi="Arial"/>
          <w:sz w:val="15"/>
          <w:szCs w:val="15"/>
          <w:color w:val="auto"/>
        </w:rPr>
        <w:t>Invacare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Becton, Dickinson and Company</w:t>
      </w:r>
      <w:r>
        <w:rPr>
          <w:sz w:val="20"/>
          <w:szCs w:val="20"/>
          <w:color w:val="auto"/>
        </w:rPr>
        <w:tab/>
      </w:r>
      <w:r>
        <w:rPr>
          <w:rFonts w:ascii="Arial" w:cs="Arial" w:eastAsia="Arial" w:hAnsi="Arial"/>
          <w:sz w:val="15"/>
          <w:szCs w:val="15"/>
          <w:color w:val="auto"/>
        </w:rPr>
        <w:t>Masimo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Boston Scientific Corporation</w:t>
      </w:r>
      <w:r>
        <w:rPr>
          <w:sz w:val="20"/>
          <w:szCs w:val="20"/>
          <w:color w:val="auto"/>
        </w:rPr>
        <w:tab/>
      </w:r>
      <w:r>
        <w:rPr>
          <w:rFonts w:ascii="Arial" w:cs="Arial" w:eastAsia="Arial" w:hAnsi="Arial"/>
          <w:sz w:val="15"/>
          <w:szCs w:val="15"/>
          <w:color w:val="auto"/>
        </w:rPr>
        <w:t>Medtronic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Cantel Medical Corp.</w:t>
      </w:r>
      <w:r>
        <w:rPr>
          <w:sz w:val="20"/>
          <w:szCs w:val="20"/>
          <w:color w:val="auto"/>
        </w:rPr>
        <w:tab/>
      </w:r>
      <w:r>
        <w:rPr>
          <w:rFonts w:ascii="Arial" w:cs="Arial" w:eastAsia="Arial" w:hAnsi="Arial"/>
          <w:sz w:val="15"/>
          <w:szCs w:val="15"/>
          <w:color w:val="auto"/>
        </w:rPr>
        <w:t>Natus Medical Incorporated</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CONMED Corporation</w:t>
      </w:r>
      <w:r>
        <w:rPr>
          <w:sz w:val="20"/>
          <w:szCs w:val="20"/>
          <w:color w:val="auto"/>
        </w:rPr>
        <w:tab/>
      </w:r>
      <w:r>
        <w:rPr>
          <w:rFonts w:ascii="Arial" w:cs="Arial" w:eastAsia="Arial" w:hAnsi="Arial"/>
          <w:sz w:val="15"/>
          <w:szCs w:val="15"/>
          <w:color w:val="auto"/>
        </w:rPr>
        <w:t>Nevro Corp.</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DexCom, Inc.</w:t>
      </w:r>
      <w:r>
        <w:rPr>
          <w:sz w:val="20"/>
          <w:szCs w:val="20"/>
          <w:color w:val="auto"/>
        </w:rPr>
        <w:tab/>
      </w:r>
      <w:r>
        <w:rPr>
          <w:rFonts w:ascii="Arial" w:cs="Arial" w:eastAsia="Arial" w:hAnsi="Arial"/>
          <w:sz w:val="15"/>
          <w:szCs w:val="15"/>
          <w:color w:val="auto"/>
        </w:rPr>
        <w:t>Nuvasive,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Edwards Lifesciences Corporation</w:t>
      </w:r>
      <w:r>
        <w:rPr>
          <w:sz w:val="20"/>
          <w:szCs w:val="20"/>
          <w:color w:val="auto"/>
        </w:rPr>
        <w:tab/>
      </w:r>
      <w:r>
        <w:rPr>
          <w:rFonts w:ascii="Arial" w:cs="Arial" w:eastAsia="Arial" w:hAnsi="Arial"/>
          <w:sz w:val="16"/>
          <w:szCs w:val="16"/>
          <w:color w:val="auto"/>
        </w:rPr>
        <w:t>ResMed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Globus Medical, Inc.</w:t>
      </w:r>
      <w:r>
        <w:rPr>
          <w:sz w:val="20"/>
          <w:szCs w:val="20"/>
          <w:color w:val="auto"/>
        </w:rPr>
        <w:tab/>
      </w:r>
      <w:r>
        <w:rPr>
          <w:rFonts w:ascii="Arial" w:cs="Arial" w:eastAsia="Arial" w:hAnsi="Arial"/>
          <w:sz w:val="15"/>
          <w:szCs w:val="15"/>
          <w:color w:val="auto"/>
        </w:rPr>
        <w:t>Smith &amp; Nephew plc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Haemonetics Corporation</w:t>
      </w:r>
      <w:r>
        <w:rPr>
          <w:sz w:val="20"/>
          <w:szCs w:val="20"/>
          <w:color w:val="auto"/>
        </w:rPr>
        <w:tab/>
      </w:r>
      <w:r>
        <w:rPr>
          <w:rFonts w:ascii="Arial" w:cs="Arial" w:eastAsia="Arial" w:hAnsi="Arial"/>
          <w:sz w:val="15"/>
          <w:szCs w:val="15"/>
          <w:color w:val="auto"/>
        </w:rPr>
        <w:t>Stryker Corporation</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Hill-Rom Holdings, Inc.</w:t>
      </w:r>
      <w:r>
        <w:rPr>
          <w:sz w:val="20"/>
          <w:szCs w:val="20"/>
          <w:color w:val="auto"/>
        </w:rPr>
        <w:tab/>
      </w:r>
      <w:r>
        <w:rPr>
          <w:rFonts w:ascii="Arial" w:cs="Arial" w:eastAsia="Arial" w:hAnsi="Arial"/>
          <w:sz w:val="15"/>
          <w:szCs w:val="15"/>
          <w:color w:val="auto"/>
        </w:rPr>
        <w:t>Teleflex Incorporated</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Hologic, Inc.</w:t>
      </w:r>
      <w:r>
        <w:rPr>
          <w:sz w:val="20"/>
          <w:szCs w:val="20"/>
          <w:color w:val="auto"/>
        </w:rPr>
        <w:tab/>
      </w:r>
      <w:r>
        <w:rPr>
          <w:rFonts w:ascii="Arial" w:cs="Arial" w:eastAsia="Arial" w:hAnsi="Arial"/>
          <w:sz w:val="15"/>
          <w:szCs w:val="15"/>
          <w:color w:val="auto"/>
        </w:rPr>
        <w:t>Varian Medical Systems, Inc.</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Insulet Corporation</w:t>
      </w:r>
      <w:r>
        <w:rPr>
          <w:sz w:val="20"/>
          <w:szCs w:val="20"/>
          <w:color w:val="auto"/>
        </w:rPr>
        <w:tab/>
      </w:r>
      <w:r>
        <w:rPr>
          <w:rFonts w:ascii="Arial" w:cs="Arial" w:eastAsia="Arial" w:hAnsi="Arial"/>
          <w:sz w:val="15"/>
          <w:szCs w:val="15"/>
          <w:color w:val="auto"/>
        </w:rPr>
        <w:t>Wright Medical Group N.V.</w:t>
      </w:r>
    </w:p>
    <w:p>
      <w:pPr>
        <w:spacing w:after="0" w:line="59" w:lineRule="exact"/>
        <w:rPr>
          <w:sz w:val="20"/>
          <w:szCs w:val="20"/>
          <w:color w:val="auto"/>
        </w:rPr>
      </w:pPr>
    </w:p>
    <w:p>
      <w:pPr>
        <w:ind w:left="1120"/>
        <w:spacing w:after="0"/>
        <w:tabs>
          <w:tab w:leader="none" w:pos="5440" w:val="left"/>
        </w:tabs>
        <w:rPr>
          <w:sz w:val="20"/>
          <w:szCs w:val="20"/>
          <w:color w:val="auto"/>
        </w:rPr>
      </w:pPr>
      <w:r>
        <w:rPr>
          <w:rFonts w:ascii="Arial" w:cs="Arial" w:eastAsia="Arial" w:hAnsi="Arial"/>
          <w:sz w:val="16"/>
          <w:szCs w:val="16"/>
          <w:color w:val="auto"/>
        </w:rPr>
        <w:t>Integer Holdings Corporation</w:t>
      </w:r>
      <w:r>
        <w:rPr>
          <w:sz w:val="20"/>
          <w:szCs w:val="20"/>
          <w:color w:val="auto"/>
        </w:rPr>
        <w:tab/>
      </w:r>
      <w:r>
        <w:rPr>
          <w:rFonts w:ascii="Arial" w:cs="Arial" w:eastAsia="Arial" w:hAnsi="Arial"/>
          <w:sz w:val="15"/>
          <w:szCs w:val="15"/>
          <w:color w:val="auto"/>
        </w:rPr>
        <w:t>Zimmer Biomet Holdings, Inc.</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Integra LifeSciences Holdings Corp.</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Adjusted Free Cash Flow PSUs</w:t>
      </w:r>
    </w:p>
    <w:p>
      <w:pPr>
        <w:spacing w:after="0" w:line="106" w:lineRule="exact"/>
        <w:rPr>
          <w:sz w:val="20"/>
          <w:szCs w:val="20"/>
          <w:color w:val="auto"/>
        </w:rPr>
      </w:pPr>
    </w:p>
    <w:p>
      <w:pPr>
        <w:jc w:val="both"/>
        <w:ind w:left="760" w:right="320"/>
        <w:spacing w:after="0" w:line="249"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free cash flow target (the “FCF Target”). The Compensation Committee determined the number of PSUs awarded to each participant by dividing the award value by the most recent closing price of an ordinary share of our stock on Nasdaq as of the grant date and rounding down to the nearest whole unit. At the end of calendar year 2021, cumulative adjusted free cash flow for the period 2019 through 2021 will be compared to the FCF Target, and the number of shares of our stock actually delivered to the participants will be determined by the following chart, with linear interpolation applied between specified levels:</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00" w:type="dxa"/>
            <w:vAlign w:val="bottom"/>
          </w:tcPr>
          <w:p>
            <w:pPr>
              <w:ind w:left="60"/>
              <w:spacing w:after="0"/>
              <w:rPr>
                <w:sz w:val="20"/>
                <w:szCs w:val="20"/>
                <w:color w:val="auto"/>
              </w:rPr>
            </w:pPr>
            <w:r>
              <w:rPr>
                <w:rFonts w:ascii="Arial" w:cs="Arial" w:eastAsia="Arial" w:hAnsi="Arial"/>
                <w:sz w:val="14"/>
                <w:szCs w:val="14"/>
                <w:b w:val="1"/>
                <w:bCs w:val="1"/>
                <w:color w:val="6A2887"/>
              </w:rPr>
              <w:t>FCF Achievement</w:t>
            </w:r>
          </w:p>
        </w:tc>
        <w:tc>
          <w:tcPr>
            <w:tcW w:w="4780" w:type="dxa"/>
            <w:vAlign w:val="bottom"/>
          </w:tcPr>
          <w:p>
            <w:pPr>
              <w:spacing w:after="0"/>
              <w:rPr>
                <w:sz w:val="14"/>
                <w:szCs w:val="14"/>
                <w:color w:val="auto"/>
              </w:rPr>
            </w:pPr>
          </w:p>
        </w:tc>
      </w:tr>
      <w:tr>
        <w:trPr>
          <w:trHeight w:val="243"/>
        </w:trPr>
        <w:tc>
          <w:tcPr>
            <w:tcW w:w="4400" w:type="dxa"/>
            <w:vAlign w:val="bottom"/>
            <w:tcBorders>
              <w:bottom w:val="single" w:sz="8" w:color="6A2887"/>
            </w:tcBorders>
          </w:tcPr>
          <w:p>
            <w:pPr>
              <w:ind w:left="60"/>
              <w:spacing w:after="0"/>
              <w:rPr>
                <w:sz w:val="20"/>
                <w:szCs w:val="20"/>
                <w:color w:val="auto"/>
              </w:rPr>
            </w:pPr>
            <w:r>
              <w:rPr>
                <w:rFonts w:ascii="Arial" w:cs="Arial" w:eastAsia="Arial" w:hAnsi="Arial"/>
                <w:sz w:val="14"/>
                <w:szCs w:val="14"/>
                <w:b w:val="1"/>
                <w:bCs w:val="1"/>
                <w:color w:val="6A2887"/>
              </w:rPr>
              <w:t>Relative to FCF Target</w:t>
            </w:r>
            <w:r>
              <w:rPr>
                <w:rFonts w:ascii="Arial" w:cs="Arial" w:eastAsia="Arial" w:hAnsi="Arial"/>
                <w:sz w:val="21"/>
                <w:szCs w:val="21"/>
                <w:b w:val="1"/>
                <w:bCs w:val="1"/>
                <w:color w:val="6A2887"/>
                <w:vertAlign w:val="superscript"/>
              </w:rPr>
              <w:t>(1)</w:t>
            </w:r>
          </w:p>
        </w:tc>
        <w:tc>
          <w:tcPr>
            <w:tcW w:w="478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Percent Funding for Objective</w:t>
            </w:r>
          </w:p>
        </w:tc>
      </w:tr>
      <w:tr>
        <w:trPr>
          <w:trHeight w:val="215"/>
        </w:trPr>
        <w:tc>
          <w:tcPr>
            <w:tcW w:w="4400" w:type="dxa"/>
            <w:vAlign w:val="bottom"/>
          </w:tcPr>
          <w:p>
            <w:pPr>
              <w:ind w:left="60"/>
              <w:spacing w:after="0"/>
              <w:rPr>
                <w:sz w:val="20"/>
                <w:szCs w:val="20"/>
                <w:color w:val="auto"/>
              </w:rPr>
            </w:pPr>
            <w:r>
              <w:rPr>
                <w:rFonts w:ascii="Arial" w:cs="Arial" w:eastAsia="Arial" w:hAnsi="Arial"/>
                <w:sz w:val="15"/>
                <w:szCs w:val="15"/>
                <w:color w:val="auto"/>
              </w:rPr>
              <w:t>≥150%</w:t>
            </w:r>
          </w:p>
        </w:tc>
        <w:tc>
          <w:tcPr>
            <w:tcW w:w="47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2"/>
        </w:trPr>
        <w:tc>
          <w:tcPr>
            <w:tcW w:w="44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40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125%</w:t>
            </w:r>
          </w:p>
        </w:tc>
        <w:tc>
          <w:tcPr>
            <w:tcW w:w="47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21"/>
        </w:trPr>
        <w:tc>
          <w:tcPr>
            <w:tcW w:w="4400" w:type="dxa"/>
            <w:vAlign w:val="bottom"/>
          </w:tcPr>
          <w:p>
            <w:pPr>
              <w:ind w:left="60"/>
              <w:spacing w:after="0"/>
              <w:rPr>
                <w:sz w:val="20"/>
                <w:szCs w:val="20"/>
                <w:color w:val="auto"/>
              </w:rPr>
            </w:pPr>
            <w:r>
              <w:rPr>
                <w:rFonts w:ascii="Arial" w:cs="Arial" w:eastAsia="Arial" w:hAnsi="Arial"/>
                <w:sz w:val="15"/>
                <w:szCs w:val="15"/>
                <w:color w:val="auto"/>
              </w:rPr>
              <w:t>100%</w:t>
            </w:r>
          </w:p>
        </w:tc>
        <w:tc>
          <w:tcPr>
            <w:tcW w:w="47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
        </w:trPr>
        <w:tc>
          <w:tcPr>
            <w:tcW w:w="44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50"/>
        </w:trPr>
        <w:tc>
          <w:tcPr>
            <w:tcW w:w="4400" w:type="dxa"/>
            <w:vAlign w:val="bottom"/>
            <w:tcBorders>
              <w:bottom w:val="single" w:sz="8" w:color="EFE9FC"/>
            </w:tcBorders>
            <w:shd w:val="clear" w:color="auto" w:fill="EFE9FC"/>
          </w:tcPr>
          <w:p>
            <w:pPr>
              <w:ind w:left="60"/>
              <w:spacing w:after="0"/>
              <w:rPr>
                <w:sz w:val="20"/>
                <w:szCs w:val="20"/>
                <w:color w:val="auto"/>
              </w:rPr>
            </w:pPr>
            <w:r>
              <w:rPr>
                <w:rFonts w:ascii="Arial" w:cs="Arial" w:eastAsia="Arial" w:hAnsi="Arial"/>
                <w:sz w:val="15"/>
                <w:szCs w:val="15"/>
                <w:color w:val="auto"/>
              </w:rPr>
              <w:t>60%</w:t>
            </w:r>
          </w:p>
        </w:tc>
        <w:tc>
          <w:tcPr>
            <w:tcW w:w="47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1"/>
        </w:trPr>
        <w:tc>
          <w:tcPr>
            <w:tcW w:w="4400" w:type="dxa"/>
            <w:vAlign w:val="bottom"/>
          </w:tcPr>
          <w:p>
            <w:pPr>
              <w:ind w:left="60"/>
              <w:spacing w:after="0"/>
              <w:rPr>
                <w:sz w:val="20"/>
                <w:szCs w:val="20"/>
                <w:color w:val="auto"/>
              </w:rPr>
            </w:pPr>
            <w:r>
              <w:rPr>
                <w:rFonts w:ascii="Arial" w:cs="Arial" w:eastAsia="Arial" w:hAnsi="Arial"/>
                <w:sz w:val="15"/>
                <w:szCs w:val="15"/>
                <w:color w:val="auto"/>
              </w:rPr>
              <w:t>&lt;60%</w:t>
            </w:r>
          </w:p>
        </w:tc>
        <w:tc>
          <w:tcPr>
            <w:tcW w:w="4780" w:type="dxa"/>
            <w:vAlign w:val="bottom"/>
          </w:tcPr>
          <w:p>
            <w:pPr>
              <w:jc w:val="right"/>
              <w:spacing w:after="0"/>
              <w:rPr>
                <w:sz w:val="20"/>
                <w:szCs w:val="20"/>
                <w:color w:val="auto"/>
              </w:rPr>
            </w:pPr>
            <w:r>
              <w:rPr>
                <w:rFonts w:ascii="Arial" w:cs="Arial" w:eastAsia="Arial" w:hAnsi="Arial"/>
                <w:sz w:val="15"/>
                <w:szCs w:val="15"/>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320" w:hanging="216"/>
        <w:spacing w:after="0" w:line="252" w:lineRule="auto"/>
        <w:tabs>
          <w:tab w:leader="none" w:pos="980" w:val="left"/>
        </w:tabs>
        <w:numPr>
          <w:ilvl w:val="0"/>
          <w:numId w:val="57"/>
        </w:numPr>
        <w:rPr>
          <w:rFonts w:ascii="Arial" w:cs="Arial" w:eastAsia="Arial" w:hAnsi="Arial"/>
          <w:sz w:val="13"/>
          <w:szCs w:val="13"/>
          <w:i w:val="1"/>
          <w:iCs w:val="1"/>
          <w:color w:val="auto"/>
        </w:rPr>
      </w:pPr>
      <w:r>
        <w:rPr>
          <w:rFonts w:ascii="Arial" w:cs="Arial" w:eastAsia="Arial" w:hAnsi="Arial"/>
          <w:sz w:val="13"/>
          <w:szCs w:val="13"/>
          <w:i w:val="1"/>
          <w:iCs w:val="1"/>
          <w:color w:val="auto"/>
        </w:rPr>
        <w:t>“Adjusted Free Cash Flow” is defined as the Company’s reported cash flow from operating activities (including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Other Benefits and Perquisites</w:t>
      </w:r>
    </w:p>
    <w:p>
      <w:pPr>
        <w:spacing w:after="0" w:line="139" w:lineRule="exact"/>
        <w:rPr>
          <w:sz w:val="20"/>
          <w:szCs w:val="20"/>
          <w:color w:val="auto"/>
        </w:rPr>
      </w:pPr>
    </w:p>
    <w:p>
      <w:pPr>
        <w:ind w:left="760" w:right="319"/>
        <w:spacing w:after="0" w:line="248" w:lineRule="auto"/>
        <w:rPr>
          <w:sz w:val="20"/>
          <w:szCs w:val="20"/>
          <w:color w:val="auto"/>
        </w:rPr>
      </w:pPr>
      <w:r>
        <w:rPr>
          <w:rFonts w:ascii="Arial" w:cs="Arial" w:eastAsia="Arial" w:hAnsi="Arial"/>
          <w:sz w:val="16"/>
          <w:szCs w:val="16"/>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w:t>
      </w:r>
      <w:r>
        <w:rPr>
          <w:rFonts w:ascii="Arial" w:cs="Arial" w:eastAsia="Arial" w:hAnsi="Arial"/>
          <w:sz w:val="16"/>
          <w:szCs w:val="16"/>
          <w:i w:val="1"/>
          <w:iCs w:val="1"/>
          <w:color w:val="auto"/>
        </w:rPr>
        <w:t>All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some of the NEOs’ benefits are not offered to all other employees (e.g. car allowance) and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considered “perquisites” or “personal benefits” that are reflected in the Summary Compensation Table under </w:t>
      </w:r>
      <w:r>
        <w:rPr>
          <w:rFonts w:ascii="Arial" w:cs="Arial" w:eastAsia="Arial" w:hAnsi="Arial"/>
          <w:sz w:val="16"/>
          <w:szCs w:val="16"/>
          <w:i w:val="1"/>
          <w:iCs w:val="1"/>
          <w:color w:val="auto"/>
        </w:rPr>
        <w:t>All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and separately identified in footnotes as perquisites and other benefits.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Health/Welfare Plans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of our full-time US-based employees, including Mr. Andrle, are eligible to participate in our health and welfare plans, including:</w:t>
      </w:r>
    </w:p>
    <w:p>
      <w:pPr>
        <w:spacing w:after="0" w:line="46" w:lineRule="exact"/>
        <w:rPr>
          <w:sz w:val="20"/>
          <w:szCs w:val="20"/>
          <w:color w:val="auto"/>
        </w:rPr>
      </w:pPr>
    </w:p>
    <w:p>
      <w:pPr>
        <w:ind w:left="920" w:hanging="156"/>
        <w:spacing w:after="0"/>
        <w:tabs>
          <w:tab w:leader="none" w:pos="920" w:val="left"/>
        </w:tabs>
        <w:numPr>
          <w:ilvl w:val="0"/>
          <w:numId w:val="58"/>
        </w:numPr>
        <w:rPr>
          <w:rFonts w:ascii="Arial" w:cs="Arial" w:eastAsia="Arial" w:hAnsi="Arial"/>
          <w:sz w:val="16"/>
          <w:szCs w:val="16"/>
          <w:color w:val="6A2887"/>
        </w:rPr>
      </w:pPr>
      <w:r>
        <w:rPr>
          <w:rFonts w:ascii="Arial" w:cs="Arial" w:eastAsia="Arial" w:hAnsi="Arial"/>
          <w:sz w:val="16"/>
          <w:szCs w:val="16"/>
          <w:color w:val="auto"/>
        </w:rPr>
        <w:t>medical, dental and vision benefits;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58"/>
        </w:numPr>
        <w:rPr>
          <w:rFonts w:ascii="Arial" w:cs="Arial" w:eastAsia="Arial" w:hAnsi="Arial"/>
          <w:sz w:val="16"/>
          <w:szCs w:val="16"/>
          <w:color w:val="6A2887"/>
        </w:rPr>
      </w:pPr>
      <w:r>
        <w:rPr>
          <w:rFonts w:ascii="Arial" w:cs="Arial" w:eastAsia="Arial" w:hAnsi="Arial"/>
          <w:sz w:val="16"/>
          <w:szCs w:val="16"/>
          <w:color w:val="auto"/>
        </w:rPr>
        <w:t>medical and dependent care flexible spending accounts;</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58"/>
        </w:numPr>
        <w:rPr>
          <w:rFonts w:ascii="Arial" w:cs="Arial" w:eastAsia="Arial" w:hAnsi="Arial"/>
          <w:sz w:val="16"/>
          <w:szCs w:val="16"/>
          <w:color w:val="6A2887"/>
        </w:rPr>
      </w:pPr>
      <w:r>
        <w:rPr>
          <w:rFonts w:ascii="Arial" w:cs="Arial" w:eastAsia="Arial" w:hAnsi="Arial"/>
          <w:sz w:val="16"/>
          <w:szCs w:val="16"/>
          <w:color w:val="auto"/>
        </w:rPr>
        <w:t>short-term and long-term disability insurance; and</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58"/>
        </w:numPr>
        <w:rPr>
          <w:rFonts w:ascii="Arial" w:cs="Arial" w:eastAsia="Arial" w:hAnsi="Arial"/>
          <w:sz w:val="16"/>
          <w:szCs w:val="16"/>
          <w:color w:val="6A2887"/>
        </w:rPr>
      </w:pPr>
      <w:r>
        <w:rPr>
          <w:rFonts w:ascii="Arial" w:cs="Arial" w:eastAsia="Arial" w:hAnsi="Arial"/>
          <w:sz w:val="16"/>
          <w:szCs w:val="16"/>
          <w:color w:val="auto"/>
        </w:rPr>
        <w:t>group term life insurance.</w:t>
      </w:r>
    </w:p>
    <w:p>
      <w:pPr>
        <w:spacing w:after="0" w:line="100" w:lineRule="exact"/>
        <w:rPr>
          <w:sz w:val="20"/>
          <w:szCs w:val="20"/>
          <w:color w:val="auto"/>
        </w:rPr>
      </w:pPr>
    </w:p>
    <w:p>
      <w:pPr>
        <w:ind w:left="760" w:right="199"/>
        <w:spacing w:after="0" w:line="273" w:lineRule="auto"/>
        <w:rPr>
          <w:sz w:val="20"/>
          <w:szCs w:val="20"/>
          <w:color w:val="auto"/>
        </w:rPr>
      </w:pPr>
      <w:r>
        <w:rPr>
          <w:rFonts w:ascii="Arial" w:cs="Arial" w:eastAsia="Arial" w:hAnsi="Arial"/>
          <w:sz w:val="15"/>
          <w:szCs w:val="15"/>
          <w:color w:val="auto"/>
        </w:rPr>
        <w:t>Outside the US, our employees are generally covered by a state-run health plan and may be eligible to participate in a supplemental health plan, depending on their geography and position in the Company. Our NEOs based in the UK, Ms. Skeffington and Messrs. McDonald, Huston and Simpson, are eligible to receive Company-paid supplemental private health insurance, group term life insurance, disability insurance, a gym membership and, with exception of Mr. McDonald, tax assistance support.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2020 Compensation Program and Other Subsequent Events</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Compensation Committee Actions – 2020</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took the following actions in 2020:</w:t>
      </w:r>
    </w:p>
    <w:p>
      <w:pPr>
        <w:spacing w:after="0" w:line="46" w:lineRule="exact"/>
        <w:rPr>
          <w:sz w:val="20"/>
          <w:szCs w:val="20"/>
          <w:color w:val="auto"/>
        </w:rPr>
      </w:pPr>
    </w:p>
    <w:p>
      <w:pPr>
        <w:ind w:left="920" w:hanging="156"/>
        <w:spacing w:after="0"/>
        <w:tabs>
          <w:tab w:leader="none" w:pos="920" w:val="left"/>
        </w:tabs>
        <w:numPr>
          <w:ilvl w:val="0"/>
          <w:numId w:val="59"/>
        </w:numPr>
        <w:rPr>
          <w:rFonts w:ascii="Arial" w:cs="Arial" w:eastAsia="Arial" w:hAnsi="Arial"/>
          <w:sz w:val="16"/>
          <w:szCs w:val="16"/>
          <w:color w:val="6A2887"/>
        </w:rPr>
      </w:pPr>
      <w:r>
        <w:rPr>
          <w:rFonts w:ascii="Arial" w:cs="Arial" w:eastAsia="Arial" w:hAnsi="Arial"/>
          <w:sz w:val="16"/>
          <w:szCs w:val="16"/>
          <w:color w:val="auto"/>
        </w:rPr>
        <w:t>Approved the 2020 STIP and the 2020 LTIP;</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59"/>
        </w:numPr>
        <w:rPr>
          <w:rFonts w:ascii="Arial" w:cs="Arial" w:eastAsia="Arial" w:hAnsi="Arial"/>
          <w:sz w:val="16"/>
          <w:szCs w:val="16"/>
          <w:color w:val="6A2887"/>
        </w:rPr>
      </w:pPr>
      <w:r>
        <w:rPr>
          <w:rFonts w:ascii="Arial" w:cs="Arial" w:eastAsia="Arial" w:hAnsi="Arial"/>
          <w:sz w:val="16"/>
          <w:szCs w:val="16"/>
          <w:color w:val="auto"/>
        </w:rPr>
        <w:t>Reappointed Pearl Meyer as compensation advisors for the 2020 financial reporting year;</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59"/>
        </w:numPr>
        <w:rPr>
          <w:rFonts w:ascii="Arial" w:cs="Arial" w:eastAsia="Arial" w:hAnsi="Arial"/>
          <w:sz w:val="16"/>
          <w:szCs w:val="16"/>
          <w:color w:val="6A2887"/>
        </w:rPr>
      </w:pPr>
      <w:r>
        <w:rPr>
          <w:rFonts w:ascii="Arial" w:cs="Arial" w:eastAsia="Arial" w:hAnsi="Arial"/>
          <w:sz w:val="16"/>
          <w:szCs w:val="16"/>
          <w:color w:val="auto"/>
        </w:rPr>
        <w:t>Approved base salaries and STIP percentages for all NEOs;</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59"/>
        </w:numPr>
        <w:rPr>
          <w:rFonts w:ascii="Arial" w:cs="Arial" w:eastAsia="Arial" w:hAnsi="Arial"/>
          <w:sz w:val="16"/>
          <w:szCs w:val="16"/>
          <w:color w:val="6A2887"/>
        </w:rPr>
      </w:pPr>
      <w:r>
        <w:rPr>
          <w:rFonts w:ascii="Arial" w:cs="Arial" w:eastAsia="Arial" w:hAnsi="Arial"/>
          <w:sz w:val="16"/>
          <w:szCs w:val="16"/>
          <w:color w:val="auto"/>
        </w:rPr>
        <w:t>Approved the 2020 Peer Group; and</w:t>
      </w:r>
    </w:p>
    <w:p>
      <w:pPr>
        <w:spacing w:after="0" w:line="45" w:lineRule="exact"/>
        <w:rPr>
          <w:rFonts w:ascii="Arial" w:cs="Arial" w:eastAsia="Arial" w:hAnsi="Arial"/>
          <w:sz w:val="16"/>
          <w:szCs w:val="16"/>
          <w:color w:val="6A2887"/>
        </w:rPr>
      </w:pPr>
    </w:p>
    <w:p>
      <w:pPr>
        <w:ind w:left="920" w:right="499" w:hanging="156"/>
        <w:spacing w:after="0" w:line="260" w:lineRule="auto"/>
        <w:tabs>
          <w:tab w:leader="none" w:pos="920" w:val="left"/>
        </w:tabs>
        <w:numPr>
          <w:ilvl w:val="0"/>
          <w:numId w:val="59"/>
        </w:numPr>
        <w:rPr>
          <w:rFonts w:ascii="Arial" w:cs="Arial" w:eastAsia="Arial" w:hAnsi="Arial"/>
          <w:sz w:val="16"/>
          <w:szCs w:val="16"/>
          <w:color w:val="6A2887"/>
        </w:rPr>
      </w:pPr>
      <w:r>
        <w:rPr>
          <w:rFonts w:ascii="Arial" w:cs="Arial" w:eastAsia="Arial" w:hAnsi="Arial"/>
          <w:sz w:val="16"/>
          <w:szCs w:val="16"/>
          <w:color w:val="auto"/>
        </w:rPr>
        <w:t>Reduced the 2019 STIP payout to 25% at Target given the Company’s overall financial results. The 2019 STIP payout would otherwise have resulted in a 30% achievement at Target.</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2020 Base Salary</w:t>
      </w:r>
    </w:p>
    <w:p>
      <w:pPr>
        <w:spacing w:after="0" w:line="124" w:lineRule="exact"/>
        <w:rPr>
          <w:sz w:val="20"/>
          <w:szCs w:val="20"/>
          <w:color w:val="auto"/>
        </w:rPr>
      </w:pPr>
    </w:p>
    <w:p>
      <w:pPr>
        <w:jc w:val="both"/>
        <w:ind w:left="760" w:right="499"/>
        <w:spacing w:after="0" w:line="253" w:lineRule="auto"/>
        <w:rPr>
          <w:sz w:val="20"/>
          <w:szCs w:val="20"/>
          <w:color w:val="auto"/>
        </w:rPr>
      </w:pPr>
      <w:r>
        <w:rPr>
          <w:rFonts w:ascii="Arial" w:cs="Arial" w:eastAsia="Arial" w:hAnsi="Arial"/>
          <w:sz w:val="16"/>
          <w:szCs w:val="16"/>
          <w:color w:val="auto"/>
        </w:rPr>
        <w:t>On March 30, 2020, the Compensation Committee approved adjustments to the base salaries and Target percentages of Base Salary under the 2020 STIP for our executive officers, including the NEOs (other than Messrs. Andrle and Simpson who are no longer executive officers), effective as of April 1, 2020 as set forth below:</w:t>
      </w:r>
    </w:p>
    <w:p>
      <w:pPr>
        <w:spacing w:after="0" w:line="13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060" w:type="dxa"/>
            <w:vAlign w:val="bottom"/>
          </w:tcPr>
          <w:p>
            <w:pPr>
              <w:jc w:val="right"/>
              <w:ind w:right="85"/>
              <w:spacing w:after="0"/>
              <w:rPr>
                <w:sz w:val="20"/>
                <w:szCs w:val="20"/>
                <w:color w:val="auto"/>
              </w:rPr>
            </w:pPr>
            <w:r>
              <w:rPr>
                <w:rFonts w:ascii="Arial" w:cs="Arial" w:eastAsia="Arial" w:hAnsi="Arial"/>
                <w:sz w:val="14"/>
                <w:szCs w:val="14"/>
                <w:b w:val="1"/>
                <w:bCs w:val="1"/>
                <w:color w:val="6A2887"/>
              </w:rPr>
              <w:t>2020 Base Salary</w:t>
            </w:r>
          </w:p>
        </w:tc>
        <w:tc>
          <w:tcPr>
            <w:tcW w:w="900" w:type="dxa"/>
            <w:vAlign w:val="bottom"/>
          </w:tcPr>
          <w:p>
            <w:pPr>
              <w:jc w:val="right"/>
              <w:ind w:right="85"/>
              <w:spacing w:after="0"/>
              <w:rPr>
                <w:sz w:val="20"/>
                <w:szCs w:val="20"/>
                <w:color w:val="auto"/>
              </w:rPr>
            </w:pPr>
            <w:r>
              <w:rPr>
                <w:rFonts w:ascii="Arial" w:cs="Arial" w:eastAsia="Arial" w:hAnsi="Arial"/>
                <w:sz w:val="14"/>
                <w:szCs w:val="14"/>
                <w:b w:val="1"/>
                <w:bCs w:val="1"/>
                <w:color w:val="6A2887"/>
              </w:rPr>
              <w:t>Increase</w:t>
            </w:r>
          </w:p>
        </w:tc>
        <w:tc>
          <w:tcPr>
            <w:tcW w:w="1120" w:type="dxa"/>
            <w:vAlign w:val="bottom"/>
          </w:tcPr>
          <w:p>
            <w:pPr>
              <w:jc w:val="right"/>
              <w:ind w:right="85"/>
              <w:spacing w:after="0"/>
              <w:rPr>
                <w:sz w:val="20"/>
                <w:szCs w:val="20"/>
                <w:color w:val="auto"/>
              </w:rPr>
            </w:pPr>
            <w:r>
              <w:rPr>
                <w:rFonts w:ascii="Arial" w:cs="Arial" w:eastAsia="Arial" w:hAnsi="Arial"/>
                <w:sz w:val="14"/>
                <w:szCs w:val="14"/>
                <w:b w:val="1"/>
                <w:bCs w:val="1"/>
                <w:color w:val="6A2887"/>
              </w:rPr>
              <w:t>2020 STIP at</w:t>
            </w:r>
          </w:p>
        </w:tc>
        <w:tc>
          <w:tcPr>
            <w:tcW w:w="1080" w:type="dxa"/>
            <w:vAlign w:val="bottom"/>
          </w:tcPr>
          <w:p>
            <w:pPr>
              <w:jc w:val="right"/>
              <w:ind w:right="25"/>
              <w:spacing w:after="0"/>
              <w:rPr>
                <w:sz w:val="20"/>
                <w:szCs w:val="20"/>
                <w:color w:val="auto"/>
              </w:rPr>
            </w:pPr>
            <w:r>
              <w:rPr>
                <w:rFonts w:ascii="Arial" w:cs="Arial" w:eastAsia="Arial" w:hAnsi="Arial"/>
                <w:sz w:val="14"/>
                <w:szCs w:val="14"/>
                <w:b w:val="1"/>
                <w:bCs w:val="1"/>
                <w:color w:val="6A2887"/>
              </w:rPr>
              <w:t>Change from</w:t>
            </w:r>
          </w:p>
        </w:tc>
      </w:tr>
      <w:tr>
        <w:trPr>
          <w:trHeight w:val="196"/>
        </w:trPr>
        <w:tc>
          <w:tcPr>
            <w:tcW w:w="3020" w:type="dxa"/>
            <w:vAlign w:val="bottom"/>
            <w:tcBorders>
              <w:bottom w:val="single" w:sz="8" w:color="6A2887"/>
            </w:tcBorders>
          </w:tcPr>
          <w:p>
            <w:pPr>
              <w:spacing w:after="0"/>
              <w:rPr>
                <w:sz w:val="17"/>
                <w:szCs w:val="17"/>
                <w:color w:val="auto"/>
              </w:rPr>
            </w:pPr>
          </w:p>
        </w:tc>
        <w:tc>
          <w:tcPr>
            <w:tcW w:w="306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w:t>
            </w:r>
          </w:p>
        </w:tc>
        <w:tc>
          <w:tcPr>
            <w:tcW w:w="90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from 2019</w:t>
            </w:r>
          </w:p>
        </w:tc>
        <w:tc>
          <w:tcPr>
            <w:tcW w:w="112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Target</w:t>
            </w:r>
          </w:p>
        </w:tc>
        <w:tc>
          <w:tcPr>
            <w:tcW w:w="108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2019</w:t>
            </w:r>
          </w:p>
        </w:tc>
      </w:tr>
      <w:tr>
        <w:trPr>
          <w:trHeight w:val="221"/>
        </w:trPr>
        <w:tc>
          <w:tcPr>
            <w:tcW w:w="302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060" w:type="dxa"/>
            <w:vAlign w:val="bottom"/>
          </w:tcPr>
          <w:p>
            <w:pPr>
              <w:jc w:val="right"/>
              <w:ind w:right="25"/>
              <w:spacing w:after="0"/>
              <w:rPr>
                <w:sz w:val="20"/>
                <w:szCs w:val="20"/>
                <w:color w:val="auto"/>
              </w:rPr>
            </w:pPr>
            <w:r>
              <w:rPr>
                <w:rFonts w:ascii="Arial" w:cs="Arial" w:eastAsia="Arial" w:hAnsi="Arial"/>
                <w:sz w:val="15"/>
                <w:szCs w:val="15"/>
                <w:color w:val="auto"/>
              </w:rPr>
              <w:t>979,862</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5%</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125%</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
        </w:trPr>
        <w:tc>
          <w:tcPr>
            <w:tcW w:w="3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30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0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532,174</w:t>
            </w:r>
          </w:p>
        </w:tc>
        <w:tc>
          <w:tcPr>
            <w:tcW w:w="9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3%</w:t>
            </w:r>
          </w:p>
        </w:tc>
        <w:tc>
          <w:tcPr>
            <w:tcW w:w="112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90%</w:t>
            </w:r>
          </w:p>
        </w:tc>
        <w:tc>
          <w:tcPr>
            <w:tcW w:w="10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r>
      <w:tr>
        <w:trPr>
          <w:trHeight w:val="221"/>
        </w:trPr>
        <w:tc>
          <w:tcPr>
            <w:tcW w:w="302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060" w:type="dxa"/>
            <w:vAlign w:val="bottom"/>
          </w:tcPr>
          <w:p>
            <w:pPr>
              <w:jc w:val="right"/>
              <w:ind w:right="25"/>
              <w:spacing w:after="0"/>
              <w:rPr>
                <w:sz w:val="20"/>
                <w:szCs w:val="20"/>
                <w:color w:val="auto"/>
              </w:rPr>
            </w:pPr>
            <w:r>
              <w:rPr>
                <w:rFonts w:ascii="Arial" w:cs="Arial" w:eastAsia="Arial" w:hAnsi="Arial"/>
                <w:sz w:val="15"/>
                <w:szCs w:val="15"/>
                <w:color w:val="auto"/>
              </w:rPr>
              <w:t>459,776</w:t>
            </w:r>
          </w:p>
        </w:tc>
        <w:tc>
          <w:tcPr>
            <w:tcW w:w="900" w:type="dxa"/>
            <w:vAlign w:val="bottom"/>
          </w:tcPr>
          <w:p>
            <w:pPr>
              <w:jc w:val="right"/>
              <w:ind w:right="25"/>
              <w:spacing w:after="0"/>
              <w:rPr>
                <w:sz w:val="20"/>
                <w:szCs w:val="20"/>
                <w:color w:val="auto"/>
              </w:rPr>
            </w:pPr>
            <w:r>
              <w:rPr>
                <w:rFonts w:ascii="Arial" w:cs="Arial" w:eastAsia="Arial" w:hAnsi="Arial"/>
                <w:sz w:val="15"/>
                <w:szCs w:val="15"/>
                <w:color w:val="auto"/>
              </w:rPr>
              <w:t>6%</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70%</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jc w:val="both"/>
        <w:ind w:left="980" w:right="359" w:hanging="216"/>
        <w:spacing w:after="0" w:line="259" w:lineRule="auto"/>
        <w:tabs>
          <w:tab w:leader="none" w:pos="98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For salary amounts, we used an exchange rate of $1.275738014 per British Pound, each of which reflects the applicable period average published rate from our BOPC Accounting System between January 1, 2019 and December 31, 2019. The BOPC Accounting System uses Bloomberg as a source to obtain exchange rates.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2020 STIP</w:t>
      </w:r>
    </w:p>
    <w:p>
      <w:pPr>
        <w:spacing w:after="0" w:line="124" w:lineRule="exact"/>
        <w:rPr>
          <w:sz w:val="20"/>
          <w:szCs w:val="20"/>
          <w:color w:val="auto"/>
        </w:rPr>
      </w:pPr>
    </w:p>
    <w:p>
      <w:pPr>
        <w:ind w:left="760" w:right="840"/>
        <w:spacing w:after="0" w:line="271" w:lineRule="auto"/>
        <w:rPr>
          <w:sz w:val="20"/>
          <w:szCs w:val="20"/>
          <w:color w:val="auto"/>
        </w:rPr>
      </w:pPr>
      <w:r>
        <w:rPr>
          <w:rFonts w:ascii="Arial" w:cs="Arial" w:eastAsia="Arial" w:hAnsi="Arial"/>
          <w:sz w:val="16"/>
          <w:szCs w:val="16"/>
          <w:color w:val="auto"/>
        </w:rPr>
        <w:t>On March 30, 2020, the Compensation Committee also approved the 2020 STIP in which all NEOs participate (other than Messrs. Andrle and Simpson who are no longer executive officers). The 2020 STIP is the same as the 2019 STIP. The current target bonus percentage for each of the NEOs is the same as it was in the 2019 STIP:</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6A2887"/>
              </w:rPr>
              <w:t>2020 STIP</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6A2887"/>
              </w:rPr>
              <w:t>2020 STIP</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6A2887"/>
              </w:rPr>
              <w:t>2020 STIP</w:t>
            </w:r>
          </w:p>
        </w:tc>
      </w:t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6A2887"/>
              </w:rPr>
              <w:t>Minimum</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6A2887"/>
              </w:rPr>
              <w:t>Target</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6A2887"/>
              </w:rPr>
              <w:t>Maximum</w:t>
            </w:r>
          </w:p>
        </w:tc>
      </w:tr>
      <w:tr>
        <w:trPr>
          <w:trHeight w:val="162"/>
        </w:trPr>
        <w:tc>
          <w:tcPr>
            <w:tcW w:w="3440" w:type="dxa"/>
            <w:vAlign w:val="bottom"/>
          </w:tcPr>
          <w:p>
            <w:pPr>
              <w:spacing w:after="0"/>
              <w:rPr>
                <w:sz w:val="14"/>
                <w:szCs w:val="14"/>
                <w:color w:val="auto"/>
              </w:rPr>
            </w:pPr>
          </w:p>
        </w:tc>
        <w:tc>
          <w:tcPr>
            <w:tcW w:w="3300" w:type="dxa"/>
            <w:vAlign w:val="bottom"/>
          </w:tcPr>
          <w:p>
            <w:pPr>
              <w:jc w:val="right"/>
              <w:ind w:right="86"/>
              <w:spacing w:after="0"/>
              <w:rPr>
                <w:sz w:val="20"/>
                <w:szCs w:val="20"/>
                <w:color w:val="auto"/>
              </w:rPr>
            </w:pPr>
            <w:r>
              <w:rPr>
                <w:rFonts w:ascii="Arial" w:cs="Arial" w:eastAsia="Arial" w:hAnsi="Arial"/>
                <w:sz w:val="14"/>
                <w:szCs w:val="14"/>
                <w:b w:val="1"/>
                <w:bCs w:val="1"/>
                <w:color w:val="6A2887"/>
              </w:rPr>
              <w:t>(Percentage of</w:t>
            </w:r>
          </w:p>
        </w:tc>
        <w:tc>
          <w:tcPr>
            <w:tcW w:w="1240" w:type="dxa"/>
            <w:vAlign w:val="bottom"/>
          </w:tcPr>
          <w:p>
            <w:pPr>
              <w:jc w:val="right"/>
              <w:ind w:right="86"/>
              <w:spacing w:after="0"/>
              <w:rPr>
                <w:sz w:val="20"/>
                <w:szCs w:val="20"/>
                <w:color w:val="auto"/>
              </w:rPr>
            </w:pPr>
            <w:r>
              <w:rPr>
                <w:rFonts w:ascii="Arial" w:cs="Arial" w:eastAsia="Arial" w:hAnsi="Arial"/>
                <w:sz w:val="14"/>
                <w:szCs w:val="14"/>
                <w:b w:val="1"/>
                <w:bCs w:val="1"/>
                <w:color w:val="6A2887"/>
              </w:rPr>
              <w:t>(Percentage of</w:t>
            </w:r>
          </w:p>
        </w:tc>
        <w:tc>
          <w:tcPr>
            <w:tcW w:w="1200" w:type="dxa"/>
            <w:vAlign w:val="bottom"/>
          </w:tcPr>
          <w:p>
            <w:pPr>
              <w:jc w:val="right"/>
              <w:ind w:right="26"/>
              <w:spacing w:after="0"/>
              <w:rPr>
                <w:sz w:val="20"/>
                <w:szCs w:val="20"/>
                <w:color w:val="auto"/>
              </w:rPr>
            </w:pPr>
            <w:r>
              <w:rPr>
                <w:rFonts w:ascii="Arial" w:cs="Arial" w:eastAsia="Arial" w:hAnsi="Arial"/>
                <w:sz w:val="14"/>
                <w:szCs w:val="14"/>
                <w:b w:val="1"/>
                <w:bCs w:val="1"/>
                <w:color w:val="6A2887"/>
              </w:rPr>
              <w:t>(Percentage of</w:t>
            </w:r>
          </w:p>
        </w:tc>
      </w:tr>
      <w:tr>
        <w:trPr>
          <w:trHeight w:val="196"/>
        </w:trPr>
        <w:tc>
          <w:tcPr>
            <w:tcW w:w="3440" w:type="dxa"/>
            <w:vAlign w:val="bottom"/>
            <w:tcBorders>
              <w:bottom w:val="single" w:sz="8" w:color="6A2887"/>
            </w:tcBorders>
          </w:tcPr>
          <w:p>
            <w:pPr>
              <w:spacing w:after="0"/>
              <w:rPr>
                <w:sz w:val="17"/>
                <w:szCs w:val="17"/>
                <w:color w:val="auto"/>
              </w:rPr>
            </w:pPr>
          </w:p>
        </w:tc>
        <w:tc>
          <w:tcPr>
            <w:tcW w:w="3300" w:type="dxa"/>
            <w:vAlign w:val="bottom"/>
            <w:tcBorders>
              <w:bottom w:val="single" w:sz="8" w:color="6A2887"/>
            </w:tcBorders>
          </w:tcPr>
          <w:p>
            <w:pPr>
              <w:jc w:val="right"/>
              <w:ind w:right="46"/>
              <w:spacing w:after="0"/>
              <w:rPr>
                <w:sz w:val="20"/>
                <w:szCs w:val="20"/>
                <w:color w:val="auto"/>
              </w:rPr>
            </w:pPr>
            <w:r>
              <w:rPr>
                <w:rFonts w:ascii="Arial" w:cs="Arial" w:eastAsia="Arial" w:hAnsi="Arial"/>
                <w:sz w:val="14"/>
                <w:szCs w:val="14"/>
                <w:b w:val="1"/>
                <w:bCs w:val="1"/>
                <w:color w:val="6A2887"/>
              </w:rPr>
              <w:t>Base Salary)</w:t>
            </w:r>
          </w:p>
        </w:tc>
        <w:tc>
          <w:tcPr>
            <w:tcW w:w="1240" w:type="dxa"/>
            <w:vAlign w:val="bottom"/>
            <w:tcBorders>
              <w:bottom w:val="single" w:sz="8" w:color="6A2887"/>
            </w:tcBorders>
          </w:tcPr>
          <w:p>
            <w:pPr>
              <w:jc w:val="right"/>
              <w:ind w:right="46"/>
              <w:spacing w:after="0"/>
              <w:rPr>
                <w:sz w:val="20"/>
                <w:szCs w:val="20"/>
                <w:color w:val="auto"/>
              </w:rPr>
            </w:pPr>
            <w:r>
              <w:rPr>
                <w:rFonts w:ascii="Arial" w:cs="Arial" w:eastAsia="Arial" w:hAnsi="Arial"/>
                <w:sz w:val="14"/>
                <w:szCs w:val="14"/>
                <w:b w:val="1"/>
                <w:bCs w:val="1"/>
                <w:color w:val="6A2887"/>
              </w:rPr>
              <w:t>Base Salary)</w:t>
            </w:r>
          </w:p>
        </w:tc>
        <w:tc>
          <w:tcPr>
            <w:tcW w:w="120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Target)</w:t>
            </w:r>
          </w:p>
        </w:tc>
      </w:tr>
      <w:tr>
        <w:trPr>
          <w:trHeight w:val="221"/>
        </w:trPr>
        <w:tc>
          <w:tcPr>
            <w:tcW w:w="344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3300" w:type="dxa"/>
            <w:vAlign w:val="bottom"/>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125%</w:t>
            </w:r>
          </w:p>
        </w:tc>
        <w:tc>
          <w:tcPr>
            <w:tcW w:w="120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2"/>
        </w:trPr>
        <w:tc>
          <w:tcPr>
            <w:tcW w:w="3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34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3300" w:type="dxa"/>
            <w:vAlign w:val="bottom"/>
            <w:tcBorders>
              <w:bottom w:val="single" w:sz="8" w:color="EFE9FC"/>
            </w:tcBorders>
            <w:shd w:val="clear" w:color="auto" w:fill="EFE9FC"/>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90%</w:t>
            </w:r>
          </w:p>
        </w:tc>
        <w:tc>
          <w:tcPr>
            <w:tcW w:w="12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160%</w:t>
            </w:r>
          </w:p>
        </w:tc>
      </w:tr>
      <w:tr>
        <w:trPr>
          <w:trHeight w:val="222"/>
        </w:trPr>
        <w:tc>
          <w:tcPr>
            <w:tcW w:w="344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3300" w:type="dxa"/>
            <w:vAlign w:val="bottom"/>
          </w:tcPr>
          <w:p>
            <w:pPr>
              <w:jc w:val="right"/>
              <w:ind w:right="46"/>
              <w:spacing w:after="0"/>
              <w:rPr>
                <w:sz w:val="20"/>
                <w:szCs w:val="20"/>
                <w:color w:val="auto"/>
              </w:rPr>
            </w:pPr>
            <w:r>
              <w:rPr>
                <w:rFonts w:ascii="Arial" w:cs="Arial" w:eastAsia="Arial" w:hAnsi="Arial"/>
                <w:sz w:val="15"/>
                <w:szCs w:val="15"/>
                <w:color w:val="auto"/>
              </w:rPr>
              <w:t>0%</w:t>
            </w:r>
          </w:p>
        </w:tc>
        <w:tc>
          <w:tcPr>
            <w:tcW w:w="1240" w:type="dxa"/>
            <w:vAlign w:val="bottom"/>
          </w:tcPr>
          <w:p>
            <w:pPr>
              <w:jc w:val="right"/>
              <w:ind w:right="26"/>
              <w:spacing w:after="0"/>
              <w:rPr>
                <w:sz w:val="20"/>
                <w:szCs w:val="20"/>
                <w:color w:val="auto"/>
              </w:rPr>
            </w:pPr>
            <w:r>
              <w:rPr>
                <w:rFonts w:ascii="Arial" w:cs="Arial" w:eastAsia="Arial" w:hAnsi="Arial"/>
                <w:sz w:val="15"/>
                <w:szCs w:val="15"/>
                <w:color w:val="auto"/>
              </w:rPr>
              <w:t>70%</w:t>
            </w:r>
          </w:p>
        </w:tc>
        <w:tc>
          <w:tcPr>
            <w:tcW w:w="1200" w:type="dxa"/>
            <w:vAlign w:val="bottom"/>
          </w:tcPr>
          <w:p>
            <w:pPr>
              <w:jc w:val="right"/>
              <w:spacing w:after="0"/>
              <w:rPr>
                <w:sz w:val="20"/>
                <w:szCs w:val="20"/>
                <w:color w:val="auto"/>
              </w:rPr>
            </w:pPr>
            <w:r>
              <w:rPr>
                <w:rFonts w:ascii="Arial" w:cs="Arial" w:eastAsia="Arial" w:hAnsi="Arial"/>
                <w:sz w:val="15"/>
                <w:szCs w:val="15"/>
                <w:color w:val="auto"/>
              </w:rPr>
              <w:t>160%</w:t>
            </w:r>
          </w:p>
        </w:tc>
      </w:tr>
      <w:tr>
        <w:trPr>
          <w:trHeight w:val="22"/>
        </w:trPr>
        <w:tc>
          <w:tcPr>
            <w:tcW w:w="3440" w:type="dxa"/>
            <w:vAlign w:val="bottom"/>
            <w:tcBorders>
              <w:bottom w:val="single" w:sz="8" w:color="6A2887"/>
            </w:tcBorders>
          </w:tcPr>
          <w:p>
            <w:pPr>
              <w:spacing w:after="0" w:line="20" w:lineRule="exact"/>
              <w:rPr>
                <w:sz w:val="1"/>
                <w:szCs w:val="1"/>
                <w:color w:val="auto"/>
              </w:rPr>
            </w:pPr>
          </w:p>
        </w:tc>
        <w:tc>
          <w:tcPr>
            <w:tcW w:w="3300" w:type="dxa"/>
            <w:vAlign w:val="bottom"/>
            <w:tcBorders>
              <w:bottom w:val="single" w:sz="8" w:color="6A2887"/>
            </w:tcBorders>
          </w:tcPr>
          <w:p>
            <w:pPr>
              <w:spacing w:after="0" w:line="20" w:lineRule="exact"/>
              <w:rPr>
                <w:sz w:val="1"/>
                <w:szCs w:val="1"/>
                <w:color w:val="auto"/>
              </w:rPr>
            </w:pPr>
          </w:p>
        </w:tc>
        <w:tc>
          <w:tcPr>
            <w:tcW w:w="124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r>
    </w:tbl>
    <w:p>
      <w:pPr>
        <w:spacing w:after="0" w:line="231" w:lineRule="exact"/>
        <w:rPr>
          <w:sz w:val="20"/>
          <w:szCs w:val="20"/>
          <w:color w:val="auto"/>
        </w:rPr>
      </w:pPr>
    </w:p>
    <w:p>
      <w:pPr>
        <w:ind w:left="760" w:right="1140"/>
        <w:spacing w:after="0" w:line="271" w:lineRule="auto"/>
        <w:rPr>
          <w:sz w:val="20"/>
          <w:szCs w:val="20"/>
          <w:color w:val="auto"/>
        </w:rPr>
      </w:pPr>
      <w:r>
        <w:rPr>
          <w:rFonts w:ascii="Arial" w:cs="Arial" w:eastAsia="Arial" w:hAnsi="Arial"/>
          <w:sz w:val="16"/>
          <w:szCs w:val="16"/>
          <w:color w:val="auto"/>
        </w:rPr>
        <w:t>Payment of the target bonus amount is conditioned on achievement of certain financial and non-financial objectives. If the threshold for a financial objective is achieved, then the funding for that objective is scaled down or up for underachievement or overachievement, respectively, of the objective, as follows:</w:t>
      </w:r>
    </w:p>
    <w:p>
      <w:pPr>
        <w:spacing w:after="0" w:line="14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000" w:type="dxa"/>
            <w:vAlign w:val="bottom"/>
          </w:tcPr>
          <w:p>
            <w:pPr>
              <w:jc w:val="center"/>
              <w:spacing w:after="0"/>
              <w:rPr>
                <w:sz w:val="20"/>
                <w:szCs w:val="20"/>
                <w:color w:val="auto"/>
              </w:rPr>
            </w:pPr>
            <w:r>
              <w:rPr>
                <w:rFonts w:ascii="Arial" w:cs="Arial" w:eastAsia="Arial" w:hAnsi="Arial"/>
                <w:sz w:val="14"/>
                <w:szCs w:val="14"/>
                <w:b w:val="1"/>
                <w:bCs w:val="1"/>
                <w:color w:val="6A2887"/>
              </w:rPr>
              <w:t>Percent Achievement of Sales</w:t>
            </w:r>
          </w:p>
        </w:tc>
        <w:tc>
          <w:tcPr>
            <w:tcW w:w="2660" w:type="dxa"/>
            <w:vAlign w:val="bottom"/>
          </w:tcPr>
          <w:p>
            <w:pPr>
              <w:jc w:val="center"/>
              <w:ind w:left="405"/>
              <w:spacing w:after="0"/>
              <w:rPr>
                <w:sz w:val="20"/>
                <w:szCs w:val="20"/>
                <w:color w:val="auto"/>
              </w:rPr>
            </w:pPr>
            <w:r>
              <w:rPr>
                <w:rFonts w:ascii="Arial" w:cs="Arial" w:eastAsia="Arial" w:hAnsi="Arial"/>
                <w:sz w:val="14"/>
                <w:szCs w:val="14"/>
                <w:b w:val="1"/>
                <w:bCs w:val="1"/>
                <w:color w:val="6A2887"/>
              </w:rPr>
              <w:t>Percent Achievement of Income</w:t>
            </w:r>
          </w:p>
        </w:tc>
        <w:tc>
          <w:tcPr>
            <w:tcW w:w="3520" w:type="dxa"/>
            <w:vAlign w:val="bottom"/>
          </w:tcPr>
          <w:p>
            <w:pPr>
              <w:jc w:val="center"/>
              <w:ind w:left="405"/>
              <w:spacing w:after="0"/>
              <w:rPr>
                <w:sz w:val="20"/>
                <w:szCs w:val="20"/>
                <w:color w:val="auto"/>
              </w:rPr>
            </w:pPr>
            <w:r>
              <w:rPr>
                <w:rFonts w:ascii="Arial" w:cs="Arial" w:eastAsia="Arial" w:hAnsi="Arial"/>
                <w:sz w:val="14"/>
                <w:szCs w:val="14"/>
                <w:b w:val="1"/>
                <w:bCs w:val="1"/>
                <w:color w:val="6A2887"/>
              </w:rPr>
              <w:t>Percent Funding for</w:t>
            </w:r>
          </w:p>
        </w:tc>
      </w:tr>
      <w:tr>
        <w:trPr>
          <w:trHeight w:val="196"/>
        </w:trPr>
        <w:tc>
          <w:tcPr>
            <w:tcW w:w="300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rPr>
              <w:t>Objective</w:t>
            </w:r>
          </w:p>
        </w:tc>
        <w:tc>
          <w:tcPr>
            <w:tcW w:w="2660" w:type="dxa"/>
            <w:vAlign w:val="bottom"/>
            <w:tcBorders>
              <w:bottom w:val="single" w:sz="8" w:color="6A2887"/>
            </w:tcBorders>
          </w:tcPr>
          <w:p>
            <w:pPr>
              <w:jc w:val="center"/>
              <w:ind w:left="445"/>
              <w:spacing w:after="0"/>
              <w:rPr>
                <w:sz w:val="20"/>
                <w:szCs w:val="20"/>
                <w:color w:val="auto"/>
              </w:rPr>
            </w:pPr>
            <w:r>
              <w:rPr>
                <w:rFonts w:ascii="Arial" w:cs="Arial" w:eastAsia="Arial" w:hAnsi="Arial"/>
                <w:sz w:val="14"/>
                <w:szCs w:val="14"/>
                <w:b w:val="1"/>
                <w:bCs w:val="1"/>
                <w:color w:val="6A2887"/>
                <w:w w:val="98"/>
              </w:rPr>
              <w:t>Objective</w:t>
            </w:r>
          </w:p>
        </w:tc>
        <w:tc>
          <w:tcPr>
            <w:tcW w:w="3520" w:type="dxa"/>
            <w:vAlign w:val="bottom"/>
            <w:tcBorders>
              <w:bottom w:val="single" w:sz="8" w:color="6A2887"/>
            </w:tcBorders>
          </w:tcPr>
          <w:p>
            <w:pPr>
              <w:jc w:val="center"/>
              <w:ind w:left="445"/>
              <w:spacing w:after="0"/>
              <w:rPr>
                <w:sz w:val="20"/>
                <w:szCs w:val="20"/>
                <w:color w:val="auto"/>
              </w:rPr>
            </w:pPr>
            <w:r>
              <w:rPr>
                <w:rFonts w:ascii="Arial" w:cs="Arial" w:eastAsia="Arial" w:hAnsi="Arial"/>
                <w:sz w:val="14"/>
                <w:szCs w:val="14"/>
                <w:b w:val="1"/>
                <w:bCs w:val="1"/>
                <w:color w:val="6A2887"/>
              </w:rPr>
              <w:t>Objective</w:t>
            </w:r>
          </w:p>
        </w:tc>
      </w:tr>
      <w:tr>
        <w:trPr>
          <w:trHeight w:val="221"/>
        </w:trPr>
        <w:tc>
          <w:tcPr>
            <w:tcW w:w="3000" w:type="dxa"/>
            <w:vAlign w:val="bottom"/>
          </w:tcPr>
          <w:p>
            <w:pPr>
              <w:jc w:val="center"/>
              <w:spacing w:after="0"/>
              <w:rPr>
                <w:sz w:val="20"/>
                <w:szCs w:val="20"/>
                <w:color w:val="auto"/>
              </w:rPr>
            </w:pPr>
            <w:r>
              <w:rPr>
                <w:rFonts w:ascii="Arial" w:cs="Arial" w:eastAsia="Arial" w:hAnsi="Arial"/>
                <w:sz w:val="15"/>
                <w:szCs w:val="15"/>
                <w:color w:val="auto"/>
              </w:rPr>
              <w:t>&gt;110%</w:t>
            </w:r>
          </w:p>
        </w:tc>
        <w:tc>
          <w:tcPr>
            <w:tcW w:w="2660" w:type="dxa"/>
            <w:vAlign w:val="bottom"/>
          </w:tcPr>
          <w:p>
            <w:pPr>
              <w:jc w:val="center"/>
              <w:ind w:left="445"/>
              <w:spacing w:after="0"/>
              <w:rPr>
                <w:sz w:val="20"/>
                <w:szCs w:val="20"/>
                <w:color w:val="auto"/>
              </w:rPr>
            </w:pPr>
            <w:r>
              <w:rPr>
                <w:rFonts w:ascii="Arial" w:cs="Arial" w:eastAsia="Arial" w:hAnsi="Arial"/>
                <w:sz w:val="15"/>
                <w:szCs w:val="15"/>
                <w:color w:val="auto"/>
                <w:w w:val="97"/>
              </w:rPr>
              <w:t>&gt;110%</w:t>
            </w:r>
          </w:p>
        </w:tc>
        <w:tc>
          <w:tcPr>
            <w:tcW w:w="3520" w:type="dxa"/>
            <w:vAlign w:val="bottom"/>
          </w:tcPr>
          <w:p>
            <w:pPr>
              <w:jc w:val="center"/>
              <w:ind w:left="445"/>
              <w:spacing w:after="0"/>
              <w:rPr>
                <w:sz w:val="20"/>
                <w:szCs w:val="20"/>
                <w:color w:val="auto"/>
              </w:rPr>
            </w:pPr>
            <w:r>
              <w:rPr>
                <w:rFonts w:ascii="Arial" w:cs="Arial" w:eastAsia="Arial" w:hAnsi="Arial"/>
                <w:sz w:val="15"/>
                <w:szCs w:val="15"/>
                <w:color w:val="auto"/>
              </w:rPr>
              <w:t>175%</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8"/>
              </w:rPr>
              <w:t>110%</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8"/>
              </w:rPr>
              <w:t>110%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175%</w:t>
            </w:r>
          </w:p>
        </w:tc>
      </w:tr>
      <w:tr>
        <w:trPr>
          <w:trHeight w:val="221"/>
        </w:trPr>
        <w:tc>
          <w:tcPr>
            <w:tcW w:w="3000" w:type="dxa"/>
            <w:vAlign w:val="bottom"/>
          </w:tcPr>
          <w:p>
            <w:pPr>
              <w:spacing w:after="0"/>
              <w:rPr>
                <w:sz w:val="19"/>
                <w:szCs w:val="19"/>
                <w:color w:val="auto"/>
              </w:rPr>
            </w:pPr>
          </w:p>
        </w:tc>
        <w:tc>
          <w:tcPr>
            <w:tcW w:w="6180" w:type="dxa"/>
            <w:vAlign w:val="bottom"/>
            <w:gridSpan w:val="2"/>
          </w:tcPr>
          <w:p>
            <w:pPr>
              <w:jc w:val="center"/>
              <w:ind w:left="5"/>
              <w:spacing w:after="0"/>
              <w:rPr>
                <w:sz w:val="20"/>
                <w:szCs w:val="20"/>
                <w:color w:val="auto"/>
              </w:rPr>
            </w:pPr>
            <w:r>
              <w:rPr>
                <w:rFonts w:ascii="Arial" w:cs="Arial" w:eastAsia="Arial" w:hAnsi="Arial"/>
                <w:sz w:val="15"/>
                <w:szCs w:val="15"/>
                <w:color w:val="auto"/>
                <w:w w:val="99"/>
              </w:rPr>
              <w:t>Linear Interpolation: 1:7.50</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8"/>
              </w:rPr>
              <w:t>100%</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8"/>
              </w:rPr>
              <w:t>100%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100%</w:t>
            </w:r>
          </w:p>
        </w:tc>
      </w:tr>
      <w:tr>
        <w:trPr>
          <w:trHeight w:val="222"/>
        </w:trPr>
        <w:tc>
          <w:tcPr>
            <w:tcW w:w="3000" w:type="dxa"/>
            <w:vAlign w:val="bottom"/>
          </w:tcPr>
          <w:p>
            <w:pPr>
              <w:spacing w:after="0"/>
              <w:rPr>
                <w:sz w:val="19"/>
                <w:szCs w:val="19"/>
                <w:color w:val="auto"/>
              </w:rPr>
            </w:pPr>
          </w:p>
        </w:tc>
        <w:tc>
          <w:tcPr>
            <w:tcW w:w="6180" w:type="dxa"/>
            <w:vAlign w:val="bottom"/>
            <w:gridSpan w:val="2"/>
          </w:tcPr>
          <w:p>
            <w:pPr>
              <w:jc w:val="center"/>
              <w:spacing w:after="0"/>
              <w:rPr>
                <w:sz w:val="20"/>
                <w:szCs w:val="20"/>
                <w:color w:val="auto"/>
              </w:rPr>
            </w:pPr>
            <w:r>
              <w:rPr>
                <w:rFonts w:ascii="Arial" w:cs="Arial" w:eastAsia="Arial" w:hAnsi="Arial"/>
                <w:sz w:val="15"/>
                <w:szCs w:val="15"/>
                <w:color w:val="auto"/>
                <w:w w:val="99"/>
              </w:rPr>
              <w:t>Linear Interpolation: 1:16.67 (Sales)</w:t>
            </w:r>
          </w:p>
        </w:tc>
      </w:tr>
      <w:tr>
        <w:trPr>
          <w:trHeight w:val="189"/>
        </w:trPr>
        <w:tc>
          <w:tcPr>
            <w:tcW w:w="3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520" w:type="dxa"/>
            <w:vAlign w:val="bottom"/>
          </w:tcPr>
          <w:p>
            <w:pPr>
              <w:jc w:val="center"/>
              <w:ind w:right="2485"/>
              <w:spacing w:after="0"/>
              <w:rPr>
                <w:sz w:val="20"/>
                <w:szCs w:val="20"/>
                <w:color w:val="auto"/>
              </w:rPr>
            </w:pPr>
            <w:r>
              <w:rPr>
                <w:rFonts w:ascii="Arial" w:cs="Arial" w:eastAsia="Arial" w:hAnsi="Arial"/>
                <w:sz w:val="15"/>
                <w:szCs w:val="15"/>
                <w:color w:val="auto"/>
                <w:w w:val="99"/>
              </w:rPr>
              <w:t>1.50 (Income)</w:t>
            </w:r>
          </w:p>
        </w:tc>
      </w:tr>
      <w:tr>
        <w:trPr>
          <w:trHeight w:val="22"/>
        </w:trPr>
        <w:tc>
          <w:tcPr>
            <w:tcW w:w="3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50"/>
        </w:trPr>
        <w:tc>
          <w:tcPr>
            <w:tcW w:w="300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5"/>
                <w:szCs w:val="15"/>
                <w:color w:val="auto"/>
                <w:w w:val="99"/>
              </w:rPr>
              <w:t>97%</w:t>
            </w:r>
          </w:p>
        </w:tc>
        <w:tc>
          <w:tcPr>
            <w:tcW w:w="266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w w:val="99"/>
              </w:rPr>
              <w:t>90%</w:t>
            </w:r>
          </w:p>
        </w:tc>
        <w:tc>
          <w:tcPr>
            <w:tcW w:w="3520" w:type="dxa"/>
            <w:vAlign w:val="bottom"/>
            <w:tcBorders>
              <w:bottom w:val="single" w:sz="8" w:color="EFE9FC"/>
            </w:tcBorders>
            <w:shd w:val="clear" w:color="auto" w:fill="EFE9FC"/>
          </w:tcPr>
          <w:p>
            <w:pPr>
              <w:jc w:val="center"/>
              <w:ind w:left="445"/>
              <w:spacing w:after="0"/>
              <w:rPr>
                <w:sz w:val="20"/>
                <w:szCs w:val="20"/>
                <w:color w:val="auto"/>
              </w:rPr>
            </w:pPr>
            <w:r>
              <w:rPr>
                <w:rFonts w:ascii="Arial" w:cs="Arial" w:eastAsia="Arial" w:hAnsi="Arial"/>
                <w:sz w:val="15"/>
                <w:szCs w:val="15"/>
                <w:color w:val="auto"/>
              </w:rPr>
              <w:t>50%</w:t>
            </w:r>
          </w:p>
        </w:tc>
      </w:tr>
      <w:tr>
        <w:trPr>
          <w:trHeight w:val="222"/>
        </w:trPr>
        <w:tc>
          <w:tcPr>
            <w:tcW w:w="3000" w:type="dxa"/>
            <w:vAlign w:val="bottom"/>
          </w:tcPr>
          <w:p>
            <w:pPr>
              <w:jc w:val="center"/>
              <w:spacing w:after="0"/>
              <w:rPr>
                <w:sz w:val="20"/>
                <w:szCs w:val="20"/>
                <w:color w:val="auto"/>
              </w:rPr>
            </w:pPr>
            <w:r>
              <w:rPr>
                <w:rFonts w:ascii="Arial" w:cs="Arial" w:eastAsia="Arial" w:hAnsi="Arial"/>
                <w:sz w:val="15"/>
                <w:szCs w:val="15"/>
                <w:color w:val="auto"/>
              </w:rPr>
              <w:t>&lt;97%</w:t>
            </w:r>
          </w:p>
        </w:tc>
        <w:tc>
          <w:tcPr>
            <w:tcW w:w="2660" w:type="dxa"/>
            <w:vAlign w:val="bottom"/>
          </w:tcPr>
          <w:p>
            <w:pPr>
              <w:jc w:val="center"/>
              <w:ind w:left="445"/>
              <w:spacing w:after="0"/>
              <w:rPr>
                <w:sz w:val="20"/>
                <w:szCs w:val="20"/>
                <w:color w:val="auto"/>
              </w:rPr>
            </w:pPr>
            <w:r>
              <w:rPr>
                <w:rFonts w:ascii="Arial" w:cs="Arial" w:eastAsia="Arial" w:hAnsi="Arial"/>
                <w:sz w:val="15"/>
                <w:szCs w:val="15"/>
                <w:color w:val="auto"/>
                <w:w w:val="97"/>
              </w:rPr>
              <w:t>&lt;90%</w:t>
            </w:r>
          </w:p>
        </w:tc>
        <w:tc>
          <w:tcPr>
            <w:tcW w:w="3520" w:type="dxa"/>
            <w:vAlign w:val="bottom"/>
          </w:tcPr>
          <w:p>
            <w:pPr>
              <w:jc w:val="center"/>
              <w:ind w:left="425"/>
              <w:spacing w:after="0"/>
              <w:rPr>
                <w:sz w:val="20"/>
                <w:szCs w:val="20"/>
                <w:color w:val="auto"/>
              </w:rPr>
            </w:pPr>
            <w:r>
              <w:rPr>
                <w:rFonts w:ascii="Arial" w:cs="Arial" w:eastAsia="Arial" w:hAnsi="Arial"/>
                <w:sz w:val="15"/>
                <w:szCs w:val="15"/>
                <w:color w:val="auto"/>
              </w:rPr>
              <w:t>0%</w:t>
            </w:r>
          </w:p>
        </w:tc>
      </w:tr>
      <w:tr>
        <w:trPr>
          <w:trHeight w:val="21"/>
        </w:trPr>
        <w:tc>
          <w:tcPr>
            <w:tcW w:w="3000" w:type="dxa"/>
            <w:vAlign w:val="bottom"/>
            <w:tcBorders>
              <w:bottom w:val="single" w:sz="8" w:color="6A2887"/>
            </w:tcBorders>
          </w:tcPr>
          <w:p>
            <w:pPr>
              <w:spacing w:after="0" w:line="20" w:lineRule="exact"/>
              <w:rPr>
                <w:sz w:val="1"/>
                <w:szCs w:val="1"/>
                <w:color w:val="auto"/>
              </w:rPr>
            </w:pPr>
          </w:p>
        </w:tc>
        <w:tc>
          <w:tcPr>
            <w:tcW w:w="2660" w:type="dxa"/>
            <w:vAlign w:val="bottom"/>
            <w:tcBorders>
              <w:bottom w:val="single" w:sz="8" w:color="6A2887"/>
            </w:tcBorders>
          </w:tcPr>
          <w:p>
            <w:pPr>
              <w:spacing w:after="0" w:line="20" w:lineRule="exact"/>
              <w:rPr>
                <w:sz w:val="1"/>
                <w:szCs w:val="1"/>
                <w:color w:val="auto"/>
              </w:rPr>
            </w:pPr>
          </w:p>
        </w:tc>
        <w:tc>
          <w:tcPr>
            <w:tcW w:w="3520" w:type="dxa"/>
            <w:vAlign w:val="bottom"/>
            <w:tcBorders>
              <w:bottom w:val="single" w:sz="8" w:color="6A2887"/>
            </w:tcBorders>
          </w:tcPr>
          <w:p>
            <w:pPr>
              <w:spacing w:after="0" w:line="20" w:lineRule="exact"/>
              <w:rPr>
                <w:sz w:val="1"/>
                <w:szCs w:val="1"/>
                <w:color w:val="auto"/>
              </w:rPr>
            </w:pPr>
          </w:p>
        </w:tc>
      </w:tr>
    </w:tbl>
    <w:p>
      <w:pPr>
        <w:spacing w:after="0" w:line="96" w:lineRule="exact"/>
        <w:rPr>
          <w:sz w:val="20"/>
          <w:szCs w:val="20"/>
          <w:color w:val="auto"/>
        </w:rPr>
      </w:pPr>
    </w:p>
    <w:p>
      <w:pPr>
        <w:ind w:left="760" w:right="940"/>
        <w:spacing w:after="0" w:line="266"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2020, plus a Leadership objective focused on developing our future leaders. The Design projects include two product development projects, each valued at 5% if the objectives are achieved within defined timelines. The Clinical and Regulatory projects are enrollment objectives for three clinical studies, one of which is valued at 10% and the other two of which are valued at 5%. The achievement of one of these last two clinical studies is alternative to a regulatory submission objective. The Commercialization objective is a commercial launch objective valued at 10%. Together, the six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Arial" w:cs="Arial" w:eastAsia="Arial" w:hAnsi="Arial"/>
                <w:sz w:val="14"/>
                <w:szCs w:val="14"/>
                <w:b w:val="1"/>
                <w:bCs w:val="1"/>
                <w:color w:val="6A2887"/>
              </w:rPr>
              <w:t>Clinical and</w:t>
            </w: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3180" w:type="dxa"/>
            <w:vAlign w:val="bottom"/>
            <w:tcBorders>
              <w:bottom w:val="single" w:sz="8" w:color="6A2887"/>
            </w:tcBorders>
          </w:tcPr>
          <w:p>
            <w:pPr>
              <w:spacing w:after="0"/>
              <w:rPr>
                <w:sz w:val="17"/>
                <w:szCs w:val="17"/>
                <w:color w:val="auto"/>
              </w:rPr>
            </w:pPr>
          </w:p>
        </w:tc>
        <w:tc>
          <w:tcPr>
            <w:tcW w:w="250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Design</w:t>
            </w:r>
          </w:p>
        </w:tc>
        <w:tc>
          <w:tcPr>
            <w:tcW w:w="1080" w:type="dxa"/>
            <w:vAlign w:val="bottom"/>
            <w:tcBorders>
              <w:bottom w:val="single" w:sz="8" w:color="6A2887"/>
            </w:tcBorders>
          </w:tcPr>
          <w:p>
            <w:pPr>
              <w:jc w:val="right"/>
              <w:ind w:right="65"/>
              <w:spacing w:after="0"/>
              <w:rPr>
                <w:sz w:val="20"/>
                <w:szCs w:val="20"/>
                <w:color w:val="auto"/>
              </w:rPr>
            </w:pPr>
            <w:r>
              <w:rPr>
                <w:rFonts w:ascii="Arial" w:cs="Arial" w:eastAsia="Arial" w:hAnsi="Arial"/>
                <w:sz w:val="14"/>
                <w:szCs w:val="14"/>
                <w:b w:val="1"/>
                <w:bCs w:val="1"/>
                <w:color w:val="6A2887"/>
              </w:rPr>
              <w:t>Regulatory</w:t>
            </w:r>
          </w:p>
        </w:tc>
        <w:tc>
          <w:tcPr>
            <w:tcW w:w="1480" w:type="dxa"/>
            <w:vAlign w:val="bottom"/>
            <w:tcBorders>
              <w:bottom w:val="single" w:sz="8" w:color="6A2887"/>
            </w:tcBorders>
          </w:tcPr>
          <w:p>
            <w:pPr>
              <w:jc w:val="right"/>
              <w:ind w:right="45"/>
              <w:spacing w:after="0"/>
              <w:rPr>
                <w:sz w:val="20"/>
                <w:szCs w:val="20"/>
                <w:color w:val="auto"/>
              </w:rPr>
            </w:pPr>
            <w:r>
              <w:rPr>
                <w:rFonts w:ascii="Arial" w:cs="Arial" w:eastAsia="Arial" w:hAnsi="Arial"/>
                <w:sz w:val="14"/>
                <w:szCs w:val="14"/>
                <w:b w:val="1"/>
                <w:bCs w:val="1"/>
                <w:color w:val="6A2887"/>
              </w:rPr>
              <w:t>Commercialization</w:t>
            </w:r>
          </w:p>
        </w:tc>
        <w:tc>
          <w:tcPr>
            <w:tcW w:w="9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Leadership</w:t>
            </w:r>
          </w:p>
        </w:tc>
      </w:tr>
      <w:tr>
        <w:trPr>
          <w:trHeight w:val="221"/>
        </w:trPr>
        <w:tc>
          <w:tcPr>
            <w:tcW w:w="318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2500" w:type="dxa"/>
            <w:vAlign w:val="bottom"/>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2"/>
        </w:trPr>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31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5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w:t>
            </w:r>
          </w:p>
        </w:tc>
      </w:tr>
      <w:tr>
        <w:trPr>
          <w:trHeight w:val="221"/>
        </w:trPr>
        <w:tc>
          <w:tcPr>
            <w:tcW w:w="318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2500" w:type="dxa"/>
            <w:vAlign w:val="bottom"/>
          </w:tcPr>
          <w:p>
            <w:pPr>
              <w:jc w:val="right"/>
              <w:ind w:right="45"/>
              <w:spacing w:after="0"/>
              <w:rPr>
                <w:sz w:val="20"/>
                <w:szCs w:val="20"/>
                <w:color w:val="auto"/>
              </w:rPr>
            </w:pPr>
            <w:r>
              <w:rPr>
                <w:rFonts w:ascii="Arial" w:cs="Arial" w:eastAsia="Arial" w:hAnsi="Arial"/>
                <w:sz w:val="15"/>
                <w:szCs w:val="15"/>
                <w:color w:val="auto"/>
              </w:rPr>
              <w:t>10%</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20%</w:t>
            </w:r>
          </w:p>
        </w:tc>
        <w:tc>
          <w:tcPr>
            <w:tcW w:w="1480" w:type="dxa"/>
            <w:vAlign w:val="bottom"/>
          </w:tcPr>
          <w:p>
            <w:pPr>
              <w:jc w:val="right"/>
              <w:ind w:right="25"/>
              <w:spacing w:after="0"/>
              <w:rPr>
                <w:sz w:val="20"/>
                <w:szCs w:val="20"/>
                <w:color w:val="auto"/>
              </w:rPr>
            </w:pPr>
            <w:r>
              <w:rPr>
                <w:rFonts w:ascii="Arial" w:cs="Arial" w:eastAsia="Arial" w:hAnsi="Arial"/>
                <w:sz w:val="15"/>
                <w:szCs w:val="15"/>
                <w:color w:val="auto"/>
              </w:rPr>
              <w:t>10%</w:t>
            </w: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2"/>
        </w:trPr>
        <w:tc>
          <w:tcPr>
            <w:tcW w:w="3180" w:type="dxa"/>
            <w:vAlign w:val="bottom"/>
            <w:tcBorders>
              <w:bottom w:val="single" w:sz="8" w:color="6A2887"/>
            </w:tcBorders>
          </w:tcPr>
          <w:p>
            <w:pPr>
              <w:spacing w:after="0" w:line="20" w:lineRule="exact"/>
              <w:rPr>
                <w:sz w:val="1"/>
                <w:szCs w:val="1"/>
                <w:color w:val="auto"/>
              </w:rPr>
            </w:pPr>
          </w:p>
        </w:tc>
        <w:tc>
          <w:tcPr>
            <w:tcW w:w="2500" w:type="dxa"/>
            <w:vAlign w:val="bottom"/>
            <w:tcBorders>
              <w:bottom w:val="single" w:sz="8" w:color="6A2887"/>
            </w:tcBorders>
          </w:tcPr>
          <w:p>
            <w:pPr>
              <w:spacing w:after="0" w:line="20" w:lineRule="exact"/>
              <w:rPr>
                <w:sz w:val="1"/>
                <w:szCs w:val="1"/>
                <w:color w:val="auto"/>
              </w:rPr>
            </w:pPr>
          </w:p>
        </w:tc>
        <w:tc>
          <w:tcPr>
            <w:tcW w:w="1080" w:type="dxa"/>
            <w:vAlign w:val="bottom"/>
            <w:tcBorders>
              <w:bottom w:val="single" w:sz="8" w:color="6A2887"/>
            </w:tcBorders>
          </w:tcPr>
          <w:p>
            <w:pPr>
              <w:spacing w:after="0" w:line="20" w:lineRule="exact"/>
              <w:rPr>
                <w:sz w:val="1"/>
                <w:szCs w:val="1"/>
                <w:color w:val="auto"/>
              </w:rPr>
            </w:pPr>
          </w:p>
        </w:tc>
        <w:tc>
          <w:tcPr>
            <w:tcW w:w="1480" w:type="dxa"/>
            <w:vAlign w:val="bottom"/>
            <w:tcBorders>
              <w:bottom w:val="single" w:sz="8" w:color="6A2887"/>
            </w:tcBorders>
          </w:tcPr>
          <w:p>
            <w:pPr>
              <w:spacing w:after="0" w:line="20" w:lineRule="exact"/>
              <w:rPr>
                <w:sz w:val="1"/>
                <w:szCs w:val="1"/>
                <w:color w:val="auto"/>
              </w:rPr>
            </w:pPr>
          </w:p>
        </w:tc>
        <w:tc>
          <w:tcPr>
            <w:tcW w:w="940" w:type="dxa"/>
            <w:vAlign w:val="bottom"/>
            <w:tcBorders>
              <w:bottom w:val="single" w:sz="8" w:color="6A2887"/>
            </w:tcBorders>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2020 LTIP</w:t>
      </w:r>
    </w:p>
    <w:p>
      <w:pPr>
        <w:spacing w:after="0" w:line="124" w:lineRule="exact"/>
        <w:rPr>
          <w:sz w:val="20"/>
          <w:szCs w:val="20"/>
          <w:color w:val="auto"/>
        </w:rPr>
      </w:pPr>
    </w:p>
    <w:p>
      <w:pPr>
        <w:ind w:left="760" w:right="1040"/>
        <w:spacing w:after="0" w:line="271" w:lineRule="auto"/>
        <w:rPr>
          <w:sz w:val="20"/>
          <w:szCs w:val="20"/>
          <w:color w:val="auto"/>
        </w:rPr>
      </w:pPr>
      <w:r>
        <w:rPr>
          <w:rFonts w:ascii="Arial" w:cs="Arial" w:eastAsia="Arial" w:hAnsi="Arial"/>
          <w:sz w:val="16"/>
          <w:szCs w:val="16"/>
          <w:color w:val="auto"/>
        </w:rPr>
        <w:t>On March 30, 2020, the Compensation Committee approved our 2020 LTIP in which all NEOs (other than Messrs. Andrle and Simpson who are no longer executive officers) participate. Pursuant to the 2020 LTIP, the Committee approved an equity award value for each of four award vehicles for each participant with an effective date of March 30, 2020,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00" w:type="dxa"/>
            <w:vAlign w:val="bottom"/>
          </w:tcPr>
          <w:p>
            <w:pPr>
              <w:jc w:val="right"/>
              <w:ind w:right="7"/>
              <w:spacing w:after="0"/>
              <w:rPr>
                <w:sz w:val="20"/>
                <w:szCs w:val="20"/>
                <w:color w:val="auto"/>
              </w:rPr>
            </w:pPr>
            <w:r>
              <w:rPr>
                <w:rFonts w:ascii="Arial" w:cs="Arial" w:eastAsia="Arial" w:hAnsi="Arial"/>
                <w:sz w:val="14"/>
                <w:szCs w:val="14"/>
                <w:b w:val="1"/>
                <w:bCs w:val="1"/>
                <w:color w:val="6A2887"/>
              </w:rPr>
              <w:t>RSUs ($)</w:t>
            </w:r>
          </w:p>
        </w:tc>
        <w:tc>
          <w:tcPr>
            <w:tcW w:w="960" w:type="dxa"/>
            <w:vAlign w:val="bottom"/>
          </w:tcPr>
          <w:p>
            <w:pPr>
              <w:jc w:val="right"/>
              <w:ind w:right="45"/>
              <w:spacing w:after="0"/>
              <w:rPr>
                <w:sz w:val="20"/>
                <w:szCs w:val="20"/>
                <w:color w:val="auto"/>
              </w:rPr>
            </w:pPr>
            <w:r>
              <w:rPr>
                <w:rFonts w:ascii="Arial" w:cs="Arial" w:eastAsia="Arial" w:hAnsi="Arial"/>
                <w:sz w:val="14"/>
                <w:szCs w:val="14"/>
                <w:b w:val="1"/>
                <w:bCs w:val="1"/>
                <w:color w:val="6A2887"/>
              </w:rPr>
              <w:t>SARs ($)</w:t>
            </w:r>
          </w:p>
        </w:tc>
        <w:tc>
          <w:tcPr>
            <w:tcW w:w="1200" w:type="dxa"/>
            <w:vAlign w:val="bottom"/>
          </w:tcPr>
          <w:p>
            <w:pPr>
              <w:jc w:val="right"/>
              <w:ind w:right="45"/>
              <w:spacing w:after="0"/>
              <w:rPr>
                <w:sz w:val="20"/>
                <w:szCs w:val="20"/>
                <w:color w:val="auto"/>
              </w:rPr>
            </w:pPr>
            <w:r>
              <w:rPr>
                <w:rFonts w:ascii="Arial" w:cs="Arial" w:eastAsia="Arial" w:hAnsi="Arial"/>
                <w:sz w:val="14"/>
                <w:szCs w:val="14"/>
                <w:b w:val="1"/>
                <w:bCs w:val="1"/>
                <w:color w:val="6A2887"/>
              </w:rPr>
              <w:t>rTSR PSUs ($)</w:t>
            </w:r>
          </w:p>
        </w:tc>
        <w:tc>
          <w:tcPr>
            <w:tcW w:w="18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6A2887"/>
              </w:rPr>
              <w:t>FCF PSUs ($)</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3140" w:type="dxa"/>
            <w:vAlign w:val="bottom"/>
            <w:tcBorders>
              <w:top w:val="single" w:sz="8" w:color="6A2887"/>
            </w:tcBorders>
            <w:gridSpan w:val="2"/>
          </w:tcPr>
          <w:p>
            <w:pPr>
              <w:ind w:left="40"/>
              <w:spacing w:after="0"/>
              <w:rPr>
                <w:sz w:val="20"/>
                <w:szCs w:val="20"/>
                <w:color w:val="auto"/>
              </w:rPr>
            </w:pPr>
            <w:r>
              <w:rPr>
                <w:rFonts w:ascii="Arial" w:cs="Arial" w:eastAsia="Arial" w:hAnsi="Arial"/>
                <w:sz w:val="15"/>
                <w:szCs w:val="15"/>
                <w:color w:val="auto"/>
              </w:rPr>
              <w:t>Damien McDonald</w:t>
            </w:r>
          </w:p>
        </w:tc>
        <w:tc>
          <w:tcPr>
            <w:tcW w:w="2800" w:type="dxa"/>
            <w:vAlign w:val="bottom"/>
            <w:tcBorders>
              <w:top w:val="single" w:sz="8" w:color="6A2887"/>
            </w:tcBorders>
          </w:tcPr>
          <w:p>
            <w:pPr>
              <w:jc w:val="right"/>
              <w:ind w:right="7"/>
              <w:spacing w:after="0"/>
              <w:rPr>
                <w:sz w:val="20"/>
                <w:szCs w:val="20"/>
                <w:color w:val="auto"/>
              </w:rPr>
            </w:pPr>
            <w:r>
              <w:rPr>
                <w:rFonts w:ascii="Arial" w:cs="Arial" w:eastAsia="Arial" w:hAnsi="Arial"/>
                <w:sz w:val="15"/>
                <w:szCs w:val="15"/>
                <w:color w:val="auto"/>
              </w:rPr>
              <w:t>1,500,000</w:t>
            </w:r>
          </w:p>
        </w:tc>
        <w:tc>
          <w:tcPr>
            <w:tcW w:w="960" w:type="dxa"/>
            <w:vAlign w:val="bottom"/>
            <w:tcBorders>
              <w:top w:val="single" w:sz="8" w:color="6A2887"/>
            </w:tcBorders>
          </w:tcPr>
          <w:p>
            <w:pPr>
              <w:jc w:val="right"/>
              <w:ind w:right="45"/>
              <w:spacing w:after="0"/>
              <w:rPr>
                <w:sz w:val="20"/>
                <w:szCs w:val="20"/>
                <w:color w:val="auto"/>
              </w:rPr>
            </w:pPr>
            <w:r>
              <w:rPr>
                <w:rFonts w:ascii="Arial" w:cs="Arial" w:eastAsia="Arial" w:hAnsi="Arial"/>
                <w:sz w:val="15"/>
                <w:szCs w:val="15"/>
                <w:color w:val="auto"/>
              </w:rPr>
              <w:t>1,250,000</w:t>
            </w:r>
          </w:p>
        </w:tc>
        <w:tc>
          <w:tcPr>
            <w:tcW w:w="1200" w:type="dxa"/>
            <w:vAlign w:val="bottom"/>
            <w:tcBorders>
              <w:top w:val="single" w:sz="8" w:color="6A2887"/>
            </w:tcBorders>
          </w:tcPr>
          <w:p>
            <w:pPr>
              <w:jc w:val="right"/>
              <w:ind w:right="45"/>
              <w:spacing w:after="0"/>
              <w:rPr>
                <w:sz w:val="20"/>
                <w:szCs w:val="20"/>
                <w:color w:val="auto"/>
              </w:rPr>
            </w:pPr>
            <w:r>
              <w:rPr>
                <w:rFonts w:ascii="Arial" w:cs="Arial" w:eastAsia="Arial" w:hAnsi="Arial"/>
                <w:sz w:val="15"/>
                <w:szCs w:val="15"/>
                <w:color w:val="auto"/>
              </w:rPr>
              <w:t>1,500,000</w:t>
            </w:r>
          </w:p>
        </w:tc>
        <w:tc>
          <w:tcPr>
            <w:tcW w:w="1080" w:type="dxa"/>
            <w:vAlign w:val="bottom"/>
            <w:tcBorders>
              <w:top w:val="single" w:sz="8" w:color="6A2887"/>
            </w:tcBorders>
            <w:gridSpan w:val="2"/>
          </w:tcPr>
          <w:p>
            <w:pPr>
              <w:jc w:val="right"/>
              <w:spacing w:after="0"/>
              <w:rPr>
                <w:sz w:val="20"/>
                <w:szCs w:val="20"/>
                <w:color w:val="auto"/>
              </w:rPr>
            </w:pPr>
            <w:r>
              <w:rPr>
                <w:rFonts w:ascii="Arial" w:cs="Arial" w:eastAsia="Arial" w:hAnsi="Arial"/>
                <w:sz w:val="15"/>
                <w:szCs w:val="15"/>
                <w:color w:val="auto"/>
              </w:rPr>
              <w:t>1,500,000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3140" w:type="dxa"/>
            <w:vAlign w:val="bottom"/>
            <w:tcBorders>
              <w:bottom w:val="single" w:sz="8" w:color="EFE9FC"/>
            </w:tcBorders>
            <w:gridSpan w:val="2"/>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2800" w:type="dxa"/>
            <w:vAlign w:val="bottom"/>
            <w:tcBorders>
              <w:bottom w:val="single" w:sz="8" w:color="EFE9FC"/>
            </w:tcBorders>
            <w:shd w:val="clear" w:color="auto" w:fill="EFE9FC"/>
          </w:tcPr>
          <w:p>
            <w:pPr>
              <w:jc w:val="right"/>
              <w:ind w:right="7"/>
              <w:spacing w:after="0"/>
              <w:rPr>
                <w:sz w:val="20"/>
                <w:szCs w:val="20"/>
                <w:color w:val="auto"/>
              </w:rPr>
            </w:pPr>
            <w:r>
              <w:rPr>
                <w:rFonts w:ascii="Arial" w:cs="Arial" w:eastAsia="Arial" w:hAnsi="Arial"/>
                <w:sz w:val="15"/>
                <w:szCs w:val="15"/>
                <w:color w:val="auto"/>
              </w:rPr>
              <w:t>500,000</w:t>
            </w:r>
          </w:p>
        </w:tc>
        <w:tc>
          <w:tcPr>
            <w:tcW w:w="96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500,000</w:t>
            </w:r>
          </w:p>
        </w:tc>
        <w:tc>
          <w:tcPr>
            <w:tcW w:w="120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500,000</w:t>
            </w:r>
          </w:p>
        </w:tc>
        <w:tc>
          <w:tcPr>
            <w:tcW w:w="1080" w:type="dxa"/>
            <w:vAlign w:val="bottom"/>
            <w:tcBorders>
              <w:bottom w:val="single" w:sz="8" w:color="EFE9FC"/>
            </w:tcBorders>
            <w:gridSpan w:val="2"/>
            <w:shd w:val="clear" w:color="auto" w:fill="EFE9FC"/>
          </w:tcPr>
          <w:p>
            <w:pPr>
              <w:jc w:val="right"/>
              <w:spacing w:after="0"/>
              <w:rPr>
                <w:sz w:val="20"/>
                <w:szCs w:val="20"/>
                <w:color w:val="auto"/>
              </w:rPr>
            </w:pPr>
            <w:r>
              <w:rPr>
                <w:rFonts w:ascii="Arial" w:cs="Arial" w:eastAsia="Arial" w:hAnsi="Arial"/>
                <w:sz w:val="15"/>
                <w:szCs w:val="15"/>
                <w:color w:val="auto"/>
              </w:rPr>
              <w:t>500,000</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140" w:type="dxa"/>
            <w:vAlign w:val="bottom"/>
            <w:gridSpan w:val="2"/>
          </w:tcPr>
          <w:p>
            <w:pPr>
              <w:ind w:left="40"/>
              <w:spacing w:after="0"/>
              <w:rPr>
                <w:sz w:val="20"/>
                <w:szCs w:val="20"/>
                <w:color w:val="auto"/>
              </w:rPr>
            </w:pPr>
            <w:r>
              <w:rPr>
                <w:rFonts w:ascii="Arial" w:cs="Arial" w:eastAsia="Arial" w:hAnsi="Arial"/>
                <w:sz w:val="15"/>
                <w:szCs w:val="15"/>
                <w:color w:val="auto"/>
              </w:rPr>
              <w:t>Keyna Skeffington</w:t>
            </w:r>
          </w:p>
        </w:tc>
        <w:tc>
          <w:tcPr>
            <w:tcW w:w="2800" w:type="dxa"/>
            <w:vAlign w:val="bottom"/>
          </w:tcPr>
          <w:p>
            <w:pPr>
              <w:jc w:val="right"/>
              <w:ind w:right="7"/>
              <w:spacing w:after="0"/>
              <w:rPr>
                <w:sz w:val="20"/>
                <w:szCs w:val="20"/>
                <w:color w:val="auto"/>
              </w:rPr>
            </w:pPr>
            <w:r>
              <w:rPr>
                <w:rFonts w:ascii="Arial" w:cs="Arial" w:eastAsia="Arial" w:hAnsi="Arial"/>
                <w:sz w:val="15"/>
                <w:szCs w:val="15"/>
                <w:color w:val="auto"/>
              </w:rPr>
              <w:t>250,000</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250,000</w:t>
            </w:r>
          </w:p>
        </w:tc>
        <w:tc>
          <w:tcPr>
            <w:tcW w:w="1200" w:type="dxa"/>
            <w:vAlign w:val="bottom"/>
          </w:tcPr>
          <w:p>
            <w:pPr>
              <w:jc w:val="right"/>
              <w:ind w:right="45"/>
              <w:spacing w:after="0"/>
              <w:rPr>
                <w:sz w:val="20"/>
                <w:szCs w:val="20"/>
                <w:color w:val="auto"/>
              </w:rPr>
            </w:pPr>
            <w:r>
              <w:rPr>
                <w:rFonts w:ascii="Arial" w:cs="Arial" w:eastAsia="Arial" w:hAnsi="Arial"/>
                <w:sz w:val="15"/>
                <w:szCs w:val="15"/>
                <w:color w:val="auto"/>
              </w:rPr>
              <w:t>250,000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250,000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Borders>
              <w:bottom w:val="single" w:sz="8" w:color="6A2887"/>
            </w:tcBorders>
          </w:tcPr>
          <w:p>
            <w:pPr>
              <w:spacing w:after="0" w:line="20" w:lineRule="exact"/>
              <w:rPr>
                <w:sz w:val="1"/>
                <w:szCs w:val="1"/>
                <w:color w:val="auto"/>
              </w:rPr>
            </w:pPr>
          </w:p>
        </w:tc>
        <w:tc>
          <w:tcPr>
            <w:tcW w:w="3080" w:type="dxa"/>
            <w:vAlign w:val="bottom"/>
            <w:tcBorders>
              <w:bottom w:val="single" w:sz="8" w:color="6A2887"/>
            </w:tcBorders>
          </w:tcPr>
          <w:p>
            <w:pPr>
              <w:spacing w:after="0" w:line="20" w:lineRule="exact"/>
              <w:rPr>
                <w:sz w:val="1"/>
                <w:szCs w:val="1"/>
                <w:color w:val="auto"/>
              </w:rPr>
            </w:pPr>
          </w:p>
        </w:tc>
        <w:tc>
          <w:tcPr>
            <w:tcW w:w="2800" w:type="dxa"/>
            <w:vAlign w:val="bottom"/>
            <w:tcBorders>
              <w:bottom w:val="single" w:sz="8" w:color="6A2887"/>
            </w:tcBorders>
          </w:tcPr>
          <w:p>
            <w:pPr>
              <w:spacing w:after="0" w:line="20" w:lineRule="exact"/>
              <w:rPr>
                <w:sz w:val="1"/>
                <w:szCs w:val="1"/>
                <w:color w:val="auto"/>
              </w:rPr>
            </w:pPr>
          </w:p>
        </w:tc>
        <w:tc>
          <w:tcPr>
            <w:tcW w:w="96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920" w:type="dxa"/>
            <w:vAlign w:val="bottom"/>
            <w:tcBorders>
              <w:bottom w:val="single" w:sz="8" w:color="6A2887"/>
            </w:tcBorders>
          </w:tcPr>
          <w:p>
            <w:pPr>
              <w:spacing w:after="0" w:line="20" w:lineRule="exact"/>
              <w:rPr>
                <w:sz w:val="1"/>
                <w:szCs w:val="1"/>
                <w:color w:val="auto"/>
              </w:rPr>
            </w:pPr>
          </w:p>
        </w:tc>
        <w:tc>
          <w:tcPr>
            <w:tcW w:w="160" w:type="dxa"/>
            <w:vAlign w:val="bottom"/>
            <w:tcBorders>
              <w:bottom w:val="single" w:sz="8" w:color="6A2887"/>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800" w:type="dxa"/>
            <w:vAlign w:val="bottom"/>
            <w:vMerge w:val="restart"/>
          </w:tcPr>
          <w:p>
            <w:pPr>
              <w:jc w:val="right"/>
              <w:ind w:right="307"/>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Service-Based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RSUs</w:t>
      </w:r>
    </w:p>
    <w:p>
      <w:pPr>
        <w:spacing w:after="0" w:line="120"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SARs</w:t>
      </w:r>
    </w:p>
    <w:p>
      <w:pPr>
        <w:spacing w:after="0" w:line="120" w:lineRule="exact"/>
        <w:rPr>
          <w:sz w:val="20"/>
          <w:szCs w:val="20"/>
          <w:color w:val="auto"/>
        </w:rPr>
      </w:pPr>
    </w:p>
    <w:p>
      <w:pPr>
        <w:jc w:val="both"/>
        <w:ind w:left="760" w:right="299"/>
        <w:spacing w:after="0" w:line="251"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Nasdaq as of the grant date and rounding down to the nearest whole right.</w:t>
      </w:r>
    </w:p>
    <w:p>
      <w:pPr>
        <w:spacing w:after="0" w:line="2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Performance-Based Elements: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rTSR PSUs</w:t>
      </w:r>
    </w:p>
    <w:p>
      <w:pPr>
        <w:spacing w:after="0" w:line="120" w:lineRule="exact"/>
        <w:rPr>
          <w:sz w:val="20"/>
          <w:szCs w:val="20"/>
          <w:color w:val="auto"/>
        </w:rPr>
      </w:pPr>
    </w:p>
    <w:p>
      <w:pPr>
        <w:ind w:left="760" w:right="339"/>
        <w:spacing w:after="0" w:line="250" w:lineRule="auto"/>
        <w:rPr>
          <w:sz w:val="20"/>
          <w:szCs w:val="20"/>
          <w:color w:val="auto"/>
        </w:rPr>
      </w:pPr>
      <w:r>
        <w:rPr>
          <w:rFonts w:ascii="Arial" w:cs="Arial" w:eastAsia="Arial" w:hAnsi="Arial"/>
          <w:sz w:val="16"/>
          <w:szCs w:val="16"/>
          <w:color w:val="auto"/>
        </w:rPr>
        <w:t>Each participant received an award of PSUs subject to a three-year rTSR market condition. At the end of calendar year 2022, our TSR for the three-year period 2020 through 2022 will be compared to the TSR for a group of 30 companies (the “2020 rTSR Comparator Group”) selected by the Committee’s compensation consultant, Pearl Meyer, and the number of shares of our stock actually delivered to the participants will be determined by the following chart, with linear interpolation applied between specified levels.</w:t>
      </w:r>
    </w:p>
    <w:p>
      <w:pPr>
        <w:spacing w:after="0" w:line="18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600" w:type="dxa"/>
            <w:vAlign w:val="bottom"/>
          </w:tcPr>
          <w:p>
            <w:pPr>
              <w:ind w:left="40"/>
              <w:spacing w:after="0"/>
              <w:rPr>
                <w:sz w:val="20"/>
                <w:szCs w:val="20"/>
                <w:color w:val="auto"/>
              </w:rPr>
            </w:pPr>
            <w:r>
              <w:rPr>
                <w:rFonts w:ascii="Arial" w:cs="Arial" w:eastAsia="Arial" w:hAnsi="Arial"/>
                <w:sz w:val="14"/>
                <w:szCs w:val="14"/>
                <w:b w:val="1"/>
                <w:bCs w:val="1"/>
                <w:color w:val="6A2887"/>
              </w:rPr>
              <w:t>TSR Performance</w:t>
            </w:r>
          </w:p>
        </w:tc>
        <w:tc>
          <w:tcPr>
            <w:tcW w:w="4580" w:type="dxa"/>
            <w:vAlign w:val="bottom"/>
          </w:tcPr>
          <w:p>
            <w:pPr>
              <w:jc w:val="right"/>
              <w:ind w:right="25"/>
              <w:spacing w:after="0"/>
              <w:rPr>
                <w:sz w:val="20"/>
                <w:szCs w:val="20"/>
                <w:color w:val="auto"/>
              </w:rPr>
            </w:pPr>
            <w:r>
              <w:rPr>
                <w:rFonts w:ascii="Arial" w:cs="Arial" w:eastAsia="Arial" w:hAnsi="Arial"/>
                <w:sz w:val="14"/>
                <w:szCs w:val="14"/>
                <w:b w:val="1"/>
                <w:bCs w:val="1"/>
                <w:color w:val="6A2887"/>
              </w:rPr>
              <w:t>Percent Funding</w:t>
            </w:r>
          </w:p>
        </w:tc>
      </w:tr>
      <w:tr>
        <w:trPr>
          <w:trHeight w:val="196"/>
        </w:trPr>
        <w:tc>
          <w:tcPr>
            <w:tcW w:w="46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Percentile Rank</w:t>
            </w:r>
          </w:p>
        </w:tc>
        <w:tc>
          <w:tcPr>
            <w:tcW w:w="458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for Objective</w:t>
            </w:r>
          </w:p>
        </w:tc>
      </w:tr>
      <w:tr>
        <w:trPr>
          <w:trHeight w:val="256"/>
        </w:trPr>
        <w:tc>
          <w:tcPr>
            <w:tcW w:w="4600" w:type="dxa"/>
            <w:vAlign w:val="bottom"/>
          </w:tcPr>
          <w:p>
            <w:pPr>
              <w:ind w:left="40"/>
              <w:spacing w:after="0" w:line="256"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c>
          <w:tcPr>
            <w:tcW w:w="458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84"/>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80</w:t>
            </w:r>
            <w:r>
              <w:rPr>
                <w:rFonts w:ascii="Arial" w:cs="Arial" w:eastAsia="Arial" w:hAnsi="Arial"/>
                <w:sz w:val="23"/>
                <w:szCs w:val="23"/>
                <w:color w:val="auto"/>
                <w:vertAlign w:val="superscript"/>
              </w:rPr>
              <w:t>th</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56"/>
        </w:trPr>
        <w:tc>
          <w:tcPr>
            <w:tcW w:w="4600" w:type="dxa"/>
            <w:vAlign w:val="bottom"/>
          </w:tcPr>
          <w:p>
            <w:pPr>
              <w:ind w:left="40"/>
              <w:spacing w:after="0" w:line="256"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458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84"/>
        </w:trPr>
        <w:tc>
          <w:tcPr>
            <w:tcW w:w="4600" w:type="dxa"/>
            <w:vAlign w:val="bottom"/>
            <w:shd w:val="clear" w:color="auto" w:fill="EFE9FC"/>
          </w:tcPr>
          <w:p>
            <w:pPr>
              <w:ind w:left="40"/>
              <w:spacing w:after="0"/>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4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40%</w:t>
            </w:r>
          </w:p>
        </w:tc>
      </w:tr>
      <w:tr>
        <w:trPr>
          <w:trHeight w:val="256"/>
        </w:trPr>
        <w:tc>
          <w:tcPr>
            <w:tcW w:w="4600" w:type="dxa"/>
            <w:vAlign w:val="bottom"/>
            <w:tcBorders>
              <w:bottom w:val="single" w:sz="8" w:color="6A2887"/>
            </w:tcBorders>
          </w:tcPr>
          <w:p>
            <w:pPr>
              <w:ind w:left="40"/>
              <w:spacing w:after="0" w:line="256" w:lineRule="exact"/>
              <w:rPr>
                <w:sz w:val="20"/>
                <w:szCs w:val="20"/>
                <w:color w:val="auto"/>
              </w:rPr>
            </w:pPr>
            <w:r>
              <w:rPr>
                <w:rFonts w:ascii="Arial" w:cs="Arial" w:eastAsia="Arial" w:hAnsi="Arial"/>
                <w:sz w:val="15"/>
                <w:szCs w:val="15"/>
                <w:color w:val="auto"/>
              </w:rPr>
              <w:t>&lt;30</w:t>
            </w:r>
            <w:r>
              <w:rPr>
                <w:rFonts w:ascii="Arial" w:cs="Arial" w:eastAsia="Arial" w:hAnsi="Arial"/>
                <w:sz w:val="23"/>
                <w:szCs w:val="23"/>
                <w:color w:val="auto"/>
                <w:vertAlign w:val="superscript"/>
              </w:rPr>
              <w:t>th</w:t>
            </w:r>
          </w:p>
        </w:tc>
        <w:tc>
          <w:tcPr>
            <w:tcW w:w="4580" w:type="dxa"/>
            <w:vAlign w:val="bottom"/>
            <w:tcBorders>
              <w:bottom w:val="single" w:sz="8" w:color="6A2887"/>
            </w:tcBorders>
          </w:tcPr>
          <w:p>
            <w:pPr>
              <w:jc w:val="right"/>
              <w:spacing w:after="0"/>
              <w:rPr>
                <w:sz w:val="20"/>
                <w:szCs w:val="20"/>
                <w:color w:val="auto"/>
              </w:rPr>
            </w:pPr>
            <w:r>
              <w:rPr>
                <w:rFonts w:ascii="Arial" w:cs="Arial" w:eastAsia="Arial" w:hAnsi="Arial"/>
                <w:sz w:val="15"/>
                <w:szCs w:val="15"/>
                <w:color w:val="auto"/>
              </w:rPr>
              <w:t>0%</w:t>
            </w:r>
          </w:p>
        </w:tc>
      </w:tr>
    </w:tbl>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companies comprise the 2020 rTSR Comparator Group:</w:t>
      </w:r>
    </w:p>
    <w:p>
      <w:pPr>
        <w:sectPr>
          <w:pgSz w:w="11900" w:h="16838" w:orient="portrait"/>
          <w:cols w:equalWidth="0" w:num="1">
            <w:col w:w="10139"/>
          </w:cols>
          <w:pgMar w:left="320" w:top="132" w:right="1440"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ABIOMED, Inc.</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179"/>
        <w:spacing w:after="0"/>
        <w:rPr>
          <w:sz w:val="20"/>
          <w:szCs w:val="20"/>
          <w:color w:val="auto"/>
        </w:rPr>
      </w:pPr>
      <w:r>
        <w:rPr>
          <w:rFonts w:ascii="Arial" w:cs="Arial" w:eastAsia="Arial" w:hAnsi="Arial"/>
          <w:sz w:val="15"/>
          <w:szCs w:val="15"/>
          <w:color w:val="auto"/>
        </w:rPr>
        <w:t>Intuitive Surgical,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Baxter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Invacare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Becton, Dickinson and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Masimo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Boston Scientific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Medtronic plc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Cantel Medical Corp.</w:t>
      </w:r>
    </w:p>
    <w:p>
      <w:pPr>
        <w:spacing w:after="0" w:line="20" w:lineRule="exact"/>
        <w:rPr>
          <w:sz w:val="20"/>
          <w:szCs w:val="20"/>
          <w:color w:val="auto"/>
        </w:rPr>
      </w:pPr>
      <w:r>
        <w:rPr>
          <w:sz w:val="20"/>
          <w:szCs w:val="20"/>
          <w:color w:val="auto"/>
        </w:rPr>
        <w:br w:type="column"/>
      </w:r>
    </w:p>
    <w:p>
      <w:pPr>
        <w:jc w:val="center"/>
        <w:ind w:right="2739"/>
        <w:spacing w:after="0"/>
        <w:rPr>
          <w:sz w:val="20"/>
          <w:szCs w:val="20"/>
          <w:color w:val="auto"/>
        </w:rPr>
      </w:pPr>
      <w:r>
        <w:rPr>
          <w:rFonts w:ascii="Arial" w:cs="Arial" w:eastAsia="Arial" w:hAnsi="Arial"/>
          <w:sz w:val="15"/>
          <w:szCs w:val="15"/>
          <w:color w:val="auto"/>
        </w:rPr>
        <w:t>Natus Medical Incorporated</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CONMED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Nevro Corp.</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DexCom, Inc.</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5"/>
          <w:szCs w:val="15"/>
          <w:color w:val="auto"/>
        </w:rPr>
        <w:t>NuVasive,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Edwards Lifesciences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Penumbra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Globus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ResMed Inc.</w:t>
      </w:r>
    </w:p>
    <w:p>
      <w:pPr>
        <w:spacing w:after="0" w:line="59"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Haemonetics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Smith &amp; Nephew plc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Hill-Rom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Stryker Corporation</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Hologic, Inc.</w:t>
      </w:r>
    </w:p>
    <w:p>
      <w:pPr>
        <w:spacing w:after="0" w:line="20" w:lineRule="exact"/>
        <w:rPr>
          <w:sz w:val="20"/>
          <w:szCs w:val="20"/>
          <w:color w:val="auto"/>
        </w:rPr>
      </w:pPr>
      <w:r>
        <w:rPr>
          <w:sz w:val="20"/>
          <w:szCs w:val="20"/>
          <w:color w:val="auto"/>
        </w:rPr>
        <w:br w:type="column"/>
      </w:r>
    </w:p>
    <w:p>
      <w:pPr>
        <w:jc w:val="center"/>
        <w:ind w:right="3219"/>
        <w:spacing w:after="0"/>
        <w:rPr>
          <w:sz w:val="20"/>
          <w:szCs w:val="20"/>
          <w:color w:val="auto"/>
        </w:rPr>
      </w:pPr>
      <w:r>
        <w:rPr>
          <w:rFonts w:ascii="Arial" w:cs="Arial" w:eastAsia="Arial" w:hAnsi="Arial"/>
          <w:sz w:val="15"/>
          <w:szCs w:val="15"/>
          <w:color w:val="auto"/>
        </w:rPr>
        <w:t>Teleflex Incorporated</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Insulet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Varian Medical Systems, Inc.</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Integer Holdings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Wright Medical Group N.V.</w:t>
      </w:r>
    </w:p>
    <w:p>
      <w:pPr>
        <w:spacing w:after="0" w:line="71"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Integra LifeSciences Holdings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Zimmer Biomet Holdings, Inc.</w:t>
      </w:r>
    </w:p>
    <w:p>
      <w:pPr>
        <w:spacing w:after="0" w:line="200" w:lineRule="exact"/>
        <w:rPr>
          <w:sz w:val="20"/>
          <w:szCs w:val="20"/>
          <w:color w:val="auto"/>
        </w:rPr>
      </w:pPr>
    </w:p>
    <w:p>
      <w:pPr>
        <w:sectPr>
          <w:pgSz w:w="11900" w:h="16838" w:orient="portrait"/>
          <w:cols w:equalWidth="0" w:num="2">
            <w:col w:w="4740" w:space="720"/>
            <w:col w:w="4679"/>
          </w:cols>
          <w:pgMar w:left="320" w:top="132" w:right="1440" w:bottom="1440" w:gutter="0" w:footer="0" w:header="0"/>
          <w:type w:val="continuous"/>
        </w:sectPr>
      </w:pPr>
    </w:p>
    <w:p>
      <w:pPr>
        <w:spacing w:after="0" w:line="9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6A2887"/>
        </w:rPr>
        <w:t>Adjusted Free Cash Flow PSUs</w:t>
      </w:r>
    </w:p>
    <w:p>
      <w:pPr>
        <w:spacing w:after="0" w:line="120" w:lineRule="exact"/>
        <w:rPr>
          <w:sz w:val="20"/>
          <w:szCs w:val="20"/>
          <w:color w:val="auto"/>
        </w:rPr>
      </w:pPr>
    </w:p>
    <w:p>
      <w:pPr>
        <w:ind w:left="760" w:right="259"/>
        <w:spacing w:after="0" w:line="260"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FCF Target. At the end of calendar year 2022, cumulative adjusted free cash flow for the period 2020 through 2022 will be compared to the FCF</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Discussion &amp;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440"/>
        <w:spacing w:after="0" w:line="260" w:lineRule="auto"/>
        <w:rPr>
          <w:sz w:val="20"/>
          <w:szCs w:val="20"/>
          <w:color w:val="auto"/>
        </w:rPr>
      </w:pPr>
      <w:r>
        <w:rPr>
          <w:rFonts w:ascii="Arial" w:cs="Arial" w:eastAsia="Arial" w:hAnsi="Arial"/>
          <w:sz w:val="16"/>
          <w:szCs w:val="16"/>
          <w:color w:val="auto"/>
        </w:rPr>
        <w:t>Target, and the number of shares of our stock actually delivered to the participants will be determined by the following chart, with linear interpolation applied between specified levels:</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740" w:type="dxa"/>
            <w:vAlign w:val="bottom"/>
          </w:tcPr>
          <w:p>
            <w:pPr>
              <w:ind w:left="40"/>
              <w:spacing w:after="0"/>
              <w:rPr>
                <w:sz w:val="20"/>
                <w:szCs w:val="20"/>
                <w:color w:val="auto"/>
              </w:rPr>
            </w:pPr>
            <w:r>
              <w:rPr>
                <w:rFonts w:ascii="Arial" w:cs="Arial" w:eastAsia="Arial" w:hAnsi="Arial"/>
                <w:sz w:val="14"/>
                <w:szCs w:val="14"/>
                <w:b w:val="1"/>
                <w:bCs w:val="1"/>
                <w:color w:val="6A2887"/>
              </w:rPr>
              <w:t>FCF Achievement</w:t>
            </w:r>
          </w:p>
        </w:tc>
        <w:tc>
          <w:tcPr>
            <w:tcW w:w="4440" w:type="dxa"/>
            <w:vAlign w:val="bottom"/>
          </w:tcPr>
          <w:p>
            <w:pPr>
              <w:jc w:val="right"/>
              <w:ind w:right="25"/>
              <w:spacing w:after="0"/>
              <w:rPr>
                <w:sz w:val="20"/>
                <w:szCs w:val="20"/>
                <w:color w:val="auto"/>
              </w:rPr>
            </w:pPr>
            <w:r>
              <w:rPr>
                <w:rFonts w:ascii="Arial" w:cs="Arial" w:eastAsia="Arial" w:hAnsi="Arial"/>
                <w:sz w:val="14"/>
                <w:szCs w:val="14"/>
                <w:b w:val="1"/>
                <w:bCs w:val="1"/>
                <w:color w:val="6A2887"/>
              </w:rPr>
              <w:t>Percent Funding</w:t>
            </w:r>
          </w:p>
        </w:tc>
      </w:tr>
      <w:tr>
        <w:trPr>
          <w:trHeight w:val="196"/>
        </w:trPr>
        <w:tc>
          <w:tcPr>
            <w:tcW w:w="474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Relative to FCF Target</w:t>
            </w:r>
          </w:p>
        </w:tc>
        <w:tc>
          <w:tcPr>
            <w:tcW w:w="44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for Objective</w:t>
            </w:r>
          </w:p>
        </w:tc>
      </w:tr>
      <w:tr>
        <w:trPr>
          <w:trHeight w:val="221"/>
        </w:trPr>
        <w:tc>
          <w:tcPr>
            <w:tcW w:w="4740" w:type="dxa"/>
            <w:vAlign w:val="bottom"/>
          </w:tcPr>
          <w:p>
            <w:pPr>
              <w:ind w:left="40"/>
              <w:spacing w:after="0"/>
              <w:rPr>
                <w:sz w:val="20"/>
                <w:szCs w:val="20"/>
                <w:color w:val="auto"/>
              </w:rPr>
            </w:pPr>
            <w:r>
              <w:rPr>
                <w:rFonts w:ascii="Arial" w:cs="Arial" w:eastAsia="Arial" w:hAnsi="Arial"/>
                <w:sz w:val="15"/>
                <w:szCs w:val="15"/>
                <w:color w:val="auto"/>
              </w:rPr>
              <w:t>≥150%</w:t>
            </w:r>
          </w:p>
        </w:tc>
        <w:tc>
          <w:tcPr>
            <w:tcW w:w="444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22"/>
        </w:trPr>
        <w:tc>
          <w:tcPr>
            <w:tcW w:w="4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47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125%</w:t>
            </w:r>
          </w:p>
        </w:tc>
        <w:tc>
          <w:tcPr>
            <w:tcW w:w="44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150%</w:t>
            </w:r>
          </w:p>
        </w:tc>
      </w:tr>
      <w:tr>
        <w:trPr>
          <w:trHeight w:val="221"/>
        </w:trPr>
        <w:tc>
          <w:tcPr>
            <w:tcW w:w="4740" w:type="dxa"/>
            <w:vAlign w:val="bottom"/>
          </w:tcPr>
          <w:p>
            <w:pPr>
              <w:ind w:left="40"/>
              <w:spacing w:after="0"/>
              <w:rPr>
                <w:sz w:val="20"/>
                <w:szCs w:val="20"/>
                <w:color w:val="auto"/>
              </w:rPr>
            </w:pPr>
            <w:r>
              <w:rPr>
                <w:rFonts w:ascii="Arial" w:cs="Arial" w:eastAsia="Arial" w:hAnsi="Arial"/>
                <w:sz w:val="15"/>
                <w:szCs w:val="15"/>
                <w:color w:val="auto"/>
              </w:rPr>
              <w:t>100%</w:t>
            </w:r>
          </w:p>
        </w:tc>
        <w:tc>
          <w:tcPr>
            <w:tcW w:w="444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2"/>
        </w:trPr>
        <w:tc>
          <w:tcPr>
            <w:tcW w:w="4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50"/>
        </w:trPr>
        <w:tc>
          <w:tcPr>
            <w:tcW w:w="47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60%</w:t>
            </w:r>
          </w:p>
        </w:tc>
        <w:tc>
          <w:tcPr>
            <w:tcW w:w="44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w:t>
            </w:r>
          </w:p>
        </w:tc>
      </w:tr>
      <w:tr>
        <w:trPr>
          <w:trHeight w:val="222"/>
        </w:trPr>
        <w:tc>
          <w:tcPr>
            <w:tcW w:w="4740" w:type="dxa"/>
            <w:vAlign w:val="bottom"/>
          </w:tcPr>
          <w:p>
            <w:pPr>
              <w:ind w:left="40"/>
              <w:spacing w:after="0"/>
              <w:rPr>
                <w:sz w:val="20"/>
                <w:szCs w:val="20"/>
                <w:color w:val="auto"/>
              </w:rPr>
            </w:pPr>
            <w:r>
              <w:rPr>
                <w:rFonts w:ascii="Arial" w:cs="Arial" w:eastAsia="Arial" w:hAnsi="Arial"/>
                <w:sz w:val="15"/>
                <w:szCs w:val="15"/>
                <w:color w:val="auto"/>
              </w:rPr>
              <w:t>&lt;60%</w:t>
            </w:r>
          </w:p>
        </w:tc>
        <w:tc>
          <w:tcPr>
            <w:tcW w:w="444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22"/>
        </w:trPr>
        <w:tc>
          <w:tcPr>
            <w:tcW w:w="4740" w:type="dxa"/>
            <w:vAlign w:val="bottom"/>
            <w:tcBorders>
              <w:bottom w:val="single" w:sz="8" w:color="6A2887"/>
            </w:tcBorders>
          </w:tcPr>
          <w:p>
            <w:pPr>
              <w:spacing w:after="0" w:line="20" w:lineRule="exact"/>
              <w:rPr>
                <w:sz w:val="1"/>
                <w:szCs w:val="1"/>
                <w:color w:val="auto"/>
              </w:rPr>
            </w:pPr>
          </w:p>
        </w:tc>
        <w:tc>
          <w:tcPr>
            <w:tcW w:w="4440" w:type="dxa"/>
            <w:vAlign w:val="bottom"/>
            <w:tcBorders>
              <w:bottom w:val="single" w:sz="8" w:color="6A2887"/>
            </w:tcBorders>
          </w:tcPr>
          <w:p>
            <w:pPr>
              <w:spacing w:after="0" w:line="20" w:lineRule="exact"/>
              <w:rPr>
                <w:sz w:val="1"/>
                <w:szCs w:val="1"/>
                <w:color w:val="auto"/>
              </w:rPr>
            </w:pPr>
          </w:p>
        </w:tc>
      </w:tr>
    </w:tbl>
    <w:p>
      <w:pPr>
        <w:spacing w:after="0" w:line="24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Other Benefits and Perquisites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did not make any changes to the benefits and perquisites provided to the NEOs in 2019.</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Compensation of Executive Officers and Directors</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Compensation Tables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Summary Compensation Table</w:t>
      </w:r>
    </w:p>
    <w:p>
      <w:pPr>
        <w:spacing w:after="0" w:line="124" w:lineRule="exact"/>
        <w:rPr>
          <w:sz w:val="20"/>
          <w:szCs w:val="20"/>
          <w:color w:val="auto"/>
        </w:rPr>
      </w:pPr>
    </w:p>
    <w:p>
      <w:pPr>
        <w:ind w:left="760" w:right="799"/>
        <w:spacing w:after="0" w:line="260" w:lineRule="auto"/>
        <w:rPr>
          <w:sz w:val="20"/>
          <w:szCs w:val="20"/>
          <w:color w:val="auto"/>
        </w:rPr>
      </w:pPr>
      <w:r>
        <w:rPr>
          <w:rFonts w:ascii="Arial" w:cs="Arial" w:eastAsia="Arial" w:hAnsi="Arial"/>
          <w:sz w:val="16"/>
          <w:szCs w:val="16"/>
          <w:color w:val="auto"/>
        </w:rPr>
        <w:t>The following table contains information about the compensation earned by each of our NEOs during each of the last three financial years unless such individual was an NEO for fewer than three years.</w:t>
      </w:r>
    </w:p>
    <w:p>
      <w:pPr>
        <w:spacing w:after="0" w:line="8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Arial" w:cs="Arial" w:eastAsia="Arial" w:hAnsi="Arial"/>
                <w:sz w:val="14"/>
                <w:szCs w:val="14"/>
                <w:b w:val="1"/>
                <w:bCs w:val="1"/>
                <w:color w:val="6A2887"/>
              </w:rPr>
              <w:t>Non-Equity</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6A2887"/>
              </w:rPr>
              <w:t>Stock</w:t>
            </w: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6A2887"/>
              </w:rPr>
              <w:t>Option</w:t>
            </w:r>
          </w:p>
        </w:tc>
        <w:tc>
          <w:tcPr>
            <w:tcW w:w="1180" w:type="dxa"/>
            <w:vAlign w:val="bottom"/>
          </w:tcPr>
          <w:p>
            <w:pPr>
              <w:jc w:val="right"/>
              <w:ind w:right="46"/>
              <w:spacing w:after="0"/>
              <w:rPr>
                <w:sz w:val="20"/>
                <w:szCs w:val="20"/>
                <w:color w:val="auto"/>
              </w:rPr>
            </w:pPr>
            <w:r>
              <w:rPr>
                <w:rFonts w:ascii="Arial" w:cs="Arial" w:eastAsia="Arial" w:hAnsi="Arial"/>
                <w:sz w:val="14"/>
                <w:szCs w:val="14"/>
                <w:b w:val="1"/>
                <w:bCs w:val="1"/>
                <w:color w:val="6A2887"/>
              </w:rPr>
              <w:t>Incentive Plan</w:t>
            </w:r>
          </w:p>
        </w:tc>
        <w:tc>
          <w:tcPr>
            <w:tcW w:w="1200" w:type="dxa"/>
            <w:vAlign w:val="bottom"/>
          </w:tcPr>
          <w:p>
            <w:pPr>
              <w:jc w:val="right"/>
              <w:ind w:right="66"/>
              <w:spacing w:after="0"/>
              <w:rPr>
                <w:sz w:val="20"/>
                <w:szCs w:val="20"/>
                <w:color w:val="auto"/>
              </w:rPr>
            </w:pPr>
            <w:r>
              <w:rPr>
                <w:rFonts w:ascii="Arial" w:cs="Arial" w:eastAsia="Arial" w:hAnsi="Arial"/>
                <w:sz w:val="14"/>
                <w:szCs w:val="14"/>
                <w:b w:val="1"/>
                <w:bCs w:val="1"/>
                <w:color w:val="6A2887"/>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6A2887"/>
              </w:rPr>
              <w:t>Salary</w:t>
            </w: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6A2887"/>
              </w:rPr>
              <w:t>Awards</w:t>
            </w: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6A2887"/>
              </w:rPr>
              <w:t>Awards</w:t>
            </w:r>
          </w:p>
        </w:tc>
        <w:tc>
          <w:tcPr>
            <w:tcW w:w="1180" w:type="dxa"/>
            <w:vAlign w:val="bottom"/>
          </w:tcPr>
          <w:p>
            <w:pPr>
              <w:jc w:val="right"/>
              <w:ind w:right="46"/>
              <w:spacing w:after="0" w:line="159" w:lineRule="exact"/>
              <w:rPr>
                <w:sz w:val="20"/>
                <w:szCs w:val="20"/>
                <w:color w:val="auto"/>
              </w:rPr>
            </w:pPr>
            <w:r>
              <w:rPr>
                <w:rFonts w:ascii="Arial" w:cs="Arial" w:eastAsia="Arial" w:hAnsi="Arial"/>
                <w:sz w:val="14"/>
                <w:szCs w:val="14"/>
                <w:b w:val="1"/>
                <w:bCs w:val="1"/>
                <w:color w:val="6A2887"/>
              </w:rPr>
              <w:t>Compensation</w:t>
            </w:r>
          </w:p>
        </w:tc>
        <w:tc>
          <w:tcPr>
            <w:tcW w:w="1200" w:type="dxa"/>
            <w:vAlign w:val="bottom"/>
          </w:tcPr>
          <w:p>
            <w:pPr>
              <w:jc w:val="right"/>
              <w:ind w:right="66"/>
              <w:spacing w:after="0" w:line="159" w:lineRule="exact"/>
              <w:rPr>
                <w:sz w:val="20"/>
                <w:szCs w:val="20"/>
                <w:color w:val="auto"/>
              </w:rPr>
            </w:pPr>
            <w:r>
              <w:rPr>
                <w:rFonts w:ascii="Arial" w:cs="Arial" w:eastAsia="Arial" w:hAnsi="Arial"/>
                <w:sz w:val="14"/>
                <w:szCs w:val="14"/>
                <w:b w:val="1"/>
                <w:bCs w:val="1"/>
                <w:color w:val="6A2887"/>
              </w:rPr>
              <w:t>Compensation</w:t>
            </w:r>
          </w:p>
        </w:tc>
        <w:tc>
          <w:tcPr>
            <w:tcW w:w="820" w:type="dxa"/>
            <w:vAlign w:val="bottom"/>
          </w:tcPr>
          <w:p>
            <w:pPr>
              <w:jc w:val="right"/>
              <w:ind w:right="24"/>
              <w:spacing w:after="0" w:line="159" w:lineRule="exact"/>
              <w:rPr>
                <w:sz w:val="20"/>
                <w:szCs w:val="20"/>
                <w:color w:val="auto"/>
              </w:rPr>
            </w:pPr>
            <w:r>
              <w:rPr>
                <w:rFonts w:ascii="Arial" w:cs="Arial" w:eastAsia="Arial" w:hAnsi="Arial"/>
                <w:sz w:val="14"/>
                <w:szCs w:val="14"/>
                <w:b w:val="1"/>
                <w:bCs w:val="1"/>
                <w:color w:val="6A2887"/>
              </w:rPr>
              <w:t>Total</w:t>
            </w:r>
          </w:p>
        </w:tc>
        <w:tc>
          <w:tcPr>
            <w:tcW w:w="0" w:type="dxa"/>
            <w:vAlign w:val="bottom"/>
          </w:tcPr>
          <w:p>
            <w:pPr>
              <w:spacing w:after="0"/>
              <w:rPr>
                <w:sz w:val="1"/>
                <w:szCs w:val="1"/>
                <w:color w:val="auto"/>
              </w:rPr>
            </w:pPr>
          </w:p>
        </w:tc>
      </w:tr>
      <w:tr>
        <w:trPr>
          <w:trHeight w:val="233"/>
        </w:trPr>
        <w:tc>
          <w:tcPr>
            <w:tcW w:w="31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 and Principal Position</w:t>
            </w:r>
          </w:p>
        </w:tc>
        <w:tc>
          <w:tcPr>
            <w:tcW w:w="500" w:type="dxa"/>
            <w:vAlign w:val="bottom"/>
            <w:tcBorders>
              <w:bottom w:val="single" w:sz="8" w:color="6A2887"/>
            </w:tcBorders>
          </w:tcPr>
          <w:p>
            <w:pPr>
              <w:jc w:val="center"/>
              <w:spacing w:after="0"/>
              <w:rPr>
                <w:sz w:val="20"/>
                <w:szCs w:val="20"/>
                <w:color w:val="auto"/>
              </w:rPr>
            </w:pPr>
            <w:r>
              <w:rPr>
                <w:rFonts w:ascii="Arial" w:cs="Arial" w:eastAsia="Arial" w:hAnsi="Arial"/>
                <w:sz w:val="14"/>
                <w:szCs w:val="14"/>
                <w:b w:val="1"/>
                <w:bCs w:val="1"/>
                <w:color w:val="6A2887"/>
                <w:w w:val="98"/>
              </w:rPr>
              <w:t>Year</w:t>
            </w:r>
          </w:p>
        </w:tc>
        <w:tc>
          <w:tcPr>
            <w:tcW w:w="700" w:type="dxa"/>
            <w:vAlign w:val="bottom"/>
            <w:tcBorders>
              <w:bottom w:val="single" w:sz="8" w:color="6A2887"/>
            </w:tcBorders>
          </w:tcPr>
          <w:p>
            <w:pPr>
              <w:jc w:val="right"/>
              <w:ind w:right="4"/>
              <w:spacing w:after="0" w:line="233" w:lineRule="exact"/>
              <w:rPr>
                <w:sz w:val="20"/>
                <w:szCs w:val="20"/>
                <w:color w:val="auto"/>
              </w:rPr>
            </w:pPr>
            <w:r>
              <w:rPr>
                <w:rFonts w:ascii="Arial" w:cs="Arial" w:eastAsia="Arial" w:hAnsi="Arial"/>
                <w:sz w:val="14"/>
                <w:szCs w:val="14"/>
                <w:b w:val="1"/>
                <w:bCs w:val="1"/>
                <w:color w:val="6A2887"/>
              </w:rPr>
              <w:t>($)</w:t>
            </w:r>
            <w:r>
              <w:rPr>
                <w:rFonts w:ascii="Arial" w:cs="Arial" w:eastAsia="Arial" w:hAnsi="Arial"/>
                <w:sz w:val="21"/>
                <w:szCs w:val="21"/>
                <w:b w:val="1"/>
                <w:bCs w:val="1"/>
                <w:color w:val="6A2887"/>
                <w:vertAlign w:val="superscript"/>
              </w:rPr>
              <w:t>(1)</w:t>
            </w:r>
          </w:p>
        </w:tc>
        <w:tc>
          <w:tcPr>
            <w:tcW w:w="840" w:type="dxa"/>
            <w:vAlign w:val="bottom"/>
            <w:tcBorders>
              <w:bottom w:val="single" w:sz="8" w:color="6A2887"/>
            </w:tcBorders>
          </w:tcPr>
          <w:p>
            <w:pPr>
              <w:jc w:val="right"/>
              <w:ind w:right="4"/>
              <w:spacing w:after="0" w:line="233" w:lineRule="exact"/>
              <w:rPr>
                <w:sz w:val="20"/>
                <w:szCs w:val="20"/>
                <w:color w:val="auto"/>
              </w:rPr>
            </w:pPr>
            <w:r>
              <w:rPr>
                <w:rFonts w:ascii="Arial" w:cs="Arial" w:eastAsia="Arial" w:hAnsi="Arial"/>
                <w:sz w:val="14"/>
                <w:szCs w:val="14"/>
                <w:b w:val="1"/>
                <w:bCs w:val="1"/>
                <w:color w:val="6A2887"/>
              </w:rPr>
              <w:t>($)</w:t>
            </w:r>
            <w:r>
              <w:rPr>
                <w:rFonts w:ascii="Arial" w:cs="Arial" w:eastAsia="Arial" w:hAnsi="Arial"/>
                <w:sz w:val="21"/>
                <w:szCs w:val="21"/>
                <w:b w:val="1"/>
                <w:bCs w:val="1"/>
                <w:color w:val="6A2887"/>
                <w:vertAlign w:val="superscript"/>
              </w:rPr>
              <w:t>(2)</w:t>
            </w:r>
          </w:p>
        </w:tc>
        <w:tc>
          <w:tcPr>
            <w:tcW w:w="840" w:type="dxa"/>
            <w:vAlign w:val="bottom"/>
            <w:tcBorders>
              <w:bottom w:val="single" w:sz="8" w:color="6A2887"/>
            </w:tcBorders>
          </w:tcPr>
          <w:p>
            <w:pPr>
              <w:jc w:val="right"/>
              <w:ind w:right="4"/>
              <w:spacing w:after="0" w:line="233" w:lineRule="exact"/>
              <w:rPr>
                <w:sz w:val="20"/>
                <w:szCs w:val="20"/>
                <w:color w:val="auto"/>
              </w:rPr>
            </w:pPr>
            <w:r>
              <w:rPr>
                <w:rFonts w:ascii="Arial" w:cs="Arial" w:eastAsia="Arial" w:hAnsi="Arial"/>
                <w:sz w:val="14"/>
                <w:szCs w:val="14"/>
                <w:b w:val="1"/>
                <w:bCs w:val="1"/>
                <w:color w:val="6A2887"/>
              </w:rPr>
              <w:t>($)</w:t>
            </w:r>
            <w:r>
              <w:rPr>
                <w:rFonts w:ascii="Arial" w:cs="Arial" w:eastAsia="Arial" w:hAnsi="Arial"/>
                <w:sz w:val="21"/>
                <w:szCs w:val="21"/>
                <w:b w:val="1"/>
                <w:bCs w:val="1"/>
                <w:color w:val="6A2887"/>
                <w:vertAlign w:val="superscript"/>
              </w:rPr>
              <w:t>(2)</w:t>
            </w:r>
          </w:p>
        </w:tc>
        <w:tc>
          <w:tcPr>
            <w:tcW w:w="1180" w:type="dxa"/>
            <w:vAlign w:val="bottom"/>
            <w:tcBorders>
              <w:bottom w:val="single" w:sz="8" w:color="6A2887"/>
            </w:tcBorders>
          </w:tcPr>
          <w:p>
            <w:pPr>
              <w:jc w:val="right"/>
              <w:ind w:right="6"/>
              <w:spacing w:after="0" w:line="232" w:lineRule="exact"/>
              <w:rPr>
                <w:sz w:val="20"/>
                <w:szCs w:val="20"/>
                <w:color w:val="auto"/>
              </w:rPr>
            </w:pPr>
            <w:r>
              <w:rPr>
                <w:rFonts w:ascii="Arial" w:cs="Arial" w:eastAsia="Arial" w:hAnsi="Arial"/>
                <w:sz w:val="26"/>
                <w:szCs w:val="26"/>
                <w:b w:val="1"/>
                <w:bCs w:val="1"/>
                <w:color w:val="6A2887"/>
                <w:vertAlign w:val="subscript"/>
              </w:rPr>
              <w:t>($)</w:t>
            </w:r>
            <w:r>
              <w:rPr>
                <w:rFonts w:ascii="Arial" w:cs="Arial" w:eastAsia="Arial" w:hAnsi="Arial"/>
                <w:sz w:val="10"/>
                <w:szCs w:val="10"/>
                <w:b w:val="1"/>
                <w:bCs w:val="1"/>
                <w:color w:val="6A2887"/>
              </w:rPr>
              <w:t>(1)(3)</w:t>
            </w:r>
          </w:p>
        </w:tc>
        <w:tc>
          <w:tcPr>
            <w:tcW w:w="1200" w:type="dxa"/>
            <w:vAlign w:val="bottom"/>
            <w:tcBorders>
              <w:bottom w:val="single" w:sz="8" w:color="6A2887"/>
            </w:tcBorders>
          </w:tcPr>
          <w:p>
            <w:pPr>
              <w:jc w:val="right"/>
              <w:ind w:right="26"/>
              <w:spacing w:after="0" w:line="232" w:lineRule="exact"/>
              <w:rPr>
                <w:sz w:val="20"/>
                <w:szCs w:val="20"/>
                <w:color w:val="auto"/>
              </w:rPr>
            </w:pPr>
            <w:r>
              <w:rPr>
                <w:rFonts w:ascii="Arial" w:cs="Arial" w:eastAsia="Arial" w:hAnsi="Arial"/>
                <w:sz w:val="26"/>
                <w:szCs w:val="26"/>
                <w:b w:val="1"/>
                <w:bCs w:val="1"/>
                <w:color w:val="6A2887"/>
                <w:vertAlign w:val="subscript"/>
              </w:rPr>
              <w:t>($)</w:t>
            </w:r>
            <w:r>
              <w:rPr>
                <w:rFonts w:ascii="Arial" w:cs="Arial" w:eastAsia="Arial" w:hAnsi="Arial"/>
                <w:sz w:val="10"/>
                <w:szCs w:val="10"/>
                <w:b w:val="1"/>
                <w:bCs w:val="1"/>
                <w:color w:val="6A2887"/>
              </w:rPr>
              <w:t>(1)(4)</w:t>
            </w:r>
          </w:p>
        </w:tc>
        <w:tc>
          <w:tcPr>
            <w:tcW w:w="82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w:t>
            </w: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Damien McDonald</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933,202</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4,309,277</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1,249,978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277,244</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362,226</w:t>
            </w:r>
          </w:p>
        </w:tc>
        <w:tc>
          <w:tcPr>
            <w:tcW w:w="820" w:type="dxa"/>
            <w:vAlign w:val="bottom"/>
          </w:tcPr>
          <w:p>
            <w:pPr>
              <w:jc w:val="right"/>
              <w:spacing w:after="0"/>
              <w:rPr>
                <w:sz w:val="20"/>
                <w:szCs w:val="20"/>
                <w:color w:val="auto"/>
              </w:rPr>
            </w:pPr>
            <w:r>
              <w:rPr>
                <w:rFonts w:ascii="Arial" w:cs="Arial" w:eastAsia="Arial" w:hAnsi="Arial"/>
                <w:sz w:val="15"/>
                <w:szCs w:val="15"/>
                <w:color w:val="auto"/>
              </w:rPr>
              <w:t>7,131,927</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Chief Executive Officer</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951,218</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3,522,492</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1,124,847</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999,131</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514,940</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7,112,628</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847,925</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2,350,821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848,095</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1,368,920</w:t>
            </w:r>
          </w:p>
        </w:tc>
        <w:tc>
          <w:tcPr>
            <w:tcW w:w="820" w:type="dxa"/>
            <w:vAlign w:val="bottom"/>
          </w:tcPr>
          <w:p>
            <w:pPr>
              <w:jc w:val="right"/>
              <w:spacing w:after="0"/>
              <w:rPr>
                <w:sz w:val="20"/>
                <w:szCs w:val="20"/>
                <w:color w:val="auto"/>
              </w:rPr>
            </w:pPr>
            <w:r>
              <w:rPr>
                <w:rFonts w:ascii="Arial" w:cs="Arial" w:eastAsia="Arial" w:hAnsi="Arial"/>
                <w:sz w:val="15"/>
                <w:szCs w:val="15"/>
                <w:color w:val="auto"/>
              </w:rPr>
              <w:t>5,415,761</w:t>
            </w:r>
          </w:p>
        </w:tc>
        <w:tc>
          <w:tcPr>
            <w:tcW w:w="0" w:type="dxa"/>
            <w:vAlign w:val="bottom"/>
          </w:tcPr>
          <w:p>
            <w:pPr>
              <w:spacing w:after="0"/>
              <w:rPr>
                <w:sz w:val="1"/>
                <w:szCs w:val="1"/>
                <w:color w:val="auto"/>
              </w:rPr>
            </w:pPr>
          </w:p>
        </w:tc>
      </w:tr>
      <w:tr>
        <w:trPr>
          <w:trHeight w:val="22"/>
        </w:trPr>
        <w:tc>
          <w:tcPr>
            <w:tcW w:w="3100" w:type="dxa"/>
            <w:vAlign w:val="bottom"/>
            <w:tcBorders>
              <w:bottom w:val="single" w:sz="8" w:color="6A2887"/>
            </w:tcBorders>
          </w:tcPr>
          <w:p>
            <w:pPr>
              <w:spacing w:after="0" w:line="20" w:lineRule="exact"/>
              <w:rPr>
                <w:sz w:val="1"/>
                <w:szCs w:val="1"/>
                <w:color w:val="auto"/>
              </w:rPr>
            </w:pPr>
          </w:p>
        </w:tc>
        <w:tc>
          <w:tcPr>
            <w:tcW w:w="500" w:type="dxa"/>
            <w:vAlign w:val="bottom"/>
            <w:tcBorders>
              <w:bottom w:val="single" w:sz="8" w:color="6A2887"/>
            </w:tcBorders>
          </w:tcPr>
          <w:p>
            <w:pPr>
              <w:spacing w:after="0" w:line="20" w:lineRule="exact"/>
              <w:rPr>
                <w:sz w:val="1"/>
                <w:szCs w:val="1"/>
                <w:color w:val="auto"/>
              </w:rPr>
            </w:pPr>
          </w:p>
        </w:tc>
        <w:tc>
          <w:tcPr>
            <w:tcW w:w="70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118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820" w:type="dxa"/>
            <w:vAlign w:val="bottom"/>
            <w:tcBorders>
              <w:bottom w:val="single" w:sz="8" w:color="6A28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Thad Huston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510,694</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1,519,670</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499,998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170,088</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139,192</w:t>
            </w:r>
          </w:p>
        </w:tc>
        <w:tc>
          <w:tcPr>
            <w:tcW w:w="820" w:type="dxa"/>
            <w:vAlign w:val="bottom"/>
          </w:tcPr>
          <w:p>
            <w:pPr>
              <w:jc w:val="right"/>
              <w:spacing w:after="0"/>
              <w:rPr>
                <w:sz w:val="20"/>
                <w:szCs w:val="20"/>
                <w:color w:val="auto"/>
              </w:rPr>
            </w:pPr>
            <w:r>
              <w:rPr>
                <w:rFonts w:ascii="Arial" w:cs="Arial" w:eastAsia="Arial" w:hAnsi="Arial"/>
                <w:sz w:val="15"/>
                <w:szCs w:val="15"/>
                <w:color w:val="auto"/>
              </w:rPr>
              <w:t>2,839,642</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Chief Financial Officer</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511,458</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1,174,164</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374,940</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480,257</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431,233</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2,972,052</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296,759</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3,158,878</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269,641</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157,907</w:t>
            </w:r>
          </w:p>
        </w:tc>
        <w:tc>
          <w:tcPr>
            <w:tcW w:w="820" w:type="dxa"/>
            <w:vAlign w:val="bottom"/>
          </w:tcPr>
          <w:p>
            <w:pPr>
              <w:jc w:val="right"/>
              <w:spacing w:after="0"/>
              <w:rPr>
                <w:sz w:val="20"/>
                <w:szCs w:val="20"/>
                <w:color w:val="auto"/>
              </w:rPr>
            </w:pPr>
            <w:r>
              <w:rPr>
                <w:rFonts w:ascii="Arial" w:cs="Arial" w:eastAsia="Arial" w:hAnsi="Arial"/>
                <w:sz w:val="15"/>
                <w:szCs w:val="15"/>
                <w:color w:val="auto"/>
              </w:rPr>
              <w:t>3,883,185</w:t>
            </w:r>
          </w:p>
        </w:tc>
        <w:tc>
          <w:tcPr>
            <w:tcW w:w="0" w:type="dxa"/>
            <w:vAlign w:val="bottom"/>
          </w:tcPr>
          <w:p>
            <w:pPr>
              <w:spacing w:after="0"/>
              <w:rPr>
                <w:sz w:val="1"/>
                <w:szCs w:val="1"/>
                <w:color w:val="auto"/>
              </w:rPr>
            </w:pPr>
          </w:p>
        </w:tc>
      </w:tr>
      <w:tr>
        <w:trPr>
          <w:trHeight w:val="22"/>
        </w:trPr>
        <w:tc>
          <w:tcPr>
            <w:tcW w:w="3100" w:type="dxa"/>
            <w:vAlign w:val="bottom"/>
            <w:tcBorders>
              <w:bottom w:val="single" w:sz="8" w:color="6A2887"/>
            </w:tcBorders>
          </w:tcPr>
          <w:p>
            <w:pPr>
              <w:spacing w:after="0" w:line="20" w:lineRule="exact"/>
              <w:rPr>
                <w:sz w:val="1"/>
                <w:szCs w:val="1"/>
                <w:color w:val="auto"/>
              </w:rPr>
            </w:pPr>
          </w:p>
        </w:tc>
        <w:tc>
          <w:tcPr>
            <w:tcW w:w="500" w:type="dxa"/>
            <w:vAlign w:val="bottom"/>
            <w:tcBorders>
              <w:bottom w:val="single" w:sz="8" w:color="6A2887"/>
            </w:tcBorders>
          </w:tcPr>
          <w:p>
            <w:pPr>
              <w:spacing w:after="0" w:line="20" w:lineRule="exact"/>
              <w:rPr>
                <w:sz w:val="1"/>
                <w:szCs w:val="1"/>
                <w:color w:val="auto"/>
              </w:rPr>
            </w:pPr>
          </w:p>
        </w:tc>
        <w:tc>
          <w:tcPr>
            <w:tcW w:w="70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118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820" w:type="dxa"/>
            <w:vAlign w:val="bottom"/>
            <w:tcBorders>
              <w:bottom w:val="single" w:sz="8" w:color="6A28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Keyna Skeffington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424,183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683,719</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224,988</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106,289</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128,751</w:t>
            </w:r>
          </w:p>
        </w:tc>
        <w:tc>
          <w:tcPr>
            <w:tcW w:w="820" w:type="dxa"/>
            <w:vAlign w:val="bottom"/>
          </w:tcPr>
          <w:p>
            <w:pPr>
              <w:jc w:val="right"/>
              <w:spacing w:after="0"/>
              <w:rPr>
                <w:sz w:val="20"/>
                <w:szCs w:val="20"/>
                <w:color w:val="auto"/>
              </w:rPr>
            </w:pPr>
            <w:r>
              <w:rPr>
                <w:rFonts w:ascii="Arial" w:cs="Arial" w:eastAsia="Arial" w:hAnsi="Arial"/>
                <w:sz w:val="15"/>
                <w:szCs w:val="15"/>
                <w:color w:val="auto"/>
              </w:rPr>
              <w:t>1,567,930</w:t>
            </w:r>
          </w:p>
        </w:tc>
        <w:tc>
          <w:tcPr>
            <w:tcW w:w="0" w:type="dxa"/>
            <w:vAlign w:val="bottom"/>
          </w:tcPr>
          <w:p>
            <w:pPr>
              <w:spacing w:after="0"/>
              <w:rPr>
                <w:sz w:val="1"/>
                <w:szCs w:val="1"/>
                <w:color w:val="auto"/>
              </w:rPr>
            </w:pPr>
          </w:p>
        </w:tc>
      </w:tr>
      <w:tr>
        <w:trPr>
          <w:trHeight w:val="35"/>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Senior Vice President, General Counsel</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100" w:type="dxa"/>
            <w:vAlign w:val="bottom"/>
            <w:vMerge w:val="continue"/>
          </w:tcPr>
          <w:p>
            <w:pPr>
              <w:spacing w:after="0"/>
              <w:rPr>
                <w:sz w:val="13"/>
                <w:szCs w:val="13"/>
                <w:color w:val="auto"/>
              </w:rPr>
            </w:pPr>
          </w:p>
        </w:tc>
        <w:tc>
          <w:tcPr>
            <w:tcW w:w="500" w:type="dxa"/>
            <w:vAlign w:val="bottom"/>
            <w:vMerge w:val="restart"/>
            <w:shd w:val="clear" w:color="auto" w:fill="EFE9FC"/>
          </w:tcPr>
          <w:p>
            <w:pPr>
              <w:jc w:val="center"/>
              <w:spacing w:after="0"/>
              <w:rPr>
                <w:sz w:val="20"/>
                <w:szCs w:val="20"/>
                <w:color w:val="auto"/>
              </w:rPr>
            </w:pPr>
            <w:r>
              <w:rPr>
                <w:rFonts w:ascii="Arial" w:cs="Arial" w:eastAsia="Arial" w:hAnsi="Arial"/>
                <w:sz w:val="15"/>
                <w:szCs w:val="15"/>
                <w:color w:val="auto"/>
              </w:rPr>
              <w:t>2018</w:t>
            </w:r>
          </w:p>
        </w:tc>
        <w:tc>
          <w:tcPr>
            <w:tcW w:w="70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410,166</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658,627</w:t>
            </w:r>
          </w:p>
        </w:tc>
        <w:tc>
          <w:tcPr>
            <w:tcW w:w="840" w:type="dxa"/>
            <w:vAlign w:val="bottom"/>
            <w:vMerge w:val="restart"/>
            <w:shd w:val="clear" w:color="auto" w:fill="EFE9FC"/>
          </w:tcPr>
          <w:p>
            <w:pPr>
              <w:jc w:val="right"/>
              <w:ind w:right="4"/>
              <w:spacing w:after="0"/>
              <w:rPr>
                <w:sz w:val="20"/>
                <w:szCs w:val="20"/>
                <w:color w:val="auto"/>
              </w:rPr>
            </w:pPr>
            <w:r>
              <w:rPr>
                <w:rFonts w:ascii="Arial" w:cs="Arial" w:eastAsia="Arial" w:hAnsi="Arial"/>
                <w:sz w:val="15"/>
                <w:szCs w:val="15"/>
                <w:color w:val="auto"/>
              </w:rPr>
              <w:t>162,473</w:t>
            </w:r>
          </w:p>
        </w:tc>
        <w:tc>
          <w:tcPr>
            <w:tcW w:w="1180" w:type="dxa"/>
            <w:vAlign w:val="bottom"/>
            <w:vMerge w:val="restart"/>
            <w:shd w:val="clear" w:color="auto" w:fill="EFE9FC"/>
          </w:tcPr>
          <w:p>
            <w:pPr>
              <w:jc w:val="right"/>
              <w:ind w:right="6"/>
              <w:spacing w:after="0"/>
              <w:rPr>
                <w:sz w:val="20"/>
                <w:szCs w:val="20"/>
                <w:color w:val="auto"/>
              </w:rPr>
            </w:pPr>
            <w:r>
              <w:rPr>
                <w:rFonts w:ascii="Arial" w:cs="Arial" w:eastAsia="Arial" w:hAnsi="Arial"/>
                <w:sz w:val="15"/>
                <w:szCs w:val="15"/>
                <w:color w:val="auto"/>
              </w:rPr>
              <w:t>251,619</w:t>
            </w:r>
          </w:p>
        </w:tc>
        <w:tc>
          <w:tcPr>
            <w:tcW w:w="1200" w:type="dxa"/>
            <w:vAlign w:val="bottom"/>
            <w:vMerge w:val="restart"/>
            <w:shd w:val="clear" w:color="auto" w:fill="EFE9FC"/>
          </w:tcPr>
          <w:p>
            <w:pPr>
              <w:jc w:val="right"/>
              <w:ind w:right="26"/>
              <w:spacing w:after="0"/>
              <w:rPr>
                <w:sz w:val="20"/>
                <w:szCs w:val="20"/>
                <w:color w:val="auto"/>
              </w:rPr>
            </w:pPr>
            <w:r>
              <w:rPr>
                <w:rFonts w:ascii="Arial" w:cs="Arial" w:eastAsia="Arial" w:hAnsi="Arial"/>
                <w:sz w:val="15"/>
                <w:szCs w:val="15"/>
                <w:color w:val="auto"/>
              </w:rPr>
              <w:t>134,393</w:t>
            </w: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5"/>
                <w:szCs w:val="15"/>
                <w:color w:val="auto"/>
              </w:rPr>
              <w:t>1,617,278</w:t>
            </w:r>
          </w:p>
        </w:tc>
        <w:tc>
          <w:tcPr>
            <w:tcW w:w="0" w:type="dxa"/>
            <w:vAlign w:val="bottom"/>
          </w:tcPr>
          <w:p>
            <w:pPr>
              <w:spacing w:after="0"/>
              <w:rPr>
                <w:sz w:val="1"/>
                <w:szCs w:val="1"/>
                <w:color w:val="auto"/>
              </w:rPr>
            </w:pPr>
          </w:p>
        </w:tc>
      </w:tr>
      <w:tr>
        <w:trPr>
          <w:trHeight w:val="101"/>
        </w:trPr>
        <w:tc>
          <w:tcPr>
            <w:tcW w:w="3100" w:type="dxa"/>
            <w:vAlign w:val="bottom"/>
            <w:vMerge w:val="restart"/>
          </w:tcPr>
          <w:p>
            <w:pPr>
              <w:ind w:left="200"/>
              <w:spacing w:after="0"/>
              <w:rPr>
                <w:sz w:val="20"/>
                <w:szCs w:val="20"/>
                <w:color w:val="auto"/>
              </w:rPr>
            </w:pPr>
            <w:r>
              <w:rPr>
                <w:rFonts w:ascii="Arial" w:cs="Arial" w:eastAsia="Arial" w:hAnsi="Arial"/>
                <w:sz w:val="15"/>
                <w:szCs w:val="15"/>
                <w:color w:val="auto"/>
              </w:rPr>
              <w:t>and Company Secretary</w:t>
            </w:r>
          </w:p>
        </w:tc>
        <w:tc>
          <w:tcPr>
            <w:tcW w:w="500" w:type="dxa"/>
            <w:vAlign w:val="bottom"/>
            <w:tcBorders>
              <w:bottom w:val="single" w:sz="8" w:color="EFE9FC"/>
            </w:tcBorders>
            <w:vMerge w:val="continue"/>
            <w:shd w:val="clear" w:color="auto" w:fill="EFE9FC"/>
          </w:tcPr>
          <w:p>
            <w:pPr>
              <w:spacing w:after="0"/>
              <w:rPr>
                <w:sz w:val="8"/>
                <w:szCs w:val="8"/>
                <w:color w:val="auto"/>
              </w:rPr>
            </w:pPr>
          </w:p>
        </w:tc>
        <w:tc>
          <w:tcPr>
            <w:tcW w:w="70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840" w:type="dxa"/>
            <w:vAlign w:val="bottom"/>
            <w:tcBorders>
              <w:bottom w:val="single" w:sz="8" w:color="EFE9FC"/>
            </w:tcBorders>
            <w:vMerge w:val="continue"/>
            <w:shd w:val="clear" w:color="auto" w:fill="EFE9FC"/>
          </w:tcPr>
          <w:p>
            <w:pPr>
              <w:spacing w:after="0"/>
              <w:rPr>
                <w:sz w:val="8"/>
                <w:szCs w:val="8"/>
                <w:color w:val="auto"/>
              </w:rPr>
            </w:pPr>
          </w:p>
        </w:tc>
        <w:tc>
          <w:tcPr>
            <w:tcW w:w="1180" w:type="dxa"/>
            <w:vAlign w:val="bottom"/>
            <w:tcBorders>
              <w:bottom w:val="single" w:sz="8" w:color="EFE9FC"/>
            </w:tcBorders>
            <w:vMerge w:val="continue"/>
            <w:shd w:val="clear" w:color="auto" w:fill="EFE9FC"/>
          </w:tcPr>
          <w:p>
            <w:pPr>
              <w:spacing w:after="0"/>
              <w:rPr>
                <w:sz w:val="8"/>
                <w:szCs w:val="8"/>
                <w:color w:val="auto"/>
              </w:rPr>
            </w:pPr>
          </w:p>
        </w:tc>
        <w:tc>
          <w:tcPr>
            <w:tcW w:w="1200" w:type="dxa"/>
            <w:vAlign w:val="bottom"/>
            <w:tcBorders>
              <w:bottom w:val="single" w:sz="8" w:color="EFE9FC"/>
            </w:tcBorders>
            <w:vMerge w:val="continue"/>
            <w:shd w:val="clear" w:color="auto" w:fill="EFE9FC"/>
          </w:tcPr>
          <w:p>
            <w:pPr>
              <w:spacing w:after="0"/>
              <w:rPr>
                <w:sz w:val="8"/>
                <w:szCs w:val="8"/>
                <w:color w:val="auto"/>
              </w:rPr>
            </w:pPr>
          </w:p>
        </w:tc>
        <w:tc>
          <w:tcPr>
            <w:tcW w:w="820" w:type="dxa"/>
            <w:vAlign w:val="bottom"/>
            <w:tcBorders>
              <w:bottom w:val="single" w:sz="8" w:color="EFE9FC"/>
            </w:tcBorders>
            <w:vMerge w:val="continue"/>
            <w:shd w:val="clear" w:color="auto" w:fill="EFE9FC"/>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100" w:type="dxa"/>
            <w:vAlign w:val="bottom"/>
            <w:vMerge w:val="continue"/>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5"/>
                <w:szCs w:val="15"/>
                <w:color w:val="auto"/>
              </w:rPr>
              <w:t>2017</w:t>
            </w:r>
          </w:p>
        </w:tc>
        <w:tc>
          <w:tcPr>
            <w:tcW w:w="700" w:type="dxa"/>
            <w:vAlign w:val="bottom"/>
            <w:vMerge w:val="restart"/>
          </w:tcPr>
          <w:p>
            <w:pPr>
              <w:jc w:val="right"/>
              <w:ind w:right="4"/>
              <w:spacing w:after="0"/>
              <w:rPr>
                <w:sz w:val="20"/>
                <w:szCs w:val="20"/>
                <w:color w:val="auto"/>
              </w:rPr>
            </w:pPr>
            <w:r>
              <w:rPr>
                <w:rFonts w:ascii="Arial" w:cs="Arial" w:eastAsia="Arial" w:hAnsi="Arial"/>
                <w:sz w:val="15"/>
                <w:szCs w:val="15"/>
                <w:color w:val="auto"/>
              </w:rPr>
              <w:t>215,599</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274,962</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258,412</w:t>
            </w:r>
          </w:p>
        </w:tc>
        <w:tc>
          <w:tcPr>
            <w:tcW w:w="1180" w:type="dxa"/>
            <w:vAlign w:val="bottom"/>
            <w:vMerge w:val="restart"/>
          </w:tcPr>
          <w:p>
            <w:pPr>
              <w:jc w:val="right"/>
              <w:ind w:right="6"/>
              <w:spacing w:after="0"/>
              <w:rPr>
                <w:sz w:val="20"/>
                <w:szCs w:val="20"/>
                <w:color w:val="auto"/>
              </w:rPr>
            </w:pPr>
            <w:r>
              <w:rPr>
                <w:rFonts w:ascii="Arial" w:cs="Arial" w:eastAsia="Arial" w:hAnsi="Arial"/>
                <w:sz w:val="15"/>
                <w:szCs w:val="15"/>
                <w:color w:val="auto"/>
              </w:rPr>
              <w:t>118,407</w:t>
            </w:r>
          </w:p>
        </w:tc>
        <w:tc>
          <w:tcPr>
            <w:tcW w:w="1200" w:type="dxa"/>
            <w:vAlign w:val="bottom"/>
            <w:vMerge w:val="restart"/>
          </w:tcPr>
          <w:p>
            <w:pPr>
              <w:jc w:val="right"/>
              <w:ind w:right="26"/>
              <w:spacing w:after="0"/>
              <w:rPr>
                <w:sz w:val="20"/>
                <w:szCs w:val="20"/>
                <w:color w:val="auto"/>
              </w:rPr>
            </w:pPr>
            <w:r>
              <w:rPr>
                <w:rFonts w:ascii="Arial" w:cs="Arial" w:eastAsia="Arial" w:hAnsi="Arial"/>
                <w:sz w:val="15"/>
                <w:szCs w:val="15"/>
                <w:color w:val="auto"/>
              </w:rPr>
              <w:t>108,865</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976,245</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Borders>
              <w:bottom w:val="single" w:sz="8" w:color="6A2887"/>
            </w:tcBorders>
          </w:tcPr>
          <w:p>
            <w:pPr>
              <w:spacing w:after="0" w:line="20" w:lineRule="exact"/>
              <w:rPr>
                <w:sz w:val="1"/>
                <w:szCs w:val="1"/>
                <w:color w:val="auto"/>
              </w:rPr>
            </w:pPr>
          </w:p>
        </w:tc>
        <w:tc>
          <w:tcPr>
            <w:tcW w:w="500" w:type="dxa"/>
            <w:vAlign w:val="bottom"/>
            <w:tcBorders>
              <w:bottom w:val="single" w:sz="8" w:color="6A2887"/>
            </w:tcBorders>
          </w:tcPr>
          <w:p>
            <w:pPr>
              <w:spacing w:after="0" w:line="20" w:lineRule="exact"/>
              <w:rPr>
                <w:sz w:val="1"/>
                <w:szCs w:val="1"/>
                <w:color w:val="auto"/>
              </w:rPr>
            </w:pPr>
          </w:p>
        </w:tc>
        <w:tc>
          <w:tcPr>
            <w:tcW w:w="70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118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820" w:type="dxa"/>
            <w:vAlign w:val="bottom"/>
            <w:tcBorders>
              <w:bottom w:val="single" w:sz="8" w:color="6A28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Edward Andrle</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429,231</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569,913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187,479</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107,116</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81,202</w:t>
            </w:r>
          </w:p>
        </w:tc>
        <w:tc>
          <w:tcPr>
            <w:tcW w:w="820" w:type="dxa"/>
            <w:vAlign w:val="bottom"/>
          </w:tcPr>
          <w:p>
            <w:pPr>
              <w:jc w:val="right"/>
              <w:spacing w:after="0"/>
              <w:rPr>
                <w:sz w:val="20"/>
                <w:szCs w:val="20"/>
                <w:color w:val="auto"/>
              </w:rPr>
            </w:pPr>
            <w:r>
              <w:rPr>
                <w:rFonts w:ascii="Arial" w:cs="Arial" w:eastAsia="Arial" w:hAnsi="Arial"/>
                <w:sz w:val="15"/>
                <w:szCs w:val="15"/>
                <w:color w:val="auto"/>
              </w:rPr>
              <w:t>1,374,941</w:t>
            </w:r>
          </w:p>
        </w:tc>
        <w:tc>
          <w:tcPr>
            <w:tcW w:w="0" w:type="dxa"/>
            <w:vAlign w:val="bottom"/>
          </w:tcPr>
          <w:p>
            <w:pPr>
              <w:spacing w:after="0"/>
              <w:rPr>
                <w:sz w:val="1"/>
                <w:szCs w:val="1"/>
                <w:color w:val="auto"/>
              </w:rPr>
            </w:pPr>
          </w:p>
        </w:tc>
      </w:tr>
      <w:tr>
        <w:trPr>
          <w:trHeight w:val="189"/>
        </w:trPr>
        <w:tc>
          <w:tcPr>
            <w:tcW w:w="3100" w:type="dxa"/>
            <w:vAlign w:val="bottom"/>
          </w:tcPr>
          <w:p>
            <w:pPr>
              <w:ind w:left="200"/>
              <w:spacing w:after="0"/>
              <w:rPr>
                <w:sz w:val="20"/>
                <w:szCs w:val="20"/>
                <w:color w:val="auto"/>
              </w:rPr>
            </w:pPr>
            <w:r>
              <w:rPr>
                <w:rFonts w:ascii="Arial" w:cs="Arial" w:eastAsia="Arial" w:hAnsi="Arial"/>
                <w:sz w:val="15"/>
                <w:szCs w:val="15"/>
                <w:color w:val="auto"/>
              </w:rPr>
              <w:t>General Manager, NM</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00" w:type="dxa"/>
            <w:vAlign w:val="bottom"/>
            <w:tcBorders>
              <w:bottom w:val="single" w:sz="8" w:color="6A2887"/>
            </w:tcBorders>
          </w:tcPr>
          <w:p>
            <w:pPr>
              <w:spacing w:after="0" w:line="20" w:lineRule="exact"/>
              <w:rPr>
                <w:sz w:val="1"/>
                <w:szCs w:val="1"/>
                <w:color w:val="auto"/>
              </w:rPr>
            </w:pPr>
          </w:p>
        </w:tc>
        <w:tc>
          <w:tcPr>
            <w:tcW w:w="500" w:type="dxa"/>
            <w:vAlign w:val="bottom"/>
            <w:tcBorders>
              <w:bottom w:val="single" w:sz="8" w:color="6A2887"/>
            </w:tcBorders>
          </w:tcPr>
          <w:p>
            <w:pPr>
              <w:spacing w:after="0" w:line="20" w:lineRule="exact"/>
              <w:rPr>
                <w:sz w:val="1"/>
                <w:szCs w:val="1"/>
                <w:color w:val="auto"/>
              </w:rPr>
            </w:pPr>
          </w:p>
        </w:tc>
        <w:tc>
          <w:tcPr>
            <w:tcW w:w="70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1180" w:type="dxa"/>
            <w:vAlign w:val="bottom"/>
            <w:tcBorders>
              <w:bottom w:val="single" w:sz="8" w:color="6A2887"/>
            </w:tcBorders>
          </w:tcPr>
          <w:p>
            <w:pPr>
              <w:spacing w:after="0" w:line="20" w:lineRule="exact"/>
              <w:rPr>
                <w:sz w:val="1"/>
                <w:szCs w:val="1"/>
                <w:color w:val="auto"/>
              </w:rPr>
            </w:pPr>
          </w:p>
        </w:tc>
        <w:tc>
          <w:tcPr>
            <w:tcW w:w="1200" w:type="dxa"/>
            <w:vAlign w:val="bottom"/>
            <w:tcBorders>
              <w:bottom w:val="single" w:sz="8" w:color="6A2887"/>
            </w:tcBorders>
          </w:tcPr>
          <w:p>
            <w:pPr>
              <w:spacing w:after="0" w:line="20" w:lineRule="exact"/>
              <w:rPr>
                <w:sz w:val="1"/>
                <w:szCs w:val="1"/>
                <w:color w:val="auto"/>
              </w:rPr>
            </w:pPr>
          </w:p>
        </w:tc>
        <w:tc>
          <w:tcPr>
            <w:tcW w:w="820" w:type="dxa"/>
            <w:vAlign w:val="bottom"/>
            <w:tcBorders>
              <w:bottom w:val="single" w:sz="8" w:color="6A28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40"/>
              <w:spacing w:after="0"/>
              <w:rPr>
                <w:sz w:val="20"/>
                <w:szCs w:val="20"/>
                <w:color w:val="auto"/>
              </w:rPr>
            </w:pPr>
            <w:r>
              <w:rPr>
                <w:rFonts w:ascii="Arial" w:cs="Arial" w:eastAsia="Arial" w:hAnsi="Arial"/>
                <w:sz w:val="15"/>
                <w:szCs w:val="15"/>
                <w:b w:val="1"/>
                <w:bCs w:val="1"/>
                <w:color w:val="auto"/>
              </w:rPr>
              <w:t>Alistair Simpson</w:t>
            </w:r>
          </w:p>
        </w:tc>
        <w:tc>
          <w:tcPr>
            <w:tcW w:w="500" w:type="dxa"/>
            <w:vAlign w:val="bottom"/>
          </w:tcPr>
          <w:p>
            <w:pPr>
              <w:jc w:val="center"/>
              <w:spacing w:after="0"/>
              <w:rPr>
                <w:sz w:val="20"/>
                <w:szCs w:val="20"/>
                <w:color w:val="auto"/>
              </w:rPr>
            </w:pPr>
            <w:r>
              <w:rPr>
                <w:rFonts w:ascii="Arial" w:cs="Arial" w:eastAsia="Arial" w:hAnsi="Arial"/>
                <w:sz w:val="15"/>
                <w:szCs w:val="15"/>
                <w:color w:val="auto"/>
              </w:rPr>
              <w:t>2019</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424,183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569,913</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187,479</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113,445</w:t>
            </w:r>
          </w:p>
        </w:tc>
        <w:tc>
          <w:tcPr>
            <w:tcW w:w="1200" w:type="dxa"/>
            <w:vAlign w:val="bottom"/>
          </w:tcPr>
          <w:p>
            <w:pPr>
              <w:jc w:val="right"/>
              <w:ind w:right="26"/>
              <w:spacing w:after="0"/>
              <w:rPr>
                <w:sz w:val="20"/>
                <w:szCs w:val="20"/>
                <w:color w:val="auto"/>
              </w:rPr>
            </w:pPr>
            <w:r>
              <w:rPr>
                <w:rFonts w:ascii="Arial" w:cs="Arial" w:eastAsia="Arial" w:hAnsi="Arial"/>
                <w:sz w:val="15"/>
                <w:szCs w:val="15"/>
                <w:color w:val="auto"/>
              </w:rPr>
              <w:t>153,660</w:t>
            </w:r>
          </w:p>
        </w:tc>
        <w:tc>
          <w:tcPr>
            <w:tcW w:w="820" w:type="dxa"/>
            <w:vAlign w:val="bottom"/>
          </w:tcPr>
          <w:p>
            <w:pPr>
              <w:jc w:val="right"/>
              <w:spacing w:after="0"/>
              <w:rPr>
                <w:sz w:val="20"/>
                <w:szCs w:val="20"/>
                <w:color w:val="auto"/>
              </w:rPr>
            </w:pPr>
            <w:r>
              <w:rPr>
                <w:rFonts w:ascii="Arial" w:cs="Arial" w:eastAsia="Arial" w:hAnsi="Arial"/>
                <w:sz w:val="15"/>
                <w:szCs w:val="15"/>
                <w:color w:val="auto"/>
              </w:rPr>
              <w:t>1,448,680</w:t>
            </w:r>
          </w:p>
        </w:tc>
        <w:tc>
          <w:tcPr>
            <w:tcW w:w="0" w:type="dxa"/>
            <w:vAlign w:val="bottom"/>
          </w:tcPr>
          <w:p>
            <w:pPr>
              <w:spacing w:after="0"/>
              <w:rPr>
                <w:sz w:val="1"/>
                <w:szCs w:val="1"/>
                <w:color w:val="auto"/>
              </w:rPr>
            </w:pPr>
          </w:p>
        </w:tc>
      </w:tr>
      <w:tr>
        <w:trPr>
          <w:trHeight w:val="189"/>
        </w:trPr>
        <w:tc>
          <w:tcPr>
            <w:tcW w:w="3100" w:type="dxa"/>
            <w:vAlign w:val="bottom"/>
          </w:tcPr>
          <w:p>
            <w:pPr>
              <w:ind w:left="200"/>
              <w:spacing w:after="0"/>
              <w:rPr>
                <w:sz w:val="20"/>
                <w:szCs w:val="20"/>
                <w:color w:val="auto"/>
              </w:rPr>
            </w:pPr>
            <w:r>
              <w:rPr>
                <w:rFonts w:ascii="Arial" w:cs="Arial" w:eastAsia="Arial" w:hAnsi="Arial"/>
                <w:sz w:val="15"/>
                <w:szCs w:val="15"/>
                <w:color w:val="auto"/>
              </w:rPr>
              <w:t>General Manager, CS</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39370</wp:posOffset>
            </wp:positionV>
            <wp:extent cx="58293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8" w:lineRule="exact"/>
        <w:rPr>
          <w:sz w:val="20"/>
          <w:szCs w:val="20"/>
          <w:color w:val="auto"/>
        </w:rPr>
      </w:pPr>
    </w:p>
    <w:p>
      <w:pPr>
        <w:ind w:left="980" w:right="199" w:hanging="216"/>
        <w:spacing w:after="0" w:line="247" w:lineRule="auto"/>
        <w:tabs>
          <w:tab w:leader="none" w:pos="98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For amounts paid in salary and bonus compensation in 2019, we used an exchange rate of $1.275738014 per British Pound, which reflects the applicable period average published rate from our BOPC Accounting System between January 1, 2019 and December 31, 2019. The BOPC Accounting System uses Bloomberg as a source to obtain exchange rates. Salaries for our NEOs are reviewed and, if thought appropriate by the Compensation Committee, increased or decreased with effect on April 1st. The salaries indicated here thus reflect three months of the prior year’s base salary and nine months of the new base salary with effect from April 1st.</w:t>
      </w:r>
    </w:p>
    <w:p>
      <w:pPr>
        <w:ind w:left="980" w:right="239" w:hanging="216"/>
        <w:spacing w:after="0" w:line="245" w:lineRule="auto"/>
        <w:tabs>
          <w:tab w:leader="none" w:pos="98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full grant-date fair value of RSUs and SARs granted computed in accordance with Federal Accounting Standards Board Accounting Standards Codification (“FASB ASC”) Topic 718, rather than the amounts paid to or realized by the named individual. We provide information regarding the assumptions used to calculate the value of all RSUs and SARs awards made to executive officers in Note 2 to our audited financial statements in our US Annual Report on Form 10-K for the year ended December 31, 2019. For additional information regarding the RSUs and SARs awards reported herein, see “– Compensation Discussion and Analysis – 2019 Long-Term Incentive Plan” and “– Compensation Discussion and Analysis – 2019 Grants of Plan-Based Awards.”</w:t>
      </w:r>
    </w:p>
    <w:p>
      <w:pPr>
        <w:spacing w:after="0" w:line="2" w:lineRule="exact"/>
        <w:rPr>
          <w:rFonts w:ascii="Arial" w:cs="Arial" w:eastAsia="Arial" w:hAnsi="Arial"/>
          <w:sz w:val="13"/>
          <w:szCs w:val="13"/>
          <w:i w:val="1"/>
          <w:iCs w:val="1"/>
          <w:color w:val="auto"/>
        </w:rPr>
      </w:pPr>
    </w:p>
    <w:p>
      <w:pPr>
        <w:ind w:left="980" w:hanging="216"/>
        <w:spacing w:after="0"/>
        <w:tabs>
          <w:tab w:leader="none" w:pos="98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Values in this column reflect payments in respect of the relevant year’s short-term incentive plan.</w:t>
      </w:r>
    </w:p>
    <w:p>
      <w:pPr>
        <w:spacing w:after="0" w:line="26" w:lineRule="exact"/>
        <w:rPr>
          <w:rFonts w:ascii="Arial" w:cs="Arial" w:eastAsia="Arial" w:hAnsi="Arial"/>
          <w:sz w:val="13"/>
          <w:szCs w:val="13"/>
          <w:i w:val="1"/>
          <w:iCs w:val="1"/>
          <w:color w:val="auto"/>
        </w:rPr>
      </w:pPr>
    </w:p>
    <w:p>
      <w:pPr>
        <w:ind w:left="980" w:right="379" w:hanging="216"/>
        <w:spacing w:after="0" w:line="280" w:lineRule="auto"/>
        <w:tabs>
          <w:tab w:leader="none" w:pos="980" w:val="left"/>
        </w:tabs>
        <w:numPr>
          <w:ilvl w:val="0"/>
          <w:numId w:val="61"/>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in the All Other Compensation column represent the aggregate dollar amount for all other benefits and payment received by our NEOs. The following table shows the nature of the benefits and payments and specific amounts for each of our NEOs in 2019:</w:t>
      </w:r>
    </w:p>
    <w:p>
      <w:pPr>
        <w:spacing w:after="0" w:line="93" w:lineRule="exact"/>
        <w:rPr>
          <w:sz w:val="20"/>
          <w:szCs w:val="20"/>
          <w:color w:val="auto"/>
        </w:rPr>
      </w:pPr>
    </w:p>
    <w:tbl>
      <w:tblPr>
        <w:tblLayout w:type="fixed"/>
        <w:tblInd w:w="980"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Non-Qualified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Deferred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Compensation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6A2887"/>
              </w:rPr>
              <w:t>Qualified</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and Defined</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2"/>
        </w:trPr>
        <w:tc>
          <w:tcPr>
            <w:tcW w:w="1320" w:type="dxa"/>
            <w:vAlign w:val="bottom"/>
          </w:tcPr>
          <w:p>
            <w:pPr>
              <w:spacing w:after="0"/>
              <w:rPr>
                <w:sz w:val="13"/>
                <w:szCs w:val="13"/>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6A2887"/>
              </w:rPr>
              <w:t>Severance and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6A2887"/>
              </w:rPr>
              <w:t>Supplemental</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6A2887"/>
              </w:rPr>
              <w:t>Supplemental</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Contribution</w:t>
            </w: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8"/>
        </w:trPr>
        <w:tc>
          <w:tcPr>
            <w:tcW w:w="1320" w:type="dxa"/>
            <w:vAlign w:val="bottom"/>
          </w:tcPr>
          <w:p>
            <w:pPr>
              <w:spacing w:after="0"/>
              <w:rPr>
                <w:sz w:val="12"/>
                <w:szCs w:val="12"/>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6A2887"/>
              </w:rPr>
              <w:t>Termination</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6A2887"/>
              </w:rPr>
              <w:t>Health</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6A2887"/>
              </w:rPr>
              <w:t>Housing</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6A2887"/>
              </w:rPr>
              <w:t>Car</w:t>
            </w: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6A2887"/>
              </w:rPr>
              <w:t>Pension</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Plan Registrant</w:t>
            </w:r>
          </w:p>
        </w:tc>
        <w:tc>
          <w:tcPr>
            <w:tcW w:w="900" w:type="dxa"/>
            <w:vAlign w:val="bottom"/>
          </w:tcPr>
          <w:p>
            <w:pPr>
              <w:jc w:val="right"/>
              <w:ind w:right="11"/>
              <w:spacing w:after="0"/>
              <w:rPr>
                <w:sz w:val="20"/>
                <w:szCs w:val="20"/>
                <w:color w:val="auto"/>
              </w:rPr>
            </w:pPr>
            <w:r>
              <w:rPr>
                <w:rFonts w:ascii="Arial" w:cs="Arial" w:eastAsia="Arial" w:hAnsi="Arial"/>
                <w:sz w:val="13"/>
                <w:szCs w:val="13"/>
                <w:b w:val="1"/>
                <w:bCs w:val="1"/>
                <w:color w:val="6A2887"/>
              </w:rPr>
              <w:t>Cash in Lieu</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1120" w:type="dxa"/>
            <w:vAlign w:val="bottom"/>
          </w:tcPr>
          <w:p>
            <w:pPr>
              <w:jc w:val="right"/>
              <w:ind w:right="11"/>
              <w:spacing w:after="0"/>
              <w:rPr>
                <w:sz w:val="20"/>
                <w:szCs w:val="20"/>
                <w:color w:val="auto"/>
              </w:rPr>
            </w:pPr>
            <w:r>
              <w:rPr>
                <w:rFonts w:ascii="Arial" w:cs="Arial" w:eastAsia="Arial" w:hAnsi="Arial"/>
                <w:sz w:val="13"/>
                <w:szCs w:val="13"/>
                <w:b w:val="1"/>
                <w:bCs w:val="1"/>
                <w:color w:val="6A2887"/>
              </w:rPr>
              <w:t>Payments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6A2887"/>
              </w:rPr>
              <w:t>Insurance</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6A2887"/>
              </w:rPr>
              <w:t>Allowance</w:t>
            </w: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6A2887"/>
              </w:rPr>
              <w:t>Allowance</w:t>
            </w:r>
          </w:p>
        </w:tc>
        <w:tc>
          <w:tcPr>
            <w:tcW w:w="980" w:type="dxa"/>
            <w:vAlign w:val="bottom"/>
          </w:tcPr>
          <w:p>
            <w:pPr>
              <w:jc w:val="right"/>
              <w:ind w:right="11"/>
              <w:spacing w:after="0"/>
              <w:rPr>
                <w:sz w:val="20"/>
                <w:szCs w:val="20"/>
                <w:color w:val="auto"/>
              </w:rPr>
            </w:pPr>
            <w:r>
              <w:rPr>
                <w:rFonts w:ascii="Arial" w:cs="Arial" w:eastAsia="Arial" w:hAnsi="Arial"/>
                <w:sz w:val="13"/>
                <w:szCs w:val="13"/>
                <w:b w:val="1"/>
                <w:bCs w:val="1"/>
                <w:color w:val="6A2887"/>
              </w:rPr>
              <w:t>Payments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6A2887"/>
              </w:rPr>
              <w:t>Contributions</w:t>
            </w:r>
          </w:p>
        </w:tc>
        <w:tc>
          <w:tcPr>
            <w:tcW w:w="900" w:type="dxa"/>
            <w:vAlign w:val="bottom"/>
          </w:tcPr>
          <w:p>
            <w:pPr>
              <w:jc w:val="right"/>
              <w:ind w:right="11"/>
              <w:spacing w:after="0"/>
              <w:rPr>
                <w:sz w:val="20"/>
                <w:szCs w:val="20"/>
                <w:color w:val="auto"/>
              </w:rPr>
            </w:pPr>
            <w:r>
              <w:rPr>
                <w:rFonts w:ascii="Arial" w:cs="Arial" w:eastAsia="Arial" w:hAnsi="Arial"/>
                <w:sz w:val="13"/>
                <w:szCs w:val="13"/>
                <w:b w:val="1"/>
                <w:bCs w:val="1"/>
                <w:color w:val="6A2887"/>
              </w:rPr>
              <w:t>of Pension</w:t>
            </w:r>
          </w:p>
        </w:tc>
        <w:tc>
          <w:tcPr>
            <w:tcW w:w="500" w:type="dxa"/>
            <w:vAlign w:val="bottom"/>
          </w:tcPr>
          <w:p>
            <w:pPr>
              <w:jc w:val="right"/>
              <w:ind w:right="11"/>
              <w:spacing w:after="0"/>
              <w:rPr>
                <w:sz w:val="20"/>
                <w:szCs w:val="20"/>
                <w:color w:val="auto"/>
              </w:rPr>
            </w:pPr>
            <w:r>
              <w:rPr>
                <w:rFonts w:ascii="Arial" w:cs="Arial" w:eastAsia="Arial" w:hAnsi="Arial"/>
                <w:sz w:val="13"/>
                <w:szCs w:val="13"/>
                <w:b w:val="1"/>
                <w:bCs w:val="1"/>
                <w:color w:val="6A2887"/>
              </w:rPr>
              <w:t>Other</w:t>
            </w:r>
          </w:p>
        </w:tc>
        <w:tc>
          <w:tcPr>
            <w:tcW w:w="600" w:type="dxa"/>
            <w:vAlign w:val="bottom"/>
          </w:tcPr>
          <w:p>
            <w:pPr>
              <w:jc w:val="right"/>
              <w:ind w:right="31"/>
              <w:spacing w:after="0"/>
              <w:rPr>
                <w:sz w:val="20"/>
                <w:szCs w:val="20"/>
                <w:color w:val="auto"/>
              </w:rPr>
            </w:pPr>
            <w:r>
              <w:rPr>
                <w:rFonts w:ascii="Arial" w:cs="Arial" w:eastAsia="Arial" w:hAnsi="Arial"/>
                <w:sz w:val="13"/>
                <w:szCs w:val="13"/>
                <w:b w:val="1"/>
                <w:bCs w:val="1"/>
                <w:color w:val="6A2887"/>
              </w:rPr>
              <w:t>Total</w:t>
            </w:r>
          </w:p>
        </w:tc>
      </w:tr>
      <w:tr>
        <w:trPr>
          <w:trHeight w:val="216"/>
        </w:trPr>
        <w:tc>
          <w:tcPr>
            <w:tcW w:w="1320" w:type="dxa"/>
            <w:vAlign w:val="bottom"/>
            <w:tcBorders>
              <w:bottom w:val="single" w:sz="8" w:color="6A2887"/>
            </w:tcBorders>
          </w:tcPr>
          <w:p>
            <w:pPr>
              <w:spacing w:after="0"/>
              <w:rPr>
                <w:sz w:val="18"/>
                <w:szCs w:val="18"/>
                <w:color w:val="auto"/>
              </w:rPr>
            </w:pPr>
          </w:p>
        </w:tc>
        <w:tc>
          <w:tcPr>
            <w:tcW w:w="112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w:t>
            </w:r>
          </w:p>
        </w:tc>
        <w:tc>
          <w:tcPr>
            <w:tcW w:w="96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w:t>
            </w:r>
          </w:p>
        </w:tc>
        <w:tc>
          <w:tcPr>
            <w:tcW w:w="76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(a)</w:t>
            </w:r>
          </w:p>
        </w:tc>
        <w:tc>
          <w:tcPr>
            <w:tcW w:w="76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(b)</w:t>
            </w:r>
          </w:p>
        </w:tc>
        <w:tc>
          <w:tcPr>
            <w:tcW w:w="98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(c)</w:t>
            </w:r>
          </w:p>
        </w:tc>
        <w:tc>
          <w:tcPr>
            <w:tcW w:w="106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(d)</w:t>
            </w:r>
          </w:p>
        </w:tc>
        <w:tc>
          <w:tcPr>
            <w:tcW w:w="90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(e)</w:t>
            </w:r>
          </w:p>
        </w:tc>
        <w:tc>
          <w:tcPr>
            <w:tcW w:w="50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w:t>
            </w:r>
            <w:r>
              <w:rPr>
                <w:rFonts w:ascii="Arial" w:cs="Arial" w:eastAsia="Arial" w:hAnsi="Arial"/>
                <w:sz w:val="19"/>
                <w:szCs w:val="19"/>
                <w:b w:val="1"/>
                <w:bCs w:val="1"/>
                <w:color w:val="6A2887"/>
                <w:vertAlign w:val="superscript"/>
              </w:rPr>
              <w:t>(f)</w:t>
            </w:r>
          </w:p>
        </w:tc>
        <w:tc>
          <w:tcPr>
            <w:tcW w:w="60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w:t>
            </w:r>
          </w:p>
        </w:tc>
      </w:tr>
      <w:tr>
        <w:trPr>
          <w:trHeight w:val="198"/>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Damien McDonald</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28,381</w:t>
            </w:r>
          </w:p>
        </w:tc>
        <w:tc>
          <w:tcPr>
            <w:tcW w:w="760" w:type="dxa"/>
            <w:vAlign w:val="bottom"/>
          </w:tcPr>
          <w:p>
            <w:pPr>
              <w:jc w:val="right"/>
              <w:spacing w:after="0"/>
              <w:rPr>
                <w:sz w:val="20"/>
                <w:szCs w:val="20"/>
                <w:color w:val="auto"/>
              </w:rPr>
            </w:pPr>
            <w:r>
              <w:rPr>
                <w:rFonts w:ascii="Arial" w:cs="Arial" w:eastAsia="Arial" w:hAnsi="Arial"/>
                <w:sz w:val="14"/>
                <w:szCs w:val="14"/>
                <w:color w:val="auto"/>
              </w:rPr>
              <w:t>122,471</w:t>
            </w:r>
          </w:p>
        </w:tc>
        <w:tc>
          <w:tcPr>
            <w:tcW w:w="760" w:type="dxa"/>
            <w:vAlign w:val="bottom"/>
          </w:tcPr>
          <w:p>
            <w:pPr>
              <w:jc w:val="right"/>
              <w:spacing w:after="0"/>
              <w:rPr>
                <w:sz w:val="20"/>
                <w:szCs w:val="20"/>
                <w:color w:val="auto"/>
              </w:rPr>
            </w:pPr>
            <w:r>
              <w:rPr>
                <w:rFonts w:ascii="Arial" w:cs="Arial" w:eastAsia="Arial" w:hAnsi="Arial"/>
                <w:sz w:val="14"/>
                <w:szCs w:val="14"/>
                <w:color w:val="auto"/>
              </w:rPr>
              <w:t>22,644</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162,643</w:t>
            </w:r>
          </w:p>
        </w:tc>
        <w:tc>
          <w:tcPr>
            <w:tcW w:w="500" w:type="dxa"/>
            <w:vAlign w:val="bottom"/>
          </w:tcPr>
          <w:p>
            <w:pPr>
              <w:jc w:val="right"/>
              <w:spacing w:after="0"/>
              <w:rPr>
                <w:sz w:val="20"/>
                <w:szCs w:val="20"/>
                <w:color w:val="auto"/>
              </w:rPr>
            </w:pPr>
            <w:r>
              <w:rPr>
                <w:rFonts w:ascii="Arial" w:cs="Arial" w:eastAsia="Arial" w:hAnsi="Arial"/>
                <w:sz w:val="14"/>
                <w:szCs w:val="14"/>
                <w:color w:val="auto"/>
              </w:rPr>
              <w:t>26,087</w:t>
            </w:r>
          </w:p>
        </w:tc>
        <w:tc>
          <w:tcPr>
            <w:tcW w:w="600" w:type="dxa"/>
            <w:vAlign w:val="bottom"/>
          </w:tcPr>
          <w:p>
            <w:pPr>
              <w:jc w:val="right"/>
              <w:spacing w:after="0"/>
              <w:rPr>
                <w:sz w:val="20"/>
                <w:szCs w:val="20"/>
                <w:color w:val="auto"/>
              </w:rPr>
            </w:pPr>
            <w:r>
              <w:rPr>
                <w:rFonts w:ascii="Arial" w:cs="Arial" w:eastAsia="Arial" w:hAnsi="Arial"/>
                <w:sz w:val="14"/>
                <w:szCs w:val="14"/>
                <w:color w:val="auto"/>
              </w:rPr>
              <w:t>362,226</w:t>
            </w:r>
          </w:p>
        </w:tc>
      </w:tr>
      <w:tr>
        <w:trPr>
          <w:trHeight w:val="25"/>
        </w:trPr>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132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4"/>
                <w:szCs w:val="14"/>
                <w:b w:val="1"/>
                <w:bCs w:val="1"/>
                <w:color w:val="auto"/>
              </w:rPr>
              <w:t>Thad Huston</w:t>
            </w:r>
          </w:p>
        </w:tc>
        <w:tc>
          <w:tcPr>
            <w:tcW w:w="11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21,823</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89,360</w:t>
            </w:r>
          </w:p>
        </w:tc>
        <w:tc>
          <w:tcPr>
            <w:tcW w:w="5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11,169</w:t>
            </w:r>
          </w:p>
        </w:tc>
        <w:tc>
          <w:tcPr>
            <w:tcW w:w="6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139,192</w:t>
            </w:r>
          </w:p>
        </w:tc>
      </w:tr>
      <w:tr>
        <w:trPr>
          <w:trHeight w:val="204"/>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Keyna Skeffington</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34,628</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69,922</w:t>
            </w:r>
          </w:p>
        </w:tc>
        <w:tc>
          <w:tcPr>
            <w:tcW w:w="500" w:type="dxa"/>
            <w:vAlign w:val="bottom"/>
          </w:tcPr>
          <w:p>
            <w:pPr>
              <w:jc w:val="right"/>
              <w:spacing w:after="0"/>
              <w:rPr>
                <w:sz w:val="20"/>
                <w:szCs w:val="20"/>
                <w:color w:val="auto"/>
              </w:rPr>
            </w:pPr>
            <w:r>
              <w:rPr>
                <w:rFonts w:ascii="Arial" w:cs="Arial" w:eastAsia="Arial" w:hAnsi="Arial"/>
                <w:sz w:val="14"/>
                <w:szCs w:val="14"/>
                <w:color w:val="auto"/>
              </w:rPr>
              <w:t>7,361</w:t>
            </w:r>
          </w:p>
        </w:tc>
        <w:tc>
          <w:tcPr>
            <w:tcW w:w="600" w:type="dxa"/>
            <w:vAlign w:val="bottom"/>
          </w:tcPr>
          <w:p>
            <w:pPr>
              <w:jc w:val="right"/>
              <w:spacing w:after="0"/>
              <w:rPr>
                <w:sz w:val="20"/>
                <w:szCs w:val="20"/>
                <w:color w:val="auto"/>
              </w:rPr>
            </w:pPr>
            <w:r>
              <w:rPr>
                <w:rFonts w:ascii="Arial" w:cs="Arial" w:eastAsia="Arial" w:hAnsi="Arial"/>
                <w:sz w:val="14"/>
                <w:szCs w:val="14"/>
                <w:color w:val="auto"/>
              </w:rPr>
              <w:t>128,751</w:t>
            </w:r>
          </w:p>
        </w:tc>
      </w:tr>
      <w:tr>
        <w:trPr>
          <w:trHeight w:val="25"/>
        </w:trPr>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132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4"/>
                <w:szCs w:val="14"/>
                <w:b w:val="1"/>
                <w:bCs w:val="1"/>
                <w:color w:val="auto"/>
              </w:rPr>
              <w:t>Edward Andrle</w:t>
            </w:r>
          </w:p>
        </w:tc>
        <w:tc>
          <w:tcPr>
            <w:tcW w:w="112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26,215</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11,200</w:t>
            </w:r>
          </w:p>
        </w:tc>
        <w:tc>
          <w:tcPr>
            <w:tcW w:w="10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40,222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3,565</w:t>
            </w:r>
          </w:p>
        </w:tc>
        <w:tc>
          <w:tcPr>
            <w:tcW w:w="6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4"/>
                <w:szCs w:val="14"/>
                <w:color w:val="auto"/>
              </w:rPr>
              <w:t>81,202</w:t>
            </w:r>
          </w:p>
        </w:tc>
      </w:tr>
      <w:tr>
        <w:trPr>
          <w:trHeight w:val="204"/>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Alistair Simpson</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28,259</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16,840</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70,865</w:t>
            </w:r>
          </w:p>
        </w:tc>
        <w:tc>
          <w:tcPr>
            <w:tcW w:w="500" w:type="dxa"/>
            <w:vAlign w:val="bottom"/>
          </w:tcPr>
          <w:p>
            <w:pPr>
              <w:jc w:val="right"/>
              <w:spacing w:after="0"/>
              <w:rPr>
                <w:sz w:val="20"/>
                <w:szCs w:val="20"/>
                <w:color w:val="auto"/>
              </w:rPr>
            </w:pPr>
            <w:r>
              <w:rPr>
                <w:rFonts w:ascii="Arial" w:cs="Arial" w:eastAsia="Arial" w:hAnsi="Arial"/>
                <w:sz w:val="14"/>
                <w:szCs w:val="14"/>
                <w:color w:val="auto"/>
              </w:rPr>
              <w:t>37,696</w:t>
            </w:r>
          </w:p>
        </w:tc>
        <w:tc>
          <w:tcPr>
            <w:tcW w:w="600" w:type="dxa"/>
            <w:vAlign w:val="bottom"/>
          </w:tcPr>
          <w:p>
            <w:pPr>
              <w:jc w:val="right"/>
              <w:spacing w:after="0"/>
              <w:rPr>
                <w:sz w:val="20"/>
                <w:szCs w:val="20"/>
                <w:color w:val="auto"/>
              </w:rPr>
            </w:pPr>
            <w:r>
              <w:rPr>
                <w:rFonts w:ascii="Arial" w:cs="Arial" w:eastAsia="Arial" w:hAnsi="Arial"/>
                <w:sz w:val="14"/>
                <w:szCs w:val="14"/>
                <w:color w:val="auto"/>
              </w:rPr>
              <w:t>153,660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15875</wp:posOffset>
            </wp:positionV>
            <wp:extent cx="56921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45" w:lineRule="exact"/>
        <w:rPr>
          <w:sz w:val="20"/>
          <w:szCs w:val="20"/>
          <w:color w:val="auto"/>
        </w:rPr>
      </w:pPr>
    </w:p>
    <w:p>
      <w:pPr>
        <w:ind w:left="1200" w:hanging="220"/>
        <w:spacing w:after="0"/>
        <w:tabs>
          <w:tab w:leader="none" w:pos="120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housing allowance to Mr. McDonald under the terms of his service agreement.</w:t>
      </w:r>
    </w:p>
    <w:p>
      <w:pPr>
        <w:spacing w:after="0" w:line="26" w:lineRule="exact"/>
        <w:rPr>
          <w:rFonts w:ascii="Arial" w:cs="Arial" w:eastAsia="Arial" w:hAnsi="Arial"/>
          <w:sz w:val="13"/>
          <w:szCs w:val="13"/>
          <w:i w:val="1"/>
          <w:iCs w:val="1"/>
          <w:color w:val="auto"/>
        </w:rPr>
      </w:pPr>
    </w:p>
    <w:p>
      <w:pPr>
        <w:ind w:left="1200" w:right="339" w:hanging="220"/>
        <w:spacing w:after="0" w:line="260" w:lineRule="auto"/>
        <w:tabs>
          <w:tab w:leader="none" w:pos="120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car allowance for each of Messrs. McDonald, Huston, Alistair and Ms. Skeffington. These benefits and allowances are customary in UK executive compensation packages.</w:t>
      </w:r>
    </w:p>
    <w:p>
      <w:pPr>
        <w:ind w:left="1200" w:hanging="220"/>
        <w:spacing w:after="0"/>
        <w:tabs>
          <w:tab w:leader="none" w:pos="1200" w:val="left"/>
        </w:tabs>
        <w:numPr>
          <w:ilvl w:val="0"/>
          <w:numId w:val="62"/>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Company contributions on behalf of our NEOs to tax-qualified defined contribution plans. (see – 2019 Pension Benefits)</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39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0" w:right="260" w:hanging="220"/>
        <w:spacing w:after="0" w:line="253" w:lineRule="auto"/>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Company contributions to a partially non-qualified defined contribution plan equal to the amount of company contributions made on behalf of the executive officer on top of the maximum amounts that may be tax-qualified under the supplemental pension plan. (see – 2019 Nonqualified Deferred Compensation)</w:t>
      </w:r>
    </w:p>
    <w:p>
      <w:pPr>
        <w:ind w:left="1200" w:right="300" w:hanging="220"/>
        <w:spacing w:after="0" w:line="242" w:lineRule="auto"/>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cash received in lieu of pension (see – 2019 Pension Benefits). In respect of Mr. McDonald: the Company contributed £20,000 ($25,215) into a personal pension plan administered by Aegon, and a further £127,490 ($162,643) was paid as cash in lieu of pension. Mr. McDonald’s service agreement entitles him to a pension contribution equal to 15% of the aggregate of his base salary and bonus. As cash in lieu entails a UK employers’ national insurance charge in the amount of 13.8% of the cash in lieu, the cash paid is decreased by this amount in order that the payment by the Company remains relatively cost-neutral. In respect of Mr. Huston, the Company contributed £70,046 ($89,360) as cash in lieu of pension.</w:t>
      </w:r>
    </w:p>
    <w:p>
      <w:pPr>
        <w:spacing w:after="0" w:line="2" w:lineRule="exact"/>
        <w:rPr>
          <w:rFonts w:ascii="Arial" w:cs="Arial" w:eastAsia="Arial" w:hAnsi="Arial"/>
          <w:sz w:val="13"/>
          <w:szCs w:val="13"/>
          <w:i w:val="1"/>
          <w:iCs w:val="1"/>
          <w:color w:val="auto"/>
        </w:rPr>
      </w:pPr>
    </w:p>
    <w:p>
      <w:pPr>
        <w:ind w:left="1200" w:right="380"/>
        <w:spacing w:after="0" w:line="238" w:lineRule="auto"/>
        <w:rPr>
          <w:rFonts w:ascii="Arial" w:cs="Arial" w:eastAsia="Arial" w:hAnsi="Arial"/>
          <w:sz w:val="13"/>
          <w:szCs w:val="13"/>
          <w:i w:val="1"/>
          <w:iCs w:val="1"/>
          <w:color w:val="auto"/>
        </w:rPr>
      </w:pPr>
      <w:r>
        <w:rPr>
          <w:rFonts w:ascii="Arial" w:cs="Arial" w:eastAsia="Arial" w:hAnsi="Arial"/>
          <w:sz w:val="13"/>
          <w:szCs w:val="13"/>
          <w:i w:val="1"/>
          <w:iCs w:val="1"/>
          <w:color w:val="auto"/>
        </w:rPr>
        <w:t>Mr. Huston’s service agreement entitles him to a pension contribution equal to 15% of the aggregate of his base salary and bonus. As in the case of Mr. McDonald’s cash in lieu, the cash paid is decreased by 13.8%. In respect of Ms. Skeffington, the Company contributed £54,809 ($69,922).</w:t>
      </w:r>
    </w:p>
    <w:p>
      <w:pPr>
        <w:ind w:left="1200" w:right="300"/>
        <w:spacing w:after="0" w:line="243" w:lineRule="auto"/>
        <w:rPr>
          <w:rFonts w:ascii="Arial" w:cs="Arial" w:eastAsia="Arial" w:hAnsi="Arial"/>
          <w:sz w:val="13"/>
          <w:szCs w:val="13"/>
          <w:i w:val="1"/>
          <w:iCs w:val="1"/>
          <w:color w:val="auto"/>
        </w:rPr>
      </w:pPr>
      <w:r>
        <w:rPr>
          <w:rFonts w:ascii="Arial" w:cs="Arial" w:eastAsia="Arial" w:hAnsi="Arial"/>
          <w:sz w:val="13"/>
          <w:szCs w:val="13"/>
          <w:i w:val="1"/>
          <w:iCs w:val="1"/>
          <w:color w:val="auto"/>
        </w:rPr>
        <w:t>Ms. Skeffington’s service contract contains the same provision as Mr. Huston’s and her cash in lieu is thus similarly reduced to reflect UK employers’ national insurance contributions payable by the Company. In respect of Mr. Simpson, the Company contributed £55,548 ($70,865). Mr. Simpson’s service contract contains the same provision as Mr. Huston and Ms. Skeffington and his cash in lieu is thus similarly reduced to reflect UK employers’ national insurance contribution payable by the Company.</w:t>
      </w:r>
    </w:p>
    <w:p>
      <w:pPr>
        <w:spacing w:after="0" w:line="2" w:lineRule="exact"/>
        <w:rPr>
          <w:rFonts w:ascii="Arial" w:cs="Arial" w:eastAsia="Arial" w:hAnsi="Arial"/>
          <w:sz w:val="13"/>
          <w:szCs w:val="13"/>
          <w:i w:val="1"/>
          <w:iCs w:val="1"/>
          <w:color w:val="auto"/>
        </w:rPr>
      </w:pPr>
    </w:p>
    <w:p>
      <w:pPr>
        <w:ind w:left="1200" w:right="500" w:hanging="220"/>
        <w:spacing w:after="0" w:line="252" w:lineRule="auto"/>
        <w:tabs>
          <w:tab w:leader="none" w:pos="1200" w:val="left"/>
        </w:tabs>
        <w:numPr>
          <w:ilvl w:val="0"/>
          <w:numId w:val="63"/>
        </w:numPr>
        <w:rPr>
          <w:rFonts w:ascii="Arial" w:cs="Arial" w:eastAsia="Arial" w:hAnsi="Arial"/>
          <w:sz w:val="13"/>
          <w:szCs w:val="13"/>
          <w:i w:val="1"/>
          <w:iCs w:val="1"/>
          <w:color w:val="auto"/>
        </w:rPr>
      </w:pPr>
      <w:r>
        <w:rPr>
          <w:rFonts w:ascii="Arial" w:cs="Arial" w:eastAsia="Arial" w:hAnsi="Arial"/>
          <w:sz w:val="13"/>
          <w:szCs w:val="13"/>
          <w:i w:val="1"/>
          <w:iCs w:val="1"/>
          <w:color w:val="auto"/>
        </w:rPr>
        <w:t>For Mr. McDonald, this represents a school tuition fee allowance for Mr. McDonald’s children ($26,087). As to Mr. Huston, this represents gym membership ($2,373) and tax assistance ($8,796). As to Ms. Skeffington this represents tax assistance ($7,361). As to Mr. Andrle, this represents group term life insurance ($3,565). As to Mr. Simpson, this represents a school tuition fee allowance for Mr. Simpson’s children ($29,770) and tax assistance ($7,926).</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Grants of Plan-Based Awards Table</w:t>
      </w:r>
    </w:p>
    <w:p>
      <w:pPr>
        <w:spacing w:after="0" w:line="124" w:lineRule="exact"/>
        <w:rPr>
          <w:sz w:val="20"/>
          <w:szCs w:val="20"/>
          <w:color w:val="auto"/>
        </w:rPr>
      </w:pPr>
    </w:p>
    <w:p>
      <w:pPr>
        <w:ind w:left="760" w:right="419"/>
        <w:spacing w:after="0" w:line="253" w:lineRule="auto"/>
        <w:rPr>
          <w:sz w:val="20"/>
          <w:szCs w:val="20"/>
          <w:color w:val="auto"/>
        </w:rPr>
      </w:pPr>
      <w:r>
        <w:rPr>
          <w:rFonts w:ascii="Arial" w:cs="Arial" w:eastAsia="Arial" w:hAnsi="Arial"/>
          <w:sz w:val="16"/>
          <w:szCs w:val="16"/>
          <w:color w:val="auto"/>
        </w:rPr>
        <w:t>The following table provides supplemental information relating to grants of plan-based awards made during 2019 to help explain information provided above in our Summary Compensation Table. This table presents information regarding all grants of plan-based awards occurring during 2019.</w:t>
      </w:r>
    </w:p>
    <w:p>
      <w:pPr>
        <w:spacing w:after="0" w:line="8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6A2887"/>
              </w:rPr>
              <w:t>All Other</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6A2887"/>
              </w:rPr>
              <w:t>Estimated Future Payouts</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6A2887"/>
              </w:rPr>
              <w:t>Stock</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6A2887"/>
              </w:rPr>
              <w:t>All Other</w:t>
            </w:r>
          </w:p>
        </w:tc>
        <w:tc>
          <w:tcPr>
            <w:tcW w:w="760" w:type="dxa"/>
            <w:vAlign w:val="bottom"/>
          </w:tcPr>
          <w:p>
            <w:pPr>
              <w:spacing w:after="0"/>
              <w:rPr>
                <w:sz w:val="12"/>
                <w:szCs w:val="12"/>
                <w:color w:val="auto"/>
              </w:rPr>
            </w:pP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6A2887"/>
              </w:rPr>
              <w:t>Grant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Awards:</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Option</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6A2887"/>
              </w:rPr>
              <w:t>Exercise</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6A2887"/>
              </w:rPr>
              <w:t>Date</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6A2887"/>
                <w:w w:val="95"/>
              </w:rPr>
              <w:t>Estimated Future Payouts Under</w:t>
            </w: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6A2887"/>
              </w:rPr>
              <w:t>Under Equity Incentive Plan:</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Number</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Awards:</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6A2887"/>
              </w:rPr>
              <w:t>or Base</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6A2887"/>
                <w:w w:val="92"/>
              </w:rPr>
              <w:t>Fair value</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8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6A2887"/>
              </w:rPr>
              <w:t>Non-Equity Incentive Plan</w:t>
            </w:r>
          </w:p>
        </w:tc>
        <w:tc>
          <w:tcPr>
            <w:tcW w:w="212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6A2887"/>
              </w:rPr>
              <w:t>Performance Stock Units</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180" w:type="dxa"/>
            <w:vAlign w:val="bottom"/>
            <w:gridSpan w:val="3"/>
            <w:vMerge w:val="continue"/>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of Shares</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6A2887"/>
              </w:rPr>
              <w:t>Number of</w:t>
            </w:r>
          </w:p>
        </w:tc>
        <w:tc>
          <w:tcPr>
            <w:tcW w:w="76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6A2887"/>
              </w:rPr>
              <w:t>Price of</w:t>
            </w:r>
          </w:p>
        </w:tc>
        <w:tc>
          <w:tcPr>
            <w:tcW w:w="66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6A2887"/>
              </w:rPr>
              <w:t>of RSU</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6A2887"/>
              </w:rPr>
              <w:t>Awards</w:t>
            </w: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6A2887"/>
              </w:rPr>
              <w:t>(PSUs) (#)</w:t>
            </w: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Borders>
              <w:bottom w:val="single" w:sz="8" w:color="6A2887"/>
            </w:tcBorders>
          </w:tcPr>
          <w:p>
            <w:pPr>
              <w:spacing w:after="0"/>
              <w:rPr>
                <w:sz w:val="10"/>
                <w:szCs w:val="10"/>
                <w:color w:val="auto"/>
              </w:rPr>
            </w:pPr>
          </w:p>
        </w:tc>
        <w:tc>
          <w:tcPr>
            <w:tcW w:w="620" w:type="dxa"/>
            <w:vAlign w:val="bottom"/>
            <w:tcBorders>
              <w:bottom w:val="single" w:sz="8" w:color="6A2887"/>
            </w:tcBorders>
          </w:tcPr>
          <w:p>
            <w:pPr>
              <w:spacing w:after="0"/>
              <w:rPr>
                <w:sz w:val="10"/>
                <w:szCs w:val="10"/>
                <w:color w:val="auto"/>
              </w:rPr>
            </w:pPr>
          </w:p>
        </w:tc>
        <w:tc>
          <w:tcPr>
            <w:tcW w:w="760" w:type="dxa"/>
            <w:vAlign w:val="bottom"/>
            <w:tcBorders>
              <w:bottom w:val="single" w:sz="8" w:color="6A2887"/>
            </w:tcBorders>
            <w:vMerge w:val="continue"/>
          </w:tcPr>
          <w:p>
            <w:pPr>
              <w:spacing w:after="0"/>
              <w:rPr>
                <w:sz w:val="10"/>
                <w:szCs w:val="10"/>
                <w:color w:val="auto"/>
              </w:rPr>
            </w:pPr>
          </w:p>
        </w:tc>
        <w:tc>
          <w:tcPr>
            <w:tcW w:w="780" w:type="dxa"/>
            <w:vAlign w:val="bottom"/>
            <w:tcBorders>
              <w:bottom w:val="single" w:sz="8" w:color="6A2887"/>
            </w:tcBorders>
          </w:tcPr>
          <w:p>
            <w:pPr>
              <w:spacing w:after="0"/>
              <w:rPr>
                <w:sz w:val="10"/>
                <w:szCs w:val="10"/>
                <w:color w:val="auto"/>
              </w:rPr>
            </w:pPr>
          </w:p>
        </w:tc>
        <w:tc>
          <w:tcPr>
            <w:tcW w:w="580" w:type="dxa"/>
            <w:vAlign w:val="bottom"/>
            <w:tcBorders>
              <w:bottom w:val="single" w:sz="8" w:color="6A2887"/>
            </w:tcBorders>
          </w:tcPr>
          <w:p>
            <w:pPr>
              <w:spacing w:after="0"/>
              <w:rPr>
                <w:sz w:val="10"/>
                <w:szCs w:val="10"/>
                <w:color w:val="auto"/>
              </w:rPr>
            </w:pPr>
          </w:p>
        </w:tc>
        <w:tc>
          <w:tcPr>
            <w:tcW w:w="760" w:type="dxa"/>
            <w:vAlign w:val="bottom"/>
            <w:tcBorders>
              <w:bottom w:val="single" w:sz="8" w:color="6A2887"/>
            </w:tcBorders>
            <w:vMerge w:val="continue"/>
          </w:tcPr>
          <w:p>
            <w:pPr>
              <w:spacing w:after="0"/>
              <w:rPr>
                <w:sz w:val="10"/>
                <w:szCs w:val="10"/>
                <w:color w:val="auto"/>
              </w:rPr>
            </w:pPr>
          </w:p>
        </w:tc>
        <w:tc>
          <w:tcPr>
            <w:tcW w:w="78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6A2887"/>
              </w:rPr>
              <w:t>of Service-</w:t>
            </w:r>
          </w:p>
        </w:tc>
        <w:tc>
          <w:tcPr>
            <w:tcW w:w="8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6A2887"/>
              </w:rPr>
              <w:t>Securities</w:t>
            </w:r>
          </w:p>
        </w:tc>
        <w:tc>
          <w:tcPr>
            <w:tcW w:w="760" w:type="dxa"/>
            <w:vAlign w:val="bottom"/>
          </w:tcPr>
          <w:p>
            <w:pPr>
              <w:jc w:val="right"/>
              <w:ind w:right="125"/>
              <w:spacing w:after="0" w:line="110" w:lineRule="exact"/>
              <w:rPr>
                <w:sz w:val="20"/>
                <w:szCs w:val="20"/>
                <w:color w:val="auto"/>
              </w:rPr>
            </w:pPr>
            <w:r>
              <w:rPr>
                <w:rFonts w:ascii="Arial" w:cs="Arial" w:eastAsia="Arial" w:hAnsi="Arial"/>
                <w:sz w:val="12"/>
                <w:szCs w:val="12"/>
                <w:b w:val="1"/>
                <w:bCs w:val="1"/>
                <w:color w:val="6A2887"/>
              </w:rPr>
              <w:t>SAR</w:t>
            </w:r>
          </w:p>
        </w:tc>
        <w:tc>
          <w:tcPr>
            <w:tcW w:w="660" w:type="dxa"/>
            <w:vAlign w:val="bottom"/>
          </w:tcPr>
          <w:p>
            <w:pPr>
              <w:jc w:val="right"/>
              <w:ind w:right="18"/>
              <w:spacing w:after="0" w:line="110" w:lineRule="exact"/>
              <w:rPr>
                <w:sz w:val="20"/>
                <w:szCs w:val="20"/>
                <w:color w:val="auto"/>
              </w:rPr>
            </w:pPr>
            <w:r>
              <w:rPr>
                <w:rFonts w:ascii="Arial" w:cs="Arial" w:eastAsia="Arial" w:hAnsi="Arial"/>
                <w:sz w:val="12"/>
                <w:szCs w:val="12"/>
                <w:b w:val="1"/>
                <w:bCs w:val="1"/>
                <w:color w:val="6A2887"/>
              </w:rPr>
              <w:t>and SAR</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b w:val="1"/>
                <w:bCs w:val="1"/>
                <w:color w:val="6A2887"/>
              </w:rPr>
              <w:t>Grant</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6A2887"/>
              </w:rPr>
              <w:t>Threshold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6A2887"/>
                <w:w w:val="90"/>
              </w:rPr>
              <w:t>Target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6A2887"/>
              </w:rPr>
              <w:t>Maximum</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6A2887"/>
              </w:rPr>
              <w:t>Threshold</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6A2887"/>
              </w:rPr>
              <w:t>Target</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6A2887"/>
              </w:rPr>
              <w:t>Maximum</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6A2887"/>
              </w:rPr>
              <w:t>Based</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6A2887"/>
              </w:rPr>
              <w:t>Underlying</w:t>
            </w:r>
          </w:p>
        </w:tc>
        <w:tc>
          <w:tcPr>
            <w:tcW w:w="760" w:type="dxa"/>
            <w:vAlign w:val="bottom"/>
          </w:tcPr>
          <w:p>
            <w:pPr>
              <w:jc w:val="right"/>
              <w:ind w:right="125"/>
              <w:spacing w:after="0"/>
              <w:rPr>
                <w:sz w:val="20"/>
                <w:szCs w:val="20"/>
                <w:color w:val="auto"/>
              </w:rPr>
            </w:pPr>
            <w:r>
              <w:rPr>
                <w:rFonts w:ascii="Arial" w:cs="Arial" w:eastAsia="Arial" w:hAnsi="Arial"/>
                <w:sz w:val="13"/>
                <w:szCs w:val="13"/>
                <w:b w:val="1"/>
                <w:bCs w:val="1"/>
                <w:color w:val="6A2887"/>
              </w:rPr>
              <w:t>Awards</w:t>
            </w:r>
          </w:p>
        </w:tc>
        <w:tc>
          <w:tcPr>
            <w:tcW w:w="660" w:type="dxa"/>
            <w:vAlign w:val="bottom"/>
          </w:tcPr>
          <w:p>
            <w:pPr>
              <w:jc w:val="right"/>
              <w:ind w:right="18"/>
              <w:spacing w:after="0"/>
              <w:rPr>
                <w:sz w:val="20"/>
                <w:szCs w:val="20"/>
                <w:color w:val="auto"/>
              </w:rPr>
            </w:pPr>
            <w:r>
              <w:rPr>
                <w:rFonts w:ascii="Arial" w:cs="Arial" w:eastAsia="Arial" w:hAnsi="Arial"/>
                <w:sz w:val="13"/>
                <w:szCs w:val="13"/>
                <w:b w:val="1"/>
                <w:bCs w:val="1"/>
                <w:color w:val="6A2887"/>
              </w:rPr>
              <w:t>Awards</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6A2887"/>
            </w:tcBorders>
          </w:tcPr>
          <w:p>
            <w:pPr>
              <w:ind w:left="40"/>
              <w:spacing w:after="0"/>
              <w:rPr>
                <w:sz w:val="20"/>
                <w:szCs w:val="20"/>
                <w:color w:val="auto"/>
              </w:rPr>
            </w:pPr>
            <w:r>
              <w:rPr>
                <w:rFonts w:ascii="Arial" w:cs="Arial" w:eastAsia="Arial" w:hAnsi="Arial"/>
                <w:sz w:val="13"/>
                <w:szCs w:val="13"/>
                <w:b w:val="1"/>
                <w:bCs w:val="1"/>
                <w:color w:val="6A2887"/>
              </w:rPr>
              <w:t>Name</w:t>
            </w:r>
          </w:p>
        </w:tc>
        <w:tc>
          <w:tcPr>
            <w:tcW w:w="74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Date</w:t>
            </w:r>
          </w:p>
        </w:tc>
        <w:tc>
          <w:tcPr>
            <w:tcW w:w="800" w:type="dxa"/>
            <w:vAlign w:val="bottom"/>
            <w:tcBorders>
              <w:bottom w:val="single" w:sz="8" w:color="6A2887"/>
            </w:tcBorders>
          </w:tcPr>
          <w:p>
            <w:pPr>
              <w:jc w:val="right"/>
              <w:ind w:right="37"/>
              <w:spacing w:after="0"/>
              <w:rPr>
                <w:sz w:val="20"/>
                <w:szCs w:val="20"/>
                <w:color w:val="auto"/>
              </w:rPr>
            </w:pPr>
            <w:r>
              <w:rPr>
                <w:rFonts w:ascii="Arial" w:cs="Arial" w:eastAsia="Arial" w:hAnsi="Arial"/>
                <w:sz w:val="13"/>
                <w:szCs w:val="13"/>
                <w:b w:val="1"/>
                <w:bCs w:val="1"/>
                <w:color w:val="6A2887"/>
              </w:rPr>
              <w:t>($)</w:t>
            </w:r>
          </w:p>
        </w:tc>
        <w:tc>
          <w:tcPr>
            <w:tcW w:w="620" w:type="dxa"/>
            <w:vAlign w:val="bottom"/>
            <w:tcBorders>
              <w:bottom w:val="single" w:sz="8" w:color="6A2887"/>
            </w:tcBorders>
          </w:tcPr>
          <w:p>
            <w:pPr>
              <w:jc w:val="right"/>
              <w:ind w:right="17"/>
              <w:spacing w:after="0"/>
              <w:rPr>
                <w:sz w:val="20"/>
                <w:szCs w:val="20"/>
                <w:color w:val="auto"/>
              </w:rPr>
            </w:pPr>
            <w:r>
              <w:rPr>
                <w:rFonts w:ascii="Arial" w:cs="Arial" w:eastAsia="Arial" w:hAnsi="Arial"/>
                <w:sz w:val="13"/>
                <w:szCs w:val="13"/>
                <w:b w:val="1"/>
                <w:bCs w:val="1"/>
                <w:color w:val="6A2887"/>
              </w:rPr>
              <w:t>($)</w:t>
            </w:r>
          </w:p>
        </w:tc>
        <w:tc>
          <w:tcPr>
            <w:tcW w:w="76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w:t>
            </w:r>
          </w:p>
        </w:tc>
        <w:tc>
          <w:tcPr>
            <w:tcW w:w="780" w:type="dxa"/>
            <w:vAlign w:val="bottom"/>
            <w:tcBorders>
              <w:bottom w:val="single" w:sz="8" w:color="6A2887"/>
            </w:tcBorders>
          </w:tcPr>
          <w:p>
            <w:pPr>
              <w:jc w:val="right"/>
              <w:ind w:right="17"/>
              <w:spacing w:after="0"/>
              <w:rPr>
                <w:sz w:val="20"/>
                <w:szCs w:val="20"/>
                <w:color w:val="auto"/>
              </w:rPr>
            </w:pPr>
            <w:r>
              <w:rPr>
                <w:rFonts w:ascii="Arial" w:cs="Arial" w:eastAsia="Arial" w:hAnsi="Arial"/>
                <w:sz w:val="13"/>
                <w:szCs w:val="13"/>
                <w:b w:val="1"/>
                <w:bCs w:val="1"/>
                <w:color w:val="6A2887"/>
              </w:rPr>
              <w:t>($)</w:t>
            </w:r>
          </w:p>
        </w:tc>
        <w:tc>
          <w:tcPr>
            <w:tcW w:w="580" w:type="dxa"/>
            <w:vAlign w:val="bottom"/>
            <w:tcBorders>
              <w:bottom w:val="single" w:sz="8" w:color="6A2887"/>
            </w:tcBorders>
          </w:tcPr>
          <w:p>
            <w:pPr>
              <w:jc w:val="right"/>
              <w:ind w:right="17"/>
              <w:spacing w:after="0"/>
              <w:rPr>
                <w:sz w:val="20"/>
                <w:szCs w:val="20"/>
                <w:color w:val="auto"/>
              </w:rPr>
            </w:pPr>
            <w:r>
              <w:rPr>
                <w:rFonts w:ascii="Arial" w:cs="Arial" w:eastAsia="Arial" w:hAnsi="Arial"/>
                <w:sz w:val="13"/>
                <w:szCs w:val="13"/>
                <w:b w:val="1"/>
                <w:bCs w:val="1"/>
                <w:color w:val="6A2887"/>
              </w:rPr>
              <w:t>($)</w:t>
            </w:r>
          </w:p>
        </w:tc>
        <w:tc>
          <w:tcPr>
            <w:tcW w:w="76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w:t>
            </w:r>
          </w:p>
        </w:tc>
        <w:tc>
          <w:tcPr>
            <w:tcW w:w="78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RSUs (#)</w:t>
            </w:r>
          </w:p>
        </w:tc>
        <w:tc>
          <w:tcPr>
            <w:tcW w:w="82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SARs (#)</w:t>
            </w:r>
          </w:p>
        </w:tc>
        <w:tc>
          <w:tcPr>
            <w:tcW w:w="760" w:type="dxa"/>
            <w:vAlign w:val="bottom"/>
            <w:tcBorders>
              <w:bottom w:val="single" w:sz="8" w:color="6A2887"/>
            </w:tcBorders>
          </w:tcPr>
          <w:p>
            <w:pPr>
              <w:jc w:val="right"/>
              <w:ind w:right="85"/>
              <w:spacing w:after="0"/>
              <w:rPr>
                <w:sz w:val="20"/>
                <w:szCs w:val="20"/>
                <w:color w:val="auto"/>
              </w:rPr>
            </w:pPr>
            <w:r>
              <w:rPr>
                <w:rFonts w:ascii="Arial" w:cs="Arial" w:eastAsia="Arial" w:hAnsi="Arial"/>
                <w:sz w:val="13"/>
                <w:szCs w:val="13"/>
                <w:b w:val="1"/>
                <w:bCs w:val="1"/>
                <w:color w:val="6A2887"/>
              </w:rPr>
              <w:t>($/Sh)</w:t>
            </w:r>
          </w:p>
        </w:tc>
        <w:tc>
          <w:tcPr>
            <w:tcW w:w="660" w:type="dxa"/>
            <w:vAlign w:val="bottom"/>
            <w:tcBorders>
              <w:bottom w:val="single" w:sz="8" w:color="6A2887"/>
            </w:tcBorders>
          </w:tcPr>
          <w:p>
            <w:pPr>
              <w:jc w:val="right"/>
              <w:spacing w:after="0" w:line="229" w:lineRule="exact"/>
              <w:rPr>
                <w:sz w:val="20"/>
                <w:szCs w:val="20"/>
                <w:color w:val="auto"/>
              </w:rPr>
            </w:pPr>
            <w:r>
              <w:rPr>
                <w:rFonts w:ascii="Arial" w:cs="Arial" w:eastAsia="Arial" w:hAnsi="Arial"/>
                <w:sz w:val="25"/>
                <w:szCs w:val="25"/>
                <w:b w:val="1"/>
                <w:bCs w:val="1"/>
                <w:color w:val="6A2887"/>
                <w:vertAlign w:val="subscript"/>
              </w:rPr>
              <w:t>($)</w:t>
            </w:r>
            <w:r>
              <w:rPr>
                <w:rFonts w:ascii="Arial" w:cs="Arial" w:eastAsia="Arial" w:hAnsi="Arial"/>
                <w:sz w:val="10"/>
                <w:szCs w:val="10"/>
                <w:b w:val="1"/>
                <w:bCs w:val="1"/>
                <w:color w:val="6A2887"/>
              </w:rPr>
              <w:t>(1)(2)</w:t>
            </w:r>
          </w:p>
        </w:tc>
        <w:tc>
          <w:tcPr>
            <w:tcW w:w="0" w:type="dxa"/>
            <w:vAlign w:val="bottom"/>
          </w:tcPr>
          <w:p>
            <w:pPr>
              <w:spacing w:after="0"/>
              <w:rPr>
                <w:sz w:val="1"/>
                <w:szCs w:val="1"/>
                <w:color w:val="auto"/>
              </w:rPr>
            </w:pPr>
          </w:p>
        </w:tc>
      </w:tr>
      <w:tr>
        <w:trPr>
          <w:trHeight w:val="174"/>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Damien</w:t>
            </w:r>
          </w:p>
        </w:tc>
        <w:tc>
          <w:tcPr>
            <w:tcW w:w="7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869,283</w:t>
            </w:r>
          </w:p>
        </w:tc>
        <w:tc>
          <w:tcPr>
            <w:tcW w:w="760" w:type="dxa"/>
            <w:vAlign w:val="bottom"/>
          </w:tcPr>
          <w:p>
            <w:pPr>
              <w:jc w:val="right"/>
              <w:spacing w:after="0"/>
              <w:rPr>
                <w:sz w:val="20"/>
                <w:szCs w:val="20"/>
                <w:color w:val="auto"/>
              </w:rPr>
            </w:pPr>
            <w:r>
              <w:rPr>
                <w:rFonts w:ascii="Arial" w:cs="Arial" w:eastAsia="Arial" w:hAnsi="Arial"/>
                <w:sz w:val="13"/>
                <w:szCs w:val="13"/>
                <w:color w:val="auto"/>
              </w:rPr>
              <w:t>1,486,474</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McDonald</w:t>
            </w: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120" w:type="dxa"/>
            <w:vAlign w:val="bottom"/>
            <w:vMerge w:val="continue"/>
          </w:tcPr>
          <w:p>
            <w:pPr>
              <w:spacing w:after="0"/>
              <w:rPr>
                <w:sz w:val="15"/>
                <w:szCs w:val="15"/>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5"/>
                <w:szCs w:val="15"/>
                <w:color w:val="auto"/>
              </w:rPr>
            </w:pPr>
          </w:p>
        </w:tc>
        <w:tc>
          <w:tcPr>
            <w:tcW w:w="620" w:type="dxa"/>
            <w:vAlign w:val="bottom"/>
            <w:shd w:val="clear" w:color="auto" w:fill="EFE9FC"/>
          </w:tcPr>
          <w:p>
            <w:pPr>
              <w:spacing w:after="0"/>
              <w:rPr>
                <w:sz w:val="15"/>
                <w:szCs w:val="15"/>
                <w:color w:val="auto"/>
              </w:rPr>
            </w:pPr>
          </w:p>
        </w:tc>
        <w:tc>
          <w:tcPr>
            <w:tcW w:w="760" w:type="dxa"/>
            <w:vAlign w:val="bottom"/>
            <w:shd w:val="clear" w:color="auto" w:fill="EFE9FC"/>
          </w:tcPr>
          <w:p>
            <w:pPr>
              <w:spacing w:after="0"/>
              <w:rPr>
                <w:sz w:val="15"/>
                <w:szCs w:val="15"/>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6,170</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15,424</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30,848</w:t>
            </w:r>
          </w:p>
        </w:tc>
        <w:tc>
          <w:tcPr>
            <w:tcW w:w="780" w:type="dxa"/>
            <w:vAlign w:val="bottom"/>
            <w:shd w:val="clear" w:color="auto" w:fill="EFE9FC"/>
          </w:tcPr>
          <w:p>
            <w:pPr>
              <w:spacing w:after="0"/>
              <w:rPr>
                <w:sz w:val="15"/>
                <w:szCs w:val="15"/>
                <w:color w:val="auto"/>
              </w:rPr>
            </w:pPr>
          </w:p>
        </w:tc>
        <w:tc>
          <w:tcPr>
            <w:tcW w:w="820" w:type="dxa"/>
            <w:vAlign w:val="bottom"/>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1,559,339</w:t>
            </w: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3,085</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15,424</w:t>
            </w:r>
          </w:p>
        </w:tc>
        <w:tc>
          <w:tcPr>
            <w:tcW w:w="760" w:type="dxa"/>
            <w:vAlign w:val="bottom"/>
          </w:tcPr>
          <w:p>
            <w:pPr>
              <w:jc w:val="right"/>
              <w:spacing w:after="0"/>
              <w:rPr>
                <w:sz w:val="20"/>
                <w:szCs w:val="20"/>
                <w:color w:val="auto"/>
              </w:rPr>
            </w:pPr>
            <w:r>
              <w:rPr>
                <w:rFonts w:ascii="Arial" w:cs="Arial" w:eastAsia="Arial" w:hAnsi="Arial"/>
                <w:sz w:val="13"/>
                <w:szCs w:val="13"/>
                <w:color w:val="auto"/>
              </w:rPr>
              <w:t>30,848</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1,499,984</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12,853</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1,249,954</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6A2887"/>
            </w:tcBorders>
          </w:tcPr>
          <w:p>
            <w:pPr>
              <w:spacing w:after="0"/>
              <w:rPr>
                <w:sz w:val="19"/>
                <w:szCs w:val="19"/>
                <w:color w:val="auto"/>
              </w:rPr>
            </w:pPr>
          </w:p>
        </w:tc>
        <w:tc>
          <w:tcPr>
            <w:tcW w:w="74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6A2887"/>
            </w:tcBorders>
          </w:tcPr>
          <w:p>
            <w:pPr>
              <w:spacing w:after="0"/>
              <w:rPr>
                <w:sz w:val="19"/>
                <w:szCs w:val="19"/>
                <w:color w:val="auto"/>
              </w:rPr>
            </w:pPr>
          </w:p>
        </w:tc>
        <w:tc>
          <w:tcPr>
            <w:tcW w:w="620" w:type="dxa"/>
            <w:vAlign w:val="bottom"/>
            <w:tcBorders>
              <w:bottom w:val="single" w:sz="8" w:color="6A2887"/>
            </w:tcBorders>
          </w:tcPr>
          <w:p>
            <w:pPr>
              <w:spacing w:after="0"/>
              <w:rPr>
                <w:sz w:val="19"/>
                <w:szCs w:val="19"/>
                <w:color w:val="auto"/>
              </w:rPr>
            </w:pPr>
          </w:p>
        </w:tc>
        <w:tc>
          <w:tcPr>
            <w:tcW w:w="760" w:type="dxa"/>
            <w:vAlign w:val="bottom"/>
            <w:tcBorders>
              <w:bottom w:val="single" w:sz="8" w:color="6A2887"/>
            </w:tcBorders>
          </w:tcPr>
          <w:p>
            <w:pPr>
              <w:spacing w:after="0"/>
              <w:rPr>
                <w:sz w:val="19"/>
                <w:szCs w:val="19"/>
                <w:color w:val="auto"/>
              </w:rPr>
            </w:pPr>
          </w:p>
        </w:tc>
        <w:tc>
          <w:tcPr>
            <w:tcW w:w="780" w:type="dxa"/>
            <w:vAlign w:val="bottom"/>
            <w:tcBorders>
              <w:bottom w:val="single" w:sz="8" w:color="6A2887"/>
            </w:tcBorders>
          </w:tcPr>
          <w:p>
            <w:pPr>
              <w:spacing w:after="0"/>
              <w:rPr>
                <w:sz w:val="19"/>
                <w:szCs w:val="19"/>
                <w:color w:val="auto"/>
              </w:rPr>
            </w:pPr>
          </w:p>
        </w:tc>
        <w:tc>
          <w:tcPr>
            <w:tcW w:w="580" w:type="dxa"/>
            <w:vAlign w:val="bottom"/>
            <w:tcBorders>
              <w:bottom w:val="single" w:sz="8" w:color="6A2887"/>
            </w:tcBorders>
          </w:tcPr>
          <w:p>
            <w:pPr>
              <w:spacing w:after="0"/>
              <w:rPr>
                <w:sz w:val="19"/>
                <w:szCs w:val="19"/>
                <w:color w:val="auto"/>
              </w:rPr>
            </w:pPr>
          </w:p>
        </w:tc>
        <w:tc>
          <w:tcPr>
            <w:tcW w:w="760" w:type="dxa"/>
            <w:vAlign w:val="bottom"/>
            <w:tcBorders>
              <w:bottom w:val="single" w:sz="8" w:color="6A2887"/>
            </w:tcBorders>
          </w:tcPr>
          <w:p>
            <w:pPr>
              <w:spacing w:after="0"/>
              <w:rPr>
                <w:sz w:val="19"/>
                <w:szCs w:val="19"/>
                <w:color w:val="auto"/>
              </w:rPr>
            </w:pPr>
          </w:p>
        </w:tc>
        <w:tc>
          <w:tcPr>
            <w:tcW w:w="780" w:type="dxa"/>
            <w:vAlign w:val="bottom"/>
            <w:tcBorders>
              <w:bottom w:val="single" w:sz="8" w:color="6A2887"/>
            </w:tcBorders>
          </w:tcPr>
          <w:p>
            <w:pPr>
              <w:spacing w:after="0"/>
              <w:rPr>
                <w:sz w:val="19"/>
                <w:szCs w:val="19"/>
                <w:color w:val="auto"/>
              </w:rPr>
            </w:pPr>
          </w:p>
        </w:tc>
        <w:tc>
          <w:tcPr>
            <w:tcW w:w="82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39,357</w:t>
            </w:r>
          </w:p>
        </w:tc>
        <w:tc>
          <w:tcPr>
            <w:tcW w:w="76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1,249,978</w:t>
            </w:r>
          </w:p>
        </w:tc>
        <w:tc>
          <w:tcPr>
            <w:tcW w:w="0" w:type="dxa"/>
            <w:vAlign w:val="bottom"/>
          </w:tcPr>
          <w:p>
            <w:pPr>
              <w:spacing w:after="0"/>
              <w:rPr>
                <w:sz w:val="1"/>
                <w:szCs w:val="1"/>
                <w:color w:val="auto"/>
              </w:rPr>
            </w:pPr>
          </w:p>
        </w:tc>
      </w:tr>
      <w:tr>
        <w:trPr>
          <w:trHeight w:val="217"/>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Thad Huston</w:t>
            </w:r>
          </w:p>
        </w:tc>
        <w:tc>
          <w:tcPr>
            <w:tcW w:w="740" w:type="dxa"/>
            <w:vAlign w:val="bottom"/>
            <w:tcBorders>
              <w:bottom w:val="single" w:sz="8" w:color="EFE9FC"/>
            </w:tcBorders>
            <w:shd w:val="clear" w:color="auto" w:fill="EFE9FC"/>
          </w:tcPr>
          <w:p>
            <w:pPr>
              <w:spacing w:after="0"/>
              <w:rPr>
                <w:sz w:val="18"/>
                <w:szCs w:val="18"/>
                <w:color w:val="auto"/>
              </w:rPr>
            </w:pPr>
          </w:p>
        </w:tc>
        <w:tc>
          <w:tcPr>
            <w:tcW w:w="800" w:type="dxa"/>
            <w:vAlign w:val="bottom"/>
            <w:tcBorders>
              <w:bottom w:val="single" w:sz="8" w:color="EFE9FC"/>
            </w:tcBorders>
            <w:shd w:val="clear" w:color="auto" w:fill="EFE9FC"/>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3"/>
                <w:szCs w:val="13"/>
                <w:color w:val="auto"/>
                <w:w w:val="97"/>
              </w:rPr>
              <w:t>360,339</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3"/>
                <w:szCs w:val="13"/>
                <w:color w:val="auto"/>
              </w:rPr>
              <w:t>576,542</w:t>
            </w:r>
          </w:p>
        </w:tc>
        <w:tc>
          <w:tcPr>
            <w:tcW w:w="780" w:type="dxa"/>
            <w:vAlign w:val="bottom"/>
            <w:tcBorders>
              <w:bottom w:val="single" w:sz="8" w:color="EFE9FC"/>
            </w:tcBorders>
            <w:shd w:val="clear" w:color="auto" w:fill="EFE9FC"/>
          </w:tcPr>
          <w:p>
            <w:pPr>
              <w:spacing w:after="0"/>
              <w:rPr>
                <w:sz w:val="18"/>
                <w:szCs w:val="18"/>
                <w:color w:val="auto"/>
              </w:rPr>
            </w:pPr>
          </w:p>
        </w:tc>
        <w:tc>
          <w:tcPr>
            <w:tcW w:w="58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780" w:type="dxa"/>
            <w:vAlign w:val="bottom"/>
            <w:tcBorders>
              <w:bottom w:val="single" w:sz="8" w:color="EFE9FC"/>
            </w:tcBorders>
            <w:shd w:val="clear" w:color="auto" w:fill="EFE9FC"/>
          </w:tcPr>
          <w:p>
            <w:pPr>
              <w:spacing w:after="0"/>
              <w:rPr>
                <w:sz w:val="18"/>
                <w:szCs w:val="18"/>
                <w:color w:val="auto"/>
              </w:rPr>
            </w:pPr>
          </w:p>
        </w:tc>
        <w:tc>
          <w:tcPr>
            <w:tcW w:w="82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66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2,056</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5,141</w:t>
            </w:r>
          </w:p>
        </w:tc>
        <w:tc>
          <w:tcPr>
            <w:tcW w:w="760" w:type="dxa"/>
            <w:vAlign w:val="bottom"/>
          </w:tcPr>
          <w:p>
            <w:pPr>
              <w:jc w:val="right"/>
              <w:spacing w:after="0"/>
              <w:rPr>
                <w:sz w:val="20"/>
                <w:szCs w:val="20"/>
                <w:color w:val="auto"/>
              </w:rPr>
            </w:pPr>
            <w:r>
              <w:rPr>
                <w:rFonts w:ascii="Arial" w:cs="Arial" w:eastAsia="Arial" w:hAnsi="Arial"/>
                <w:sz w:val="13"/>
                <w:szCs w:val="13"/>
                <w:color w:val="auto"/>
              </w:rPr>
              <w:t>10,282</w:t>
            </w: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519,746</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1,028</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5,141</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10,282</w:t>
            </w:r>
          </w:p>
        </w:tc>
        <w:tc>
          <w:tcPr>
            <w:tcW w:w="780" w:type="dxa"/>
            <w:vAlign w:val="bottom"/>
            <w:shd w:val="clear" w:color="auto" w:fill="EFE9FC"/>
          </w:tcPr>
          <w:p>
            <w:pPr>
              <w:spacing w:after="0"/>
              <w:rPr>
                <w:sz w:val="16"/>
                <w:szCs w:val="16"/>
                <w:color w:val="auto"/>
              </w:rPr>
            </w:pP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499,962</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5,141</w:t>
            </w: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660" w:type="dxa"/>
            <w:vAlign w:val="bottom"/>
          </w:tcPr>
          <w:p>
            <w:pPr>
              <w:jc w:val="right"/>
              <w:spacing w:after="0"/>
              <w:rPr>
                <w:sz w:val="20"/>
                <w:szCs w:val="20"/>
                <w:color w:val="auto"/>
              </w:rPr>
            </w:pPr>
            <w:r>
              <w:rPr>
                <w:rFonts w:ascii="Arial" w:cs="Arial" w:eastAsia="Arial" w:hAnsi="Arial"/>
                <w:sz w:val="13"/>
                <w:szCs w:val="13"/>
                <w:color w:val="auto"/>
              </w:rPr>
              <w:t>499,962</w:t>
            </w:r>
          </w:p>
        </w:tc>
        <w:tc>
          <w:tcPr>
            <w:tcW w:w="0" w:type="dxa"/>
            <w:vAlign w:val="bottom"/>
          </w:tcPr>
          <w:p>
            <w:pPr>
              <w:spacing w:after="0"/>
              <w:rPr>
                <w:sz w:val="1"/>
                <w:szCs w:val="1"/>
                <w:color w:val="auto"/>
              </w:rPr>
            </w:pPr>
          </w:p>
        </w:tc>
      </w:tr>
      <w:tr>
        <w:trPr>
          <w:trHeight w:val="56"/>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6A2887"/>
            </w:tcBorders>
          </w:tcPr>
          <w:p>
            <w:pPr>
              <w:spacing w:after="0"/>
              <w:rPr>
                <w:sz w:val="21"/>
                <w:szCs w:val="21"/>
                <w:color w:val="auto"/>
              </w:rPr>
            </w:pPr>
          </w:p>
        </w:tc>
        <w:tc>
          <w:tcPr>
            <w:tcW w:w="74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6A2887"/>
            </w:tcBorders>
            <w:shd w:val="clear" w:color="auto" w:fill="EFE9FC"/>
          </w:tcPr>
          <w:p>
            <w:pPr>
              <w:spacing w:after="0"/>
              <w:rPr>
                <w:sz w:val="21"/>
                <w:szCs w:val="21"/>
                <w:color w:val="auto"/>
              </w:rPr>
            </w:pPr>
          </w:p>
        </w:tc>
        <w:tc>
          <w:tcPr>
            <w:tcW w:w="620" w:type="dxa"/>
            <w:vAlign w:val="bottom"/>
            <w:tcBorders>
              <w:bottom w:val="single" w:sz="8" w:color="6A2887"/>
            </w:tcBorders>
            <w:shd w:val="clear" w:color="auto" w:fill="EFE9FC"/>
          </w:tcPr>
          <w:p>
            <w:pPr>
              <w:spacing w:after="0"/>
              <w:rPr>
                <w:sz w:val="21"/>
                <w:szCs w:val="21"/>
                <w:color w:val="auto"/>
              </w:rPr>
            </w:pPr>
          </w:p>
        </w:tc>
        <w:tc>
          <w:tcPr>
            <w:tcW w:w="760" w:type="dxa"/>
            <w:vAlign w:val="bottom"/>
            <w:tcBorders>
              <w:bottom w:val="single" w:sz="8" w:color="6A2887"/>
            </w:tcBorders>
            <w:shd w:val="clear" w:color="auto" w:fill="EFE9FC"/>
          </w:tcPr>
          <w:p>
            <w:pPr>
              <w:spacing w:after="0"/>
              <w:rPr>
                <w:sz w:val="21"/>
                <w:szCs w:val="21"/>
                <w:color w:val="auto"/>
              </w:rPr>
            </w:pPr>
          </w:p>
        </w:tc>
        <w:tc>
          <w:tcPr>
            <w:tcW w:w="780" w:type="dxa"/>
            <w:vAlign w:val="bottom"/>
            <w:tcBorders>
              <w:bottom w:val="single" w:sz="8" w:color="6A2887"/>
            </w:tcBorders>
            <w:shd w:val="clear" w:color="auto" w:fill="EFE9FC"/>
          </w:tcPr>
          <w:p>
            <w:pPr>
              <w:spacing w:after="0"/>
              <w:rPr>
                <w:sz w:val="21"/>
                <w:szCs w:val="21"/>
                <w:color w:val="auto"/>
              </w:rPr>
            </w:pPr>
          </w:p>
        </w:tc>
        <w:tc>
          <w:tcPr>
            <w:tcW w:w="580" w:type="dxa"/>
            <w:vAlign w:val="bottom"/>
            <w:tcBorders>
              <w:bottom w:val="single" w:sz="8" w:color="6A2887"/>
            </w:tcBorders>
            <w:shd w:val="clear" w:color="auto" w:fill="EFE9FC"/>
          </w:tcPr>
          <w:p>
            <w:pPr>
              <w:spacing w:after="0"/>
              <w:rPr>
                <w:sz w:val="21"/>
                <w:szCs w:val="21"/>
                <w:color w:val="auto"/>
              </w:rPr>
            </w:pPr>
          </w:p>
        </w:tc>
        <w:tc>
          <w:tcPr>
            <w:tcW w:w="760" w:type="dxa"/>
            <w:vAlign w:val="bottom"/>
            <w:tcBorders>
              <w:bottom w:val="single" w:sz="8" w:color="6A2887"/>
            </w:tcBorders>
            <w:shd w:val="clear" w:color="auto" w:fill="EFE9FC"/>
          </w:tcPr>
          <w:p>
            <w:pPr>
              <w:spacing w:after="0"/>
              <w:rPr>
                <w:sz w:val="21"/>
                <w:szCs w:val="21"/>
                <w:color w:val="auto"/>
              </w:rPr>
            </w:pPr>
          </w:p>
        </w:tc>
        <w:tc>
          <w:tcPr>
            <w:tcW w:w="780" w:type="dxa"/>
            <w:vAlign w:val="bottom"/>
            <w:tcBorders>
              <w:bottom w:val="single" w:sz="8" w:color="6A2887"/>
            </w:tcBorders>
            <w:shd w:val="clear" w:color="auto" w:fill="EFE9FC"/>
          </w:tcPr>
          <w:p>
            <w:pPr>
              <w:spacing w:after="0"/>
              <w:rPr>
                <w:sz w:val="21"/>
                <w:szCs w:val="21"/>
                <w:color w:val="auto"/>
              </w:rPr>
            </w:pPr>
          </w:p>
        </w:tc>
        <w:tc>
          <w:tcPr>
            <w:tcW w:w="82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15,743</w:t>
            </w:r>
          </w:p>
        </w:tc>
        <w:tc>
          <w:tcPr>
            <w:tcW w:w="76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499,998</w:t>
            </w:r>
          </w:p>
        </w:tc>
        <w:tc>
          <w:tcPr>
            <w:tcW w:w="0" w:type="dxa"/>
            <w:vAlign w:val="bottom"/>
          </w:tcPr>
          <w:p>
            <w:pPr>
              <w:spacing w:after="0"/>
              <w:rPr>
                <w:sz w:val="1"/>
                <w:szCs w:val="1"/>
                <w:color w:val="auto"/>
              </w:rPr>
            </w:pPr>
          </w:p>
        </w:tc>
      </w:tr>
      <w:tr>
        <w:trPr>
          <w:trHeight w:val="174"/>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Keyna</w:t>
            </w:r>
          </w:p>
        </w:tc>
        <w:tc>
          <w:tcPr>
            <w:tcW w:w="74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225,178</w:t>
            </w:r>
          </w:p>
        </w:tc>
        <w:tc>
          <w:tcPr>
            <w:tcW w:w="760" w:type="dxa"/>
            <w:vAlign w:val="bottom"/>
          </w:tcPr>
          <w:p>
            <w:pPr>
              <w:jc w:val="right"/>
              <w:spacing w:after="0"/>
              <w:rPr>
                <w:sz w:val="20"/>
                <w:szCs w:val="20"/>
                <w:color w:val="auto"/>
              </w:rPr>
            </w:pPr>
            <w:r>
              <w:rPr>
                <w:rFonts w:ascii="Arial" w:cs="Arial" w:eastAsia="Arial" w:hAnsi="Arial"/>
                <w:sz w:val="13"/>
                <w:szCs w:val="13"/>
                <w:color w:val="auto"/>
              </w:rPr>
              <w:t>360,285</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1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Skeffington</w:t>
            </w: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120" w:type="dxa"/>
            <w:vAlign w:val="bottom"/>
            <w:vMerge w:val="continue"/>
          </w:tcPr>
          <w:p>
            <w:pPr>
              <w:spacing w:after="0"/>
              <w:rPr>
                <w:sz w:val="10"/>
                <w:szCs w:val="10"/>
                <w:color w:val="auto"/>
              </w:rPr>
            </w:pPr>
          </w:p>
        </w:tc>
        <w:tc>
          <w:tcPr>
            <w:tcW w:w="74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0"/>
                <w:szCs w:val="10"/>
                <w:color w:val="auto"/>
              </w:rPr>
            </w:pPr>
          </w:p>
        </w:tc>
        <w:tc>
          <w:tcPr>
            <w:tcW w:w="620" w:type="dxa"/>
            <w:vAlign w:val="bottom"/>
            <w:shd w:val="clear" w:color="auto" w:fill="EFE9FC"/>
          </w:tcPr>
          <w:p>
            <w:pPr>
              <w:spacing w:after="0"/>
              <w:rPr>
                <w:sz w:val="10"/>
                <w:szCs w:val="10"/>
                <w:color w:val="auto"/>
              </w:rPr>
            </w:pPr>
          </w:p>
        </w:tc>
        <w:tc>
          <w:tcPr>
            <w:tcW w:w="760" w:type="dxa"/>
            <w:vAlign w:val="bottom"/>
            <w:shd w:val="clear" w:color="auto" w:fill="EFE9FC"/>
          </w:tcPr>
          <w:p>
            <w:pPr>
              <w:spacing w:after="0"/>
              <w:rPr>
                <w:sz w:val="10"/>
                <w:szCs w:val="10"/>
                <w:color w:val="auto"/>
              </w:rPr>
            </w:pPr>
          </w:p>
        </w:tc>
        <w:tc>
          <w:tcPr>
            <w:tcW w:w="780" w:type="dxa"/>
            <w:vAlign w:val="bottom"/>
            <w:vMerge w:val="restart"/>
            <w:shd w:val="clear" w:color="auto" w:fill="EFE9FC"/>
          </w:tcPr>
          <w:p>
            <w:pPr>
              <w:jc w:val="right"/>
              <w:ind w:right="17"/>
              <w:spacing w:after="0"/>
              <w:rPr>
                <w:sz w:val="20"/>
                <w:szCs w:val="20"/>
                <w:color w:val="auto"/>
              </w:rPr>
            </w:pPr>
            <w:r>
              <w:rPr>
                <w:rFonts w:ascii="Arial" w:cs="Arial" w:eastAsia="Arial" w:hAnsi="Arial"/>
                <w:sz w:val="13"/>
                <w:szCs w:val="13"/>
                <w:color w:val="auto"/>
              </w:rPr>
              <w:t>925</w:t>
            </w:r>
          </w:p>
        </w:tc>
        <w:tc>
          <w:tcPr>
            <w:tcW w:w="580" w:type="dxa"/>
            <w:vAlign w:val="bottom"/>
            <w:vMerge w:val="restart"/>
            <w:shd w:val="clear" w:color="auto" w:fill="EFE9FC"/>
          </w:tcPr>
          <w:p>
            <w:pPr>
              <w:jc w:val="right"/>
              <w:ind w:right="17"/>
              <w:spacing w:after="0"/>
              <w:rPr>
                <w:sz w:val="20"/>
                <w:szCs w:val="20"/>
                <w:color w:val="auto"/>
              </w:rPr>
            </w:pPr>
            <w:r>
              <w:rPr>
                <w:rFonts w:ascii="Arial" w:cs="Arial" w:eastAsia="Arial" w:hAnsi="Arial"/>
                <w:sz w:val="13"/>
                <w:szCs w:val="13"/>
                <w:color w:val="auto"/>
              </w:rPr>
              <w:t>2,313</w:t>
            </w:r>
          </w:p>
        </w:tc>
        <w:tc>
          <w:tcPr>
            <w:tcW w:w="76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4,626</w:t>
            </w:r>
          </w:p>
        </w:tc>
        <w:tc>
          <w:tcPr>
            <w:tcW w:w="780" w:type="dxa"/>
            <w:vAlign w:val="bottom"/>
            <w:shd w:val="clear" w:color="auto" w:fill="EFE9FC"/>
          </w:tcPr>
          <w:p>
            <w:pPr>
              <w:spacing w:after="0"/>
              <w:rPr>
                <w:sz w:val="10"/>
                <w:szCs w:val="10"/>
                <w:color w:val="auto"/>
              </w:rPr>
            </w:pPr>
          </w:p>
        </w:tc>
        <w:tc>
          <w:tcPr>
            <w:tcW w:w="82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vMerge w:val="restart"/>
            <w:shd w:val="clear" w:color="auto" w:fill="EFE9FC"/>
          </w:tcPr>
          <w:p>
            <w:pPr>
              <w:jc w:val="right"/>
              <w:spacing w:after="0"/>
              <w:rPr>
                <w:sz w:val="20"/>
                <w:szCs w:val="20"/>
                <w:color w:val="auto"/>
              </w:rPr>
            </w:pPr>
            <w:r>
              <w:rPr>
                <w:rFonts w:ascii="Arial" w:cs="Arial" w:eastAsia="Arial" w:hAnsi="Arial"/>
                <w:sz w:val="13"/>
                <w:szCs w:val="13"/>
                <w:color w:val="auto"/>
              </w:rPr>
              <w:t>233,840</w:t>
            </w: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740" w:type="dxa"/>
            <w:vAlign w:val="bottom"/>
            <w:vMerge w:val="continue"/>
            <w:shd w:val="clear" w:color="auto" w:fill="EFE9FC"/>
          </w:tcPr>
          <w:p>
            <w:pPr>
              <w:spacing w:after="0"/>
              <w:rPr>
                <w:sz w:val="4"/>
                <w:szCs w:val="4"/>
                <w:color w:val="auto"/>
              </w:rPr>
            </w:pPr>
          </w:p>
        </w:tc>
        <w:tc>
          <w:tcPr>
            <w:tcW w:w="800" w:type="dxa"/>
            <w:vAlign w:val="bottom"/>
            <w:shd w:val="clear" w:color="auto" w:fill="EFE9FC"/>
          </w:tcPr>
          <w:p>
            <w:pPr>
              <w:spacing w:after="0"/>
              <w:rPr>
                <w:sz w:val="4"/>
                <w:szCs w:val="4"/>
                <w:color w:val="auto"/>
              </w:rPr>
            </w:pPr>
          </w:p>
        </w:tc>
        <w:tc>
          <w:tcPr>
            <w:tcW w:w="620" w:type="dxa"/>
            <w:vAlign w:val="bottom"/>
            <w:shd w:val="clear" w:color="auto" w:fill="EFE9FC"/>
          </w:tcPr>
          <w:p>
            <w:pPr>
              <w:spacing w:after="0"/>
              <w:rPr>
                <w:sz w:val="4"/>
                <w:szCs w:val="4"/>
                <w:color w:val="auto"/>
              </w:rPr>
            </w:pPr>
          </w:p>
        </w:tc>
        <w:tc>
          <w:tcPr>
            <w:tcW w:w="760" w:type="dxa"/>
            <w:vAlign w:val="bottom"/>
            <w:shd w:val="clear" w:color="auto" w:fill="EFE9FC"/>
          </w:tcPr>
          <w:p>
            <w:pPr>
              <w:spacing w:after="0"/>
              <w:rPr>
                <w:sz w:val="4"/>
                <w:szCs w:val="4"/>
                <w:color w:val="auto"/>
              </w:rPr>
            </w:pPr>
          </w:p>
        </w:tc>
        <w:tc>
          <w:tcPr>
            <w:tcW w:w="780" w:type="dxa"/>
            <w:vAlign w:val="bottom"/>
            <w:vMerge w:val="continue"/>
            <w:shd w:val="clear" w:color="auto" w:fill="EFE9FC"/>
          </w:tcPr>
          <w:p>
            <w:pPr>
              <w:spacing w:after="0"/>
              <w:rPr>
                <w:sz w:val="4"/>
                <w:szCs w:val="4"/>
                <w:color w:val="auto"/>
              </w:rPr>
            </w:pPr>
          </w:p>
        </w:tc>
        <w:tc>
          <w:tcPr>
            <w:tcW w:w="580" w:type="dxa"/>
            <w:vAlign w:val="bottom"/>
            <w:vMerge w:val="continue"/>
            <w:shd w:val="clear" w:color="auto" w:fill="EFE9FC"/>
          </w:tcPr>
          <w:p>
            <w:pPr>
              <w:spacing w:after="0"/>
              <w:rPr>
                <w:sz w:val="4"/>
                <w:szCs w:val="4"/>
                <w:color w:val="auto"/>
              </w:rPr>
            </w:pPr>
          </w:p>
        </w:tc>
        <w:tc>
          <w:tcPr>
            <w:tcW w:w="760" w:type="dxa"/>
            <w:vAlign w:val="bottom"/>
            <w:vMerge w:val="continue"/>
            <w:shd w:val="clear" w:color="auto" w:fill="EFE9FC"/>
          </w:tcPr>
          <w:p>
            <w:pPr>
              <w:spacing w:after="0"/>
              <w:rPr>
                <w:sz w:val="4"/>
                <w:szCs w:val="4"/>
                <w:color w:val="auto"/>
              </w:rPr>
            </w:pPr>
          </w:p>
        </w:tc>
        <w:tc>
          <w:tcPr>
            <w:tcW w:w="780" w:type="dxa"/>
            <w:vAlign w:val="bottom"/>
            <w:shd w:val="clear" w:color="auto" w:fill="EFE9FC"/>
          </w:tcPr>
          <w:p>
            <w:pPr>
              <w:spacing w:after="0"/>
              <w:rPr>
                <w:sz w:val="4"/>
                <w:szCs w:val="4"/>
                <w:color w:val="auto"/>
              </w:rPr>
            </w:pPr>
          </w:p>
        </w:tc>
        <w:tc>
          <w:tcPr>
            <w:tcW w:w="820" w:type="dxa"/>
            <w:vAlign w:val="bottom"/>
            <w:vMerge w:val="continue"/>
            <w:shd w:val="clear" w:color="auto" w:fill="EFE9FC"/>
          </w:tcPr>
          <w:p>
            <w:pPr>
              <w:spacing w:after="0"/>
              <w:rPr>
                <w:sz w:val="4"/>
                <w:szCs w:val="4"/>
                <w:color w:val="auto"/>
              </w:rPr>
            </w:pPr>
          </w:p>
        </w:tc>
        <w:tc>
          <w:tcPr>
            <w:tcW w:w="760" w:type="dxa"/>
            <w:vAlign w:val="bottom"/>
            <w:shd w:val="clear" w:color="auto" w:fill="EFE9FC"/>
          </w:tcPr>
          <w:p>
            <w:pPr>
              <w:spacing w:after="0"/>
              <w:rPr>
                <w:sz w:val="4"/>
                <w:szCs w:val="4"/>
                <w:color w:val="auto"/>
              </w:rPr>
            </w:pPr>
          </w:p>
        </w:tc>
        <w:tc>
          <w:tcPr>
            <w:tcW w:w="660" w:type="dxa"/>
            <w:vAlign w:val="bottom"/>
            <w:vMerge w:val="continue"/>
            <w:shd w:val="clear" w:color="auto" w:fill="EFE9FC"/>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463</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2,313</w:t>
            </w:r>
          </w:p>
        </w:tc>
        <w:tc>
          <w:tcPr>
            <w:tcW w:w="760" w:type="dxa"/>
            <w:vAlign w:val="bottom"/>
          </w:tcPr>
          <w:p>
            <w:pPr>
              <w:jc w:val="right"/>
              <w:spacing w:after="0"/>
              <w:rPr>
                <w:sz w:val="20"/>
                <w:szCs w:val="20"/>
                <w:color w:val="auto"/>
              </w:rPr>
            </w:pPr>
            <w:r>
              <w:rPr>
                <w:rFonts w:ascii="Arial" w:cs="Arial" w:eastAsia="Arial" w:hAnsi="Arial"/>
                <w:sz w:val="13"/>
                <w:szCs w:val="13"/>
                <w:color w:val="auto"/>
              </w:rPr>
              <w:t>4,262</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224,939</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2,313</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224,939</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6A2887"/>
            </w:tcBorders>
          </w:tcPr>
          <w:p>
            <w:pPr>
              <w:spacing w:after="0"/>
              <w:rPr>
                <w:sz w:val="19"/>
                <w:szCs w:val="19"/>
                <w:color w:val="auto"/>
              </w:rPr>
            </w:pPr>
          </w:p>
        </w:tc>
        <w:tc>
          <w:tcPr>
            <w:tcW w:w="74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6A2887"/>
            </w:tcBorders>
          </w:tcPr>
          <w:p>
            <w:pPr>
              <w:spacing w:after="0"/>
              <w:rPr>
                <w:sz w:val="19"/>
                <w:szCs w:val="19"/>
                <w:color w:val="auto"/>
              </w:rPr>
            </w:pPr>
          </w:p>
        </w:tc>
        <w:tc>
          <w:tcPr>
            <w:tcW w:w="620" w:type="dxa"/>
            <w:vAlign w:val="bottom"/>
            <w:tcBorders>
              <w:bottom w:val="single" w:sz="8" w:color="6A2887"/>
            </w:tcBorders>
          </w:tcPr>
          <w:p>
            <w:pPr>
              <w:spacing w:after="0"/>
              <w:rPr>
                <w:sz w:val="19"/>
                <w:szCs w:val="19"/>
                <w:color w:val="auto"/>
              </w:rPr>
            </w:pPr>
          </w:p>
        </w:tc>
        <w:tc>
          <w:tcPr>
            <w:tcW w:w="760" w:type="dxa"/>
            <w:vAlign w:val="bottom"/>
            <w:tcBorders>
              <w:bottom w:val="single" w:sz="8" w:color="6A2887"/>
            </w:tcBorders>
          </w:tcPr>
          <w:p>
            <w:pPr>
              <w:spacing w:after="0"/>
              <w:rPr>
                <w:sz w:val="19"/>
                <w:szCs w:val="19"/>
                <w:color w:val="auto"/>
              </w:rPr>
            </w:pPr>
          </w:p>
        </w:tc>
        <w:tc>
          <w:tcPr>
            <w:tcW w:w="780" w:type="dxa"/>
            <w:vAlign w:val="bottom"/>
            <w:tcBorders>
              <w:bottom w:val="single" w:sz="8" w:color="6A2887"/>
            </w:tcBorders>
          </w:tcPr>
          <w:p>
            <w:pPr>
              <w:spacing w:after="0"/>
              <w:rPr>
                <w:sz w:val="19"/>
                <w:szCs w:val="19"/>
                <w:color w:val="auto"/>
              </w:rPr>
            </w:pPr>
          </w:p>
        </w:tc>
        <w:tc>
          <w:tcPr>
            <w:tcW w:w="580" w:type="dxa"/>
            <w:vAlign w:val="bottom"/>
            <w:tcBorders>
              <w:bottom w:val="single" w:sz="8" w:color="6A2887"/>
            </w:tcBorders>
          </w:tcPr>
          <w:p>
            <w:pPr>
              <w:spacing w:after="0"/>
              <w:rPr>
                <w:sz w:val="19"/>
                <w:szCs w:val="19"/>
                <w:color w:val="auto"/>
              </w:rPr>
            </w:pPr>
          </w:p>
        </w:tc>
        <w:tc>
          <w:tcPr>
            <w:tcW w:w="760" w:type="dxa"/>
            <w:vAlign w:val="bottom"/>
            <w:tcBorders>
              <w:bottom w:val="single" w:sz="8" w:color="6A2887"/>
            </w:tcBorders>
          </w:tcPr>
          <w:p>
            <w:pPr>
              <w:spacing w:after="0"/>
              <w:rPr>
                <w:sz w:val="19"/>
                <w:szCs w:val="19"/>
                <w:color w:val="auto"/>
              </w:rPr>
            </w:pPr>
          </w:p>
        </w:tc>
        <w:tc>
          <w:tcPr>
            <w:tcW w:w="780" w:type="dxa"/>
            <w:vAlign w:val="bottom"/>
            <w:tcBorders>
              <w:bottom w:val="single" w:sz="8" w:color="6A2887"/>
            </w:tcBorders>
          </w:tcPr>
          <w:p>
            <w:pPr>
              <w:spacing w:after="0"/>
              <w:rPr>
                <w:sz w:val="19"/>
                <w:szCs w:val="19"/>
                <w:color w:val="auto"/>
              </w:rPr>
            </w:pPr>
          </w:p>
        </w:tc>
        <w:tc>
          <w:tcPr>
            <w:tcW w:w="82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7,084</w:t>
            </w:r>
          </w:p>
        </w:tc>
        <w:tc>
          <w:tcPr>
            <w:tcW w:w="76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6A2887"/>
            </w:tcBorders>
          </w:tcPr>
          <w:p>
            <w:pPr>
              <w:jc w:val="right"/>
              <w:spacing w:after="0"/>
              <w:rPr>
                <w:sz w:val="20"/>
                <w:szCs w:val="20"/>
                <w:color w:val="auto"/>
              </w:rPr>
            </w:pPr>
            <w:r>
              <w:rPr>
                <w:rFonts w:ascii="Arial" w:cs="Arial" w:eastAsia="Arial" w:hAnsi="Arial"/>
                <w:sz w:val="13"/>
                <w:szCs w:val="13"/>
                <w:color w:val="auto"/>
              </w:rPr>
              <w:t>224,988</w:t>
            </w:r>
          </w:p>
        </w:tc>
        <w:tc>
          <w:tcPr>
            <w:tcW w:w="0" w:type="dxa"/>
            <w:vAlign w:val="bottom"/>
          </w:tcPr>
          <w:p>
            <w:pPr>
              <w:spacing w:after="0"/>
              <w:rPr>
                <w:sz w:val="1"/>
                <w:szCs w:val="1"/>
                <w:color w:val="auto"/>
              </w:rPr>
            </w:pPr>
          </w:p>
        </w:tc>
      </w:tr>
      <w:tr>
        <w:trPr>
          <w:trHeight w:val="217"/>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Edward Andrle</w:t>
            </w:r>
          </w:p>
        </w:tc>
        <w:tc>
          <w:tcPr>
            <w:tcW w:w="740" w:type="dxa"/>
            <w:vAlign w:val="bottom"/>
            <w:tcBorders>
              <w:bottom w:val="single" w:sz="8" w:color="EFE9FC"/>
            </w:tcBorders>
            <w:shd w:val="clear" w:color="auto" w:fill="EFE9FC"/>
          </w:tcPr>
          <w:p>
            <w:pPr>
              <w:spacing w:after="0"/>
              <w:rPr>
                <w:sz w:val="18"/>
                <w:szCs w:val="18"/>
                <w:color w:val="auto"/>
              </w:rPr>
            </w:pPr>
          </w:p>
        </w:tc>
        <w:tc>
          <w:tcPr>
            <w:tcW w:w="800" w:type="dxa"/>
            <w:vAlign w:val="bottom"/>
            <w:tcBorders>
              <w:bottom w:val="single" w:sz="8" w:color="EFE9FC"/>
            </w:tcBorders>
            <w:shd w:val="clear" w:color="auto" w:fill="EFE9FC"/>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Borders>
              <w:bottom w:val="single" w:sz="8" w:color="EFE9FC"/>
            </w:tcBorders>
            <w:shd w:val="clear" w:color="auto" w:fill="EFE9FC"/>
          </w:tcPr>
          <w:p>
            <w:pPr>
              <w:jc w:val="center"/>
              <w:spacing w:after="0"/>
              <w:rPr>
                <w:sz w:val="20"/>
                <w:szCs w:val="20"/>
                <w:color w:val="auto"/>
              </w:rPr>
            </w:pPr>
            <w:r>
              <w:rPr>
                <w:rFonts w:ascii="Arial" w:cs="Arial" w:eastAsia="Arial" w:hAnsi="Arial"/>
                <w:sz w:val="13"/>
                <w:szCs w:val="13"/>
                <w:color w:val="auto"/>
                <w:w w:val="97"/>
              </w:rPr>
              <w:t>274,658</w:t>
            </w:r>
          </w:p>
        </w:tc>
        <w:tc>
          <w:tcPr>
            <w:tcW w:w="7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3"/>
                <w:szCs w:val="13"/>
                <w:color w:val="auto"/>
              </w:rPr>
              <w:t>428,466</w:t>
            </w:r>
          </w:p>
        </w:tc>
        <w:tc>
          <w:tcPr>
            <w:tcW w:w="780" w:type="dxa"/>
            <w:vAlign w:val="bottom"/>
            <w:tcBorders>
              <w:bottom w:val="single" w:sz="8" w:color="EFE9FC"/>
            </w:tcBorders>
            <w:shd w:val="clear" w:color="auto" w:fill="EFE9FC"/>
          </w:tcPr>
          <w:p>
            <w:pPr>
              <w:spacing w:after="0"/>
              <w:rPr>
                <w:sz w:val="18"/>
                <w:szCs w:val="18"/>
                <w:color w:val="auto"/>
              </w:rPr>
            </w:pPr>
          </w:p>
        </w:tc>
        <w:tc>
          <w:tcPr>
            <w:tcW w:w="58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780" w:type="dxa"/>
            <w:vAlign w:val="bottom"/>
            <w:tcBorders>
              <w:bottom w:val="single" w:sz="8" w:color="EFE9FC"/>
            </w:tcBorders>
            <w:shd w:val="clear" w:color="auto" w:fill="EFE9FC"/>
          </w:tcPr>
          <w:p>
            <w:pPr>
              <w:spacing w:after="0"/>
              <w:rPr>
                <w:sz w:val="18"/>
                <w:szCs w:val="18"/>
                <w:color w:val="auto"/>
              </w:rPr>
            </w:pPr>
          </w:p>
        </w:tc>
        <w:tc>
          <w:tcPr>
            <w:tcW w:w="820" w:type="dxa"/>
            <w:vAlign w:val="bottom"/>
            <w:tcBorders>
              <w:bottom w:val="single" w:sz="8" w:color="EFE9FC"/>
            </w:tcBorders>
            <w:shd w:val="clear" w:color="auto" w:fill="EFE9FC"/>
          </w:tcPr>
          <w:p>
            <w:pPr>
              <w:spacing w:after="0"/>
              <w:rPr>
                <w:sz w:val="18"/>
                <w:szCs w:val="18"/>
                <w:color w:val="auto"/>
              </w:rPr>
            </w:pPr>
          </w:p>
        </w:tc>
        <w:tc>
          <w:tcPr>
            <w:tcW w:w="760" w:type="dxa"/>
            <w:vAlign w:val="bottom"/>
            <w:tcBorders>
              <w:bottom w:val="single" w:sz="8" w:color="EFE9FC"/>
            </w:tcBorders>
            <w:shd w:val="clear" w:color="auto" w:fill="EFE9FC"/>
          </w:tcPr>
          <w:p>
            <w:pPr>
              <w:spacing w:after="0"/>
              <w:rPr>
                <w:sz w:val="18"/>
                <w:szCs w:val="18"/>
                <w:color w:val="auto"/>
              </w:rPr>
            </w:pPr>
          </w:p>
        </w:tc>
        <w:tc>
          <w:tcPr>
            <w:tcW w:w="660" w:type="dxa"/>
            <w:vAlign w:val="bottom"/>
            <w:tcBorders>
              <w:bottom w:val="single" w:sz="8" w:color="EFE9FC"/>
            </w:tcBorders>
            <w:shd w:val="clear" w:color="auto" w:fill="EFE9FC"/>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771</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tcPr>
          <w:p>
            <w:pPr>
              <w:jc w:val="right"/>
              <w:spacing w:after="0"/>
              <w:rPr>
                <w:sz w:val="20"/>
                <w:szCs w:val="20"/>
                <w:color w:val="auto"/>
              </w:rPr>
            </w:pPr>
            <w:r>
              <w:rPr>
                <w:rFonts w:ascii="Arial" w:cs="Arial" w:eastAsia="Arial" w:hAnsi="Arial"/>
                <w:sz w:val="13"/>
                <w:szCs w:val="13"/>
                <w:color w:val="auto"/>
              </w:rPr>
              <w:t>3,856</w:t>
            </w:r>
          </w:p>
        </w:tc>
        <w:tc>
          <w:tcPr>
            <w:tcW w:w="7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194,917</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386</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3,856</w:t>
            </w:r>
          </w:p>
        </w:tc>
        <w:tc>
          <w:tcPr>
            <w:tcW w:w="780" w:type="dxa"/>
            <w:vAlign w:val="bottom"/>
            <w:shd w:val="clear" w:color="auto" w:fill="EFE9FC"/>
          </w:tcPr>
          <w:p>
            <w:pPr>
              <w:spacing w:after="0"/>
              <w:rPr>
                <w:sz w:val="16"/>
                <w:szCs w:val="16"/>
                <w:color w:val="auto"/>
              </w:rPr>
            </w:pP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1,928</w:t>
            </w: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660" w:type="dxa"/>
            <w:vAlign w:val="bottom"/>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20" w:type="dxa"/>
            <w:vAlign w:val="bottom"/>
            <w:tcBorders>
              <w:bottom w:val="single" w:sz="8" w:color="6A2887"/>
            </w:tcBorders>
          </w:tcPr>
          <w:p>
            <w:pPr>
              <w:spacing w:after="0"/>
              <w:rPr>
                <w:sz w:val="21"/>
                <w:szCs w:val="21"/>
                <w:color w:val="auto"/>
              </w:rPr>
            </w:pPr>
          </w:p>
        </w:tc>
        <w:tc>
          <w:tcPr>
            <w:tcW w:w="74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Borders>
              <w:bottom w:val="single" w:sz="8" w:color="6A2887"/>
            </w:tcBorders>
            <w:shd w:val="clear" w:color="auto" w:fill="EFE9FC"/>
          </w:tcPr>
          <w:p>
            <w:pPr>
              <w:spacing w:after="0"/>
              <w:rPr>
                <w:sz w:val="21"/>
                <w:szCs w:val="21"/>
                <w:color w:val="auto"/>
              </w:rPr>
            </w:pPr>
          </w:p>
        </w:tc>
        <w:tc>
          <w:tcPr>
            <w:tcW w:w="620" w:type="dxa"/>
            <w:vAlign w:val="bottom"/>
            <w:tcBorders>
              <w:bottom w:val="single" w:sz="8" w:color="6A2887"/>
            </w:tcBorders>
            <w:shd w:val="clear" w:color="auto" w:fill="EFE9FC"/>
          </w:tcPr>
          <w:p>
            <w:pPr>
              <w:spacing w:after="0"/>
              <w:rPr>
                <w:sz w:val="21"/>
                <w:szCs w:val="21"/>
                <w:color w:val="auto"/>
              </w:rPr>
            </w:pPr>
          </w:p>
        </w:tc>
        <w:tc>
          <w:tcPr>
            <w:tcW w:w="760" w:type="dxa"/>
            <w:vAlign w:val="bottom"/>
            <w:tcBorders>
              <w:bottom w:val="single" w:sz="8" w:color="6A2887"/>
            </w:tcBorders>
            <w:shd w:val="clear" w:color="auto" w:fill="EFE9FC"/>
          </w:tcPr>
          <w:p>
            <w:pPr>
              <w:spacing w:after="0"/>
              <w:rPr>
                <w:sz w:val="21"/>
                <w:szCs w:val="21"/>
                <w:color w:val="auto"/>
              </w:rPr>
            </w:pPr>
          </w:p>
        </w:tc>
        <w:tc>
          <w:tcPr>
            <w:tcW w:w="780" w:type="dxa"/>
            <w:vAlign w:val="bottom"/>
            <w:tcBorders>
              <w:bottom w:val="single" w:sz="8" w:color="6A2887"/>
            </w:tcBorders>
            <w:shd w:val="clear" w:color="auto" w:fill="EFE9FC"/>
          </w:tcPr>
          <w:p>
            <w:pPr>
              <w:spacing w:after="0"/>
              <w:rPr>
                <w:sz w:val="21"/>
                <w:szCs w:val="21"/>
                <w:color w:val="auto"/>
              </w:rPr>
            </w:pPr>
          </w:p>
        </w:tc>
        <w:tc>
          <w:tcPr>
            <w:tcW w:w="580" w:type="dxa"/>
            <w:vAlign w:val="bottom"/>
            <w:tcBorders>
              <w:bottom w:val="single" w:sz="8" w:color="6A2887"/>
            </w:tcBorders>
            <w:shd w:val="clear" w:color="auto" w:fill="EFE9FC"/>
          </w:tcPr>
          <w:p>
            <w:pPr>
              <w:spacing w:after="0"/>
              <w:rPr>
                <w:sz w:val="21"/>
                <w:szCs w:val="21"/>
                <w:color w:val="auto"/>
              </w:rPr>
            </w:pPr>
          </w:p>
        </w:tc>
        <w:tc>
          <w:tcPr>
            <w:tcW w:w="760" w:type="dxa"/>
            <w:vAlign w:val="bottom"/>
            <w:tcBorders>
              <w:bottom w:val="single" w:sz="8" w:color="6A2887"/>
            </w:tcBorders>
            <w:shd w:val="clear" w:color="auto" w:fill="EFE9FC"/>
          </w:tcPr>
          <w:p>
            <w:pPr>
              <w:spacing w:after="0"/>
              <w:rPr>
                <w:sz w:val="21"/>
                <w:szCs w:val="21"/>
                <w:color w:val="auto"/>
              </w:rPr>
            </w:pPr>
          </w:p>
        </w:tc>
        <w:tc>
          <w:tcPr>
            <w:tcW w:w="780" w:type="dxa"/>
            <w:vAlign w:val="bottom"/>
            <w:tcBorders>
              <w:bottom w:val="single" w:sz="8" w:color="6A2887"/>
            </w:tcBorders>
            <w:shd w:val="clear" w:color="auto" w:fill="EFE9FC"/>
          </w:tcPr>
          <w:p>
            <w:pPr>
              <w:spacing w:after="0"/>
              <w:rPr>
                <w:sz w:val="21"/>
                <w:szCs w:val="21"/>
                <w:color w:val="auto"/>
              </w:rPr>
            </w:pPr>
          </w:p>
        </w:tc>
        <w:tc>
          <w:tcPr>
            <w:tcW w:w="82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5,903</w:t>
            </w:r>
          </w:p>
        </w:tc>
        <w:tc>
          <w:tcPr>
            <w:tcW w:w="76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3"/>
                <w:szCs w:val="13"/>
                <w:color w:val="auto"/>
              </w:rPr>
              <w:t>187,479</w:t>
            </w:r>
          </w:p>
        </w:tc>
        <w:tc>
          <w:tcPr>
            <w:tcW w:w="0" w:type="dxa"/>
            <w:vAlign w:val="bottom"/>
          </w:tcPr>
          <w:p>
            <w:pPr>
              <w:spacing w:after="0"/>
              <w:rPr>
                <w:sz w:val="1"/>
                <w:szCs w:val="1"/>
                <w:color w:val="auto"/>
              </w:rPr>
            </w:pPr>
          </w:p>
        </w:tc>
      </w:tr>
      <w:tr>
        <w:trPr>
          <w:trHeight w:val="193"/>
        </w:trPr>
        <w:tc>
          <w:tcPr>
            <w:tcW w:w="1120" w:type="dxa"/>
            <w:vAlign w:val="bottom"/>
          </w:tcPr>
          <w:p>
            <w:pPr>
              <w:ind w:left="40"/>
              <w:spacing w:after="0"/>
              <w:rPr>
                <w:sz w:val="20"/>
                <w:szCs w:val="20"/>
                <w:color w:val="auto"/>
              </w:rPr>
            </w:pPr>
            <w:r>
              <w:rPr>
                <w:rFonts w:ascii="Arial" w:cs="Arial" w:eastAsia="Arial" w:hAnsi="Arial"/>
                <w:sz w:val="13"/>
                <w:szCs w:val="13"/>
                <w:b w:val="1"/>
                <w:bCs w:val="1"/>
                <w:color w:val="auto"/>
              </w:rPr>
              <w:t>Alistair Simpson</w:t>
            </w:r>
          </w:p>
        </w:tc>
        <w:tc>
          <w:tcPr>
            <w:tcW w:w="74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97"/>
              </w:rPr>
              <w:t>191,918</w:t>
            </w:r>
          </w:p>
        </w:tc>
        <w:tc>
          <w:tcPr>
            <w:tcW w:w="760" w:type="dxa"/>
            <w:vAlign w:val="bottom"/>
          </w:tcPr>
          <w:p>
            <w:pPr>
              <w:jc w:val="right"/>
              <w:spacing w:after="0"/>
              <w:rPr>
                <w:sz w:val="20"/>
                <w:szCs w:val="20"/>
                <w:color w:val="auto"/>
              </w:rPr>
            </w:pPr>
            <w:r>
              <w:rPr>
                <w:rFonts w:ascii="Arial" w:cs="Arial" w:eastAsia="Arial" w:hAnsi="Arial"/>
                <w:sz w:val="13"/>
                <w:szCs w:val="13"/>
                <w:color w:val="auto"/>
              </w:rPr>
              <w:t>299,392</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5"/>
                <w:szCs w:val="15"/>
                <w:color w:val="auto"/>
              </w:rPr>
            </w:pPr>
          </w:p>
        </w:tc>
        <w:tc>
          <w:tcPr>
            <w:tcW w:w="620" w:type="dxa"/>
            <w:vAlign w:val="bottom"/>
            <w:shd w:val="clear" w:color="auto" w:fill="EFE9FC"/>
          </w:tcPr>
          <w:p>
            <w:pPr>
              <w:spacing w:after="0"/>
              <w:rPr>
                <w:sz w:val="15"/>
                <w:szCs w:val="15"/>
                <w:color w:val="auto"/>
              </w:rPr>
            </w:pPr>
          </w:p>
        </w:tc>
        <w:tc>
          <w:tcPr>
            <w:tcW w:w="760" w:type="dxa"/>
            <w:vAlign w:val="bottom"/>
            <w:shd w:val="clear" w:color="auto" w:fill="EFE9FC"/>
          </w:tcPr>
          <w:p>
            <w:pPr>
              <w:spacing w:after="0"/>
              <w:rPr>
                <w:sz w:val="15"/>
                <w:szCs w:val="15"/>
                <w:color w:val="auto"/>
              </w:rPr>
            </w:pPr>
          </w:p>
        </w:tc>
        <w:tc>
          <w:tcPr>
            <w:tcW w:w="7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771</w:t>
            </w:r>
          </w:p>
        </w:tc>
        <w:tc>
          <w:tcPr>
            <w:tcW w:w="580" w:type="dxa"/>
            <w:vAlign w:val="bottom"/>
            <w:shd w:val="clear" w:color="auto" w:fill="EFE9FC"/>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3,856</w:t>
            </w:r>
          </w:p>
        </w:tc>
        <w:tc>
          <w:tcPr>
            <w:tcW w:w="780" w:type="dxa"/>
            <w:vAlign w:val="bottom"/>
            <w:shd w:val="clear" w:color="auto" w:fill="EFE9FC"/>
          </w:tcPr>
          <w:p>
            <w:pPr>
              <w:spacing w:after="0"/>
              <w:rPr>
                <w:sz w:val="15"/>
                <w:szCs w:val="15"/>
                <w:color w:val="auto"/>
              </w:rPr>
            </w:pPr>
          </w:p>
        </w:tc>
        <w:tc>
          <w:tcPr>
            <w:tcW w:w="820" w:type="dxa"/>
            <w:vAlign w:val="bottom"/>
            <w:shd w:val="clear" w:color="auto" w:fill="EFE9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(2)</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194,917</w:t>
            </w:r>
          </w:p>
        </w:tc>
        <w:tc>
          <w:tcPr>
            <w:tcW w:w="0" w:type="dxa"/>
            <w:vAlign w:val="bottom"/>
          </w:tcPr>
          <w:p>
            <w:pPr>
              <w:spacing w:after="0"/>
              <w:rPr>
                <w:sz w:val="1"/>
                <w:szCs w:val="1"/>
                <w:color w:val="auto"/>
              </w:rPr>
            </w:pPr>
          </w:p>
        </w:tc>
      </w:tr>
      <w:tr>
        <w:trPr>
          <w:trHeight w:val="83"/>
        </w:trPr>
        <w:tc>
          <w:tcPr>
            <w:tcW w:w="1120" w:type="dxa"/>
            <w:vAlign w:val="bottom"/>
          </w:tcPr>
          <w:p>
            <w:pPr>
              <w:spacing w:after="0"/>
              <w:rPr>
                <w:sz w:val="7"/>
                <w:szCs w:val="7"/>
                <w:color w:val="auto"/>
              </w:rPr>
            </w:pPr>
          </w:p>
        </w:tc>
        <w:tc>
          <w:tcPr>
            <w:tcW w:w="740" w:type="dxa"/>
            <w:vAlign w:val="bottom"/>
            <w:shd w:val="clear" w:color="auto" w:fill="EFE9FC"/>
          </w:tcPr>
          <w:p>
            <w:pPr>
              <w:spacing w:after="0"/>
              <w:rPr>
                <w:sz w:val="7"/>
                <w:szCs w:val="7"/>
                <w:color w:val="auto"/>
              </w:rPr>
            </w:pPr>
          </w:p>
        </w:tc>
        <w:tc>
          <w:tcPr>
            <w:tcW w:w="800" w:type="dxa"/>
            <w:vAlign w:val="bottom"/>
            <w:shd w:val="clear" w:color="auto" w:fill="EFE9FC"/>
          </w:tcPr>
          <w:p>
            <w:pPr>
              <w:spacing w:after="0"/>
              <w:rPr>
                <w:sz w:val="7"/>
                <w:szCs w:val="7"/>
                <w:color w:val="auto"/>
              </w:rPr>
            </w:pPr>
          </w:p>
        </w:tc>
        <w:tc>
          <w:tcPr>
            <w:tcW w:w="6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58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780" w:type="dxa"/>
            <w:vAlign w:val="bottom"/>
            <w:shd w:val="clear" w:color="auto" w:fill="EFE9FC"/>
          </w:tcPr>
          <w:p>
            <w:pPr>
              <w:spacing w:after="0"/>
              <w:rPr>
                <w:sz w:val="7"/>
                <w:szCs w:val="7"/>
                <w:color w:val="auto"/>
              </w:rPr>
            </w:pPr>
          </w:p>
        </w:tc>
        <w:tc>
          <w:tcPr>
            <w:tcW w:w="820" w:type="dxa"/>
            <w:vAlign w:val="bottom"/>
            <w:shd w:val="clear" w:color="auto" w:fill="EFE9FC"/>
          </w:tcPr>
          <w:p>
            <w:pPr>
              <w:spacing w:after="0"/>
              <w:rPr>
                <w:sz w:val="7"/>
                <w:szCs w:val="7"/>
                <w:color w:val="auto"/>
              </w:rPr>
            </w:pPr>
          </w:p>
        </w:tc>
        <w:tc>
          <w:tcPr>
            <w:tcW w:w="760" w:type="dxa"/>
            <w:vAlign w:val="bottom"/>
            <w:shd w:val="clear" w:color="auto" w:fill="EFE9FC"/>
          </w:tcPr>
          <w:p>
            <w:pPr>
              <w:spacing w:after="0"/>
              <w:rPr>
                <w:sz w:val="7"/>
                <w:szCs w:val="7"/>
                <w:color w:val="auto"/>
              </w:rPr>
            </w:pPr>
          </w:p>
        </w:tc>
        <w:tc>
          <w:tcPr>
            <w:tcW w:w="660" w:type="dxa"/>
            <w:vAlign w:val="bottom"/>
            <w:shd w:val="clear" w:color="auto" w:fill="EFE9F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386</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1,928</w:t>
            </w:r>
          </w:p>
        </w:tc>
        <w:tc>
          <w:tcPr>
            <w:tcW w:w="760" w:type="dxa"/>
            <w:vAlign w:val="bottom"/>
          </w:tcPr>
          <w:p>
            <w:pPr>
              <w:jc w:val="right"/>
              <w:spacing w:after="0"/>
              <w:rPr>
                <w:sz w:val="20"/>
                <w:szCs w:val="20"/>
                <w:color w:val="auto"/>
              </w:rPr>
            </w:pPr>
            <w:r>
              <w:rPr>
                <w:rFonts w:ascii="Arial" w:cs="Arial" w:eastAsia="Arial" w:hAnsi="Arial"/>
                <w:sz w:val="13"/>
                <w:szCs w:val="13"/>
                <w:color w:val="auto"/>
              </w:rPr>
              <w:t>3,856</w:t>
            </w: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57"/>
        </w:trPr>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740" w:type="dxa"/>
            <w:vAlign w:val="bottom"/>
            <w:shd w:val="clear" w:color="auto" w:fill="EFE9FC"/>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shd w:val="clear" w:color="auto" w:fill="EFE9FC"/>
          </w:tcPr>
          <w:p>
            <w:pPr>
              <w:spacing w:after="0"/>
              <w:rPr>
                <w:sz w:val="16"/>
                <w:szCs w:val="16"/>
                <w:color w:val="auto"/>
              </w:rPr>
            </w:pPr>
          </w:p>
        </w:tc>
        <w:tc>
          <w:tcPr>
            <w:tcW w:w="62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spacing w:after="0"/>
              <w:rPr>
                <w:sz w:val="16"/>
                <w:szCs w:val="16"/>
                <w:color w:val="auto"/>
              </w:rPr>
            </w:pPr>
          </w:p>
        </w:tc>
        <w:tc>
          <w:tcPr>
            <w:tcW w:w="580" w:type="dxa"/>
            <w:vAlign w:val="bottom"/>
            <w:shd w:val="clear" w:color="auto" w:fill="EFE9FC"/>
          </w:tcPr>
          <w:p>
            <w:pPr>
              <w:spacing w:after="0"/>
              <w:rPr>
                <w:sz w:val="16"/>
                <w:szCs w:val="16"/>
                <w:color w:val="auto"/>
              </w:rPr>
            </w:pPr>
          </w:p>
        </w:tc>
        <w:tc>
          <w:tcPr>
            <w:tcW w:w="760" w:type="dxa"/>
            <w:vAlign w:val="bottom"/>
            <w:shd w:val="clear" w:color="auto" w:fill="EFE9FC"/>
          </w:tcPr>
          <w:p>
            <w:pPr>
              <w:spacing w:after="0"/>
              <w:rPr>
                <w:sz w:val="16"/>
                <w:szCs w:val="16"/>
                <w:color w:val="auto"/>
              </w:rPr>
            </w:pPr>
          </w:p>
        </w:tc>
        <w:tc>
          <w:tcPr>
            <w:tcW w:w="78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1,928</w:t>
            </w:r>
          </w:p>
        </w:tc>
        <w:tc>
          <w:tcPr>
            <w:tcW w:w="820" w:type="dxa"/>
            <w:vAlign w:val="bottom"/>
            <w:shd w:val="clear" w:color="auto" w:fill="EFE9FC"/>
          </w:tcPr>
          <w:p>
            <w:pPr>
              <w:spacing w:after="0"/>
              <w:rPr>
                <w:sz w:val="16"/>
                <w:szCs w:val="16"/>
                <w:color w:val="auto"/>
              </w:rPr>
            </w:pPr>
          </w:p>
        </w:tc>
        <w:tc>
          <w:tcPr>
            <w:tcW w:w="760" w:type="dxa"/>
            <w:vAlign w:val="bottom"/>
            <w:shd w:val="clear" w:color="auto" w:fill="EFE9FC"/>
          </w:tcPr>
          <w:p>
            <w:pPr>
              <w:jc w:val="right"/>
              <w:spacing w:after="0"/>
              <w:rPr>
                <w:sz w:val="20"/>
                <w:szCs w:val="20"/>
                <w:color w:val="auto"/>
              </w:rPr>
            </w:pPr>
            <w:r>
              <w:rPr>
                <w:rFonts w:ascii="Arial" w:cs="Arial" w:eastAsia="Arial" w:hAnsi="Arial"/>
                <w:sz w:val="10"/>
                <w:szCs w:val="10"/>
                <w:color w:val="auto"/>
              </w:rPr>
              <w:t>(1)</w:t>
            </w:r>
          </w:p>
        </w:tc>
        <w:tc>
          <w:tcPr>
            <w:tcW w:w="660" w:type="dxa"/>
            <w:vAlign w:val="bottom"/>
            <w:shd w:val="clear" w:color="auto" w:fill="EFE9FC"/>
          </w:tcPr>
          <w:p>
            <w:pPr>
              <w:jc w:val="right"/>
              <w:spacing w:after="0"/>
              <w:rPr>
                <w:sz w:val="20"/>
                <w:szCs w:val="20"/>
                <w:color w:val="auto"/>
              </w:rPr>
            </w:pPr>
            <w:r>
              <w:rPr>
                <w:rFonts w:ascii="Arial" w:cs="Arial" w:eastAsia="Arial" w:hAnsi="Arial"/>
                <w:sz w:val="13"/>
                <w:szCs w:val="13"/>
                <w:color w:val="auto"/>
              </w:rPr>
              <w:t>187,498</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740" w:type="dxa"/>
            <w:vAlign w:val="bottom"/>
            <w:shd w:val="clear" w:color="auto" w:fill="EFE9FC"/>
          </w:tcPr>
          <w:p>
            <w:pPr>
              <w:spacing w:after="0"/>
              <w:rPr>
                <w:sz w:val="6"/>
                <w:szCs w:val="6"/>
                <w:color w:val="auto"/>
              </w:rPr>
            </w:pPr>
          </w:p>
        </w:tc>
        <w:tc>
          <w:tcPr>
            <w:tcW w:w="800" w:type="dxa"/>
            <w:vAlign w:val="bottom"/>
            <w:shd w:val="clear" w:color="auto" w:fill="EFE9FC"/>
          </w:tcPr>
          <w:p>
            <w:pPr>
              <w:spacing w:after="0"/>
              <w:rPr>
                <w:sz w:val="6"/>
                <w:szCs w:val="6"/>
                <w:color w:val="auto"/>
              </w:rPr>
            </w:pPr>
          </w:p>
        </w:tc>
        <w:tc>
          <w:tcPr>
            <w:tcW w:w="6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58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780" w:type="dxa"/>
            <w:vAlign w:val="bottom"/>
            <w:shd w:val="clear" w:color="auto" w:fill="EFE9FC"/>
          </w:tcPr>
          <w:p>
            <w:pPr>
              <w:spacing w:after="0"/>
              <w:rPr>
                <w:sz w:val="6"/>
                <w:szCs w:val="6"/>
                <w:color w:val="auto"/>
              </w:rPr>
            </w:pPr>
          </w:p>
        </w:tc>
        <w:tc>
          <w:tcPr>
            <w:tcW w:w="820" w:type="dxa"/>
            <w:vAlign w:val="bottom"/>
            <w:shd w:val="clear" w:color="auto" w:fill="EFE9FC"/>
          </w:tcPr>
          <w:p>
            <w:pPr>
              <w:spacing w:after="0"/>
              <w:rPr>
                <w:sz w:val="6"/>
                <w:szCs w:val="6"/>
                <w:color w:val="auto"/>
              </w:rPr>
            </w:pPr>
          </w:p>
        </w:tc>
        <w:tc>
          <w:tcPr>
            <w:tcW w:w="760" w:type="dxa"/>
            <w:vAlign w:val="bottom"/>
            <w:shd w:val="clear" w:color="auto" w:fill="EFE9FC"/>
          </w:tcPr>
          <w:p>
            <w:pPr>
              <w:spacing w:after="0"/>
              <w:rPr>
                <w:sz w:val="6"/>
                <w:szCs w:val="6"/>
                <w:color w:val="auto"/>
              </w:rPr>
            </w:pPr>
          </w:p>
        </w:tc>
        <w:tc>
          <w:tcPr>
            <w:tcW w:w="660" w:type="dxa"/>
            <w:vAlign w:val="bottom"/>
            <w:shd w:val="clear" w:color="auto" w:fill="EFE9FC"/>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03/30/2019</w:t>
            </w: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5,903</w:t>
            </w:r>
          </w:p>
        </w:tc>
        <w:tc>
          <w:tcPr>
            <w:tcW w:w="760" w:type="dxa"/>
            <w:vAlign w:val="bottom"/>
          </w:tcPr>
          <w:p>
            <w:pPr>
              <w:jc w:val="right"/>
              <w:spacing w:after="0"/>
              <w:rPr>
                <w:sz w:val="20"/>
                <w:szCs w:val="20"/>
                <w:color w:val="auto"/>
              </w:rPr>
            </w:pPr>
            <w:r>
              <w:rPr>
                <w:rFonts w:ascii="Arial" w:cs="Arial" w:eastAsia="Arial" w:hAnsi="Arial"/>
                <w:sz w:val="13"/>
                <w:szCs w:val="13"/>
                <w:color w:val="auto"/>
              </w:rPr>
              <w:t>97.25</w:t>
            </w:r>
            <w:r>
              <w:rPr>
                <w:rFonts w:ascii="Arial" w:cs="Arial" w:eastAsia="Arial" w:hAnsi="Arial"/>
                <w:sz w:val="19"/>
                <w:szCs w:val="19"/>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3"/>
                <w:szCs w:val="13"/>
                <w:color w:val="auto"/>
              </w:rPr>
              <w:t>187,479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68580</wp:posOffset>
            </wp:positionV>
            <wp:extent cx="58293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13" w:lineRule="exact"/>
        <w:rPr>
          <w:sz w:val="20"/>
          <w:szCs w:val="20"/>
          <w:color w:val="auto"/>
        </w:rPr>
      </w:pPr>
    </w:p>
    <w:p>
      <w:pPr>
        <w:ind w:left="980" w:right="239" w:hanging="216"/>
        <w:spacing w:after="0" w:line="245" w:lineRule="auto"/>
        <w:tabs>
          <w:tab w:leader="none" w:pos="98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2019.</w:t>
      </w:r>
    </w:p>
    <w:p>
      <w:pPr>
        <w:spacing w:after="0" w:line="3" w:lineRule="exact"/>
        <w:rPr>
          <w:rFonts w:ascii="Arial" w:cs="Arial" w:eastAsia="Arial" w:hAnsi="Arial"/>
          <w:sz w:val="13"/>
          <w:szCs w:val="13"/>
          <w:i w:val="1"/>
          <w:iCs w:val="1"/>
          <w:color w:val="auto"/>
        </w:rPr>
      </w:pPr>
    </w:p>
    <w:p>
      <w:pPr>
        <w:ind w:left="980" w:right="299" w:hanging="216"/>
        <w:spacing w:after="0" w:line="259" w:lineRule="auto"/>
        <w:tabs>
          <w:tab w:leader="none" w:pos="980" w:val="left"/>
        </w:tabs>
        <w:numPr>
          <w:ilvl w:val="0"/>
          <w:numId w:val="64"/>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reported represent the fair value of the PSU awards computed in accordance with FASB ASC Topic 718 on the grant date. LivaNova received a computed Fair Value from an outside source, MTI Consulting, that computed the Fair Value of the LivaNova PLC (LIVN) PSU contracts using the risk-neutral approach (i.e., assuming hedging and selling of the contract).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Outstanding Equity Awards at Year End</w:t>
      </w:r>
    </w:p>
    <w:p>
      <w:pPr>
        <w:spacing w:after="0" w:line="124" w:lineRule="exact"/>
        <w:rPr>
          <w:sz w:val="20"/>
          <w:szCs w:val="20"/>
          <w:color w:val="auto"/>
        </w:rPr>
      </w:pPr>
    </w:p>
    <w:p>
      <w:pPr>
        <w:ind w:left="760" w:right="280"/>
        <w:spacing w:after="0" w:line="260" w:lineRule="auto"/>
        <w:rPr>
          <w:sz w:val="20"/>
          <w:szCs w:val="20"/>
          <w:color w:val="auto"/>
        </w:rPr>
      </w:pPr>
      <w:r>
        <w:rPr>
          <w:rFonts w:ascii="Arial" w:cs="Arial" w:eastAsia="Arial" w:hAnsi="Arial"/>
          <w:sz w:val="16"/>
          <w:szCs w:val="16"/>
          <w:color w:val="auto"/>
        </w:rPr>
        <w:t>The following table summarizes the number of ordinary shares of our stock underlying outstanding equity incentive plan awards for each NEO as of December 31, 2019.</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gridSpan w:val="2"/>
          </w:tcPr>
          <w:p>
            <w:pPr>
              <w:jc w:val="right"/>
              <w:ind w:right="31"/>
              <w:spacing w:after="0"/>
              <w:rPr>
                <w:sz w:val="20"/>
                <w:szCs w:val="20"/>
                <w:color w:val="auto"/>
              </w:rPr>
            </w:pPr>
            <w:r>
              <w:rPr>
                <w:rFonts w:ascii="Arial" w:cs="Arial" w:eastAsia="Arial" w:hAnsi="Arial"/>
                <w:sz w:val="13"/>
                <w:szCs w:val="13"/>
                <w:b w:val="1"/>
                <w:bCs w:val="1"/>
                <w:color w:val="6A2887"/>
              </w:rPr>
              <w:t>Option Awards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6A2887"/>
              </w:rPr>
              <w:t>Stock Awards</w:t>
            </w:r>
          </w:p>
        </w:tc>
        <w:tc>
          <w:tcPr>
            <w:tcW w:w="0" w:type="dxa"/>
            <w:vAlign w:val="bottom"/>
          </w:tcPr>
          <w:p>
            <w:pPr>
              <w:spacing w:after="0"/>
              <w:rPr>
                <w:sz w:val="1"/>
                <w:szCs w:val="1"/>
                <w:color w:val="auto"/>
              </w:rPr>
            </w:pPr>
          </w:p>
        </w:tc>
      </w:tr>
      <w:tr>
        <w:trPr>
          <w:trHeight w:val="28"/>
        </w:trPr>
        <w:tc>
          <w:tcPr>
            <w:tcW w:w="1420" w:type="dxa"/>
            <w:vAlign w:val="bottom"/>
          </w:tcPr>
          <w:p>
            <w:pPr>
              <w:spacing w:after="0"/>
              <w:rPr>
                <w:sz w:val="2"/>
                <w:szCs w:val="2"/>
                <w:color w:val="auto"/>
              </w:rPr>
            </w:pPr>
          </w:p>
        </w:tc>
        <w:tc>
          <w:tcPr>
            <w:tcW w:w="1020" w:type="dxa"/>
            <w:vAlign w:val="bottom"/>
            <w:tcBorders>
              <w:bottom w:val="single" w:sz="8" w:color="6A2887"/>
            </w:tcBorders>
          </w:tcPr>
          <w:p>
            <w:pPr>
              <w:spacing w:after="0"/>
              <w:rPr>
                <w:sz w:val="2"/>
                <w:szCs w:val="2"/>
                <w:color w:val="auto"/>
              </w:rPr>
            </w:pPr>
          </w:p>
        </w:tc>
        <w:tc>
          <w:tcPr>
            <w:tcW w:w="1180" w:type="dxa"/>
            <w:vAlign w:val="bottom"/>
            <w:tcBorders>
              <w:bottom w:val="single" w:sz="8" w:color="6A2887"/>
            </w:tcBorders>
          </w:tcPr>
          <w:p>
            <w:pPr>
              <w:spacing w:after="0"/>
              <w:rPr>
                <w:sz w:val="2"/>
                <w:szCs w:val="2"/>
                <w:color w:val="auto"/>
              </w:rPr>
            </w:pPr>
          </w:p>
        </w:tc>
        <w:tc>
          <w:tcPr>
            <w:tcW w:w="720" w:type="dxa"/>
            <w:vAlign w:val="bottom"/>
            <w:tcBorders>
              <w:bottom w:val="single" w:sz="8" w:color="6A2887"/>
            </w:tcBorders>
          </w:tcPr>
          <w:p>
            <w:pPr>
              <w:spacing w:after="0"/>
              <w:rPr>
                <w:sz w:val="2"/>
                <w:szCs w:val="2"/>
                <w:color w:val="auto"/>
              </w:rPr>
            </w:pPr>
          </w:p>
        </w:tc>
        <w:tc>
          <w:tcPr>
            <w:tcW w:w="860" w:type="dxa"/>
            <w:vAlign w:val="bottom"/>
            <w:tcBorders>
              <w:bottom w:val="single" w:sz="8" w:color="6A2887"/>
            </w:tcBorders>
          </w:tcPr>
          <w:p>
            <w:pPr>
              <w:spacing w:after="0"/>
              <w:rPr>
                <w:sz w:val="2"/>
                <w:szCs w:val="2"/>
                <w:color w:val="auto"/>
              </w:rPr>
            </w:pPr>
          </w:p>
        </w:tc>
        <w:tc>
          <w:tcPr>
            <w:tcW w:w="1080" w:type="dxa"/>
            <w:vAlign w:val="bottom"/>
            <w:tcBorders>
              <w:bottom w:val="single" w:sz="8" w:color="6A2887"/>
            </w:tcBorders>
          </w:tcPr>
          <w:p>
            <w:pPr>
              <w:spacing w:after="0"/>
              <w:rPr>
                <w:sz w:val="2"/>
                <w:szCs w:val="2"/>
                <w:color w:val="auto"/>
              </w:rPr>
            </w:pPr>
          </w:p>
        </w:tc>
        <w:tc>
          <w:tcPr>
            <w:tcW w:w="860" w:type="dxa"/>
            <w:vAlign w:val="bottom"/>
            <w:tcBorders>
              <w:bottom w:val="single" w:sz="8" w:color="6A2887"/>
            </w:tcBorders>
          </w:tcPr>
          <w:p>
            <w:pPr>
              <w:spacing w:after="0"/>
              <w:rPr>
                <w:sz w:val="2"/>
                <w:szCs w:val="2"/>
                <w:color w:val="auto"/>
              </w:rPr>
            </w:pPr>
          </w:p>
        </w:tc>
        <w:tc>
          <w:tcPr>
            <w:tcW w:w="1020" w:type="dxa"/>
            <w:vAlign w:val="bottom"/>
            <w:tcBorders>
              <w:bottom w:val="single" w:sz="8" w:color="6A2887"/>
            </w:tcBorders>
          </w:tcPr>
          <w:p>
            <w:pPr>
              <w:spacing w:after="0"/>
              <w:rPr>
                <w:sz w:val="2"/>
                <w:szCs w:val="2"/>
                <w:color w:val="auto"/>
              </w:rPr>
            </w:pPr>
          </w:p>
        </w:tc>
        <w:tc>
          <w:tcPr>
            <w:tcW w:w="120" w:type="dxa"/>
            <w:vAlign w:val="bottom"/>
            <w:tcBorders>
              <w:bottom w:val="single" w:sz="8" w:color="6A2887"/>
            </w:tcBorders>
          </w:tcPr>
          <w:p>
            <w:pPr>
              <w:spacing w:after="0"/>
              <w:rPr>
                <w:sz w:val="2"/>
                <w:szCs w:val="2"/>
                <w:color w:val="auto"/>
              </w:rPr>
            </w:pPr>
          </w:p>
        </w:tc>
        <w:tc>
          <w:tcPr>
            <w:tcW w:w="900" w:type="dxa"/>
            <w:vAlign w:val="bottom"/>
            <w:tcBorders>
              <w:bottom w:val="single" w:sz="8" w:color="6A2887"/>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Equity</w:t>
            </w:r>
          </w:p>
        </w:tc>
        <w:tc>
          <w:tcPr>
            <w:tcW w:w="120" w:type="dxa"/>
            <w:vAlign w:val="bottom"/>
          </w:tcPr>
          <w:p>
            <w:pPr>
              <w:spacing w:after="0"/>
              <w:rPr>
                <w:sz w:val="14"/>
                <w:szCs w:val="14"/>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Equity</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Incentive</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Incentive</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Plan</w:t>
            </w:r>
          </w:p>
        </w:tc>
        <w:tc>
          <w:tcPr>
            <w:tcW w:w="10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6A2887"/>
              </w:rPr>
              <w:t>Plan Awards: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Awards: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Market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6A2887"/>
              </w:rPr>
              <w:t>Number of</w:t>
            </w:r>
          </w:p>
        </w:tc>
        <w:tc>
          <w:tcPr>
            <w:tcW w:w="1180" w:type="dxa"/>
            <w:vAlign w:val="bottom"/>
            <w:vMerge w:val="restart"/>
          </w:tcPr>
          <w:p>
            <w:pPr>
              <w:jc w:val="right"/>
              <w:ind w:right="51"/>
              <w:spacing w:after="0"/>
              <w:rPr>
                <w:sz w:val="20"/>
                <w:szCs w:val="20"/>
                <w:color w:val="auto"/>
              </w:rPr>
            </w:pPr>
            <w:r>
              <w:rPr>
                <w:rFonts w:ascii="Arial" w:cs="Arial" w:eastAsia="Arial" w:hAnsi="Arial"/>
                <w:sz w:val="13"/>
                <w:szCs w:val="13"/>
                <w:b w:val="1"/>
                <w:bCs w:val="1"/>
                <w:color w:val="6A2887"/>
              </w:rPr>
              <w:t>Number of</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6A2887"/>
              </w:rPr>
              <w:t>Number of   Market Value</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Number of</w:t>
            </w:r>
          </w:p>
        </w:tc>
        <w:tc>
          <w:tcPr>
            <w:tcW w:w="1020" w:type="dxa"/>
            <w:vAlign w:val="bottom"/>
            <w:gridSpan w:val="2"/>
          </w:tcPr>
          <w:p>
            <w:pPr>
              <w:jc w:val="right"/>
              <w:ind w:right="31"/>
              <w:spacing w:after="0"/>
              <w:rPr>
                <w:sz w:val="20"/>
                <w:szCs w:val="20"/>
                <w:color w:val="auto"/>
              </w:rPr>
            </w:pPr>
            <w:r>
              <w:rPr>
                <w:rFonts w:ascii="Arial" w:cs="Arial" w:eastAsia="Arial" w:hAnsi="Arial"/>
                <w:sz w:val="13"/>
                <w:szCs w:val="13"/>
                <w:b w:val="1"/>
                <w:bCs w:val="1"/>
                <w:color w:val="6A2887"/>
              </w:rPr>
              <w:t>Payout Value</w:t>
            </w:r>
          </w:p>
        </w:tc>
        <w:tc>
          <w:tcPr>
            <w:tcW w:w="0" w:type="dxa"/>
            <w:vAlign w:val="bottom"/>
          </w:tcPr>
          <w:p>
            <w:pPr>
              <w:spacing w:after="0"/>
              <w:rPr>
                <w:sz w:val="1"/>
                <w:szCs w:val="1"/>
                <w:color w:val="auto"/>
              </w:rPr>
            </w:pPr>
          </w:p>
        </w:tc>
      </w:tr>
      <w:tr>
        <w:trPr>
          <w:trHeight w:val="138"/>
        </w:trPr>
        <w:tc>
          <w:tcPr>
            <w:tcW w:w="1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020" w:type="dxa"/>
            <w:vAlign w:val="bottom"/>
          </w:tcPr>
          <w:p>
            <w:pPr>
              <w:jc w:val="right"/>
              <w:ind w:right="51"/>
              <w:spacing w:after="0" w:line="138" w:lineRule="exact"/>
              <w:rPr>
                <w:sz w:val="20"/>
                <w:szCs w:val="20"/>
                <w:color w:val="auto"/>
              </w:rPr>
            </w:pPr>
            <w:r>
              <w:rPr>
                <w:rFonts w:ascii="Arial" w:cs="Arial" w:eastAsia="Arial" w:hAnsi="Arial"/>
                <w:sz w:val="13"/>
                <w:szCs w:val="13"/>
                <w:b w:val="1"/>
                <w:bCs w:val="1"/>
                <w:color w:val="6A2887"/>
              </w:rPr>
              <w:t>Unearned</w:t>
            </w:r>
          </w:p>
        </w:tc>
        <w:tc>
          <w:tcPr>
            <w:tcW w:w="120" w:type="dxa"/>
            <w:vAlign w:val="bottom"/>
          </w:tcPr>
          <w:p>
            <w:pPr>
              <w:spacing w:after="0"/>
              <w:rPr>
                <w:sz w:val="12"/>
                <w:szCs w:val="12"/>
                <w:color w:val="auto"/>
              </w:rPr>
            </w:pPr>
          </w:p>
        </w:tc>
        <w:tc>
          <w:tcPr>
            <w:tcW w:w="900" w:type="dxa"/>
            <w:vAlign w:val="bottom"/>
          </w:tcPr>
          <w:p>
            <w:pPr>
              <w:jc w:val="right"/>
              <w:ind w:right="31"/>
              <w:spacing w:after="0" w:line="138" w:lineRule="exact"/>
              <w:rPr>
                <w:sz w:val="20"/>
                <w:szCs w:val="20"/>
                <w:color w:val="auto"/>
              </w:rPr>
            </w:pPr>
            <w:r>
              <w:rPr>
                <w:rFonts w:ascii="Arial" w:cs="Arial" w:eastAsia="Arial" w:hAnsi="Arial"/>
                <w:sz w:val="13"/>
                <w:szCs w:val="13"/>
                <w:b w:val="1"/>
                <w:bCs w:val="1"/>
                <w:color w:val="6A2887"/>
              </w:rPr>
              <w:t>of Unearned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Securities</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6A2887"/>
              </w:rPr>
              <w:t>Securities</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Shares or</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of Shares</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Shares,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Shares,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Underlying</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6A2887"/>
              </w:rPr>
              <w:t>Underlying</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Units of</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or Units of</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Units or</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Units or</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Unexercised</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6A2887"/>
              </w:rPr>
              <w:t>Unexercised</w:t>
            </w:r>
          </w:p>
        </w:tc>
        <w:tc>
          <w:tcPr>
            <w:tcW w:w="720" w:type="dxa"/>
            <w:vAlign w:val="bottom"/>
          </w:tcPr>
          <w:p>
            <w:pPr>
              <w:jc w:val="right"/>
              <w:ind w:right="51"/>
              <w:spacing w:after="0"/>
              <w:rPr>
                <w:sz w:val="20"/>
                <w:szCs w:val="20"/>
                <w:color w:val="auto"/>
              </w:rPr>
            </w:pPr>
            <w:r>
              <w:rPr>
                <w:rFonts w:ascii="Arial" w:cs="Arial" w:eastAsia="Arial" w:hAnsi="Arial"/>
                <w:sz w:val="13"/>
                <w:szCs w:val="13"/>
                <w:b w:val="1"/>
                <w:bCs w:val="1"/>
                <w:color w:val="6A2887"/>
              </w:rPr>
              <w:t>Option</w:t>
            </w: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6A2887"/>
              </w:rPr>
              <w:t>Option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Stock That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Stock That</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Other Rights</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w w:val="99"/>
              </w:rPr>
              <w:t>Other Rights</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Options (#)</w:t>
            </w:r>
          </w:p>
        </w:tc>
        <w:tc>
          <w:tcPr>
            <w:tcW w:w="1180" w:type="dxa"/>
            <w:vAlign w:val="bottom"/>
          </w:tcPr>
          <w:p>
            <w:pPr>
              <w:jc w:val="right"/>
              <w:ind w:right="51"/>
              <w:spacing w:after="0"/>
              <w:rPr>
                <w:sz w:val="20"/>
                <w:szCs w:val="20"/>
                <w:color w:val="auto"/>
              </w:rPr>
            </w:pPr>
            <w:r>
              <w:rPr>
                <w:rFonts w:ascii="Arial" w:cs="Arial" w:eastAsia="Arial" w:hAnsi="Arial"/>
                <w:sz w:val="13"/>
                <w:szCs w:val="13"/>
                <w:b w:val="1"/>
                <w:bCs w:val="1"/>
                <w:color w:val="6A2887"/>
              </w:rPr>
              <w:t>Options (#)</w:t>
            </w:r>
          </w:p>
        </w:tc>
        <w:tc>
          <w:tcPr>
            <w:tcW w:w="720" w:type="dxa"/>
            <w:vAlign w:val="bottom"/>
          </w:tcPr>
          <w:p>
            <w:pPr>
              <w:jc w:val="right"/>
              <w:ind w:right="51"/>
              <w:spacing w:after="0"/>
              <w:rPr>
                <w:sz w:val="20"/>
                <w:szCs w:val="20"/>
                <w:color w:val="auto"/>
              </w:rPr>
            </w:pPr>
            <w:r>
              <w:rPr>
                <w:rFonts w:ascii="Arial" w:cs="Arial" w:eastAsia="Arial" w:hAnsi="Arial"/>
                <w:sz w:val="13"/>
                <w:szCs w:val="13"/>
                <w:b w:val="1"/>
                <w:bCs w:val="1"/>
                <w:color w:val="6A2887"/>
              </w:rPr>
              <w:t>Exercise</w:t>
            </w: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6A2887"/>
              </w:rPr>
              <w:t>Expiration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Have Not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Have Not</w:t>
            </w: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6A2887"/>
              </w:rPr>
              <w:t>That Have</w:t>
            </w:r>
          </w:p>
        </w:tc>
        <w:tc>
          <w:tcPr>
            <w:tcW w:w="120" w:type="dxa"/>
            <w:vAlign w:val="bottom"/>
          </w:tcPr>
          <w:p>
            <w:pPr>
              <w:spacing w:after="0"/>
              <w:rPr>
                <w:sz w:val="12"/>
                <w:szCs w:val="12"/>
                <w:color w:val="auto"/>
              </w:rPr>
            </w:pPr>
          </w:p>
        </w:tc>
        <w:tc>
          <w:tcPr>
            <w:tcW w:w="900" w:type="dxa"/>
            <w:vAlign w:val="bottom"/>
          </w:tcPr>
          <w:p>
            <w:pPr>
              <w:jc w:val="right"/>
              <w:ind w:right="31"/>
              <w:spacing w:after="0"/>
              <w:rPr>
                <w:sz w:val="20"/>
                <w:szCs w:val="20"/>
                <w:color w:val="auto"/>
              </w:rPr>
            </w:pPr>
            <w:r>
              <w:rPr>
                <w:rFonts w:ascii="Arial" w:cs="Arial" w:eastAsia="Arial" w:hAnsi="Arial"/>
                <w:sz w:val="13"/>
                <w:szCs w:val="13"/>
                <w:b w:val="1"/>
                <w:bCs w:val="1"/>
                <w:color w:val="6A2887"/>
              </w:rPr>
              <w:t>That Have</w:t>
            </w:r>
          </w:p>
        </w:tc>
        <w:tc>
          <w:tcPr>
            <w:tcW w:w="0" w:type="dxa"/>
            <w:vAlign w:val="bottom"/>
          </w:tcPr>
          <w:p>
            <w:pPr>
              <w:spacing w:after="0"/>
              <w:rPr>
                <w:sz w:val="1"/>
                <w:szCs w:val="1"/>
                <w:color w:val="auto"/>
              </w:rPr>
            </w:pPr>
          </w:p>
        </w:tc>
      </w:tr>
      <w:tr>
        <w:trPr>
          <w:trHeight w:val="216"/>
        </w:trPr>
        <w:tc>
          <w:tcPr>
            <w:tcW w:w="1420" w:type="dxa"/>
            <w:vAlign w:val="bottom"/>
            <w:tcBorders>
              <w:bottom w:val="single" w:sz="8" w:color="6A2887"/>
            </w:tcBorders>
          </w:tcPr>
          <w:p>
            <w:pPr>
              <w:ind w:left="40"/>
              <w:spacing w:after="0"/>
              <w:rPr>
                <w:sz w:val="20"/>
                <w:szCs w:val="20"/>
                <w:color w:val="auto"/>
              </w:rPr>
            </w:pPr>
            <w:r>
              <w:rPr>
                <w:rFonts w:ascii="Arial" w:cs="Arial" w:eastAsia="Arial" w:hAnsi="Arial"/>
                <w:sz w:val="13"/>
                <w:szCs w:val="13"/>
                <w:b w:val="1"/>
                <w:bCs w:val="1"/>
                <w:color w:val="6A2887"/>
              </w:rPr>
              <w:t>Name</w:t>
            </w:r>
          </w:p>
        </w:tc>
        <w:tc>
          <w:tcPr>
            <w:tcW w:w="1020" w:type="dxa"/>
            <w:vAlign w:val="bottom"/>
            <w:tcBorders>
              <w:bottom w:val="single" w:sz="8" w:color="6A2887"/>
            </w:tcBorders>
          </w:tcPr>
          <w:p>
            <w:pPr>
              <w:jc w:val="right"/>
              <w:ind w:right="11"/>
              <w:spacing w:after="0" w:line="216" w:lineRule="exact"/>
              <w:rPr>
                <w:sz w:val="20"/>
                <w:szCs w:val="20"/>
                <w:color w:val="auto"/>
              </w:rPr>
            </w:pPr>
            <w:r>
              <w:rPr>
                <w:rFonts w:ascii="Arial" w:cs="Arial" w:eastAsia="Arial" w:hAnsi="Arial"/>
                <w:sz w:val="13"/>
                <w:szCs w:val="13"/>
                <w:b w:val="1"/>
                <w:bCs w:val="1"/>
                <w:color w:val="6A2887"/>
              </w:rPr>
              <w:t>Exercisable</w:t>
            </w:r>
            <w:r>
              <w:rPr>
                <w:rFonts w:ascii="Arial" w:cs="Arial" w:eastAsia="Arial" w:hAnsi="Arial"/>
                <w:sz w:val="19"/>
                <w:szCs w:val="19"/>
                <w:b w:val="1"/>
                <w:bCs w:val="1"/>
                <w:color w:val="6A2887"/>
                <w:vertAlign w:val="superscript"/>
              </w:rPr>
              <w:t>(1)</w:t>
            </w:r>
          </w:p>
        </w:tc>
        <w:tc>
          <w:tcPr>
            <w:tcW w:w="1180" w:type="dxa"/>
            <w:vAlign w:val="bottom"/>
            <w:tcBorders>
              <w:bottom w:val="single" w:sz="8" w:color="6A2887"/>
            </w:tcBorders>
          </w:tcPr>
          <w:p>
            <w:pPr>
              <w:jc w:val="right"/>
              <w:ind w:right="11"/>
              <w:spacing w:after="0" w:line="216" w:lineRule="exact"/>
              <w:rPr>
                <w:sz w:val="20"/>
                <w:szCs w:val="20"/>
                <w:color w:val="auto"/>
              </w:rPr>
            </w:pPr>
            <w:r>
              <w:rPr>
                <w:rFonts w:ascii="Arial" w:cs="Arial" w:eastAsia="Arial" w:hAnsi="Arial"/>
                <w:sz w:val="13"/>
                <w:szCs w:val="13"/>
                <w:b w:val="1"/>
                <w:bCs w:val="1"/>
                <w:color w:val="6A2887"/>
              </w:rPr>
              <w:t>Unexercisable</w:t>
            </w:r>
            <w:r>
              <w:rPr>
                <w:rFonts w:ascii="Arial" w:cs="Arial" w:eastAsia="Arial" w:hAnsi="Arial"/>
                <w:sz w:val="19"/>
                <w:szCs w:val="19"/>
                <w:b w:val="1"/>
                <w:bCs w:val="1"/>
                <w:color w:val="6A2887"/>
                <w:vertAlign w:val="superscript"/>
              </w:rPr>
              <w:t>(2)</w:t>
            </w:r>
          </w:p>
        </w:tc>
        <w:tc>
          <w:tcPr>
            <w:tcW w:w="720" w:type="dxa"/>
            <w:vAlign w:val="bottom"/>
            <w:tcBorders>
              <w:bottom w:val="single" w:sz="8" w:color="6A2887"/>
            </w:tcBorders>
          </w:tcPr>
          <w:p>
            <w:pPr>
              <w:jc w:val="right"/>
              <w:ind w:right="11"/>
              <w:spacing w:after="0"/>
              <w:rPr>
                <w:sz w:val="20"/>
                <w:szCs w:val="20"/>
                <w:color w:val="auto"/>
              </w:rPr>
            </w:pPr>
            <w:r>
              <w:rPr>
                <w:rFonts w:ascii="Arial" w:cs="Arial" w:eastAsia="Arial" w:hAnsi="Arial"/>
                <w:sz w:val="13"/>
                <w:szCs w:val="13"/>
                <w:b w:val="1"/>
                <w:bCs w:val="1"/>
                <w:color w:val="6A2887"/>
              </w:rPr>
              <w:t>Price ($)</w:t>
            </w:r>
          </w:p>
        </w:tc>
        <w:tc>
          <w:tcPr>
            <w:tcW w:w="860" w:type="dxa"/>
            <w:vAlign w:val="bottom"/>
            <w:tcBorders>
              <w:bottom w:val="single" w:sz="8" w:color="6A2887"/>
            </w:tcBorders>
          </w:tcPr>
          <w:p>
            <w:pPr>
              <w:jc w:val="right"/>
              <w:ind w:right="31"/>
              <w:spacing w:after="0"/>
              <w:rPr>
                <w:sz w:val="20"/>
                <w:szCs w:val="20"/>
                <w:color w:val="auto"/>
              </w:rPr>
            </w:pPr>
            <w:r>
              <w:rPr>
                <w:rFonts w:ascii="Arial" w:cs="Arial" w:eastAsia="Arial" w:hAnsi="Arial"/>
                <w:sz w:val="13"/>
                <w:szCs w:val="13"/>
                <w:b w:val="1"/>
                <w:bCs w:val="1"/>
                <w:color w:val="6A2887"/>
              </w:rPr>
              <w:t>Date</w:t>
            </w:r>
          </w:p>
        </w:tc>
        <w:tc>
          <w:tcPr>
            <w:tcW w:w="1080" w:type="dxa"/>
            <w:vAlign w:val="bottom"/>
            <w:tcBorders>
              <w:bottom w:val="single" w:sz="8" w:color="6A2887"/>
            </w:tcBorders>
          </w:tcPr>
          <w:p>
            <w:pPr>
              <w:jc w:val="right"/>
              <w:ind w:right="171"/>
              <w:spacing w:after="0" w:line="216" w:lineRule="exact"/>
              <w:rPr>
                <w:sz w:val="20"/>
                <w:szCs w:val="20"/>
                <w:color w:val="auto"/>
              </w:rPr>
            </w:pPr>
            <w:r>
              <w:rPr>
                <w:rFonts w:ascii="Arial" w:cs="Arial" w:eastAsia="Arial" w:hAnsi="Arial"/>
                <w:sz w:val="13"/>
                <w:szCs w:val="13"/>
                <w:b w:val="1"/>
                <w:bCs w:val="1"/>
                <w:color w:val="6A2887"/>
              </w:rPr>
              <w:t>Vested (#)</w:t>
            </w:r>
            <w:r>
              <w:rPr>
                <w:rFonts w:ascii="Arial" w:cs="Arial" w:eastAsia="Arial" w:hAnsi="Arial"/>
                <w:sz w:val="19"/>
                <w:szCs w:val="19"/>
                <w:b w:val="1"/>
                <w:bCs w:val="1"/>
                <w:color w:val="6A2887"/>
                <w:vertAlign w:val="superscript"/>
              </w:rPr>
              <w:t>(3)</w:t>
            </w:r>
          </w:p>
        </w:tc>
        <w:tc>
          <w:tcPr>
            <w:tcW w:w="860" w:type="dxa"/>
            <w:vAlign w:val="bottom"/>
            <w:tcBorders>
              <w:bottom w:val="single" w:sz="8" w:color="6A2887"/>
            </w:tcBorders>
          </w:tcPr>
          <w:p>
            <w:pPr>
              <w:jc w:val="right"/>
              <w:ind w:right="11"/>
              <w:spacing w:after="0" w:line="216" w:lineRule="exact"/>
              <w:rPr>
                <w:sz w:val="20"/>
                <w:szCs w:val="20"/>
                <w:color w:val="auto"/>
              </w:rPr>
            </w:pPr>
            <w:r>
              <w:rPr>
                <w:rFonts w:ascii="Arial" w:cs="Arial" w:eastAsia="Arial" w:hAnsi="Arial"/>
                <w:sz w:val="13"/>
                <w:szCs w:val="13"/>
                <w:b w:val="1"/>
                <w:bCs w:val="1"/>
                <w:color w:val="6A2887"/>
                <w:w w:val="97"/>
              </w:rPr>
              <w:t>Vested ($)</w:t>
            </w:r>
            <w:r>
              <w:rPr>
                <w:rFonts w:ascii="Arial" w:cs="Arial" w:eastAsia="Arial" w:hAnsi="Arial"/>
                <w:sz w:val="19"/>
                <w:szCs w:val="19"/>
                <w:b w:val="1"/>
                <w:bCs w:val="1"/>
                <w:color w:val="6A2887"/>
                <w:w w:val="97"/>
                <w:vertAlign w:val="superscript"/>
              </w:rPr>
              <w:t>(4)</w:t>
            </w:r>
          </w:p>
        </w:tc>
        <w:tc>
          <w:tcPr>
            <w:tcW w:w="1020" w:type="dxa"/>
            <w:vAlign w:val="bottom"/>
            <w:tcBorders>
              <w:bottom w:val="single" w:sz="8" w:color="6A2887"/>
            </w:tcBorders>
          </w:tcPr>
          <w:p>
            <w:pPr>
              <w:jc w:val="right"/>
              <w:ind w:right="31"/>
              <w:spacing w:after="0"/>
              <w:rPr>
                <w:sz w:val="20"/>
                <w:szCs w:val="20"/>
                <w:color w:val="auto"/>
              </w:rPr>
            </w:pPr>
            <w:r>
              <w:rPr>
                <w:rFonts w:ascii="Arial" w:cs="Arial" w:eastAsia="Arial" w:hAnsi="Arial"/>
                <w:sz w:val="13"/>
                <w:szCs w:val="13"/>
                <w:b w:val="1"/>
                <w:bCs w:val="1"/>
                <w:color w:val="6A2887"/>
              </w:rPr>
              <w:t>Not Vested</w:t>
            </w:r>
          </w:p>
        </w:tc>
        <w:tc>
          <w:tcPr>
            <w:tcW w:w="120" w:type="dxa"/>
            <w:vAlign w:val="bottom"/>
            <w:tcBorders>
              <w:bottom w:val="single" w:sz="8" w:color="6A2887"/>
            </w:tcBorders>
          </w:tcPr>
          <w:p>
            <w:pPr>
              <w:spacing w:after="0"/>
              <w:rPr>
                <w:sz w:val="18"/>
                <w:szCs w:val="18"/>
                <w:color w:val="auto"/>
              </w:rPr>
            </w:pPr>
          </w:p>
        </w:tc>
        <w:tc>
          <w:tcPr>
            <w:tcW w:w="90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Not Vested</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Damien McDonald</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87,114</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43,556</w:t>
            </w:r>
          </w:p>
        </w:tc>
        <w:tc>
          <w:tcPr>
            <w:tcW w:w="720" w:type="dxa"/>
            <w:vAlign w:val="bottom"/>
          </w:tcPr>
          <w:p>
            <w:pPr>
              <w:jc w:val="right"/>
              <w:spacing w:after="0"/>
              <w:rPr>
                <w:sz w:val="20"/>
                <w:szCs w:val="20"/>
                <w:color w:val="auto"/>
              </w:rPr>
            </w:pPr>
            <w:r>
              <w:rPr>
                <w:rFonts w:ascii="Arial" w:cs="Arial" w:eastAsia="Arial" w:hAnsi="Arial"/>
                <w:sz w:val="14"/>
                <w:szCs w:val="14"/>
                <w:color w:val="auto"/>
              </w:rPr>
              <w:t>44.79</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11/4/2026</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10,378</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31,134</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88.38</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39,357</w:t>
            </w:r>
          </w:p>
        </w:tc>
        <w:tc>
          <w:tcPr>
            <w:tcW w:w="720" w:type="dxa"/>
            <w:vAlign w:val="bottom"/>
          </w:tcPr>
          <w:p>
            <w:pPr>
              <w:jc w:val="right"/>
              <w:spacing w:after="0"/>
              <w:rPr>
                <w:sz w:val="20"/>
                <w:szCs w:val="20"/>
                <w:color w:val="auto"/>
              </w:rPr>
            </w:pPr>
            <w:r>
              <w:rPr>
                <w:rFonts w:ascii="Arial" w:cs="Arial" w:eastAsia="Arial" w:hAnsi="Arial"/>
                <w:sz w:val="14"/>
                <w:szCs w:val="14"/>
                <w:color w:val="auto"/>
              </w:rPr>
              <w:t>97.25</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16,744</w:t>
            </w:r>
            <w:r>
              <w:rPr>
                <w:rFonts w:ascii="Arial" w:cs="Arial" w:eastAsia="Arial" w:hAnsi="Arial"/>
                <w:sz w:val="21"/>
                <w:szCs w:val="21"/>
                <w:color w:val="auto"/>
                <w:vertAlign w:val="superscript"/>
              </w:rPr>
              <w:t>(5)</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1,263,000</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26,704</w:t>
            </w:r>
            <w:r>
              <w:rPr>
                <w:rFonts w:ascii="Arial" w:cs="Arial" w:eastAsia="Arial" w:hAnsi="Arial"/>
                <w:sz w:val="21"/>
                <w:szCs w:val="21"/>
                <w:color w:val="auto"/>
                <w:vertAlign w:val="superscript"/>
              </w:rPr>
              <w:t>(6)</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2,014,283</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8,901</w:t>
            </w:r>
            <w:r>
              <w:rPr>
                <w:rFonts w:ascii="Arial" w:cs="Arial" w:eastAsia="Arial" w:hAnsi="Arial"/>
                <w:sz w:val="21"/>
                <w:szCs w:val="21"/>
                <w:color w:val="auto"/>
                <w:vertAlign w:val="superscript"/>
              </w:rPr>
              <w:t>(7)</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671,402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9,546</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720,055</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12,853</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969,502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12,729</w:t>
            </w:r>
            <w:r>
              <w:rPr>
                <w:rFonts w:ascii="Arial" w:cs="Arial" w:eastAsia="Arial" w:hAnsi="Arial"/>
                <w:sz w:val="21"/>
                <w:szCs w:val="21"/>
                <w:color w:val="auto"/>
                <w:vertAlign w:val="superscript"/>
              </w:rPr>
              <w:t>(10)</w:t>
            </w:r>
          </w:p>
        </w:tc>
        <w:tc>
          <w:tcPr>
            <w:tcW w:w="900" w:type="dxa"/>
            <w:vAlign w:val="bottom"/>
          </w:tcPr>
          <w:p>
            <w:pPr>
              <w:jc w:val="right"/>
              <w:spacing w:after="0"/>
              <w:rPr>
                <w:sz w:val="20"/>
                <w:szCs w:val="20"/>
                <w:color w:val="auto"/>
              </w:rPr>
            </w:pPr>
            <w:r>
              <w:rPr>
                <w:rFonts w:ascii="Arial" w:cs="Arial" w:eastAsia="Arial" w:hAnsi="Arial"/>
                <w:sz w:val="14"/>
                <w:szCs w:val="14"/>
                <w:color w:val="auto"/>
              </w:rPr>
              <w:t>960,148</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12,729</w:t>
            </w:r>
            <w:r>
              <w:rPr>
                <w:rFonts w:ascii="Arial" w:cs="Arial" w:eastAsia="Arial" w:hAnsi="Arial"/>
                <w:sz w:val="21"/>
                <w:szCs w:val="21"/>
                <w:color w:val="auto"/>
                <w:vertAlign w:val="superscript"/>
              </w:rPr>
              <w:t>(11)</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960,148</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15,424</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1,163,432</w:t>
            </w:r>
          </w:p>
        </w:tc>
        <w:tc>
          <w:tcPr>
            <w:tcW w:w="0" w:type="dxa"/>
            <w:vAlign w:val="bottom"/>
          </w:tcPr>
          <w:p>
            <w:pPr>
              <w:spacing w:after="0"/>
              <w:rPr>
                <w:sz w:val="1"/>
                <w:szCs w:val="1"/>
                <w:color w:val="auto"/>
              </w:rPr>
            </w:pPr>
          </w:p>
        </w:tc>
      </w:tr>
      <w:tr>
        <w:trPr>
          <w:trHeight w:val="257"/>
        </w:trPr>
        <w:tc>
          <w:tcPr>
            <w:tcW w:w="1420" w:type="dxa"/>
            <w:vAlign w:val="bottom"/>
            <w:tcBorders>
              <w:bottom w:val="single" w:sz="8" w:color="6A2887"/>
            </w:tcBorders>
          </w:tcPr>
          <w:p>
            <w:pPr>
              <w:spacing w:after="0"/>
              <w:rPr>
                <w:sz w:val="22"/>
                <w:szCs w:val="22"/>
                <w:color w:val="auto"/>
              </w:rPr>
            </w:pPr>
          </w:p>
        </w:tc>
        <w:tc>
          <w:tcPr>
            <w:tcW w:w="1020" w:type="dxa"/>
            <w:vAlign w:val="bottom"/>
            <w:tcBorders>
              <w:bottom w:val="single" w:sz="8" w:color="6A2887"/>
            </w:tcBorders>
            <w:shd w:val="clear" w:color="auto" w:fill="EFE9FC"/>
          </w:tcPr>
          <w:p>
            <w:pPr>
              <w:spacing w:after="0"/>
              <w:rPr>
                <w:sz w:val="22"/>
                <w:szCs w:val="22"/>
                <w:color w:val="auto"/>
              </w:rPr>
            </w:pPr>
          </w:p>
        </w:tc>
        <w:tc>
          <w:tcPr>
            <w:tcW w:w="1180" w:type="dxa"/>
            <w:vAlign w:val="bottom"/>
            <w:tcBorders>
              <w:bottom w:val="single" w:sz="8" w:color="6A2887"/>
            </w:tcBorders>
            <w:shd w:val="clear" w:color="auto" w:fill="EFE9FC"/>
          </w:tcPr>
          <w:p>
            <w:pPr>
              <w:spacing w:after="0"/>
              <w:rPr>
                <w:sz w:val="22"/>
                <w:szCs w:val="22"/>
                <w:color w:val="auto"/>
              </w:rPr>
            </w:pPr>
          </w:p>
        </w:tc>
        <w:tc>
          <w:tcPr>
            <w:tcW w:w="720" w:type="dxa"/>
            <w:vAlign w:val="bottom"/>
            <w:tcBorders>
              <w:bottom w:val="single" w:sz="8" w:color="6A2887"/>
            </w:tcBorders>
            <w:shd w:val="clear" w:color="auto" w:fill="EFE9FC"/>
          </w:tcPr>
          <w:p>
            <w:pPr>
              <w:spacing w:after="0"/>
              <w:rPr>
                <w:sz w:val="22"/>
                <w:szCs w:val="22"/>
                <w:color w:val="auto"/>
              </w:rPr>
            </w:pPr>
          </w:p>
        </w:tc>
        <w:tc>
          <w:tcPr>
            <w:tcW w:w="860" w:type="dxa"/>
            <w:vAlign w:val="bottom"/>
            <w:tcBorders>
              <w:bottom w:val="single" w:sz="8" w:color="6A2887"/>
            </w:tcBorders>
            <w:shd w:val="clear" w:color="auto" w:fill="EFE9FC"/>
          </w:tcPr>
          <w:p>
            <w:pPr>
              <w:spacing w:after="0"/>
              <w:rPr>
                <w:sz w:val="22"/>
                <w:szCs w:val="22"/>
                <w:color w:val="auto"/>
              </w:rPr>
            </w:pPr>
          </w:p>
        </w:tc>
        <w:tc>
          <w:tcPr>
            <w:tcW w:w="1080" w:type="dxa"/>
            <w:vAlign w:val="bottom"/>
            <w:tcBorders>
              <w:bottom w:val="single" w:sz="8" w:color="6A2887"/>
            </w:tcBorders>
            <w:shd w:val="clear" w:color="auto" w:fill="EFE9FC"/>
          </w:tcPr>
          <w:p>
            <w:pPr>
              <w:spacing w:after="0"/>
              <w:rPr>
                <w:sz w:val="22"/>
                <w:szCs w:val="22"/>
                <w:color w:val="auto"/>
              </w:rPr>
            </w:pPr>
          </w:p>
        </w:tc>
        <w:tc>
          <w:tcPr>
            <w:tcW w:w="860" w:type="dxa"/>
            <w:vAlign w:val="bottom"/>
            <w:tcBorders>
              <w:bottom w:val="single" w:sz="8" w:color="6A2887"/>
            </w:tcBorders>
            <w:shd w:val="clear" w:color="auto" w:fill="EFE9FC"/>
          </w:tcPr>
          <w:p>
            <w:pPr>
              <w:spacing w:after="0"/>
              <w:rPr>
                <w:sz w:val="22"/>
                <w:szCs w:val="22"/>
                <w:color w:val="auto"/>
              </w:rPr>
            </w:pPr>
          </w:p>
        </w:tc>
        <w:tc>
          <w:tcPr>
            <w:tcW w:w="1140" w:type="dxa"/>
            <w:vAlign w:val="bottom"/>
            <w:tcBorders>
              <w:bottom w:val="single" w:sz="8" w:color="6A2887"/>
            </w:tcBorders>
            <w:gridSpan w:val="2"/>
            <w:shd w:val="clear" w:color="auto" w:fill="EFE9FC"/>
          </w:tcPr>
          <w:p>
            <w:pPr>
              <w:jc w:val="right"/>
              <w:spacing w:after="0"/>
              <w:rPr>
                <w:sz w:val="20"/>
                <w:szCs w:val="20"/>
                <w:color w:val="auto"/>
              </w:rPr>
            </w:pPr>
            <w:r>
              <w:rPr>
                <w:rFonts w:ascii="Arial" w:cs="Arial" w:eastAsia="Arial" w:hAnsi="Arial"/>
                <w:sz w:val="14"/>
                <w:szCs w:val="14"/>
                <w:color w:val="auto"/>
              </w:rPr>
              <w:t>15,424</w:t>
            </w:r>
            <w:r>
              <w:rPr>
                <w:rFonts w:ascii="Arial" w:cs="Arial" w:eastAsia="Arial" w:hAnsi="Arial"/>
                <w:sz w:val="21"/>
                <w:szCs w:val="21"/>
                <w:color w:val="auto"/>
                <w:vertAlign w:val="superscript"/>
              </w:rPr>
              <w:t>(13)</w:t>
            </w:r>
          </w:p>
        </w:tc>
        <w:tc>
          <w:tcPr>
            <w:tcW w:w="90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4"/>
                <w:szCs w:val="14"/>
                <w:color w:val="auto"/>
              </w:rPr>
              <w:t>1,163,432</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Thad Huston</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3,460</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10,377</w:t>
            </w:r>
          </w:p>
        </w:tc>
        <w:tc>
          <w:tcPr>
            <w:tcW w:w="720" w:type="dxa"/>
            <w:vAlign w:val="bottom"/>
          </w:tcPr>
          <w:p>
            <w:pPr>
              <w:jc w:val="right"/>
              <w:spacing w:after="0"/>
              <w:rPr>
                <w:sz w:val="20"/>
                <w:szCs w:val="20"/>
                <w:color w:val="auto"/>
              </w:rPr>
            </w:pPr>
            <w:r>
              <w:rPr>
                <w:rFonts w:ascii="Arial" w:cs="Arial" w:eastAsia="Arial" w:hAnsi="Arial"/>
                <w:sz w:val="14"/>
                <w:szCs w:val="14"/>
                <w:color w:val="auto"/>
              </w:rPr>
              <w:t>88.38</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15,743</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97.25</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3,189</w:t>
            </w:r>
            <w:r>
              <w:rPr>
                <w:rFonts w:ascii="Arial" w:cs="Arial" w:eastAsia="Arial" w:hAnsi="Arial"/>
                <w:sz w:val="21"/>
                <w:szCs w:val="21"/>
                <w:color w:val="auto"/>
                <w:vertAlign w:val="superscript"/>
              </w:rPr>
              <w:t>(14)</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240,546</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9,567</w:t>
            </w:r>
            <w:r>
              <w:rPr>
                <w:rFonts w:ascii="Arial" w:cs="Arial" w:eastAsia="Arial" w:hAnsi="Arial"/>
                <w:sz w:val="21"/>
                <w:szCs w:val="21"/>
                <w:color w:val="auto"/>
                <w:vertAlign w:val="superscript"/>
              </w:rPr>
              <w:t>(15)</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721,639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19,813</w:t>
            </w:r>
            <w:r>
              <w:rPr>
                <w:rFonts w:ascii="Arial" w:cs="Arial" w:eastAsia="Arial" w:hAnsi="Arial"/>
                <w:sz w:val="21"/>
                <w:szCs w:val="21"/>
                <w:color w:val="auto"/>
                <w:vertAlign w:val="superscript"/>
              </w:rPr>
              <w:t>(16)</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1,494,495</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3,182</w:t>
            </w:r>
            <w:r>
              <w:rPr>
                <w:rFonts w:ascii="Arial" w:cs="Arial" w:eastAsia="Arial" w:hAnsi="Arial"/>
                <w:sz w:val="21"/>
                <w:szCs w:val="21"/>
                <w:color w:val="auto"/>
                <w:vertAlign w:val="superscript"/>
              </w:rPr>
              <w:t>(8)</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240,018</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(9)</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387,786</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4,243</w:t>
            </w:r>
            <w:r>
              <w:rPr>
                <w:rFonts w:ascii="Arial" w:cs="Arial" w:eastAsia="Arial" w:hAnsi="Arial"/>
                <w:sz w:val="21"/>
                <w:szCs w:val="21"/>
                <w:color w:val="auto"/>
                <w:vertAlign w:val="superscript"/>
              </w:rPr>
              <w:t>(10)</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320,049</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4,243</w:t>
            </w:r>
            <w:r>
              <w:rPr>
                <w:rFonts w:ascii="Arial" w:cs="Arial" w:eastAsia="Arial" w:hAnsi="Arial"/>
                <w:sz w:val="21"/>
                <w:szCs w:val="21"/>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320,049</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(12)</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387,786</w:t>
            </w:r>
          </w:p>
        </w:tc>
        <w:tc>
          <w:tcPr>
            <w:tcW w:w="0" w:type="dxa"/>
            <w:vAlign w:val="bottom"/>
          </w:tcPr>
          <w:p>
            <w:pPr>
              <w:spacing w:after="0"/>
              <w:rPr>
                <w:sz w:val="1"/>
                <w:szCs w:val="1"/>
                <w:color w:val="auto"/>
              </w:rPr>
            </w:pPr>
          </w:p>
        </w:tc>
      </w:tr>
      <w:tr>
        <w:trPr>
          <w:trHeight w:val="243"/>
        </w:trPr>
        <w:tc>
          <w:tcPr>
            <w:tcW w:w="1420" w:type="dxa"/>
            <w:vAlign w:val="bottom"/>
            <w:tcBorders>
              <w:bottom w:val="single" w:sz="8" w:color="6A2887"/>
            </w:tcBorders>
          </w:tcPr>
          <w:p>
            <w:pPr>
              <w:spacing w:after="0"/>
              <w:rPr>
                <w:sz w:val="21"/>
                <w:szCs w:val="21"/>
                <w:color w:val="auto"/>
              </w:rPr>
            </w:pPr>
          </w:p>
        </w:tc>
        <w:tc>
          <w:tcPr>
            <w:tcW w:w="1020" w:type="dxa"/>
            <w:vAlign w:val="bottom"/>
            <w:tcBorders>
              <w:bottom w:val="single" w:sz="8" w:color="6A2887"/>
            </w:tcBorders>
          </w:tcPr>
          <w:p>
            <w:pPr>
              <w:spacing w:after="0"/>
              <w:rPr>
                <w:sz w:val="21"/>
                <w:szCs w:val="21"/>
                <w:color w:val="auto"/>
              </w:rPr>
            </w:pPr>
          </w:p>
        </w:tc>
        <w:tc>
          <w:tcPr>
            <w:tcW w:w="1180" w:type="dxa"/>
            <w:vAlign w:val="bottom"/>
            <w:tcBorders>
              <w:bottom w:val="single" w:sz="8" w:color="6A2887"/>
            </w:tcBorders>
          </w:tcPr>
          <w:p>
            <w:pPr>
              <w:spacing w:after="0"/>
              <w:rPr>
                <w:sz w:val="21"/>
                <w:szCs w:val="21"/>
                <w:color w:val="auto"/>
              </w:rPr>
            </w:pPr>
          </w:p>
        </w:tc>
        <w:tc>
          <w:tcPr>
            <w:tcW w:w="720" w:type="dxa"/>
            <w:vAlign w:val="bottom"/>
            <w:tcBorders>
              <w:bottom w:val="single" w:sz="8" w:color="6A2887"/>
            </w:tcBorders>
          </w:tcPr>
          <w:p>
            <w:pPr>
              <w:spacing w:after="0"/>
              <w:rPr>
                <w:sz w:val="21"/>
                <w:szCs w:val="21"/>
                <w:color w:val="auto"/>
              </w:rPr>
            </w:pPr>
          </w:p>
        </w:tc>
        <w:tc>
          <w:tcPr>
            <w:tcW w:w="860" w:type="dxa"/>
            <w:vAlign w:val="bottom"/>
            <w:tcBorders>
              <w:bottom w:val="single" w:sz="8" w:color="6A2887"/>
            </w:tcBorders>
          </w:tcPr>
          <w:p>
            <w:pPr>
              <w:spacing w:after="0"/>
              <w:rPr>
                <w:sz w:val="21"/>
                <w:szCs w:val="21"/>
                <w:color w:val="auto"/>
              </w:rPr>
            </w:pPr>
          </w:p>
        </w:tc>
        <w:tc>
          <w:tcPr>
            <w:tcW w:w="1080" w:type="dxa"/>
            <w:vAlign w:val="bottom"/>
            <w:tcBorders>
              <w:bottom w:val="single" w:sz="8" w:color="6A2887"/>
            </w:tcBorders>
          </w:tcPr>
          <w:p>
            <w:pPr>
              <w:spacing w:after="0"/>
              <w:rPr>
                <w:sz w:val="21"/>
                <w:szCs w:val="21"/>
                <w:color w:val="auto"/>
              </w:rPr>
            </w:pPr>
          </w:p>
        </w:tc>
        <w:tc>
          <w:tcPr>
            <w:tcW w:w="860" w:type="dxa"/>
            <w:vAlign w:val="bottom"/>
            <w:tcBorders>
              <w:bottom w:val="single" w:sz="8" w:color="6A2887"/>
            </w:tcBorders>
          </w:tcPr>
          <w:p>
            <w:pPr>
              <w:spacing w:after="0"/>
              <w:rPr>
                <w:sz w:val="21"/>
                <w:szCs w:val="21"/>
                <w:color w:val="auto"/>
              </w:rPr>
            </w:pPr>
          </w:p>
        </w:tc>
        <w:tc>
          <w:tcPr>
            <w:tcW w:w="1140" w:type="dxa"/>
            <w:vAlign w:val="bottom"/>
            <w:tcBorders>
              <w:bottom w:val="single" w:sz="8" w:color="6A2887"/>
            </w:tcBorders>
            <w:gridSpan w:val="2"/>
          </w:tcPr>
          <w:p>
            <w:pPr>
              <w:jc w:val="right"/>
              <w:spacing w:after="0"/>
              <w:rPr>
                <w:sz w:val="20"/>
                <w:szCs w:val="20"/>
                <w:color w:val="auto"/>
              </w:rPr>
            </w:pPr>
            <w:r>
              <w:rPr>
                <w:rFonts w:ascii="Arial" w:cs="Arial" w:eastAsia="Arial" w:hAnsi="Arial"/>
                <w:sz w:val="14"/>
                <w:szCs w:val="14"/>
                <w:color w:val="auto"/>
              </w:rPr>
              <w:t>5,141</w:t>
            </w:r>
            <w:r>
              <w:rPr>
                <w:rFonts w:ascii="Arial" w:cs="Arial" w:eastAsia="Arial" w:hAnsi="Arial"/>
                <w:sz w:val="21"/>
                <w:szCs w:val="21"/>
                <w:color w:val="auto"/>
                <w:vertAlign w:val="superscript"/>
              </w:rPr>
              <w:t>(13)</w:t>
            </w:r>
          </w:p>
        </w:tc>
        <w:tc>
          <w:tcPr>
            <w:tcW w:w="900" w:type="dxa"/>
            <w:vAlign w:val="bottom"/>
            <w:tcBorders>
              <w:bottom w:val="single" w:sz="8" w:color="6A2887"/>
            </w:tcBorders>
          </w:tcPr>
          <w:p>
            <w:pPr>
              <w:jc w:val="right"/>
              <w:spacing w:after="0"/>
              <w:rPr>
                <w:sz w:val="20"/>
                <w:szCs w:val="20"/>
                <w:color w:val="auto"/>
              </w:rPr>
            </w:pPr>
            <w:r>
              <w:rPr>
                <w:rFonts w:ascii="Arial" w:cs="Arial" w:eastAsia="Arial" w:hAnsi="Arial"/>
                <w:sz w:val="14"/>
                <w:szCs w:val="14"/>
                <w:color w:val="auto"/>
              </w:rPr>
              <w:t>387,786</w:t>
            </w:r>
          </w:p>
        </w:tc>
        <w:tc>
          <w:tcPr>
            <w:tcW w:w="0" w:type="dxa"/>
            <w:vAlign w:val="bottom"/>
          </w:tcPr>
          <w:p>
            <w:pPr>
              <w:spacing w:after="0"/>
              <w:rPr>
                <w:sz w:val="1"/>
                <w:szCs w:val="1"/>
                <w:color w:val="auto"/>
              </w:rPr>
            </w:pPr>
          </w:p>
        </w:tc>
      </w:tr>
      <w:tr>
        <w:trPr>
          <w:trHeight w:val="211"/>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Keyna Skeffington</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7,602</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7,601</w:t>
            </w:r>
          </w:p>
        </w:tc>
        <w:tc>
          <w:tcPr>
            <w:tcW w:w="720" w:type="dxa"/>
            <w:vAlign w:val="bottom"/>
          </w:tcPr>
          <w:p>
            <w:pPr>
              <w:jc w:val="right"/>
              <w:spacing w:after="0"/>
              <w:rPr>
                <w:sz w:val="20"/>
                <w:szCs w:val="20"/>
                <w:color w:val="auto"/>
              </w:rPr>
            </w:pPr>
            <w:r>
              <w:rPr>
                <w:rFonts w:ascii="Arial" w:cs="Arial" w:eastAsia="Arial" w:hAnsi="Arial"/>
                <w:sz w:val="14"/>
                <w:szCs w:val="14"/>
                <w:color w:val="auto"/>
              </w:rPr>
              <w:t>59.97</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6/12/2027</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1,499</w:t>
            </w:r>
          </w:p>
        </w:tc>
        <w:tc>
          <w:tcPr>
            <w:tcW w:w="118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4,497</w:t>
            </w:r>
          </w:p>
        </w:tc>
        <w:tc>
          <w:tcPr>
            <w:tcW w:w="720" w:type="dxa"/>
            <w:vAlign w:val="bottom"/>
            <w:shd w:val="clear" w:color="auto" w:fill="EFE9FC"/>
          </w:tcPr>
          <w:p>
            <w:pPr>
              <w:jc w:val="right"/>
              <w:spacing w:after="0"/>
              <w:rPr>
                <w:sz w:val="20"/>
                <w:szCs w:val="20"/>
                <w:color w:val="auto"/>
              </w:rPr>
            </w:pPr>
            <w:r>
              <w:rPr>
                <w:rFonts w:ascii="Arial" w:cs="Arial" w:eastAsia="Arial" w:hAnsi="Arial"/>
                <w:sz w:val="14"/>
                <w:szCs w:val="14"/>
                <w:color w:val="auto"/>
              </w:rPr>
              <w:t>88.38</w:t>
            </w:r>
          </w:p>
        </w:tc>
        <w:tc>
          <w:tcPr>
            <w:tcW w:w="8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180" w:type="dxa"/>
            <w:vAlign w:val="bottom"/>
            <w:shd w:val="clear" w:color="auto" w:fill="EFE9FC"/>
          </w:tcPr>
          <w:p>
            <w:pPr>
              <w:spacing w:after="0"/>
              <w:rPr>
                <w:sz w:val="5"/>
                <w:szCs w:val="5"/>
                <w:color w:val="auto"/>
              </w:rPr>
            </w:pPr>
          </w:p>
        </w:tc>
        <w:tc>
          <w:tcPr>
            <w:tcW w:w="72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7,084</w:t>
            </w:r>
          </w:p>
        </w:tc>
        <w:tc>
          <w:tcPr>
            <w:tcW w:w="720" w:type="dxa"/>
            <w:vAlign w:val="bottom"/>
          </w:tcPr>
          <w:p>
            <w:pPr>
              <w:jc w:val="right"/>
              <w:spacing w:after="0"/>
              <w:rPr>
                <w:sz w:val="20"/>
                <w:szCs w:val="20"/>
                <w:color w:val="auto"/>
              </w:rPr>
            </w:pPr>
            <w:r>
              <w:rPr>
                <w:rFonts w:ascii="Arial" w:cs="Arial" w:eastAsia="Arial" w:hAnsi="Arial"/>
                <w:sz w:val="14"/>
                <w:szCs w:val="14"/>
                <w:color w:val="auto"/>
              </w:rPr>
              <w:t>97.25</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2,292</w:t>
            </w:r>
            <w:r>
              <w:rPr>
                <w:rFonts w:ascii="Arial" w:cs="Arial" w:eastAsia="Arial" w:hAnsi="Arial"/>
                <w:sz w:val="21"/>
                <w:szCs w:val="21"/>
                <w:color w:val="auto"/>
                <w:vertAlign w:val="superscript"/>
              </w:rPr>
              <w:t>(17)</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172,886</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1,378</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103,943</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line="257" w:lineRule="exact"/>
              <w:rPr>
                <w:sz w:val="20"/>
                <w:szCs w:val="20"/>
                <w:color w:val="auto"/>
              </w:rPr>
            </w:pPr>
            <w:r>
              <w:rPr>
                <w:rFonts w:ascii="Arial" w:cs="Arial" w:eastAsia="Arial" w:hAnsi="Arial"/>
                <w:sz w:val="28"/>
                <w:szCs w:val="28"/>
                <w:color w:val="auto"/>
                <w:vertAlign w:val="subscript"/>
              </w:rPr>
              <w:t>901</w:t>
            </w:r>
            <w:r>
              <w:rPr>
                <w:rFonts w:ascii="Arial" w:cs="Arial" w:eastAsia="Arial" w:hAnsi="Arial"/>
                <w:sz w:val="11"/>
                <w:szCs w:val="11"/>
                <w:color w:val="auto"/>
              </w:rPr>
              <w:t>(18)</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67,962</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(9)</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174,470</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1,838</w:t>
            </w:r>
            <w:r>
              <w:rPr>
                <w:rFonts w:ascii="Arial" w:cs="Arial" w:eastAsia="Arial" w:hAnsi="Arial"/>
                <w:sz w:val="21"/>
                <w:szCs w:val="21"/>
                <w:color w:val="auto"/>
                <w:vertAlign w:val="superscript"/>
              </w:rPr>
              <w:t>(10)</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138,640</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1,838</w:t>
            </w:r>
            <w:r>
              <w:rPr>
                <w:rFonts w:ascii="Arial" w:cs="Arial" w:eastAsia="Arial" w:hAnsi="Arial"/>
                <w:sz w:val="21"/>
                <w:szCs w:val="21"/>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4"/>
                <w:szCs w:val="14"/>
                <w:color w:val="auto"/>
              </w:rPr>
              <w:t>138,640</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shd w:val="clear" w:color="auto" w:fill="EFE9FC"/>
          </w:tcPr>
          <w:p>
            <w:pPr>
              <w:spacing w:after="0"/>
              <w:rPr>
                <w:sz w:val="23"/>
                <w:szCs w:val="23"/>
                <w:color w:val="auto"/>
              </w:rPr>
            </w:pPr>
          </w:p>
        </w:tc>
        <w:tc>
          <w:tcPr>
            <w:tcW w:w="1180" w:type="dxa"/>
            <w:vAlign w:val="bottom"/>
            <w:shd w:val="clear" w:color="auto" w:fill="EFE9FC"/>
          </w:tcPr>
          <w:p>
            <w:pPr>
              <w:spacing w:after="0"/>
              <w:rPr>
                <w:sz w:val="23"/>
                <w:szCs w:val="23"/>
                <w:color w:val="auto"/>
              </w:rPr>
            </w:pPr>
          </w:p>
        </w:tc>
        <w:tc>
          <w:tcPr>
            <w:tcW w:w="72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(12)</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174,470</w:t>
            </w:r>
          </w:p>
        </w:tc>
        <w:tc>
          <w:tcPr>
            <w:tcW w:w="0" w:type="dxa"/>
            <w:vAlign w:val="bottom"/>
          </w:tcPr>
          <w:p>
            <w:pPr>
              <w:spacing w:after="0"/>
              <w:rPr>
                <w:sz w:val="1"/>
                <w:szCs w:val="1"/>
                <w:color w:val="auto"/>
              </w:rPr>
            </w:pPr>
          </w:p>
        </w:tc>
      </w:tr>
      <w:tr>
        <w:trPr>
          <w:trHeight w:val="287"/>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2,313</w:t>
            </w:r>
            <w:r>
              <w:rPr>
                <w:rFonts w:ascii="Arial" w:cs="Arial" w:eastAsia="Arial" w:hAnsi="Arial"/>
                <w:sz w:val="21"/>
                <w:szCs w:val="21"/>
                <w:color w:val="auto"/>
                <w:vertAlign w:val="superscript"/>
              </w:rPr>
              <w:t>(13)</w:t>
            </w:r>
          </w:p>
        </w:tc>
        <w:tc>
          <w:tcPr>
            <w:tcW w:w="900" w:type="dxa"/>
            <w:vAlign w:val="bottom"/>
          </w:tcPr>
          <w:p>
            <w:pPr>
              <w:jc w:val="right"/>
              <w:spacing w:after="0"/>
              <w:rPr>
                <w:sz w:val="20"/>
                <w:szCs w:val="20"/>
                <w:color w:val="auto"/>
              </w:rPr>
            </w:pPr>
            <w:r>
              <w:rPr>
                <w:rFonts w:ascii="Arial" w:cs="Arial" w:eastAsia="Arial" w:hAnsi="Arial"/>
                <w:sz w:val="14"/>
                <w:szCs w:val="14"/>
                <w:color w:val="auto"/>
              </w:rPr>
              <w:t>174,470</w:t>
            </w:r>
          </w:p>
        </w:tc>
        <w:tc>
          <w:tcPr>
            <w:tcW w:w="0" w:type="dxa"/>
            <w:vAlign w:val="bottom"/>
          </w:tcPr>
          <w:p>
            <w:pPr>
              <w:spacing w:after="0"/>
              <w:rPr>
                <w:sz w:val="1"/>
                <w:szCs w:val="1"/>
                <w:color w:val="auto"/>
              </w:rPr>
            </w:pPr>
          </w:p>
        </w:tc>
      </w:tr>
      <w:tr>
        <w:trPr>
          <w:trHeight w:val="37"/>
        </w:trPr>
        <w:tc>
          <w:tcPr>
            <w:tcW w:w="1420" w:type="dxa"/>
            <w:vAlign w:val="bottom"/>
            <w:tcBorders>
              <w:bottom w:val="single" w:sz="8" w:color="6A2887"/>
            </w:tcBorders>
          </w:tcPr>
          <w:p>
            <w:pPr>
              <w:spacing w:after="0"/>
              <w:rPr>
                <w:sz w:val="3"/>
                <w:szCs w:val="3"/>
                <w:color w:val="auto"/>
              </w:rPr>
            </w:pPr>
          </w:p>
        </w:tc>
        <w:tc>
          <w:tcPr>
            <w:tcW w:w="1020" w:type="dxa"/>
            <w:vAlign w:val="bottom"/>
            <w:tcBorders>
              <w:bottom w:val="single" w:sz="8" w:color="6A2887"/>
            </w:tcBorders>
          </w:tcPr>
          <w:p>
            <w:pPr>
              <w:spacing w:after="0"/>
              <w:rPr>
                <w:sz w:val="3"/>
                <w:szCs w:val="3"/>
                <w:color w:val="auto"/>
              </w:rPr>
            </w:pPr>
          </w:p>
        </w:tc>
        <w:tc>
          <w:tcPr>
            <w:tcW w:w="1180" w:type="dxa"/>
            <w:vAlign w:val="bottom"/>
            <w:tcBorders>
              <w:bottom w:val="single" w:sz="8" w:color="6A2887"/>
            </w:tcBorders>
          </w:tcPr>
          <w:p>
            <w:pPr>
              <w:spacing w:after="0"/>
              <w:rPr>
                <w:sz w:val="3"/>
                <w:szCs w:val="3"/>
                <w:color w:val="auto"/>
              </w:rPr>
            </w:pPr>
          </w:p>
        </w:tc>
        <w:tc>
          <w:tcPr>
            <w:tcW w:w="720" w:type="dxa"/>
            <w:vAlign w:val="bottom"/>
            <w:tcBorders>
              <w:bottom w:val="single" w:sz="8" w:color="6A2887"/>
            </w:tcBorders>
          </w:tcPr>
          <w:p>
            <w:pPr>
              <w:spacing w:after="0"/>
              <w:rPr>
                <w:sz w:val="3"/>
                <w:szCs w:val="3"/>
                <w:color w:val="auto"/>
              </w:rPr>
            </w:pPr>
          </w:p>
        </w:tc>
        <w:tc>
          <w:tcPr>
            <w:tcW w:w="860" w:type="dxa"/>
            <w:vAlign w:val="bottom"/>
            <w:tcBorders>
              <w:bottom w:val="single" w:sz="8" w:color="6A2887"/>
            </w:tcBorders>
          </w:tcPr>
          <w:p>
            <w:pPr>
              <w:spacing w:after="0"/>
              <w:rPr>
                <w:sz w:val="3"/>
                <w:szCs w:val="3"/>
                <w:color w:val="auto"/>
              </w:rPr>
            </w:pPr>
          </w:p>
        </w:tc>
        <w:tc>
          <w:tcPr>
            <w:tcW w:w="1080" w:type="dxa"/>
            <w:vAlign w:val="bottom"/>
            <w:tcBorders>
              <w:bottom w:val="single" w:sz="8" w:color="6A2887"/>
            </w:tcBorders>
          </w:tcPr>
          <w:p>
            <w:pPr>
              <w:spacing w:after="0"/>
              <w:rPr>
                <w:sz w:val="3"/>
                <w:szCs w:val="3"/>
                <w:color w:val="auto"/>
              </w:rPr>
            </w:pPr>
          </w:p>
        </w:tc>
        <w:tc>
          <w:tcPr>
            <w:tcW w:w="860" w:type="dxa"/>
            <w:vAlign w:val="bottom"/>
            <w:tcBorders>
              <w:bottom w:val="single" w:sz="8" w:color="6A2887"/>
            </w:tcBorders>
          </w:tcPr>
          <w:p>
            <w:pPr>
              <w:spacing w:after="0"/>
              <w:rPr>
                <w:sz w:val="3"/>
                <w:szCs w:val="3"/>
                <w:color w:val="auto"/>
              </w:rPr>
            </w:pPr>
          </w:p>
        </w:tc>
        <w:tc>
          <w:tcPr>
            <w:tcW w:w="1020" w:type="dxa"/>
            <w:vAlign w:val="bottom"/>
            <w:tcBorders>
              <w:bottom w:val="single" w:sz="8" w:color="6A2887"/>
            </w:tcBorders>
          </w:tcPr>
          <w:p>
            <w:pPr>
              <w:spacing w:after="0"/>
              <w:rPr>
                <w:sz w:val="3"/>
                <w:szCs w:val="3"/>
                <w:color w:val="auto"/>
              </w:rPr>
            </w:pPr>
          </w:p>
        </w:tc>
        <w:tc>
          <w:tcPr>
            <w:tcW w:w="120" w:type="dxa"/>
            <w:vAlign w:val="bottom"/>
            <w:tcBorders>
              <w:bottom w:val="single" w:sz="8" w:color="6A2887"/>
            </w:tcBorders>
          </w:tcPr>
          <w:p>
            <w:pPr>
              <w:spacing w:after="0"/>
              <w:rPr>
                <w:sz w:val="3"/>
                <w:szCs w:val="3"/>
                <w:color w:val="auto"/>
              </w:rPr>
            </w:pPr>
          </w:p>
        </w:tc>
        <w:tc>
          <w:tcPr>
            <w:tcW w:w="900" w:type="dxa"/>
            <w:vAlign w:val="bottom"/>
            <w:tcBorders>
              <w:bottom w:val="single" w:sz="8" w:color="6A288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2"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398"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gridSpan w:val="2"/>
          </w:tcPr>
          <w:p>
            <w:pPr>
              <w:jc w:val="right"/>
              <w:ind w:right="31"/>
              <w:spacing w:after="0"/>
              <w:rPr>
                <w:sz w:val="20"/>
                <w:szCs w:val="20"/>
                <w:color w:val="auto"/>
              </w:rPr>
            </w:pPr>
            <w:r>
              <w:rPr>
                <w:rFonts w:ascii="Arial" w:cs="Arial" w:eastAsia="Arial" w:hAnsi="Arial"/>
                <w:sz w:val="13"/>
                <w:szCs w:val="13"/>
                <w:b w:val="1"/>
                <w:bCs w:val="1"/>
                <w:color w:val="6A2887"/>
              </w:rPr>
              <w:t>Option Awards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6A2887"/>
              </w:rPr>
              <w:t>Stock Awards</w:t>
            </w:r>
          </w:p>
        </w:tc>
        <w:tc>
          <w:tcPr>
            <w:tcW w:w="0" w:type="dxa"/>
            <w:vAlign w:val="bottom"/>
          </w:tcPr>
          <w:p>
            <w:pPr>
              <w:spacing w:after="0"/>
              <w:rPr>
                <w:sz w:val="1"/>
                <w:szCs w:val="1"/>
                <w:color w:val="auto"/>
              </w:rPr>
            </w:pPr>
          </w:p>
        </w:tc>
      </w:tr>
      <w:tr>
        <w:trPr>
          <w:trHeight w:val="28"/>
        </w:trPr>
        <w:tc>
          <w:tcPr>
            <w:tcW w:w="1400" w:type="dxa"/>
            <w:vAlign w:val="bottom"/>
          </w:tcPr>
          <w:p>
            <w:pPr>
              <w:spacing w:after="0"/>
              <w:rPr>
                <w:sz w:val="2"/>
                <w:szCs w:val="2"/>
                <w:color w:val="auto"/>
              </w:rPr>
            </w:pPr>
          </w:p>
        </w:tc>
        <w:tc>
          <w:tcPr>
            <w:tcW w:w="1000" w:type="dxa"/>
            <w:vAlign w:val="bottom"/>
            <w:tcBorders>
              <w:bottom w:val="single" w:sz="8" w:color="6A2887"/>
            </w:tcBorders>
          </w:tcPr>
          <w:p>
            <w:pPr>
              <w:spacing w:after="0"/>
              <w:rPr>
                <w:sz w:val="2"/>
                <w:szCs w:val="2"/>
                <w:color w:val="auto"/>
              </w:rPr>
            </w:pPr>
          </w:p>
        </w:tc>
        <w:tc>
          <w:tcPr>
            <w:tcW w:w="1160" w:type="dxa"/>
            <w:vAlign w:val="bottom"/>
            <w:tcBorders>
              <w:bottom w:val="single" w:sz="8" w:color="6A2887"/>
            </w:tcBorders>
          </w:tcPr>
          <w:p>
            <w:pPr>
              <w:spacing w:after="0"/>
              <w:rPr>
                <w:sz w:val="2"/>
                <w:szCs w:val="2"/>
                <w:color w:val="auto"/>
              </w:rPr>
            </w:pPr>
          </w:p>
        </w:tc>
        <w:tc>
          <w:tcPr>
            <w:tcW w:w="760" w:type="dxa"/>
            <w:vAlign w:val="bottom"/>
            <w:tcBorders>
              <w:bottom w:val="single" w:sz="8" w:color="6A2887"/>
            </w:tcBorders>
          </w:tcPr>
          <w:p>
            <w:pPr>
              <w:spacing w:after="0"/>
              <w:rPr>
                <w:sz w:val="2"/>
                <w:szCs w:val="2"/>
                <w:color w:val="auto"/>
              </w:rPr>
            </w:pPr>
          </w:p>
        </w:tc>
        <w:tc>
          <w:tcPr>
            <w:tcW w:w="880" w:type="dxa"/>
            <w:vAlign w:val="bottom"/>
            <w:tcBorders>
              <w:bottom w:val="single" w:sz="8" w:color="6A2887"/>
            </w:tcBorders>
          </w:tcPr>
          <w:p>
            <w:pPr>
              <w:spacing w:after="0"/>
              <w:rPr>
                <w:sz w:val="2"/>
                <w:szCs w:val="2"/>
                <w:color w:val="auto"/>
              </w:rPr>
            </w:pPr>
          </w:p>
        </w:tc>
        <w:tc>
          <w:tcPr>
            <w:tcW w:w="1080" w:type="dxa"/>
            <w:vAlign w:val="bottom"/>
            <w:tcBorders>
              <w:bottom w:val="single" w:sz="8" w:color="6A2887"/>
            </w:tcBorders>
          </w:tcPr>
          <w:p>
            <w:pPr>
              <w:spacing w:after="0"/>
              <w:rPr>
                <w:sz w:val="2"/>
                <w:szCs w:val="2"/>
                <w:color w:val="auto"/>
              </w:rPr>
            </w:pPr>
          </w:p>
        </w:tc>
        <w:tc>
          <w:tcPr>
            <w:tcW w:w="860" w:type="dxa"/>
            <w:vAlign w:val="bottom"/>
            <w:tcBorders>
              <w:bottom w:val="single" w:sz="8" w:color="6A2887"/>
            </w:tcBorders>
          </w:tcPr>
          <w:p>
            <w:pPr>
              <w:spacing w:after="0"/>
              <w:rPr>
                <w:sz w:val="2"/>
                <w:szCs w:val="2"/>
                <w:color w:val="auto"/>
              </w:rPr>
            </w:pPr>
          </w:p>
        </w:tc>
        <w:tc>
          <w:tcPr>
            <w:tcW w:w="1020" w:type="dxa"/>
            <w:vAlign w:val="bottom"/>
            <w:tcBorders>
              <w:bottom w:val="single" w:sz="8" w:color="6A2887"/>
            </w:tcBorders>
          </w:tcPr>
          <w:p>
            <w:pPr>
              <w:spacing w:after="0"/>
              <w:rPr>
                <w:sz w:val="2"/>
                <w:szCs w:val="2"/>
                <w:color w:val="auto"/>
              </w:rPr>
            </w:pPr>
          </w:p>
        </w:tc>
        <w:tc>
          <w:tcPr>
            <w:tcW w:w="120" w:type="dxa"/>
            <w:vAlign w:val="bottom"/>
            <w:tcBorders>
              <w:bottom w:val="single" w:sz="8" w:color="6A2887"/>
            </w:tcBorders>
          </w:tcPr>
          <w:p>
            <w:pPr>
              <w:spacing w:after="0"/>
              <w:rPr>
                <w:sz w:val="2"/>
                <w:szCs w:val="2"/>
                <w:color w:val="auto"/>
              </w:rPr>
            </w:pPr>
          </w:p>
        </w:tc>
        <w:tc>
          <w:tcPr>
            <w:tcW w:w="900" w:type="dxa"/>
            <w:vAlign w:val="bottom"/>
            <w:tcBorders>
              <w:bottom w:val="single" w:sz="8" w:color="6A2887"/>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Equity</w:t>
            </w:r>
          </w:p>
        </w:tc>
        <w:tc>
          <w:tcPr>
            <w:tcW w:w="12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Equity</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Incentive</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Incentive</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Plan</w:t>
            </w:r>
          </w:p>
        </w:tc>
        <w:tc>
          <w:tcPr>
            <w:tcW w:w="10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6A2887"/>
              </w:rPr>
              <w:t>Plan Awards: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Awards: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Market or</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6A2887"/>
              </w:rPr>
              <w:t>Number of</w:t>
            </w:r>
          </w:p>
        </w:tc>
        <w:tc>
          <w:tcPr>
            <w:tcW w:w="1160" w:type="dxa"/>
            <w:vAlign w:val="bottom"/>
            <w:vMerge w:val="restart"/>
          </w:tcPr>
          <w:p>
            <w:pPr>
              <w:jc w:val="right"/>
              <w:ind w:right="31"/>
              <w:spacing w:after="0"/>
              <w:rPr>
                <w:sz w:val="20"/>
                <w:szCs w:val="20"/>
                <w:color w:val="auto"/>
              </w:rPr>
            </w:pPr>
            <w:r>
              <w:rPr>
                <w:rFonts w:ascii="Arial" w:cs="Arial" w:eastAsia="Arial" w:hAnsi="Arial"/>
                <w:sz w:val="13"/>
                <w:szCs w:val="13"/>
                <w:b w:val="1"/>
                <w:bCs w:val="1"/>
                <w:color w:val="6A2887"/>
              </w:rPr>
              <w:t>Number of</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vMerge w:val="restart"/>
          </w:tcPr>
          <w:p>
            <w:pPr>
              <w:jc w:val="right"/>
              <w:ind w:right="51"/>
              <w:spacing w:after="0"/>
              <w:rPr>
                <w:sz w:val="20"/>
                <w:szCs w:val="20"/>
                <w:color w:val="auto"/>
              </w:rPr>
            </w:pPr>
            <w:r>
              <w:rPr>
                <w:rFonts w:ascii="Arial" w:cs="Arial" w:eastAsia="Arial" w:hAnsi="Arial"/>
                <w:sz w:val="13"/>
                <w:szCs w:val="13"/>
                <w:b w:val="1"/>
                <w:bCs w:val="1"/>
                <w:color w:val="6A2887"/>
              </w:rPr>
              <w:t>Number of   Market Value</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Number of</w:t>
            </w:r>
          </w:p>
        </w:tc>
        <w:tc>
          <w:tcPr>
            <w:tcW w:w="1020" w:type="dxa"/>
            <w:vAlign w:val="bottom"/>
            <w:gridSpan w:val="2"/>
          </w:tcPr>
          <w:p>
            <w:pPr>
              <w:jc w:val="right"/>
              <w:ind w:right="32"/>
              <w:spacing w:after="0"/>
              <w:rPr>
                <w:sz w:val="20"/>
                <w:szCs w:val="20"/>
                <w:color w:val="auto"/>
              </w:rPr>
            </w:pPr>
            <w:r>
              <w:rPr>
                <w:rFonts w:ascii="Arial" w:cs="Arial" w:eastAsia="Arial" w:hAnsi="Arial"/>
                <w:sz w:val="13"/>
                <w:szCs w:val="13"/>
                <w:b w:val="1"/>
                <w:bCs w:val="1"/>
                <w:color w:val="6A2887"/>
              </w:rPr>
              <w:t>Payout Value</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020" w:type="dxa"/>
            <w:vAlign w:val="bottom"/>
          </w:tcPr>
          <w:p>
            <w:pPr>
              <w:jc w:val="right"/>
              <w:ind w:right="52"/>
              <w:spacing w:after="0" w:line="138" w:lineRule="exact"/>
              <w:rPr>
                <w:sz w:val="20"/>
                <w:szCs w:val="20"/>
                <w:color w:val="auto"/>
              </w:rPr>
            </w:pPr>
            <w:r>
              <w:rPr>
                <w:rFonts w:ascii="Arial" w:cs="Arial" w:eastAsia="Arial" w:hAnsi="Arial"/>
                <w:sz w:val="13"/>
                <w:szCs w:val="13"/>
                <w:b w:val="1"/>
                <w:bCs w:val="1"/>
                <w:color w:val="6A2887"/>
              </w:rPr>
              <w:t>Unearned</w:t>
            </w:r>
          </w:p>
        </w:tc>
        <w:tc>
          <w:tcPr>
            <w:tcW w:w="120" w:type="dxa"/>
            <w:vAlign w:val="bottom"/>
          </w:tcPr>
          <w:p>
            <w:pPr>
              <w:spacing w:after="0"/>
              <w:rPr>
                <w:sz w:val="12"/>
                <w:szCs w:val="12"/>
                <w:color w:val="auto"/>
              </w:rPr>
            </w:pPr>
          </w:p>
        </w:tc>
        <w:tc>
          <w:tcPr>
            <w:tcW w:w="900" w:type="dxa"/>
            <w:vAlign w:val="bottom"/>
          </w:tcPr>
          <w:p>
            <w:pPr>
              <w:jc w:val="right"/>
              <w:ind w:right="32"/>
              <w:spacing w:after="0" w:line="138" w:lineRule="exact"/>
              <w:rPr>
                <w:sz w:val="20"/>
                <w:szCs w:val="20"/>
                <w:color w:val="auto"/>
              </w:rPr>
            </w:pPr>
            <w:r>
              <w:rPr>
                <w:rFonts w:ascii="Arial" w:cs="Arial" w:eastAsia="Arial" w:hAnsi="Arial"/>
                <w:sz w:val="13"/>
                <w:szCs w:val="13"/>
                <w:b w:val="1"/>
                <w:bCs w:val="1"/>
                <w:color w:val="6A2887"/>
              </w:rPr>
              <w:t>of Unearned</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6A2887"/>
              </w:rPr>
              <w:t>Securities</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6A2887"/>
              </w:rPr>
              <w:t>Securities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Shares or</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of Shares</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Shares,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Shares,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6A2887"/>
              </w:rPr>
              <w:t>Underlying</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6A2887"/>
              </w:rPr>
              <w:t>Underlying</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Units of</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or Units of</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Units or</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Units or</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6A2887"/>
              </w:rPr>
              <w:t>Unexercised</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6A2887"/>
              </w:rPr>
              <w:t>Unexercised</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6A2887"/>
              </w:rPr>
              <w:t>Option</w:t>
            </w: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6A2887"/>
              </w:rPr>
              <w:t>Option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Stock That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Stock That</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Other Rights</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w w:val="99"/>
              </w:rPr>
              <w:t>Other Rights</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000" w:type="dxa"/>
            <w:vAlign w:val="bottom"/>
          </w:tcPr>
          <w:p>
            <w:pPr>
              <w:jc w:val="right"/>
              <w:ind w:right="31"/>
              <w:spacing w:after="0"/>
              <w:rPr>
                <w:sz w:val="20"/>
                <w:szCs w:val="20"/>
                <w:color w:val="auto"/>
              </w:rPr>
            </w:pPr>
            <w:r>
              <w:rPr>
                <w:rFonts w:ascii="Arial" w:cs="Arial" w:eastAsia="Arial" w:hAnsi="Arial"/>
                <w:sz w:val="13"/>
                <w:szCs w:val="13"/>
                <w:b w:val="1"/>
                <w:bCs w:val="1"/>
                <w:color w:val="6A2887"/>
              </w:rPr>
              <w:t>Options (#)</w:t>
            </w:r>
          </w:p>
        </w:tc>
        <w:tc>
          <w:tcPr>
            <w:tcW w:w="1160" w:type="dxa"/>
            <w:vAlign w:val="bottom"/>
          </w:tcPr>
          <w:p>
            <w:pPr>
              <w:jc w:val="right"/>
              <w:ind w:right="31"/>
              <w:spacing w:after="0"/>
              <w:rPr>
                <w:sz w:val="20"/>
                <w:szCs w:val="20"/>
                <w:color w:val="auto"/>
              </w:rPr>
            </w:pPr>
            <w:r>
              <w:rPr>
                <w:rFonts w:ascii="Arial" w:cs="Arial" w:eastAsia="Arial" w:hAnsi="Arial"/>
                <w:sz w:val="13"/>
                <w:szCs w:val="13"/>
                <w:b w:val="1"/>
                <w:bCs w:val="1"/>
                <w:color w:val="6A2887"/>
              </w:rPr>
              <w:t>Options (#)</w:t>
            </w:r>
          </w:p>
        </w:tc>
        <w:tc>
          <w:tcPr>
            <w:tcW w:w="760" w:type="dxa"/>
            <w:vAlign w:val="bottom"/>
          </w:tcPr>
          <w:p>
            <w:pPr>
              <w:jc w:val="right"/>
              <w:ind w:right="71"/>
              <w:spacing w:after="0"/>
              <w:rPr>
                <w:sz w:val="20"/>
                <w:szCs w:val="20"/>
                <w:color w:val="auto"/>
              </w:rPr>
            </w:pPr>
            <w:r>
              <w:rPr>
                <w:rFonts w:ascii="Arial" w:cs="Arial" w:eastAsia="Arial" w:hAnsi="Arial"/>
                <w:sz w:val="13"/>
                <w:szCs w:val="13"/>
                <w:b w:val="1"/>
                <w:bCs w:val="1"/>
                <w:color w:val="6A2887"/>
              </w:rPr>
              <w:t>Exercise</w:t>
            </w: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6A2887"/>
              </w:rPr>
              <w:t>Expiration</w:t>
            </w:r>
          </w:p>
        </w:tc>
        <w:tc>
          <w:tcPr>
            <w:tcW w:w="1080" w:type="dxa"/>
            <w:vAlign w:val="bottom"/>
          </w:tcPr>
          <w:p>
            <w:pPr>
              <w:jc w:val="right"/>
              <w:ind w:right="211"/>
              <w:spacing w:after="0"/>
              <w:rPr>
                <w:sz w:val="20"/>
                <w:szCs w:val="20"/>
                <w:color w:val="auto"/>
              </w:rPr>
            </w:pPr>
            <w:r>
              <w:rPr>
                <w:rFonts w:ascii="Arial" w:cs="Arial" w:eastAsia="Arial" w:hAnsi="Arial"/>
                <w:sz w:val="13"/>
                <w:szCs w:val="13"/>
                <w:b w:val="1"/>
                <w:bCs w:val="1"/>
                <w:color w:val="6A2887"/>
              </w:rPr>
              <w:t>Have Not</w:t>
            </w:r>
          </w:p>
        </w:tc>
        <w:tc>
          <w:tcPr>
            <w:tcW w:w="860" w:type="dxa"/>
            <w:vAlign w:val="bottom"/>
          </w:tcPr>
          <w:p>
            <w:pPr>
              <w:jc w:val="right"/>
              <w:ind w:right="51"/>
              <w:spacing w:after="0"/>
              <w:rPr>
                <w:sz w:val="20"/>
                <w:szCs w:val="20"/>
                <w:color w:val="auto"/>
              </w:rPr>
            </w:pPr>
            <w:r>
              <w:rPr>
                <w:rFonts w:ascii="Arial" w:cs="Arial" w:eastAsia="Arial" w:hAnsi="Arial"/>
                <w:sz w:val="13"/>
                <w:szCs w:val="13"/>
                <w:b w:val="1"/>
                <w:bCs w:val="1"/>
                <w:color w:val="6A2887"/>
              </w:rPr>
              <w:t>Have Not</w:t>
            </w:r>
          </w:p>
        </w:tc>
        <w:tc>
          <w:tcPr>
            <w:tcW w:w="1020" w:type="dxa"/>
            <w:vAlign w:val="bottom"/>
          </w:tcPr>
          <w:p>
            <w:pPr>
              <w:jc w:val="right"/>
              <w:ind w:right="52"/>
              <w:spacing w:after="0"/>
              <w:rPr>
                <w:sz w:val="20"/>
                <w:szCs w:val="20"/>
                <w:color w:val="auto"/>
              </w:rPr>
            </w:pPr>
            <w:r>
              <w:rPr>
                <w:rFonts w:ascii="Arial" w:cs="Arial" w:eastAsia="Arial" w:hAnsi="Arial"/>
                <w:sz w:val="13"/>
                <w:szCs w:val="13"/>
                <w:b w:val="1"/>
                <w:bCs w:val="1"/>
                <w:color w:val="6A2887"/>
              </w:rPr>
              <w:t>That Have</w:t>
            </w:r>
          </w:p>
        </w:tc>
        <w:tc>
          <w:tcPr>
            <w:tcW w:w="120" w:type="dxa"/>
            <w:vAlign w:val="bottom"/>
          </w:tcPr>
          <w:p>
            <w:pPr>
              <w:spacing w:after="0"/>
              <w:rPr>
                <w:sz w:val="12"/>
                <w:szCs w:val="12"/>
                <w:color w:val="auto"/>
              </w:rPr>
            </w:pPr>
          </w:p>
        </w:tc>
        <w:tc>
          <w:tcPr>
            <w:tcW w:w="900" w:type="dxa"/>
            <w:vAlign w:val="bottom"/>
          </w:tcPr>
          <w:p>
            <w:pPr>
              <w:jc w:val="right"/>
              <w:ind w:right="32"/>
              <w:spacing w:after="0"/>
              <w:rPr>
                <w:sz w:val="20"/>
                <w:szCs w:val="20"/>
                <w:color w:val="auto"/>
              </w:rPr>
            </w:pPr>
            <w:r>
              <w:rPr>
                <w:rFonts w:ascii="Arial" w:cs="Arial" w:eastAsia="Arial" w:hAnsi="Arial"/>
                <w:sz w:val="13"/>
                <w:szCs w:val="13"/>
                <w:b w:val="1"/>
                <w:bCs w:val="1"/>
                <w:color w:val="6A2887"/>
              </w:rPr>
              <w:t>That Have</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6A2887"/>
            </w:tcBorders>
          </w:tcPr>
          <w:p>
            <w:pPr>
              <w:ind w:left="40"/>
              <w:spacing w:after="0"/>
              <w:rPr>
                <w:sz w:val="20"/>
                <w:szCs w:val="20"/>
                <w:color w:val="auto"/>
              </w:rPr>
            </w:pPr>
            <w:r>
              <w:rPr>
                <w:rFonts w:ascii="Arial" w:cs="Arial" w:eastAsia="Arial" w:hAnsi="Arial"/>
                <w:sz w:val="13"/>
                <w:szCs w:val="13"/>
                <w:b w:val="1"/>
                <w:bCs w:val="1"/>
                <w:color w:val="6A2887"/>
              </w:rPr>
              <w:t>Name</w:t>
            </w:r>
          </w:p>
        </w:tc>
        <w:tc>
          <w:tcPr>
            <w:tcW w:w="100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Exercisable</w:t>
            </w:r>
            <w:r>
              <w:rPr>
                <w:rFonts w:ascii="Arial" w:cs="Arial" w:eastAsia="Arial" w:hAnsi="Arial"/>
                <w:sz w:val="19"/>
                <w:szCs w:val="19"/>
                <w:b w:val="1"/>
                <w:bCs w:val="1"/>
                <w:color w:val="6A2887"/>
                <w:vertAlign w:val="superscript"/>
              </w:rPr>
              <w:t>(1)</w:t>
            </w:r>
          </w:p>
        </w:tc>
        <w:tc>
          <w:tcPr>
            <w:tcW w:w="116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3"/>
                <w:szCs w:val="13"/>
                <w:b w:val="1"/>
                <w:bCs w:val="1"/>
                <w:color w:val="6A2887"/>
              </w:rPr>
              <w:t>Unexercisable</w:t>
            </w:r>
            <w:r>
              <w:rPr>
                <w:rFonts w:ascii="Arial" w:cs="Arial" w:eastAsia="Arial" w:hAnsi="Arial"/>
                <w:sz w:val="19"/>
                <w:szCs w:val="19"/>
                <w:b w:val="1"/>
                <w:bCs w:val="1"/>
                <w:color w:val="6A2887"/>
                <w:vertAlign w:val="superscript"/>
              </w:rPr>
              <w:t>(2)</w:t>
            </w:r>
          </w:p>
        </w:tc>
        <w:tc>
          <w:tcPr>
            <w:tcW w:w="760" w:type="dxa"/>
            <w:vAlign w:val="bottom"/>
            <w:tcBorders>
              <w:bottom w:val="single" w:sz="8" w:color="6A2887"/>
            </w:tcBorders>
          </w:tcPr>
          <w:p>
            <w:pPr>
              <w:jc w:val="right"/>
              <w:ind w:right="31"/>
              <w:spacing w:after="0"/>
              <w:rPr>
                <w:sz w:val="20"/>
                <w:szCs w:val="20"/>
                <w:color w:val="auto"/>
              </w:rPr>
            </w:pPr>
            <w:r>
              <w:rPr>
                <w:rFonts w:ascii="Arial" w:cs="Arial" w:eastAsia="Arial" w:hAnsi="Arial"/>
                <w:sz w:val="13"/>
                <w:szCs w:val="13"/>
                <w:b w:val="1"/>
                <w:bCs w:val="1"/>
                <w:color w:val="6A2887"/>
              </w:rPr>
              <w:t>Price ($)</w:t>
            </w:r>
          </w:p>
        </w:tc>
        <w:tc>
          <w:tcPr>
            <w:tcW w:w="880" w:type="dxa"/>
            <w:vAlign w:val="bottom"/>
            <w:tcBorders>
              <w:bottom w:val="single" w:sz="8" w:color="6A2887"/>
            </w:tcBorders>
          </w:tcPr>
          <w:p>
            <w:pPr>
              <w:jc w:val="right"/>
              <w:ind w:right="31"/>
              <w:spacing w:after="0"/>
              <w:rPr>
                <w:sz w:val="20"/>
                <w:szCs w:val="20"/>
                <w:color w:val="auto"/>
              </w:rPr>
            </w:pPr>
            <w:r>
              <w:rPr>
                <w:rFonts w:ascii="Arial" w:cs="Arial" w:eastAsia="Arial" w:hAnsi="Arial"/>
                <w:sz w:val="13"/>
                <w:szCs w:val="13"/>
                <w:b w:val="1"/>
                <w:bCs w:val="1"/>
                <w:color w:val="6A2887"/>
              </w:rPr>
              <w:t>Date</w:t>
            </w:r>
          </w:p>
        </w:tc>
        <w:tc>
          <w:tcPr>
            <w:tcW w:w="1080" w:type="dxa"/>
            <w:vAlign w:val="bottom"/>
            <w:tcBorders>
              <w:bottom w:val="single" w:sz="8" w:color="6A2887"/>
            </w:tcBorders>
          </w:tcPr>
          <w:p>
            <w:pPr>
              <w:jc w:val="right"/>
              <w:ind w:right="171"/>
              <w:spacing w:after="0" w:line="216" w:lineRule="exact"/>
              <w:rPr>
                <w:sz w:val="20"/>
                <w:szCs w:val="20"/>
                <w:color w:val="auto"/>
              </w:rPr>
            </w:pPr>
            <w:r>
              <w:rPr>
                <w:rFonts w:ascii="Arial" w:cs="Arial" w:eastAsia="Arial" w:hAnsi="Arial"/>
                <w:sz w:val="13"/>
                <w:szCs w:val="13"/>
                <w:b w:val="1"/>
                <w:bCs w:val="1"/>
                <w:color w:val="6A2887"/>
              </w:rPr>
              <w:t>Vested (#)</w:t>
            </w:r>
            <w:r>
              <w:rPr>
                <w:rFonts w:ascii="Arial" w:cs="Arial" w:eastAsia="Arial" w:hAnsi="Arial"/>
                <w:sz w:val="19"/>
                <w:szCs w:val="19"/>
                <w:b w:val="1"/>
                <w:bCs w:val="1"/>
                <w:color w:val="6A2887"/>
                <w:vertAlign w:val="superscript"/>
              </w:rPr>
              <w:t>(3)</w:t>
            </w:r>
          </w:p>
        </w:tc>
        <w:tc>
          <w:tcPr>
            <w:tcW w:w="860" w:type="dxa"/>
            <w:vAlign w:val="bottom"/>
            <w:tcBorders>
              <w:bottom w:val="single" w:sz="8" w:color="6A2887"/>
            </w:tcBorders>
          </w:tcPr>
          <w:p>
            <w:pPr>
              <w:jc w:val="right"/>
              <w:ind w:right="11"/>
              <w:spacing w:after="0" w:line="216" w:lineRule="exact"/>
              <w:rPr>
                <w:sz w:val="20"/>
                <w:szCs w:val="20"/>
                <w:color w:val="auto"/>
              </w:rPr>
            </w:pPr>
            <w:r>
              <w:rPr>
                <w:rFonts w:ascii="Arial" w:cs="Arial" w:eastAsia="Arial" w:hAnsi="Arial"/>
                <w:sz w:val="13"/>
                <w:szCs w:val="13"/>
                <w:b w:val="1"/>
                <w:bCs w:val="1"/>
                <w:color w:val="6A2887"/>
                <w:w w:val="97"/>
              </w:rPr>
              <w:t>Vested ($)</w:t>
            </w:r>
            <w:r>
              <w:rPr>
                <w:rFonts w:ascii="Arial" w:cs="Arial" w:eastAsia="Arial" w:hAnsi="Arial"/>
                <w:sz w:val="19"/>
                <w:szCs w:val="19"/>
                <w:b w:val="1"/>
                <w:bCs w:val="1"/>
                <w:color w:val="6A2887"/>
                <w:w w:val="97"/>
                <w:vertAlign w:val="superscript"/>
              </w:rPr>
              <w:t>(4)</w:t>
            </w:r>
          </w:p>
        </w:tc>
        <w:tc>
          <w:tcPr>
            <w:tcW w:w="1020" w:type="dxa"/>
            <w:vAlign w:val="bottom"/>
            <w:tcBorders>
              <w:bottom w:val="single" w:sz="8" w:color="6A2887"/>
            </w:tcBorders>
          </w:tcPr>
          <w:p>
            <w:pPr>
              <w:jc w:val="right"/>
              <w:ind w:right="32"/>
              <w:spacing w:after="0"/>
              <w:rPr>
                <w:sz w:val="20"/>
                <w:szCs w:val="20"/>
                <w:color w:val="auto"/>
              </w:rPr>
            </w:pPr>
            <w:r>
              <w:rPr>
                <w:rFonts w:ascii="Arial" w:cs="Arial" w:eastAsia="Arial" w:hAnsi="Arial"/>
                <w:sz w:val="13"/>
                <w:szCs w:val="13"/>
                <w:b w:val="1"/>
                <w:bCs w:val="1"/>
                <w:color w:val="6A2887"/>
              </w:rPr>
              <w:t>Not Vested</w:t>
            </w:r>
          </w:p>
        </w:tc>
        <w:tc>
          <w:tcPr>
            <w:tcW w:w="120" w:type="dxa"/>
            <w:vAlign w:val="bottom"/>
            <w:tcBorders>
              <w:bottom w:val="single" w:sz="8" w:color="6A2887"/>
            </w:tcBorders>
          </w:tcPr>
          <w:p>
            <w:pPr>
              <w:spacing w:after="0"/>
              <w:rPr>
                <w:sz w:val="18"/>
                <w:szCs w:val="18"/>
                <w:color w:val="auto"/>
              </w:rPr>
            </w:pPr>
          </w:p>
        </w:tc>
        <w:tc>
          <w:tcPr>
            <w:tcW w:w="900" w:type="dxa"/>
            <w:vAlign w:val="bottom"/>
            <w:tcBorders>
              <w:bottom w:val="single" w:sz="8" w:color="6A2887"/>
            </w:tcBorders>
          </w:tcPr>
          <w:p>
            <w:pPr>
              <w:jc w:val="right"/>
              <w:spacing w:after="0"/>
              <w:rPr>
                <w:sz w:val="20"/>
                <w:szCs w:val="20"/>
                <w:color w:val="auto"/>
              </w:rPr>
            </w:pPr>
            <w:r>
              <w:rPr>
                <w:rFonts w:ascii="Arial" w:cs="Arial" w:eastAsia="Arial" w:hAnsi="Arial"/>
                <w:sz w:val="13"/>
                <w:szCs w:val="13"/>
                <w:b w:val="1"/>
                <w:bCs w:val="1"/>
                <w:color w:val="6A2887"/>
              </w:rPr>
              <w:t>Not Vested</w:t>
            </w:r>
          </w:p>
        </w:tc>
        <w:tc>
          <w:tcPr>
            <w:tcW w:w="0" w:type="dxa"/>
            <w:vAlign w:val="bottom"/>
          </w:tcPr>
          <w:p>
            <w:pPr>
              <w:spacing w:after="0"/>
              <w:rPr>
                <w:sz w:val="1"/>
                <w:szCs w:val="1"/>
                <w:color w:val="auto"/>
              </w:rPr>
            </w:pPr>
          </w:p>
        </w:tc>
      </w:tr>
      <w:tr>
        <w:trPr>
          <w:trHeight w:val="211"/>
        </w:trPr>
        <w:tc>
          <w:tcPr>
            <w:tcW w:w="1400" w:type="dxa"/>
            <w:vAlign w:val="bottom"/>
          </w:tcPr>
          <w:p>
            <w:pPr>
              <w:ind w:left="40"/>
              <w:spacing w:after="0"/>
              <w:rPr>
                <w:sz w:val="20"/>
                <w:szCs w:val="20"/>
                <w:color w:val="auto"/>
              </w:rPr>
            </w:pPr>
            <w:r>
              <w:rPr>
                <w:rFonts w:ascii="Arial" w:cs="Arial" w:eastAsia="Arial" w:hAnsi="Arial"/>
                <w:sz w:val="14"/>
                <w:szCs w:val="14"/>
                <w:color w:val="auto"/>
              </w:rPr>
              <w:t>Edward Andrle</w:t>
            </w:r>
          </w:p>
        </w:tc>
        <w:tc>
          <w:tcPr>
            <w:tcW w:w="1000" w:type="dxa"/>
            <w:vAlign w:val="bottom"/>
          </w:tcPr>
          <w:p>
            <w:pPr>
              <w:jc w:val="right"/>
              <w:spacing w:after="0"/>
              <w:rPr>
                <w:sz w:val="20"/>
                <w:szCs w:val="20"/>
                <w:color w:val="auto"/>
              </w:rPr>
            </w:pPr>
            <w:r>
              <w:rPr>
                <w:rFonts w:ascii="Arial" w:cs="Arial" w:eastAsia="Arial" w:hAnsi="Arial"/>
                <w:sz w:val="14"/>
                <w:szCs w:val="14"/>
                <w:color w:val="auto"/>
              </w:rPr>
              <w:t>29,717</w:t>
            </w:r>
          </w:p>
        </w:tc>
        <w:tc>
          <w:tcPr>
            <w:tcW w:w="1160" w:type="dxa"/>
            <w:vAlign w:val="bottom"/>
          </w:tcPr>
          <w:p>
            <w:pPr>
              <w:jc w:val="right"/>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69.39</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10/19/2020</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1,724</w:t>
            </w:r>
          </w:p>
        </w:tc>
        <w:tc>
          <w:tcPr>
            <w:tcW w:w="1160" w:type="dxa"/>
            <w:vAlign w:val="bottom"/>
            <w:shd w:val="clear" w:color="auto" w:fill="EFE9FC"/>
          </w:tcPr>
          <w:p>
            <w:pPr>
              <w:jc w:val="right"/>
              <w:spacing w:after="0"/>
              <w:rPr>
                <w:sz w:val="20"/>
                <w:szCs w:val="20"/>
                <w:color w:val="auto"/>
              </w:rPr>
            </w:pPr>
            <w:r>
              <w:rPr>
                <w:rFonts w:ascii="Arial" w:cs="Arial" w:eastAsia="Arial" w:hAnsi="Arial"/>
                <w:sz w:val="14"/>
                <w:szCs w:val="14"/>
                <w:color w:val="auto"/>
              </w:rPr>
              <w:t>5,169</w:t>
            </w:r>
          </w:p>
        </w:tc>
        <w:tc>
          <w:tcPr>
            <w:tcW w:w="7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88.38</w:t>
            </w:r>
          </w:p>
        </w:tc>
        <w:tc>
          <w:tcPr>
            <w:tcW w:w="8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000" w:type="dxa"/>
            <w:vAlign w:val="bottom"/>
            <w:shd w:val="clear" w:color="auto" w:fill="EFE9FC"/>
          </w:tcPr>
          <w:p>
            <w:pPr>
              <w:spacing w:after="0"/>
              <w:rPr>
                <w:sz w:val="5"/>
                <w:szCs w:val="5"/>
                <w:color w:val="auto"/>
              </w:rPr>
            </w:pPr>
          </w:p>
        </w:tc>
        <w:tc>
          <w:tcPr>
            <w:tcW w:w="1160" w:type="dxa"/>
            <w:vAlign w:val="bottom"/>
            <w:shd w:val="clear" w:color="auto" w:fill="EFE9FC"/>
          </w:tcPr>
          <w:p>
            <w:pPr>
              <w:spacing w:after="0"/>
              <w:rPr>
                <w:sz w:val="5"/>
                <w:szCs w:val="5"/>
                <w:color w:val="auto"/>
              </w:rPr>
            </w:pPr>
          </w:p>
        </w:tc>
        <w:tc>
          <w:tcPr>
            <w:tcW w:w="760" w:type="dxa"/>
            <w:vAlign w:val="bottom"/>
            <w:shd w:val="clear" w:color="auto" w:fill="EFE9FC"/>
          </w:tcPr>
          <w:p>
            <w:pPr>
              <w:spacing w:after="0"/>
              <w:rPr>
                <w:sz w:val="5"/>
                <w:szCs w:val="5"/>
                <w:color w:val="auto"/>
              </w:rPr>
            </w:pPr>
          </w:p>
        </w:tc>
        <w:tc>
          <w:tcPr>
            <w:tcW w:w="88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5,903</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97.25</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10,416</w:t>
            </w:r>
            <w:r>
              <w:rPr>
                <w:rFonts w:ascii="Arial" w:cs="Arial" w:eastAsia="Arial" w:hAnsi="Arial"/>
                <w:sz w:val="21"/>
                <w:szCs w:val="21"/>
                <w:color w:val="auto"/>
                <w:vertAlign w:val="superscript"/>
              </w:rPr>
              <w:t>(19)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785,679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1,375</w:t>
            </w:r>
            <w:r>
              <w:rPr>
                <w:rFonts w:ascii="Arial" w:cs="Arial" w:eastAsia="Arial" w:hAnsi="Arial"/>
                <w:sz w:val="21"/>
                <w:szCs w:val="21"/>
                <w:color w:val="auto"/>
                <w:vertAlign w:val="superscript"/>
              </w:rPr>
              <w:t>(7)</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103,716</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4,127</w:t>
            </w:r>
            <w:r>
              <w:rPr>
                <w:rFonts w:ascii="Arial" w:cs="Arial" w:eastAsia="Arial" w:hAnsi="Arial"/>
                <w:sz w:val="21"/>
                <w:szCs w:val="21"/>
                <w:color w:val="auto"/>
                <w:vertAlign w:val="superscript"/>
              </w:rPr>
              <w:t>(6)</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311,300</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1,590</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119,934</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145,429</w:t>
            </w:r>
          </w:p>
        </w:tc>
        <w:tc>
          <w:tcPr>
            <w:tcW w:w="1020" w:type="dxa"/>
            <w:vAlign w:val="bottom"/>
            <w:shd w:val="clear" w:color="auto" w:fill="EFE9FC"/>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(10)</w:t>
            </w:r>
          </w:p>
        </w:tc>
        <w:tc>
          <w:tcPr>
            <w:tcW w:w="900" w:type="dxa"/>
            <w:vAlign w:val="bottom"/>
          </w:tcPr>
          <w:p>
            <w:pPr>
              <w:jc w:val="right"/>
              <w:spacing w:after="0"/>
              <w:rPr>
                <w:sz w:val="20"/>
                <w:szCs w:val="20"/>
                <w:color w:val="auto"/>
              </w:rPr>
            </w:pPr>
            <w:r>
              <w:rPr>
                <w:rFonts w:ascii="Arial" w:cs="Arial" w:eastAsia="Arial" w:hAnsi="Arial"/>
                <w:sz w:val="14"/>
                <w:szCs w:val="14"/>
                <w:color w:val="auto"/>
              </w:rPr>
              <w:t>159,987</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spacing w:after="0"/>
              <w:rPr>
                <w:sz w:val="23"/>
                <w:szCs w:val="23"/>
                <w:color w:val="auto"/>
              </w:rPr>
            </w:pPr>
          </w:p>
        </w:tc>
        <w:tc>
          <w:tcPr>
            <w:tcW w:w="860" w:type="dxa"/>
            <w:vAlign w:val="bottom"/>
            <w:shd w:val="clear" w:color="auto" w:fill="EFE9FC"/>
          </w:tcPr>
          <w:p>
            <w:pPr>
              <w:spacing w:after="0"/>
              <w:rPr>
                <w:sz w:val="23"/>
                <w:szCs w:val="23"/>
                <w:color w:val="auto"/>
              </w:rPr>
            </w:pPr>
          </w:p>
        </w:tc>
        <w:tc>
          <w:tcPr>
            <w:tcW w:w="1140" w:type="dxa"/>
            <w:vAlign w:val="bottom"/>
            <w:gridSpan w:val="2"/>
            <w:shd w:val="clear" w:color="auto" w:fill="EFE9FC"/>
          </w:tcPr>
          <w:p>
            <w:pPr>
              <w:jc w:val="right"/>
              <w:spacing w:after="0"/>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(11)</w:t>
            </w:r>
          </w:p>
        </w:tc>
        <w:tc>
          <w:tcPr>
            <w:tcW w:w="9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159,987</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4"/>
                <w:szCs w:val="14"/>
                <w:color w:val="auto"/>
              </w:rPr>
              <w:t>145,429</w:t>
            </w:r>
          </w:p>
        </w:tc>
        <w:tc>
          <w:tcPr>
            <w:tcW w:w="0" w:type="dxa"/>
            <w:vAlign w:val="bottom"/>
          </w:tcPr>
          <w:p>
            <w:pPr>
              <w:spacing w:after="0"/>
              <w:rPr>
                <w:sz w:val="1"/>
                <w:szCs w:val="1"/>
                <w:color w:val="auto"/>
              </w:rPr>
            </w:pPr>
          </w:p>
        </w:tc>
      </w:tr>
      <w:tr>
        <w:trPr>
          <w:trHeight w:val="257"/>
        </w:trPr>
        <w:tc>
          <w:tcPr>
            <w:tcW w:w="1400" w:type="dxa"/>
            <w:vAlign w:val="bottom"/>
            <w:tcBorders>
              <w:bottom w:val="single" w:sz="8" w:color="6A2887"/>
            </w:tcBorders>
          </w:tcPr>
          <w:p>
            <w:pPr>
              <w:spacing w:after="0"/>
              <w:rPr>
                <w:sz w:val="22"/>
                <w:szCs w:val="22"/>
                <w:color w:val="auto"/>
              </w:rPr>
            </w:pPr>
          </w:p>
        </w:tc>
        <w:tc>
          <w:tcPr>
            <w:tcW w:w="1000" w:type="dxa"/>
            <w:vAlign w:val="bottom"/>
            <w:tcBorders>
              <w:bottom w:val="single" w:sz="8" w:color="6A2887"/>
            </w:tcBorders>
            <w:shd w:val="clear" w:color="auto" w:fill="EFE9FC"/>
          </w:tcPr>
          <w:p>
            <w:pPr>
              <w:spacing w:after="0"/>
              <w:rPr>
                <w:sz w:val="22"/>
                <w:szCs w:val="22"/>
                <w:color w:val="auto"/>
              </w:rPr>
            </w:pPr>
          </w:p>
        </w:tc>
        <w:tc>
          <w:tcPr>
            <w:tcW w:w="1160" w:type="dxa"/>
            <w:vAlign w:val="bottom"/>
            <w:tcBorders>
              <w:bottom w:val="single" w:sz="8" w:color="6A2887"/>
            </w:tcBorders>
            <w:shd w:val="clear" w:color="auto" w:fill="EFE9FC"/>
          </w:tcPr>
          <w:p>
            <w:pPr>
              <w:spacing w:after="0"/>
              <w:rPr>
                <w:sz w:val="22"/>
                <w:szCs w:val="22"/>
                <w:color w:val="auto"/>
              </w:rPr>
            </w:pPr>
          </w:p>
        </w:tc>
        <w:tc>
          <w:tcPr>
            <w:tcW w:w="760" w:type="dxa"/>
            <w:vAlign w:val="bottom"/>
            <w:tcBorders>
              <w:bottom w:val="single" w:sz="8" w:color="6A2887"/>
            </w:tcBorders>
            <w:shd w:val="clear" w:color="auto" w:fill="EFE9FC"/>
          </w:tcPr>
          <w:p>
            <w:pPr>
              <w:spacing w:after="0"/>
              <w:rPr>
                <w:sz w:val="22"/>
                <w:szCs w:val="22"/>
                <w:color w:val="auto"/>
              </w:rPr>
            </w:pPr>
          </w:p>
        </w:tc>
        <w:tc>
          <w:tcPr>
            <w:tcW w:w="880" w:type="dxa"/>
            <w:vAlign w:val="bottom"/>
            <w:tcBorders>
              <w:bottom w:val="single" w:sz="8" w:color="6A2887"/>
            </w:tcBorders>
            <w:shd w:val="clear" w:color="auto" w:fill="EFE9FC"/>
          </w:tcPr>
          <w:p>
            <w:pPr>
              <w:spacing w:after="0"/>
              <w:rPr>
                <w:sz w:val="22"/>
                <w:szCs w:val="22"/>
                <w:color w:val="auto"/>
              </w:rPr>
            </w:pPr>
          </w:p>
        </w:tc>
        <w:tc>
          <w:tcPr>
            <w:tcW w:w="1080" w:type="dxa"/>
            <w:vAlign w:val="bottom"/>
            <w:tcBorders>
              <w:bottom w:val="single" w:sz="8" w:color="6A2887"/>
            </w:tcBorders>
            <w:shd w:val="clear" w:color="auto" w:fill="EFE9FC"/>
          </w:tcPr>
          <w:p>
            <w:pPr>
              <w:spacing w:after="0"/>
              <w:rPr>
                <w:sz w:val="22"/>
                <w:szCs w:val="22"/>
                <w:color w:val="auto"/>
              </w:rPr>
            </w:pPr>
          </w:p>
        </w:tc>
        <w:tc>
          <w:tcPr>
            <w:tcW w:w="860" w:type="dxa"/>
            <w:vAlign w:val="bottom"/>
            <w:tcBorders>
              <w:bottom w:val="single" w:sz="8" w:color="6A2887"/>
            </w:tcBorders>
            <w:shd w:val="clear" w:color="auto" w:fill="EFE9FC"/>
          </w:tcPr>
          <w:p>
            <w:pPr>
              <w:spacing w:after="0"/>
              <w:rPr>
                <w:sz w:val="22"/>
                <w:szCs w:val="22"/>
                <w:color w:val="auto"/>
              </w:rPr>
            </w:pPr>
          </w:p>
        </w:tc>
        <w:tc>
          <w:tcPr>
            <w:tcW w:w="1140" w:type="dxa"/>
            <w:vAlign w:val="bottom"/>
            <w:tcBorders>
              <w:bottom w:val="single" w:sz="8" w:color="6A2887"/>
            </w:tcBorders>
            <w:gridSpan w:val="2"/>
            <w:shd w:val="clear" w:color="auto" w:fill="EFE9FC"/>
          </w:tcPr>
          <w:p>
            <w:pPr>
              <w:jc w:val="right"/>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(13)</w:t>
            </w:r>
          </w:p>
        </w:tc>
        <w:tc>
          <w:tcPr>
            <w:tcW w:w="90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4"/>
                <w:szCs w:val="14"/>
                <w:color w:val="auto"/>
              </w:rPr>
              <w:t>145,429</w:t>
            </w:r>
          </w:p>
        </w:tc>
        <w:tc>
          <w:tcPr>
            <w:tcW w:w="0" w:type="dxa"/>
            <w:vAlign w:val="bottom"/>
          </w:tcPr>
          <w:p>
            <w:pPr>
              <w:spacing w:after="0"/>
              <w:rPr>
                <w:sz w:val="1"/>
                <w:szCs w:val="1"/>
                <w:color w:val="auto"/>
              </w:rPr>
            </w:pPr>
          </w:p>
        </w:tc>
      </w:tr>
      <w:tr>
        <w:trPr>
          <w:trHeight w:val="211"/>
        </w:trPr>
        <w:tc>
          <w:tcPr>
            <w:tcW w:w="1400" w:type="dxa"/>
            <w:vAlign w:val="bottom"/>
          </w:tcPr>
          <w:p>
            <w:pPr>
              <w:ind w:left="40"/>
              <w:spacing w:after="0"/>
              <w:rPr>
                <w:sz w:val="20"/>
                <w:szCs w:val="20"/>
                <w:color w:val="auto"/>
              </w:rPr>
            </w:pPr>
            <w:r>
              <w:rPr>
                <w:rFonts w:ascii="Arial" w:cs="Arial" w:eastAsia="Arial" w:hAnsi="Arial"/>
                <w:sz w:val="14"/>
                <w:szCs w:val="14"/>
                <w:color w:val="auto"/>
              </w:rPr>
              <w:t>Alistair Simpson</w:t>
            </w:r>
          </w:p>
        </w:tc>
        <w:tc>
          <w:tcPr>
            <w:tcW w:w="1000" w:type="dxa"/>
            <w:vAlign w:val="bottom"/>
          </w:tcPr>
          <w:p>
            <w:pPr>
              <w:jc w:val="right"/>
              <w:spacing w:after="0"/>
              <w:rPr>
                <w:sz w:val="20"/>
                <w:szCs w:val="20"/>
                <w:color w:val="auto"/>
              </w:rPr>
            </w:pPr>
            <w:r>
              <w:rPr>
                <w:rFonts w:ascii="Arial" w:cs="Arial" w:eastAsia="Arial" w:hAnsi="Arial"/>
                <w:sz w:val="14"/>
                <w:szCs w:val="14"/>
                <w:color w:val="auto"/>
              </w:rPr>
              <w:t>1,724</w:t>
            </w:r>
          </w:p>
        </w:tc>
        <w:tc>
          <w:tcPr>
            <w:tcW w:w="1160" w:type="dxa"/>
            <w:vAlign w:val="bottom"/>
          </w:tcPr>
          <w:p>
            <w:pPr>
              <w:jc w:val="right"/>
              <w:spacing w:after="0"/>
              <w:rPr>
                <w:sz w:val="20"/>
                <w:szCs w:val="20"/>
                <w:color w:val="auto"/>
              </w:rPr>
            </w:pPr>
            <w:r>
              <w:rPr>
                <w:rFonts w:ascii="Arial" w:cs="Arial" w:eastAsia="Arial" w:hAnsi="Arial"/>
                <w:sz w:val="14"/>
                <w:szCs w:val="14"/>
                <w:color w:val="auto"/>
              </w:rPr>
              <w:t>5,169</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88.38</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3/15/2028</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1000" w:type="dxa"/>
            <w:vAlign w:val="bottom"/>
            <w:shd w:val="clear" w:color="auto" w:fill="EFE9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EFE9FC"/>
          </w:tcPr>
          <w:p>
            <w:pPr>
              <w:jc w:val="right"/>
              <w:spacing w:after="0"/>
              <w:rPr>
                <w:sz w:val="20"/>
                <w:szCs w:val="20"/>
                <w:color w:val="auto"/>
              </w:rPr>
            </w:pPr>
            <w:r>
              <w:rPr>
                <w:rFonts w:ascii="Arial" w:cs="Arial" w:eastAsia="Arial" w:hAnsi="Arial"/>
                <w:sz w:val="14"/>
                <w:szCs w:val="14"/>
                <w:color w:val="auto"/>
              </w:rPr>
              <w:t>5,903</w:t>
            </w:r>
          </w:p>
        </w:tc>
        <w:tc>
          <w:tcPr>
            <w:tcW w:w="76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97.25</w:t>
            </w:r>
          </w:p>
        </w:tc>
        <w:tc>
          <w:tcPr>
            <w:tcW w:w="8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3/30/2029</w:t>
            </w:r>
          </w:p>
        </w:tc>
        <w:tc>
          <w:tcPr>
            <w:tcW w:w="1080" w:type="dxa"/>
            <w:vAlign w:val="bottom"/>
            <w:shd w:val="clear" w:color="auto" w:fill="EFE9FC"/>
          </w:tcPr>
          <w:p>
            <w:pPr>
              <w:spacing w:after="0"/>
              <w:rPr>
                <w:sz w:val="17"/>
                <w:szCs w:val="17"/>
                <w:color w:val="auto"/>
              </w:rPr>
            </w:pPr>
          </w:p>
        </w:tc>
        <w:tc>
          <w:tcPr>
            <w:tcW w:w="860" w:type="dxa"/>
            <w:vAlign w:val="bottom"/>
            <w:shd w:val="clear" w:color="auto" w:fill="EFE9FC"/>
          </w:tcPr>
          <w:p>
            <w:pPr>
              <w:spacing w:after="0"/>
              <w:rPr>
                <w:sz w:val="17"/>
                <w:szCs w:val="17"/>
                <w:color w:val="auto"/>
              </w:rPr>
            </w:pPr>
          </w:p>
        </w:tc>
        <w:tc>
          <w:tcPr>
            <w:tcW w:w="1020" w:type="dxa"/>
            <w:vAlign w:val="bottom"/>
            <w:shd w:val="clear" w:color="auto" w:fill="EFE9FC"/>
          </w:tcPr>
          <w:p>
            <w:pPr>
              <w:spacing w:after="0"/>
              <w:rPr>
                <w:sz w:val="17"/>
                <w:szCs w:val="17"/>
                <w:color w:val="auto"/>
              </w:rPr>
            </w:pPr>
          </w:p>
        </w:tc>
        <w:tc>
          <w:tcPr>
            <w:tcW w:w="120" w:type="dxa"/>
            <w:vAlign w:val="bottom"/>
            <w:shd w:val="clear" w:color="auto" w:fill="EFE9FC"/>
          </w:tcPr>
          <w:p>
            <w:pPr>
              <w:spacing w:after="0"/>
              <w:rPr>
                <w:sz w:val="17"/>
                <w:szCs w:val="17"/>
                <w:color w:val="auto"/>
              </w:rPr>
            </w:pPr>
          </w:p>
        </w:tc>
        <w:tc>
          <w:tcPr>
            <w:tcW w:w="900" w:type="dxa"/>
            <w:vAlign w:val="bottom"/>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400" w:type="dxa"/>
            <w:vAlign w:val="bottom"/>
          </w:tcPr>
          <w:p>
            <w:pPr>
              <w:spacing w:after="0"/>
              <w:rPr>
                <w:sz w:val="5"/>
                <w:szCs w:val="5"/>
                <w:color w:val="auto"/>
              </w:rPr>
            </w:pPr>
          </w:p>
        </w:tc>
        <w:tc>
          <w:tcPr>
            <w:tcW w:w="1000" w:type="dxa"/>
            <w:vAlign w:val="bottom"/>
            <w:shd w:val="clear" w:color="auto" w:fill="EFE9FC"/>
          </w:tcPr>
          <w:p>
            <w:pPr>
              <w:spacing w:after="0"/>
              <w:rPr>
                <w:sz w:val="5"/>
                <w:szCs w:val="5"/>
                <w:color w:val="auto"/>
              </w:rPr>
            </w:pPr>
          </w:p>
        </w:tc>
        <w:tc>
          <w:tcPr>
            <w:tcW w:w="1160" w:type="dxa"/>
            <w:vAlign w:val="bottom"/>
            <w:shd w:val="clear" w:color="auto" w:fill="EFE9FC"/>
          </w:tcPr>
          <w:p>
            <w:pPr>
              <w:spacing w:after="0"/>
              <w:rPr>
                <w:sz w:val="5"/>
                <w:szCs w:val="5"/>
                <w:color w:val="auto"/>
              </w:rPr>
            </w:pPr>
          </w:p>
        </w:tc>
        <w:tc>
          <w:tcPr>
            <w:tcW w:w="760" w:type="dxa"/>
            <w:vAlign w:val="bottom"/>
            <w:shd w:val="clear" w:color="auto" w:fill="EFE9FC"/>
          </w:tcPr>
          <w:p>
            <w:pPr>
              <w:spacing w:after="0"/>
              <w:rPr>
                <w:sz w:val="5"/>
                <w:szCs w:val="5"/>
                <w:color w:val="auto"/>
              </w:rPr>
            </w:pPr>
          </w:p>
        </w:tc>
        <w:tc>
          <w:tcPr>
            <w:tcW w:w="880" w:type="dxa"/>
            <w:vAlign w:val="bottom"/>
            <w:shd w:val="clear" w:color="auto" w:fill="EFE9FC"/>
          </w:tcPr>
          <w:p>
            <w:pPr>
              <w:spacing w:after="0"/>
              <w:rPr>
                <w:sz w:val="5"/>
                <w:szCs w:val="5"/>
                <w:color w:val="auto"/>
              </w:rPr>
            </w:pPr>
          </w:p>
        </w:tc>
        <w:tc>
          <w:tcPr>
            <w:tcW w:w="1080" w:type="dxa"/>
            <w:vAlign w:val="bottom"/>
            <w:shd w:val="clear" w:color="auto" w:fill="EFE9FC"/>
          </w:tcPr>
          <w:p>
            <w:pPr>
              <w:spacing w:after="0"/>
              <w:rPr>
                <w:sz w:val="5"/>
                <w:szCs w:val="5"/>
                <w:color w:val="auto"/>
              </w:rPr>
            </w:pPr>
          </w:p>
        </w:tc>
        <w:tc>
          <w:tcPr>
            <w:tcW w:w="860" w:type="dxa"/>
            <w:vAlign w:val="bottom"/>
            <w:shd w:val="clear" w:color="auto" w:fill="EFE9FC"/>
          </w:tcPr>
          <w:p>
            <w:pPr>
              <w:spacing w:after="0"/>
              <w:rPr>
                <w:sz w:val="5"/>
                <w:szCs w:val="5"/>
                <w:color w:val="auto"/>
              </w:rPr>
            </w:pPr>
          </w:p>
        </w:tc>
        <w:tc>
          <w:tcPr>
            <w:tcW w:w="1020" w:type="dxa"/>
            <w:vAlign w:val="bottom"/>
            <w:shd w:val="clear" w:color="auto" w:fill="EFE9FC"/>
          </w:tcPr>
          <w:p>
            <w:pPr>
              <w:spacing w:after="0"/>
              <w:rPr>
                <w:sz w:val="5"/>
                <w:szCs w:val="5"/>
                <w:color w:val="auto"/>
              </w:rPr>
            </w:pPr>
          </w:p>
        </w:tc>
        <w:tc>
          <w:tcPr>
            <w:tcW w:w="120" w:type="dxa"/>
            <w:vAlign w:val="bottom"/>
            <w:shd w:val="clear" w:color="auto" w:fill="EFE9FC"/>
          </w:tcPr>
          <w:p>
            <w:pPr>
              <w:spacing w:after="0"/>
              <w:rPr>
                <w:sz w:val="5"/>
                <w:szCs w:val="5"/>
                <w:color w:val="auto"/>
              </w:rPr>
            </w:pPr>
          </w:p>
        </w:tc>
        <w:tc>
          <w:tcPr>
            <w:tcW w:w="900" w:type="dxa"/>
            <w:vAlign w:val="bottom"/>
            <w:shd w:val="clear" w:color="auto" w:fill="EFE9FC"/>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1,208</w:t>
            </w:r>
            <w:r>
              <w:rPr>
                <w:rFonts w:ascii="Arial" w:cs="Arial" w:eastAsia="Arial" w:hAnsi="Arial"/>
                <w:sz w:val="21"/>
                <w:szCs w:val="21"/>
                <w:color w:val="auto"/>
                <w:vertAlign w:val="superscript"/>
              </w:rPr>
              <w:t>(7)</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91,119</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3,624</w:t>
            </w:r>
            <w:r>
              <w:rPr>
                <w:rFonts w:ascii="Arial" w:cs="Arial" w:eastAsia="Arial" w:hAnsi="Arial"/>
                <w:sz w:val="21"/>
                <w:szCs w:val="21"/>
                <w:color w:val="auto"/>
                <w:vertAlign w:val="superscript"/>
              </w:rPr>
              <w:t>(6)</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273,358</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1,590</w:t>
            </w:r>
            <w:r>
              <w:rPr>
                <w:rFonts w:ascii="Arial" w:cs="Arial" w:eastAsia="Arial" w:hAnsi="Arial"/>
                <w:sz w:val="21"/>
                <w:szCs w:val="21"/>
                <w:color w:val="auto"/>
                <w:vertAlign w:val="superscript"/>
              </w:rPr>
              <w:t>(8)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119,934</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000" w:type="dxa"/>
            <w:vAlign w:val="bottom"/>
            <w:shd w:val="clear" w:color="auto" w:fill="EFE9FC"/>
          </w:tcPr>
          <w:p>
            <w:pPr>
              <w:spacing w:after="0"/>
              <w:rPr>
                <w:sz w:val="23"/>
                <w:szCs w:val="23"/>
                <w:color w:val="auto"/>
              </w:rPr>
            </w:pPr>
          </w:p>
        </w:tc>
        <w:tc>
          <w:tcPr>
            <w:tcW w:w="1160" w:type="dxa"/>
            <w:vAlign w:val="bottom"/>
            <w:shd w:val="clear" w:color="auto" w:fill="EFE9FC"/>
          </w:tcPr>
          <w:p>
            <w:pPr>
              <w:spacing w:after="0"/>
              <w:rPr>
                <w:sz w:val="23"/>
                <w:szCs w:val="23"/>
                <w:color w:val="auto"/>
              </w:rPr>
            </w:pPr>
          </w:p>
        </w:tc>
        <w:tc>
          <w:tcPr>
            <w:tcW w:w="760" w:type="dxa"/>
            <w:vAlign w:val="bottom"/>
            <w:shd w:val="clear" w:color="auto" w:fill="EFE9FC"/>
          </w:tcPr>
          <w:p>
            <w:pPr>
              <w:spacing w:after="0"/>
              <w:rPr>
                <w:sz w:val="23"/>
                <w:szCs w:val="23"/>
                <w:color w:val="auto"/>
              </w:rPr>
            </w:pPr>
          </w:p>
        </w:tc>
        <w:tc>
          <w:tcPr>
            <w:tcW w:w="880" w:type="dxa"/>
            <w:vAlign w:val="bottom"/>
            <w:shd w:val="clear" w:color="auto" w:fill="EFE9FC"/>
          </w:tcPr>
          <w:p>
            <w:pPr>
              <w:spacing w:after="0"/>
              <w:rPr>
                <w:sz w:val="23"/>
                <w:szCs w:val="23"/>
                <w:color w:val="auto"/>
              </w:rPr>
            </w:pPr>
          </w:p>
        </w:tc>
        <w:tc>
          <w:tcPr>
            <w:tcW w:w="1080" w:type="dxa"/>
            <w:vAlign w:val="bottom"/>
            <w:shd w:val="clear" w:color="auto" w:fill="EFE9FC"/>
          </w:tcPr>
          <w:p>
            <w:pPr>
              <w:jc w:val="right"/>
              <w:ind w:right="31"/>
              <w:spacing w:after="0"/>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(9)</w:t>
            </w:r>
          </w:p>
        </w:tc>
        <w:tc>
          <w:tcPr>
            <w:tcW w:w="860" w:type="dxa"/>
            <w:vAlign w:val="bottom"/>
            <w:shd w:val="clear" w:color="auto" w:fill="EFE9FC"/>
          </w:tcPr>
          <w:p>
            <w:pPr>
              <w:jc w:val="right"/>
              <w:ind w:right="11"/>
              <w:spacing w:after="0"/>
              <w:rPr>
                <w:sz w:val="20"/>
                <w:szCs w:val="20"/>
                <w:color w:val="auto"/>
              </w:rPr>
            </w:pPr>
            <w:r>
              <w:rPr>
                <w:rFonts w:ascii="Arial" w:cs="Arial" w:eastAsia="Arial" w:hAnsi="Arial"/>
                <w:sz w:val="14"/>
                <w:szCs w:val="14"/>
                <w:color w:val="auto"/>
              </w:rPr>
              <w:t>145,429</w:t>
            </w:r>
          </w:p>
        </w:tc>
        <w:tc>
          <w:tcPr>
            <w:tcW w:w="1020" w:type="dxa"/>
            <w:vAlign w:val="bottom"/>
            <w:shd w:val="clear" w:color="auto" w:fill="EFE9FC"/>
          </w:tcPr>
          <w:p>
            <w:pPr>
              <w:spacing w:after="0"/>
              <w:rPr>
                <w:sz w:val="23"/>
                <w:szCs w:val="23"/>
                <w:color w:val="auto"/>
              </w:rPr>
            </w:pPr>
          </w:p>
        </w:tc>
        <w:tc>
          <w:tcPr>
            <w:tcW w:w="120" w:type="dxa"/>
            <w:vAlign w:val="bottom"/>
            <w:shd w:val="clear" w:color="auto" w:fill="EFE9FC"/>
          </w:tcPr>
          <w:p>
            <w:pPr>
              <w:spacing w:after="0"/>
              <w:rPr>
                <w:sz w:val="23"/>
                <w:szCs w:val="23"/>
                <w:color w:val="auto"/>
              </w:rPr>
            </w:pPr>
          </w:p>
        </w:tc>
        <w:tc>
          <w:tcPr>
            <w:tcW w:w="900" w:type="dxa"/>
            <w:vAlign w:val="bottom"/>
            <w:shd w:val="clear" w:color="auto" w:fill="EFE9FC"/>
          </w:tcPr>
          <w:p>
            <w:pPr>
              <w:spacing w:after="0"/>
              <w:rPr>
                <w:sz w:val="23"/>
                <w:szCs w:val="2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480"/>
        <w:spacing w:after="0"/>
        <w:tabs>
          <w:tab w:leader="none" w:pos="9360" w:val="left"/>
        </w:tabs>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(10)</w:t>
      </w:r>
      <w:r>
        <w:rPr>
          <w:sz w:val="20"/>
          <w:szCs w:val="20"/>
          <w:color w:val="auto"/>
        </w:rPr>
        <w:tab/>
      </w:r>
      <w:r>
        <w:rPr>
          <w:rFonts w:ascii="Arial" w:cs="Arial" w:eastAsia="Arial" w:hAnsi="Arial"/>
          <w:sz w:val="14"/>
          <w:szCs w:val="14"/>
          <w:color w:val="auto"/>
        </w:rPr>
        <w:t>159,987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46015" cy="162560"/>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2,121</w:t>
      </w:r>
      <w:r>
        <w:rPr>
          <w:rFonts w:ascii="Arial" w:cs="Arial" w:eastAsia="Arial" w:hAnsi="Arial"/>
          <w:sz w:val="21"/>
          <w:szCs w:val="21"/>
          <w:color w:val="auto"/>
          <w:vertAlign w:val="superscript"/>
        </w:rPr>
        <w:t>(11)</w:t>
      </w:r>
      <w:r>
        <w:rPr>
          <w:sz w:val="20"/>
          <w:szCs w:val="20"/>
          <w:color w:val="auto"/>
        </w:rPr>
        <w:tab/>
      </w:r>
      <w:r>
        <w:rPr>
          <w:rFonts w:ascii="Arial" w:cs="Arial" w:eastAsia="Arial" w:hAnsi="Arial"/>
          <w:sz w:val="14"/>
          <w:szCs w:val="14"/>
          <w:color w:val="auto"/>
        </w:rPr>
        <w:t>159,987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(12)</w:t>
      </w:r>
      <w:r>
        <w:rPr>
          <w:sz w:val="20"/>
          <w:szCs w:val="20"/>
          <w:color w:val="auto"/>
        </w:rPr>
        <w:tab/>
      </w:r>
      <w:r>
        <w:rPr>
          <w:rFonts w:ascii="Arial" w:cs="Arial" w:eastAsia="Arial" w:hAnsi="Arial"/>
          <w:sz w:val="14"/>
          <w:szCs w:val="14"/>
          <w:color w:val="auto"/>
        </w:rPr>
        <w:t>145,429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494601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46015" cy="257175"/>
                    </a:xfrm>
                    <a:prstGeom prst="rect">
                      <a:avLst/>
                    </a:prstGeom>
                    <a:noFill/>
                  </pic:spPr>
                </pic:pic>
              </a:graphicData>
            </a:graphic>
          </wp:anchor>
        </w:drawing>
      </w:r>
    </w:p>
    <w:p>
      <w:pPr>
        <w:ind w:left="8480"/>
        <w:spacing w:after="0"/>
        <w:tabs>
          <w:tab w:leader="none" w:pos="9360" w:val="left"/>
        </w:tabs>
        <w:rPr>
          <w:sz w:val="20"/>
          <w:szCs w:val="20"/>
          <w:color w:val="auto"/>
        </w:rPr>
      </w:pPr>
      <w:r>
        <w:rPr>
          <w:rFonts w:ascii="Arial" w:cs="Arial" w:eastAsia="Arial" w:hAnsi="Arial"/>
          <w:sz w:val="14"/>
          <w:szCs w:val="14"/>
          <w:color w:val="auto"/>
        </w:rPr>
        <w:t>1,928</w:t>
      </w:r>
      <w:r>
        <w:rPr>
          <w:rFonts w:ascii="Arial" w:cs="Arial" w:eastAsia="Arial" w:hAnsi="Arial"/>
          <w:sz w:val="21"/>
          <w:szCs w:val="21"/>
          <w:color w:val="auto"/>
          <w:vertAlign w:val="superscript"/>
        </w:rPr>
        <w:t>(13)</w:t>
      </w:r>
      <w:r>
        <w:rPr>
          <w:sz w:val="20"/>
          <w:szCs w:val="20"/>
          <w:color w:val="auto"/>
        </w:rPr>
        <w:tab/>
      </w:r>
      <w:r>
        <w:rPr>
          <w:rFonts w:ascii="Arial" w:cs="Arial" w:eastAsia="Arial" w:hAnsi="Arial"/>
          <w:sz w:val="14"/>
          <w:szCs w:val="14"/>
          <w:color w:val="auto"/>
        </w:rPr>
        <w:t>145,429</w:t>
      </w:r>
    </w:p>
    <w:p>
      <w:pPr>
        <w:spacing w:after="0" w:line="139" w:lineRule="exact"/>
        <w:rPr>
          <w:sz w:val="20"/>
          <w:szCs w:val="20"/>
          <w:color w:val="auto"/>
        </w:rPr>
      </w:pPr>
    </w:p>
    <w:p>
      <w:pPr>
        <w:ind w:left="1040" w:right="319" w:hanging="276"/>
        <w:spacing w:after="0" w:line="260"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SARs that are exercisable. The terms of the SARs stipulate that they may be exercised up to three months after a termination and in no event (even with continued employment) after the expiration date.</w:t>
      </w:r>
    </w:p>
    <w:p>
      <w:pPr>
        <w:ind w:left="1040" w:right="499" w:hanging="276"/>
        <w:spacing w:after="0" w:line="260"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SARs that are not yet exercisable as they have not yet vested. The SARs were granted with a vesting schedule over four years (25% per year.)</w:t>
      </w: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This column reflects RSUs that have not vested. All RSUs vest 25% per year on each of the first four anniversaries of the grant date.</w:t>
      </w:r>
    </w:p>
    <w:p>
      <w:pPr>
        <w:spacing w:after="0" w:line="25" w:lineRule="exact"/>
        <w:rPr>
          <w:rFonts w:ascii="Arial" w:cs="Arial" w:eastAsia="Arial" w:hAnsi="Arial"/>
          <w:sz w:val="13"/>
          <w:szCs w:val="13"/>
          <w:i w:val="1"/>
          <w:iCs w:val="1"/>
          <w:color w:val="auto"/>
        </w:rPr>
      </w:pPr>
    </w:p>
    <w:p>
      <w:pPr>
        <w:ind w:left="1040" w:right="239" w:hanging="276"/>
        <w:spacing w:after="0" w:line="249"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market value of the outstanding RSUs. Amounts calculated using the closing price of our ordinary shares on December 31, 2019, or $75.43, multiplied by the number of units that have not yet vested.</w:t>
      </w: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RSUs granted on November 4, 2016.</w:t>
      </w:r>
    </w:p>
    <w:p>
      <w:pPr>
        <w:spacing w:after="0" w:line="26" w:lineRule="exact"/>
        <w:rPr>
          <w:rFonts w:ascii="Arial" w:cs="Arial" w:eastAsia="Arial" w:hAnsi="Arial"/>
          <w:sz w:val="13"/>
          <w:szCs w:val="13"/>
          <w:i w:val="1"/>
          <w:iCs w:val="1"/>
          <w:color w:val="auto"/>
        </w:rPr>
      </w:pPr>
    </w:p>
    <w:p>
      <w:pPr>
        <w:ind w:left="1040" w:right="399" w:hanging="276"/>
        <w:spacing w:after="0" w:line="260"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May 5, 2017. These PSUs had a market factor that was met on March 1, 2018, therefore the remaining shares are now service based. These PSUs vest 25% per year on each anniversary date of March 1, 2018.</w:t>
      </w: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5, 2017.</w:t>
      </w:r>
    </w:p>
    <w:p>
      <w:pPr>
        <w:spacing w:after="0" w:line="25"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15, 2018.</w:t>
      </w:r>
    </w:p>
    <w:p>
      <w:pPr>
        <w:spacing w:after="0" w:line="12"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30, 2019.</w:t>
      </w:r>
    </w:p>
    <w:p>
      <w:pPr>
        <w:spacing w:after="0" w:line="26" w:lineRule="exact"/>
        <w:rPr>
          <w:rFonts w:ascii="Arial" w:cs="Arial" w:eastAsia="Arial" w:hAnsi="Arial"/>
          <w:sz w:val="13"/>
          <w:szCs w:val="13"/>
          <w:i w:val="1"/>
          <w:iCs w:val="1"/>
          <w:color w:val="auto"/>
        </w:rPr>
      </w:pPr>
    </w:p>
    <w:p>
      <w:pPr>
        <w:ind w:left="1040" w:right="419" w:hanging="276"/>
        <w:spacing w:after="0" w:line="259"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15, 2018. These PSUs are subject to achievement of a three-year cumulative adjusted free cash flow target (the “FCF Target”). This award has a three-year cliff vesting schedule.</w:t>
      </w:r>
    </w:p>
    <w:p>
      <w:pPr>
        <w:spacing w:after="0" w:line="1" w:lineRule="exact"/>
        <w:rPr>
          <w:rFonts w:ascii="Arial" w:cs="Arial" w:eastAsia="Arial" w:hAnsi="Arial"/>
          <w:sz w:val="13"/>
          <w:szCs w:val="13"/>
          <w:i w:val="1"/>
          <w:iCs w:val="1"/>
          <w:color w:val="auto"/>
        </w:rPr>
      </w:pPr>
    </w:p>
    <w:p>
      <w:pPr>
        <w:ind w:left="1040" w:right="559" w:hanging="276"/>
        <w:spacing w:after="0" w:line="249"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15, 2018. These PSUs are subject to a performance or market condition based on a relative total shareholder return (rTSR). This award has a three-year cliff vesting schedule.</w:t>
      </w:r>
    </w:p>
    <w:p>
      <w:pPr>
        <w:ind w:left="1040" w:right="419" w:hanging="276"/>
        <w:spacing w:after="0" w:line="260"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30, 2019. These PSUs are subject to achievement of a three-year cumulative adjusted free cash flow target (the “FCF Target”). This award has a three-year cliff vesting schedule.</w:t>
      </w:r>
    </w:p>
    <w:p>
      <w:pPr>
        <w:ind w:left="1040" w:right="559" w:hanging="276"/>
        <w:spacing w:after="0" w:line="260"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PSUs granted on March 30, 2019. These PSUs are subject to a performance or market condition based on a relative total shareholder return (rTSR). This award has a three-year cliff vesting schedule.</w:t>
      </w:r>
    </w:p>
    <w:p>
      <w:pPr>
        <w:ind w:left="1040" w:hanging="276"/>
        <w:spacing w:after="0"/>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20, 2017.</w:t>
      </w:r>
    </w:p>
    <w:p>
      <w:pPr>
        <w:spacing w:after="0" w:line="25" w:lineRule="exact"/>
        <w:rPr>
          <w:rFonts w:ascii="Arial" w:cs="Arial" w:eastAsia="Arial" w:hAnsi="Arial"/>
          <w:sz w:val="13"/>
          <w:szCs w:val="13"/>
          <w:i w:val="1"/>
          <w:iCs w:val="1"/>
          <w:color w:val="auto"/>
        </w:rPr>
      </w:pPr>
    </w:p>
    <w:p>
      <w:pPr>
        <w:ind w:left="1040" w:right="399" w:hanging="276"/>
        <w:spacing w:after="0" w:line="258" w:lineRule="auto"/>
        <w:tabs>
          <w:tab w:leader="none" w:pos="104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20, 2017. These RSUs had a market factor that was met on March 1, 2018, therefore the remaining shares are now service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-2491740</wp:posOffset>
            </wp:positionV>
            <wp:extent cx="58293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May 23, 2017.</w:t>
      </w:r>
    </w:p>
    <w:p>
      <w:pPr>
        <w:spacing w:after="0" w:line="26"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June 12, 2017.</w:t>
      </w:r>
    </w:p>
    <w:p>
      <w:pPr>
        <w:spacing w:after="0" w:line="25"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September 15, 2018.</w:t>
      </w:r>
    </w:p>
    <w:p>
      <w:pPr>
        <w:spacing w:after="0" w:line="12" w:lineRule="exact"/>
        <w:rPr>
          <w:rFonts w:ascii="Arial" w:cs="Arial" w:eastAsia="Arial" w:hAnsi="Arial"/>
          <w:sz w:val="13"/>
          <w:szCs w:val="13"/>
          <w:i w:val="1"/>
          <w:iCs w:val="1"/>
          <w:color w:val="auto"/>
        </w:rPr>
      </w:pPr>
    </w:p>
    <w:p>
      <w:pPr>
        <w:ind w:left="1040" w:hanging="276"/>
        <w:spacing w:after="0"/>
        <w:tabs>
          <w:tab w:leader="none" w:pos="104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service based RSUs granted on March 11, 2016.</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Option Exercises and Stock Vested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information regarding the vesting of RSUs in 2019 by our NEOs.</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314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6A2887"/>
              </w:rPr>
              <w:t>Stock Options</w:t>
            </w:r>
          </w:p>
        </w:tc>
        <w:tc>
          <w:tcPr>
            <w:tcW w:w="27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6A2887"/>
              </w:rPr>
              <w:t>Stock Shares</w:t>
            </w:r>
          </w:p>
        </w:tc>
      </w:tr>
      <w:tr>
        <w:trPr>
          <w:trHeight w:val="189"/>
        </w:trPr>
        <w:tc>
          <w:tcPr>
            <w:tcW w:w="3300" w:type="dxa"/>
            <w:vAlign w:val="bottom"/>
          </w:tcPr>
          <w:p>
            <w:pPr>
              <w:spacing w:after="0"/>
              <w:rPr>
                <w:sz w:val="16"/>
                <w:szCs w:val="16"/>
                <w:color w:val="auto"/>
              </w:rPr>
            </w:pPr>
          </w:p>
        </w:tc>
        <w:tc>
          <w:tcPr>
            <w:tcW w:w="1780" w:type="dxa"/>
            <w:vAlign w:val="bottom"/>
            <w:tcBorders>
              <w:top w:val="single" w:sz="8" w:color="6A2887"/>
            </w:tcBorders>
          </w:tcPr>
          <w:p>
            <w:pPr>
              <w:jc w:val="right"/>
              <w:ind w:right="87"/>
              <w:spacing w:after="0"/>
              <w:rPr>
                <w:sz w:val="20"/>
                <w:szCs w:val="20"/>
                <w:color w:val="auto"/>
              </w:rPr>
            </w:pPr>
            <w:r>
              <w:rPr>
                <w:rFonts w:ascii="Arial" w:cs="Arial" w:eastAsia="Arial" w:hAnsi="Arial"/>
                <w:sz w:val="14"/>
                <w:szCs w:val="14"/>
                <w:b w:val="1"/>
                <w:bCs w:val="1"/>
                <w:color w:val="6A2887"/>
              </w:rPr>
              <w:t>Number of LivaNova</w:t>
            </w:r>
          </w:p>
        </w:tc>
        <w:tc>
          <w:tcPr>
            <w:tcW w:w="1140" w:type="dxa"/>
            <w:vAlign w:val="bottom"/>
            <w:tcBorders>
              <w:top w:val="single" w:sz="8" w:color="6A2887"/>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6A2887"/>
            </w:tcBorders>
          </w:tcPr>
          <w:p>
            <w:pPr>
              <w:jc w:val="right"/>
              <w:ind w:right="86"/>
              <w:spacing w:after="0"/>
              <w:rPr>
                <w:sz w:val="20"/>
                <w:szCs w:val="20"/>
                <w:color w:val="auto"/>
              </w:rPr>
            </w:pPr>
            <w:r>
              <w:rPr>
                <w:rFonts w:ascii="Arial" w:cs="Arial" w:eastAsia="Arial" w:hAnsi="Arial"/>
                <w:sz w:val="14"/>
                <w:szCs w:val="14"/>
                <w:b w:val="1"/>
                <w:bCs w:val="1"/>
                <w:color w:val="6A2887"/>
                <w:w w:val="99"/>
              </w:rPr>
              <w:t>Number of LivaNova</w:t>
            </w:r>
          </w:p>
        </w:tc>
        <w:tc>
          <w:tcPr>
            <w:tcW w:w="1140" w:type="dxa"/>
            <w:vAlign w:val="bottom"/>
            <w:tcBorders>
              <w:top w:val="single" w:sz="8" w:color="6A2887"/>
            </w:tcBorders>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3300" w:type="dxa"/>
            <w:vAlign w:val="bottom"/>
          </w:tcPr>
          <w:p>
            <w:pPr>
              <w:spacing w:after="0"/>
              <w:rPr>
                <w:sz w:val="14"/>
                <w:szCs w:val="14"/>
                <w:color w:val="auto"/>
              </w:rPr>
            </w:pPr>
          </w:p>
        </w:tc>
        <w:tc>
          <w:tcPr>
            <w:tcW w:w="1780" w:type="dxa"/>
            <w:vAlign w:val="bottom"/>
          </w:tcPr>
          <w:p>
            <w:pPr>
              <w:jc w:val="right"/>
              <w:ind w:right="87"/>
              <w:spacing w:after="0"/>
              <w:rPr>
                <w:sz w:val="20"/>
                <w:szCs w:val="20"/>
                <w:color w:val="auto"/>
              </w:rPr>
            </w:pPr>
            <w:r>
              <w:rPr>
                <w:rFonts w:ascii="Arial" w:cs="Arial" w:eastAsia="Arial" w:hAnsi="Arial"/>
                <w:sz w:val="14"/>
                <w:szCs w:val="14"/>
                <w:b w:val="1"/>
                <w:bCs w:val="1"/>
                <w:color w:val="6A2887"/>
                <w:w w:val="99"/>
              </w:rPr>
              <w:t>Option Shares Acquired</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6A2887"/>
              </w:rPr>
              <w:t>Value Realized</w:t>
            </w:r>
          </w:p>
        </w:tc>
        <w:tc>
          <w:tcPr>
            <w:tcW w:w="1540" w:type="dxa"/>
            <w:vAlign w:val="bottom"/>
          </w:tcPr>
          <w:p>
            <w:pPr>
              <w:jc w:val="right"/>
              <w:ind w:right="86"/>
              <w:spacing w:after="0"/>
              <w:rPr>
                <w:sz w:val="20"/>
                <w:szCs w:val="20"/>
                <w:color w:val="auto"/>
              </w:rPr>
            </w:pPr>
            <w:r>
              <w:rPr>
                <w:rFonts w:ascii="Arial" w:cs="Arial" w:eastAsia="Arial" w:hAnsi="Arial"/>
                <w:sz w:val="14"/>
                <w:szCs w:val="14"/>
                <w:b w:val="1"/>
                <w:bCs w:val="1"/>
                <w:color w:val="6A2887"/>
              </w:rPr>
              <w:t>Shares Acquired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6A2887"/>
              </w:rPr>
              <w:t>Value Realized</w:t>
            </w:r>
          </w:p>
        </w:tc>
      </w:tr>
      <w:tr>
        <w:trPr>
          <w:trHeight w:val="162"/>
        </w:trPr>
        <w:tc>
          <w:tcPr>
            <w:tcW w:w="3300" w:type="dxa"/>
            <w:vAlign w:val="bottom"/>
          </w:tcPr>
          <w:p>
            <w:pPr>
              <w:spacing w:after="0"/>
              <w:rPr>
                <w:sz w:val="14"/>
                <w:szCs w:val="14"/>
                <w:color w:val="auto"/>
              </w:rPr>
            </w:pPr>
          </w:p>
        </w:tc>
        <w:tc>
          <w:tcPr>
            <w:tcW w:w="1780" w:type="dxa"/>
            <w:vAlign w:val="bottom"/>
          </w:tcPr>
          <w:p>
            <w:pPr>
              <w:jc w:val="right"/>
              <w:ind w:right="87"/>
              <w:spacing w:after="0"/>
              <w:rPr>
                <w:sz w:val="20"/>
                <w:szCs w:val="20"/>
                <w:color w:val="auto"/>
              </w:rPr>
            </w:pPr>
            <w:r>
              <w:rPr>
                <w:rFonts w:ascii="Arial" w:cs="Arial" w:eastAsia="Arial" w:hAnsi="Arial"/>
                <w:sz w:val="14"/>
                <w:szCs w:val="14"/>
                <w:b w:val="1"/>
                <w:bCs w:val="1"/>
                <w:color w:val="6A2887"/>
              </w:rPr>
              <w:t>on Exercise</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6A2887"/>
              </w:rPr>
              <w:t>on Exercise</w:t>
            </w:r>
          </w:p>
        </w:tc>
        <w:tc>
          <w:tcPr>
            <w:tcW w:w="1540" w:type="dxa"/>
            <w:vAlign w:val="bottom"/>
          </w:tcPr>
          <w:p>
            <w:pPr>
              <w:jc w:val="right"/>
              <w:ind w:right="86"/>
              <w:spacing w:after="0"/>
              <w:rPr>
                <w:sz w:val="20"/>
                <w:szCs w:val="20"/>
                <w:color w:val="auto"/>
              </w:rPr>
            </w:pPr>
            <w:r>
              <w:rPr>
                <w:rFonts w:ascii="Arial" w:cs="Arial" w:eastAsia="Arial" w:hAnsi="Arial"/>
                <w:sz w:val="14"/>
                <w:szCs w:val="14"/>
                <w:b w:val="1"/>
                <w:bCs w:val="1"/>
                <w:color w:val="6A2887"/>
              </w:rPr>
              <w:t>on Vesting</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6A2887"/>
              </w:rPr>
              <w:t>on Vesting</w:t>
            </w:r>
          </w:p>
        </w:tc>
      </w:tr>
      <w:tr>
        <w:trPr>
          <w:trHeight w:val="196"/>
        </w:trPr>
        <w:tc>
          <w:tcPr>
            <w:tcW w:w="33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w:t>
            </w:r>
          </w:p>
        </w:tc>
        <w:tc>
          <w:tcPr>
            <w:tcW w:w="1780" w:type="dxa"/>
            <w:vAlign w:val="bottom"/>
            <w:tcBorders>
              <w:bottom w:val="single" w:sz="8" w:color="6A2887"/>
            </w:tcBorders>
          </w:tcPr>
          <w:p>
            <w:pPr>
              <w:jc w:val="right"/>
              <w:ind w:right="47"/>
              <w:spacing w:after="0"/>
              <w:rPr>
                <w:sz w:val="20"/>
                <w:szCs w:val="20"/>
                <w:color w:val="auto"/>
              </w:rPr>
            </w:pPr>
            <w:r>
              <w:rPr>
                <w:rFonts w:ascii="Arial" w:cs="Arial" w:eastAsia="Arial" w:hAnsi="Arial"/>
                <w:sz w:val="14"/>
                <w:szCs w:val="14"/>
                <w:b w:val="1"/>
                <w:bCs w:val="1"/>
                <w:color w:val="6A2887"/>
              </w:rPr>
              <w:t>(#)</w:t>
            </w:r>
          </w:p>
        </w:tc>
        <w:tc>
          <w:tcPr>
            <w:tcW w:w="11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w:t>
            </w:r>
          </w:p>
        </w:tc>
        <w:tc>
          <w:tcPr>
            <w:tcW w:w="220" w:type="dxa"/>
            <w:vAlign w:val="bottom"/>
            <w:tcBorders>
              <w:bottom w:val="single" w:sz="8" w:color="6A2887"/>
            </w:tcBorders>
          </w:tcPr>
          <w:p>
            <w:pPr>
              <w:spacing w:after="0"/>
              <w:rPr>
                <w:sz w:val="17"/>
                <w:szCs w:val="17"/>
                <w:color w:val="auto"/>
              </w:rPr>
            </w:pPr>
          </w:p>
        </w:tc>
        <w:tc>
          <w:tcPr>
            <w:tcW w:w="1540" w:type="dxa"/>
            <w:vAlign w:val="bottom"/>
            <w:tcBorders>
              <w:bottom w:val="single" w:sz="8" w:color="6A2887"/>
            </w:tcBorders>
          </w:tcPr>
          <w:p>
            <w:pPr>
              <w:jc w:val="right"/>
              <w:ind w:right="46"/>
              <w:spacing w:after="0"/>
              <w:rPr>
                <w:sz w:val="20"/>
                <w:szCs w:val="20"/>
                <w:color w:val="auto"/>
              </w:rPr>
            </w:pPr>
            <w:r>
              <w:rPr>
                <w:rFonts w:ascii="Arial" w:cs="Arial" w:eastAsia="Arial" w:hAnsi="Arial"/>
                <w:sz w:val="14"/>
                <w:szCs w:val="14"/>
                <w:b w:val="1"/>
                <w:bCs w:val="1"/>
                <w:color w:val="6A2887"/>
              </w:rPr>
              <w:t>(#)</w:t>
            </w:r>
          </w:p>
        </w:tc>
        <w:tc>
          <w:tcPr>
            <w:tcW w:w="11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w:t>
            </w:r>
          </w:p>
        </w:tc>
        <w:tc>
          <w:tcPr>
            <w:tcW w:w="60" w:type="dxa"/>
            <w:vAlign w:val="bottom"/>
            <w:tcBorders>
              <w:bottom w:val="single" w:sz="8" w:color="6A2887"/>
            </w:tcBorders>
          </w:tcPr>
          <w:p>
            <w:pPr>
              <w:spacing w:after="0"/>
              <w:rPr>
                <w:sz w:val="17"/>
                <w:szCs w:val="17"/>
                <w:color w:val="auto"/>
              </w:rPr>
            </w:pPr>
          </w:p>
        </w:tc>
      </w:tr>
      <w:tr>
        <w:trPr>
          <w:trHeight w:val="221"/>
        </w:trPr>
        <w:tc>
          <w:tcPr>
            <w:tcW w:w="3300" w:type="dxa"/>
            <w:vAlign w:val="bottom"/>
          </w:tcPr>
          <w:p>
            <w:pPr>
              <w:ind w:left="40"/>
              <w:spacing w:after="0"/>
              <w:rPr>
                <w:sz w:val="20"/>
                <w:szCs w:val="20"/>
                <w:color w:val="auto"/>
              </w:rPr>
            </w:pPr>
            <w:r>
              <w:rPr>
                <w:rFonts w:ascii="Arial" w:cs="Arial" w:eastAsia="Arial" w:hAnsi="Arial"/>
                <w:sz w:val="15"/>
                <w:szCs w:val="15"/>
                <w:color w:val="auto"/>
              </w:rPr>
              <w:t>Damien McDonald</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37,731</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3,109,651</w:t>
            </w:r>
          </w:p>
        </w:tc>
      </w:tr>
      <w:tr>
        <w:trPr>
          <w:trHeight w:val="22"/>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1780" w:type="dxa"/>
            <w:vAlign w:val="bottom"/>
            <w:tcBorders>
              <w:bottom w:val="single" w:sz="8" w:color="EFE9FC"/>
            </w:tcBorders>
            <w:shd w:val="clear" w:color="auto" w:fill="EFE9FC"/>
          </w:tcPr>
          <w:p>
            <w:pPr>
              <w:spacing w:after="0"/>
              <w:rPr>
                <w:sz w:val="21"/>
                <w:szCs w:val="21"/>
                <w:color w:val="auto"/>
              </w:rPr>
            </w:pPr>
          </w:p>
        </w:tc>
        <w:tc>
          <w:tcPr>
            <w:tcW w:w="1140" w:type="dxa"/>
            <w:vAlign w:val="bottom"/>
            <w:tcBorders>
              <w:bottom w:val="single" w:sz="8" w:color="EFE9FC"/>
            </w:tcBorders>
            <w:shd w:val="clear" w:color="auto" w:fill="EFE9FC"/>
          </w:tcPr>
          <w:p>
            <w:pPr>
              <w:spacing w:after="0"/>
              <w:rPr>
                <w:sz w:val="21"/>
                <w:szCs w:val="21"/>
                <w:color w:val="auto"/>
              </w:rPr>
            </w:pPr>
          </w:p>
        </w:tc>
        <w:tc>
          <w:tcPr>
            <w:tcW w:w="220" w:type="dxa"/>
            <w:vAlign w:val="bottom"/>
            <w:tcBorders>
              <w:bottom w:val="single" w:sz="8" w:color="EFE9FC"/>
            </w:tcBorders>
            <w:shd w:val="clear" w:color="auto" w:fill="EFE9FC"/>
          </w:tcPr>
          <w:p>
            <w:pPr>
              <w:spacing w:after="0"/>
              <w:rPr>
                <w:sz w:val="21"/>
                <w:szCs w:val="21"/>
                <w:color w:val="auto"/>
              </w:rPr>
            </w:pPr>
          </w:p>
        </w:tc>
        <w:tc>
          <w:tcPr>
            <w:tcW w:w="15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17,346</w:t>
            </w:r>
          </w:p>
        </w:tc>
        <w:tc>
          <w:tcPr>
            <w:tcW w:w="1200" w:type="dxa"/>
            <w:vAlign w:val="bottom"/>
            <w:tcBorders>
              <w:bottom w:val="single" w:sz="8" w:color="EFE9FC"/>
            </w:tcBorders>
            <w:gridSpan w:val="2"/>
            <w:shd w:val="clear" w:color="auto" w:fill="EFE9FC"/>
          </w:tcPr>
          <w:p>
            <w:pPr>
              <w:jc w:val="right"/>
              <w:ind w:right="40"/>
              <w:spacing w:after="0"/>
              <w:rPr>
                <w:sz w:val="20"/>
                <w:szCs w:val="20"/>
                <w:color w:val="auto"/>
              </w:rPr>
            </w:pPr>
            <w:r>
              <w:rPr>
                <w:rFonts w:ascii="Arial" w:cs="Arial" w:eastAsia="Arial" w:hAnsi="Arial"/>
                <w:sz w:val="15"/>
                <w:szCs w:val="15"/>
                <w:color w:val="auto"/>
              </w:rPr>
              <w:t>1,382,921</w:t>
            </w:r>
          </w:p>
        </w:tc>
      </w:tr>
      <w:tr>
        <w:trPr>
          <w:trHeight w:val="221"/>
        </w:trPr>
        <w:tc>
          <w:tcPr>
            <w:tcW w:w="3300" w:type="dxa"/>
            <w:vAlign w:val="bottom"/>
          </w:tcPr>
          <w:p>
            <w:pPr>
              <w:ind w:left="40"/>
              <w:spacing w:after="0"/>
              <w:rPr>
                <w:sz w:val="20"/>
                <w:szCs w:val="20"/>
                <w:color w:val="auto"/>
              </w:rPr>
            </w:pPr>
            <w:r>
              <w:rPr>
                <w:rFonts w:ascii="Arial" w:cs="Arial" w:eastAsia="Arial" w:hAnsi="Arial"/>
                <w:sz w:val="15"/>
                <w:szCs w:val="15"/>
                <w:color w:val="auto"/>
              </w:rPr>
              <w:t>Keyna Skeffington</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1,907</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152,963</w:t>
            </w:r>
          </w:p>
        </w:tc>
      </w:tr>
      <w:tr>
        <w:trPr>
          <w:trHeight w:val="22"/>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Edward Andrle</w:t>
            </w:r>
          </w:p>
        </w:tc>
        <w:tc>
          <w:tcPr>
            <w:tcW w:w="1780" w:type="dxa"/>
            <w:vAlign w:val="bottom"/>
            <w:tcBorders>
              <w:bottom w:val="single" w:sz="8" w:color="EFE9FC"/>
            </w:tcBorders>
            <w:shd w:val="clear" w:color="auto" w:fill="EFE9FC"/>
          </w:tcPr>
          <w:p>
            <w:pPr>
              <w:jc w:val="right"/>
              <w:ind w:right="27"/>
              <w:spacing w:after="0"/>
              <w:rPr>
                <w:sz w:val="20"/>
                <w:szCs w:val="20"/>
                <w:color w:val="auto"/>
              </w:rPr>
            </w:pPr>
            <w:r>
              <w:rPr>
                <w:rFonts w:ascii="Arial" w:cs="Arial" w:eastAsia="Arial" w:hAnsi="Arial"/>
                <w:sz w:val="15"/>
                <w:szCs w:val="15"/>
                <w:color w:val="auto"/>
              </w:rPr>
              <w:t>29,718</w:t>
            </w:r>
          </w:p>
        </w:tc>
        <w:tc>
          <w:tcPr>
            <w:tcW w:w="1360" w:type="dxa"/>
            <w:vAlign w:val="bottom"/>
            <w:tcBorders>
              <w:bottom w:val="single" w:sz="8" w:color="EFE9FC"/>
            </w:tcBorders>
            <w:gridSpan w:val="2"/>
            <w:shd w:val="clear" w:color="auto" w:fill="EFE9FC"/>
          </w:tcPr>
          <w:p>
            <w:pPr>
              <w:jc w:val="right"/>
              <w:ind w:right="220"/>
              <w:spacing w:after="0"/>
              <w:rPr>
                <w:sz w:val="20"/>
                <w:szCs w:val="20"/>
                <w:color w:val="auto"/>
              </w:rPr>
            </w:pPr>
            <w:r>
              <w:rPr>
                <w:rFonts w:ascii="Arial" w:cs="Arial" w:eastAsia="Arial" w:hAnsi="Arial"/>
                <w:sz w:val="15"/>
                <w:szCs w:val="15"/>
                <w:color w:val="auto"/>
              </w:rPr>
              <w:t>156,614</w:t>
            </w:r>
          </w:p>
        </w:tc>
        <w:tc>
          <w:tcPr>
            <w:tcW w:w="154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9,621</w:t>
            </w:r>
          </w:p>
        </w:tc>
        <w:tc>
          <w:tcPr>
            <w:tcW w:w="1200" w:type="dxa"/>
            <w:vAlign w:val="bottom"/>
            <w:tcBorders>
              <w:bottom w:val="single" w:sz="8" w:color="EFE9FC"/>
            </w:tcBorders>
            <w:gridSpan w:val="2"/>
            <w:shd w:val="clear" w:color="auto" w:fill="EFE9FC"/>
          </w:tcPr>
          <w:p>
            <w:pPr>
              <w:jc w:val="right"/>
              <w:ind w:right="40"/>
              <w:spacing w:after="0"/>
              <w:rPr>
                <w:sz w:val="20"/>
                <w:szCs w:val="20"/>
                <w:color w:val="auto"/>
              </w:rPr>
            </w:pPr>
            <w:r>
              <w:rPr>
                <w:rFonts w:ascii="Arial" w:cs="Arial" w:eastAsia="Arial" w:hAnsi="Arial"/>
                <w:sz w:val="15"/>
                <w:szCs w:val="15"/>
                <w:color w:val="auto"/>
              </w:rPr>
              <w:t>902,900</w:t>
            </w:r>
          </w:p>
        </w:tc>
      </w:tr>
      <w:tr>
        <w:trPr>
          <w:trHeight w:val="222"/>
        </w:trPr>
        <w:tc>
          <w:tcPr>
            <w:tcW w:w="330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6"/>
              <w:spacing w:after="0"/>
              <w:rPr>
                <w:sz w:val="20"/>
                <w:szCs w:val="20"/>
                <w:color w:val="auto"/>
              </w:rPr>
            </w:pPr>
            <w:r>
              <w:rPr>
                <w:rFonts w:ascii="Arial" w:cs="Arial" w:eastAsia="Arial" w:hAnsi="Arial"/>
                <w:sz w:val="15"/>
                <w:szCs w:val="15"/>
                <w:color w:val="auto"/>
              </w:rPr>
              <w:t>2,947</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270,040</w:t>
            </w:r>
          </w:p>
        </w:tc>
      </w:tr>
      <w:tr>
        <w:trPr>
          <w:trHeight w:val="22"/>
        </w:trPr>
        <w:tc>
          <w:tcPr>
            <w:tcW w:w="3300" w:type="dxa"/>
            <w:vAlign w:val="bottom"/>
            <w:tcBorders>
              <w:bottom w:val="single" w:sz="8" w:color="6A2887"/>
            </w:tcBorders>
          </w:tcPr>
          <w:p>
            <w:pPr>
              <w:spacing w:after="0" w:line="20" w:lineRule="exact"/>
              <w:rPr>
                <w:sz w:val="1"/>
                <w:szCs w:val="1"/>
                <w:color w:val="auto"/>
              </w:rPr>
            </w:pPr>
          </w:p>
        </w:tc>
        <w:tc>
          <w:tcPr>
            <w:tcW w:w="1780" w:type="dxa"/>
            <w:vAlign w:val="bottom"/>
            <w:tcBorders>
              <w:bottom w:val="single" w:sz="8" w:color="6A2887"/>
            </w:tcBorders>
          </w:tcPr>
          <w:p>
            <w:pPr>
              <w:spacing w:after="0" w:line="20" w:lineRule="exact"/>
              <w:rPr>
                <w:sz w:val="1"/>
                <w:szCs w:val="1"/>
                <w:color w:val="auto"/>
              </w:rPr>
            </w:pPr>
          </w:p>
        </w:tc>
        <w:tc>
          <w:tcPr>
            <w:tcW w:w="1140" w:type="dxa"/>
            <w:vAlign w:val="bottom"/>
            <w:tcBorders>
              <w:bottom w:val="single" w:sz="8" w:color="6A2887"/>
            </w:tcBorders>
          </w:tcPr>
          <w:p>
            <w:pPr>
              <w:spacing w:after="0" w:line="20" w:lineRule="exact"/>
              <w:rPr>
                <w:sz w:val="1"/>
                <w:szCs w:val="1"/>
                <w:color w:val="auto"/>
              </w:rPr>
            </w:pPr>
          </w:p>
        </w:tc>
        <w:tc>
          <w:tcPr>
            <w:tcW w:w="220" w:type="dxa"/>
            <w:vAlign w:val="bottom"/>
            <w:tcBorders>
              <w:bottom w:val="single" w:sz="8" w:color="6A2887"/>
            </w:tcBorders>
          </w:tcPr>
          <w:p>
            <w:pPr>
              <w:spacing w:after="0" w:line="20" w:lineRule="exact"/>
              <w:rPr>
                <w:sz w:val="1"/>
                <w:szCs w:val="1"/>
                <w:color w:val="auto"/>
              </w:rPr>
            </w:pPr>
          </w:p>
        </w:tc>
        <w:tc>
          <w:tcPr>
            <w:tcW w:w="1540" w:type="dxa"/>
            <w:vAlign w:val="bottom"/>
            <w:tcBorders>
              <w:bottom w:val="single" w:sz="8" w:color="6A2887"/>
            </w:tcBorders>
          </w:tcPr>
          <w:p>
            <w:pPr>
              <w:spacing w:after="0" w:line="20" w:lineRule="exact"/>
              <w:rPr>
                <w:sz w:val="1"/>
                <w:szCs w:val="1"/>
                <w:color w:val="auto"/>
              </w:rPr>
            </w:pPr>
          </w:p>
        </w:tc>
        <w:tc>
          <w:tcPr>
            <w:tcW w:w="1140" w:type="dxa"/>
            <w:vAlign w:val="bottom"/>
            <w:tcBorders>
              <w:bottom w:val="single" w:sz="8" w:color="6A2887"/>
            </w:tcBorders>
          </w:tcPr>
          <w:p>
            <w:pPr>
              <w:spacing w:after="0" w:line="20" w:lineRule="exact"/>
              <w:rPr>
                <w:sz w:val="1"/>
                <w:szCs w:val="1"/>
                <w:color w:val="auto"/>
              </w:rPr>
            </w:pPr>
          </w:p>
        </w:tc>
        <w:tc>
          <w:tcPr>
            <w:tcW w:w="60" w:type="dxa"/>
            <w:vAlign w:val="bottom"/>
            <w:tcBorders>
              <w:bottom w:val="single" w:sz="8" w:color="6A2887"/>
            </w:tcBorders>
          </w:tcPr>
          <w:p>
            <w:pPr>
              <w:spacing w:after="0" w:line="20" w:lineRule="exact"/>
              <w:rPr>
                <w:sz w:val="1"/>
                <w:szCs w:val="1"/>
                <w:color w:val="auto"/>
              </w:rPr>
            </w:pPr>
          </w:p>
        </w:tc>
      </w:tr>
    </w:tbl>
    <w:p>
      <w:pPr>
        <w:spacing w:after="0" w:line="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Pension Benefits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no defined benefit plan applicable to our NEOs.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2019 Non-Qualified Deferred Compensation</w:t>
      </w:r>
    </w:p>
    <w:p>
      <w:pPr>
        <w:spacing w:after="0" w:line="124" w:lineRule="exact"/>
        <w:rPr>
          <w:sz w:val="20"/>
          <w:szCs w:val="20"/>
          <w:color w:val="auto"/>
        </w:rPr>
      </w:pPr>
    </w:p>
    <w:p>
      <w:pPr>
        <w:ind w:left="760" w:right="280"/>
        <w:spacing w:after="0" w:line="250" w:lineRule="auto"/>
        <w:rPr>
          <w:sz w:val="20"/>
          <w:szCs w:val="20"/>
          <w:color w:val="auto"/>
        </w:rPr>
      </w:pPr>
      <w:r>
        <w:rPr>
          <w:rFonts w:ascii="Arial" w:cs="Arial" w:eastAsia="Arial" w:hAnsi="Arial"/>
          <w:sz w:val="16"/>
          <w:szCs w:val="16"/>
          <w:color w:val="auto"/>
        </w:rPr>
        <w:t>One of our NEOs, Mr. Andrle, participated in a non-qualified deferred compensation plan in 2019 in which employees may defer up to 50% of their annual base salary and commissions and 100% of their bonus or performance-based compensation until the earlier of (i) termination of employment; or (ii) an elected distribution date. Employer contributions are provided to employees who defer into the plan, and for those employees who are legacy participants in the plan. For the plan year 2019, Mr. Andrle did not elect to defer into the plan and received an employer contribution of 6% of salary.</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right"/>
              <w:ind w:right="87"/>
              <w:spacing w:after="0"/>
              <w:rPr>
                <w:sz w:val="20"/>
                <w:szCs w:val="20"/>
                <w:color w:val="auto"/>
              </w:rPr>
            </w:pPr>
            <w:r>
              <w:rPr>
                <w:rFonts w:ascii="Arial" w:cs="Arial" w:eastAsia="Arial" w:hAnsi="Arial"/>
                <w:sz w:val="14"/>
                <w:szCs w:val="14"/>
                <w:b w:val="1"/>
                <w:bCs w:val="1"/>
                <w:color w:val="6A2887"/>
              </w:rPr>
              <w:t>Aggregate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6A2887"/>
              </w:rPr>
              <w:t>Registrant</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6A2887"/>
              </w:rPr>
              <w:t>Aggregate</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6A2887"/>
              </w:rPr>
              <w:t>Withdrawals/</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6A2887"/>
              </w:rPr>
              <w:t>Aggregate</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00" w:type="dxa"/>
            <w:vAlign w:val="bottom"/>
          </w:tcPr>
          <w:p>
            <w:pPr>
              <w:jc w:val="right"/>
              <w:ind w:right="87"/>
              <w:spacing w:after="0" w:line="148" w:lineRule="exact"/>
              <w:rPr>
                <w:sz w:val="20"/>
                <w:szCs w:val="20"/>
                <w:color w:val="auto"/>
              </w:rPr>
            </w:pPr>
            <w:r>
              <w:rPr>
                <w:rFonts w:ascii="Arial" w:cs="Arial" w:eastAsia="Arial" w:hAnsi="Arial"/>
                <w:sz w:val="14"/>
                <w:szCs w:val="14"/>
                <w:b w:val="1"/>
                <w:bCs w:val="1"/>
                <w:color w:val="6A2887"/>
              </w:rPr>
              <w:t>Executive</w:t>
            </w:r>
          </w:p>
        </w:tc>
        <w:tc>
          <w:tcPr>
            <w:tcW w:w="1360" w:type="dxa"/>
            <w:vAlign w:val="bottom"/>
            <w:vMerge w:val="continue"/>
          </w:tcPr>
          <w:p>
            <w:pPr>
              <w:spacing w:after="0"/>
              <w:rPr>
                <w:sz w:val="12"/>
                <w:szCs w:val="12"/>
                <w:color w:val="auto"/>
              </w:rPr>
            </w:pPr>
          </w:p>
        </w:tc>
        <w:tc>
          <w:tcPr>
            <w:tcW w:w="10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6A2887"/>
              </w:rPr>
              <w:t>Earnings</w:t>
            </w:r>
          </w:p>
        </w:tc>
        <w:tc>
          <w:tcPr>
            <w:tcW w:w="1280" w:type="dxa"/>
            <w:vAlign w:val="bottom"/>
          </w:tcPr>
          <w:p>
            <w:pPr>
              <w:jc w:val="right"/>
              <w:ind w:right="47"/>
              <w:spacing w:after="0" w:line="148" w:lineRule="exact"/>
              <w:rPr>
                <w:sz w:val="20"/>
                <w:szCs w:val="20"/>
                <w:color w:val="auto"/>
              </w:rPr>
            </w:pPr>
            <w:r>
              <w:rPr>
                <w:rFonts w:ascii="Arial" w:cs="Arial" w:eastAsia="Arial" w:hAnsi="Arial"/>
                <w:sz w:val="14"/>
                <w:szCs w:val="14"/>
                <w:b w:val="1"/>
                <w:bCs w:val="1"/>
                <w:color w:val="6A2887"/>
              </w:rPr>
              <w:t>Distributions in</w:t>
            </w:r>
          </w:p>
        </w:tc>
        <w:tc>
          <w:tcPr>
            <w:tcW w:w="940" w:type="dxa"/>
            <w:vAlign w:val="bottom"/>
          </w:tcPr>
          <w:p>
            <w:pPr>
              <w:jc w:val="right"/>
              <w:ind w:right="27"/>
              <w:spacing w:after="0" w:line="148" w:lineRule="exact"/>
              <w:rPr>
                <w:sz w:val="20"/>
                <w:szCs w:val="20"/>
                <w:color w:val="auto"/>
              </w:rPr>
            </w:pPr>
            <w:r>
              <w:rPr>
                <w:rFonts w:ascii="Arial" w:cs="Arial" w:eastAsia="Arial" w:hAnsi="Arial"/>
                <w:sz w:val="14"/>
                <w:szCs w:val="14"/>
                <w:b w:val="1"/>
                <w:bCs w:val="1"/>
                <w:color w:val="6A2887"/>
              </w:rPr>
              <w:t>Balance at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jc w:val="right"/>
              <w:ind w:right="87"/>
              <w:spacing w:after="0"/>
              <w:rPr>
                <w:sz w:val="20"/>
                <w:szCs w:val="20"/>
                <w:color w:val="auto"/>
              </w:rPr>
            </w:pPr>
            <w:r>
              <w:rPr>
                <w:rFonts w:ascii="Arial" w:cs="Arial" w:eastAsia="Arial" w:hAnsi="Arial"/>
                <w:sz w:val="14"/>
                <w:szCs w:val="14"/>
                <w:b w:val="1"/>
                <w:bCs w:val="1"/>
                <w:color w:val="6A2887"/>
              </w:rPr>
              <w:t>Contributions in</w:t>
            </w:r>
          </w:p>
        </w:tc>
        <w:tc>
          <w:tcPr>
            <w:tcW w:w="1360" w:type="dxa"/>
            <w:vAlign w:val="bottom"/>
          </w:tcPr>
          <w:p>
            <w:pPr>
              <w:jc w:val="right"/>
              <w:ind w:right="87"/>
              <w:spacing w:after="0"/>
              <w:rPr>
                <w:sz w:val="20"/>
                <w:szCs w:val="20"/>
                <w:color w:val="auto"/>
              </w:rPr>
            </w:pPr>
            <w:r>
              <w:rPr>
                <w:rFonts w:ascii="Arial" w:cs="Arial" w:eastAsia="Arial" w:hAnsi="Arial"/>
                <w:sz w:val="14"/>
                <w:szCs w:val="14"/>
                <w:b w:val="1"/>
                <w:bCs w:val="1"/>
                <w:color w:val="6A2887"/>
              </w:rPr>
              <w:t>Contributions in</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6A2887"/>
              </w:rPr>
              <w:t>in Last</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6A2887"/>
              </w:rPr>
              <w:t>Last Fiscal</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6A2887"/>
              </w:rPr>
              <w:t>Last Fiscal</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2400" w:type="dxa"/>
            <w:vAlign w:val="bottom"/>
          </w:tcPr>
          <w:p>
            <w:pPr>
              <w:jc w:val="right"/>
              <w:ind w:right="87"/>
              <w:spacing w:after="0"/>
              <w:rPr>
                <w:sz w:val="20"/>
                <w:szCs w:val="20"/>
                <w:color w:val="auto"/>
              </w:rPr>
            </w:pPr>
            <w:r>
              <w:rPr>
                <w:rFonts w:ascii="Arial" w:cs="Arial" w:eastAsia="Arial" w:hAnsi="Arial"/>
                <w:sz w:val="14"/>
                <w:szCs w:val="14"/>
                <w:b w:val="1"/>
                <w:bCs w:val="1"/>
                <w:color w:val="6A2887"/>
              </w:rPr>
              <w:t>Last Fiscal Year</w:t>
            </w:r>
          </w:p>
        </w:tc>
        <w:tc>
          <w:tcPr>
            <w:tcW w:w="1360" w:type="dxa"/>
            <w:vAlign w:val="bottom"/>
          </w:tcPr>
          <w:p>
            <w:pPr>
              <w:jc w:val="right"/>
              <w:ind w:right="87"/>
              <w:spacing w:after="0"/>
              <w:rPr>
                <w:sz w:val="20"/>
                <w:szCs w:val="20"/>
                <w:color w:val="auto"/>
              </w:rPr>
            </w:pPr>
            <w:r>
              <w:rPr>
                <w:rFonts w:ascii="Arial" w:cs="Arial" w:eastAsia="Arial" w:hAnsi="Arial"/>
                <w:sz w:val="14"/>
                <w:szCs w:val="14"/>
                <w:b w:val="1"/>
                <w:bCs w:val="1"/>
                <w:color w:val="6A2887"/>
              </w:rPr>
              <w:t>Last Fiscal Year</w:t>
            </w:r>
          </w:p>
        </w:tc>
        <w:tc>
          <w:tcPr>
            <w:tcW w:w="1020" w:type="dxa"/>
            <w:vAlign w:val="bottom"/>
          </w:tcPr>
          <w:p>
            <w:pPr>
              <w:jc w:val="right"/>
              <w:ind w:right="107"/>
              <w:spacing w:after="0"/>
              <w:rPr>
                <w:sz w:val="20"/>
                <w:szCs w:val="20"/>
                <w:color w:val="auto"/>
              </w:rPr>
            </w:pPr>
            <w:r>
              <w:rPr>
                <w:rFonts w:ascii="Arial" w:cs="Arial" w:eastAsia="Arial" w:hAnsi="Arial"/>
                <w:sz w:val="14"/>
                <w:szCs w:val="14"/>
                <w:b w:val="1"/>
                <w:bCs w:val="1"/>
                <w:color w:val="6A2887"/>
              </w:rPr>
              <w:t>Fiscal Year</w:t>
            </w:r>
          </w:p>
        </w:tc>
        <w:tc>
          <w:tcPr>
            <w:tcW w:w="1280" w:type="dxa"/>
            <w:vAlign w:val="bottom"/>
          </w:tcPr>
          <w:p>
            <w:pPr>
              <w:jc w:val="right"/>
              <w:ind w:right="47"/>
              <w:spacing w:after="0"/>
              <w:rPr>
                <w:sz w:val="20"/>
                <w:szCs w:val="20"/>
                <w:color w:val="auto"/>
              </w:rPr>
            </w:pPr>
            <w:r>
              <w:rPr>
                <w:rFonts w:ascii="Arial" w:cs="Arial" w:eastAsia="Arial" w:hAnsi="Arial"/>
                <w:sz w:val="14"/>
                <w:szCs w:val="14"/>
                <w:b w:val="1"/>
                <w:bCs w:val="1"/>
                <w:color w:val="6A2887"/>
              </w:rPr>
              <w:t>Year</w:t>
            </w:r>
          </w:p>
        </w:tc>
        <w:tc>
          <w:tcPr>
            <w:tcW w:w="940" w:type="dxa"/>
            <w:vAlign w:val="bottom"/>
          </w:tcPr>
          <w:p>
            <w:pPr>
              <w:jc w:val="right"/>
              <w:ind w:right="27"/>
              <w:spacing w:after="0"/>
              <w:rPr>
                <w:sz w:val="20"/>
                <w:szCs w:val="20"/>
                <w:color w:val="auto"/>
              </w:rPr>
            </w:pPr>
            <w:r>
              <w:rPr>
                <w:rFonts w:ascii="Arial" w:cs="Arial" w:eastAsia="Arial" w:hAnsi="Arial"/>
                <w:sz w:val="14"/>
                <w:szCs w:val="14"/>
                <w:b w:val="1"/>
                <w:bCs w:val="1"/>
                <w:color w:val="6A2887"/>
              </w:rPr>
              <w:t>Year</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w:t>
            </w:r>
          </w:p>
        </w:tc>
        <w:tc>
          <w:tcPr>
            <w:tcW w:w="2400" w:type="dxa"/>
            <w:vAlign w:val="bottom"/>
            <w:tcBorders>
              <w:bottom w:val="single" w:sz="8" w:color="6A2887"/>
            </w:tcBorders>
          </w:tcPr>
          <w:p>
            <w:pPr>
              <w:jc w:val="right"/>
              <w:ind w:right="47"/>
              <w:spacing w:after="0"/>
              <w:rPr>
                <w:sz w:val="20"/>
                <w:szCs w:val="20"/>
                <w:color w:val="auto"/>
              </w:rPr>
            </w:pPr>
            <w:r>
              <w:rPr>
                <w:rFonts w:ascii="Arial" w:cs="Arial" w:eastAsia="Arial" w:hAnsi="Arial"/>
                <w:sz w:val="14"/>
                <w:szCs w:val="14"/>
                <w:b w:val="1"/>
                <w:bCs w:val="1"/>
                <w:color w:val="6A2887"/>
              </w:rPr>
              <w:t>($)</w:t>
            </w:r>
          </w:p>
        </w:tc>
        <w:tc>
          <w:tcPr>
            <w:tcW w:w="1360" w:type="dxa"/>
            <w:vAlign w:val="bottom"/>
            <w:tcBorders>
              <w:bottom w:val="single" w:sz="8" w:color="6A2887"/>
            </w:tcBorders>
          </w:tcPr>
          <w:p>
            <w:pPr>
              <w:jc w:val="right"/>
              <w:ind w:right="47"/>
              <w:spacing w:after="0" w:line="216" w:lineRule="exact"/>
              <w:rPr>
                <w:sz w:val="20"/>
                <w:szCs w:val="20"/>
                <w:color w:val="auto"/>
              </w:rPr>
            </w:pPr>
            <w:r>
              <w:rPr>
                <w:rFonts w:ascii="Arial" w:cs="Arial" w:eastAsia="Arial" w:hAnsi="Arial"/>
                <w:sz w:val="14"/>
                <w:szCs w:val="14"/>
                <w:b w:val="1"/>
                <w:bCs w:val="1"/>
                <w:color w:val="6A2887"/>
              </w:rPr>
              <w:t>($)</w:t>
            </w:r>
            <w:r>
              <w:rPr>
                <w:rFonts w:ascii="Arial" w:cs="Arial" w:eastAsia="Arial" w:hAnsi="Arial"/>
                <w:sz w:val="21"/>
                <w:szCs w:val="21"/>
                <w:b w:val="1"/>
                <w:bCs w:val="1"/>
                <w:color w:val="6A2887"/>
                <w:vertAlign w:val="superscript"/>
              </w:rPr>
              <w:t>(1)</w:t>
            </w:r>
          </w:p>
        </w:tc>
        <w:tc>
          <w:tcPr>
            <w:tcW w:w="1020" w:type="dxa"/>
            <w:vAlign w:val="bottom"/>
            <w:tcBorders>
              <w:bottom w:val="single" w:sz="8" w:color="6A2887"/>
            </w:tcBorders>
          </w:tcPr>
          <w:p>
            <w:pPr>
              <w:jc w:val="right"/>
              <w:ind w:right="67"/>
              <w:spacing w:after="0"/>
              <w:rPr>
                <w:sz w:val="20"/>
                <w:szCs w:val="20"/>
                <w:color w:val="auto"/>
              </w:rPr>
            </w:pPr>
            <w:r>
              <w:rPr>
                <w:rFonts w:ascii="Arial" w:cs="Arial" w:eastAsia="Arial" w:hAnsi="Arial"/>
                <w:sz w:val="14"/>
                <w:szCs w:val="14"/>
                <w:b w:val="1"/>
                <w:bCs w:val="1"/>
                <w:color w:val="6A2887"/>
              </w:rPr>
              <w:t>($)</w:t>
            </w:r>
          </w:p>
        </w:tc>
        <w:tc>
          <w:tcPr>
            <w:tcW w:w="1280" w:type="dxa"/>
            <w:vAlign w:val="bottom"/>
            <w:tcBorders>
              <w:bottom w:val="single" w:sz="8" w:color="6A2887"/>
            </w:tcBorders>
          </w:tcPr>
          <w:p>
            <w:pPr>
              <w:jc w:val="right"/>
              <w:ind w:right="47"/>
              <w:spacing w:after="0"/>
              <w:rPr>
                <w:sz w:val="20"/>
                <w:szCs w:val="20"/>
                <w:color w:val="auto"/>
              </w:rPr>
            </w:pPr>
            <w:r>
              <w:rPr>
                <w:rFonts w:ascii="Arial" w:cs="Arial" w:eastAsia="Arial" w:hAnsi="Arial"/>
                <w:sz w:val="14"/>
                <w:szCs w:val="14"/>
                <w:b w:val="1"/>
                <w:bCs w:val="1"/>
                <w:color w:val="6A2887"/>
              </w:rPr>
              <w:t>($)</w:t>
            </w:r>
          </w:p>
        </w:tc>
        <w:tc>
          <w:tcPr>
            <w:tcW w:w="9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w:t>
            </w:r>
          </w:p>
        </w:tc>
        <w:tc>
          <w:tcPr>
            <w:tcW w:w="0" w:type="dxa"/>
            <w:vAlign w:val="bottom"/>
          </w:tcPr>
          <w:p>
            <w:pPr>
              <w:spacing w:after="0"/>
              <w:rPr>
                <w:sz w:val="1"/>
                <w:szCs w:val="1"/>
                <w:color w:val="auto"/>
              </w:rPr>
            </w:pPr>
          </w:p>
        </w:tc>
      </w:tr>
      <w:tr>
        <w:trPr>
          <w:trHeight w:val="215"/>
        </w:trPr>
        <w:tc>
          <w:tcPr>
            <w:tcW w:w="2180" w:type="dxa"/>
            <w:vAlign w:val="bottom"/>
          </w:tcPr>
          <w:p>
            <w:pPr>
              <w:ind w:left="40"/>
              <w:spacing w:after="0"/>
              <w:rPr>
                <w:sz w:val="20"/>
                <w:szCs w:val="20"/>
                <w:color w:val="auto"/>
              </w:rPr>
            </w:pPr>
            <w:r>
              <w:rPr>
                <w:rFonts w:ascii="Arial" w:cs="Arial" w:eastAsia="Arial" w:hAnsi="Arial"/>
                <w:sz w:val="15"/>
                <w:szCs w:val="15"/>
                <w:color w:val="auto"/>
              </w:rPr>
              <w:t>Edward Andrle</w:t>
            </w:r>
          </w:p>
        </w:tc>
        <w:tc>
          <w:tcPr>
            <w:tcW w:w="240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47"/>
              <w:spacing w:after="0"/>
              <w:rPr>
                <w:sz w:val="20"/>
                <w:szCs w:val="20"/>
                <w:color w:val="auto"/>
              </w:rPr>
            </w:pPr>
            <w:r>
              <w:rPr>
                <w:rFonts w:ascii="Arial" w:cs="Arial" w:eastAsia="Arial" w:hAnsi="Arial"/>
                <w:sz w:val="15"/>
                <w:szCs w:val="15"/>
                <w:color w:val="auto"/>
              </w:rPr>
              <w:t>40,222</w:t>
            </w:r>
          </w:p>
        </w:tc>
        <w:tc>
          <w:tcPr>
            <w:tcW w:w="1020" w:type="dxa"/>
            <w:vAlign w:val="bottom"/>
          </w:tcPr>
          <w:p>
            <w:pPr>
              <w:jc w:val="right"/>
              <w:ind w:right="47"/>
              <w:spacing w:after="0"/>
              <w:rPr>
                <w:sz w:val="20"/>
                <w:szCs w:val="20"/>
                <w:color w:val="auto"/>
              </w:rPr>
            </w:pPr>
            <w:r>
              <w:rPr>
                <w:rFonts w:ascii="Arial" w:cs="Arial" w:eastAsia="Arial" w:hAnsi="Arial"/>
                <w:sz w:val="15"/>
                <w:szCs w:val="15"/>
                <w:color w:val="auto"/>
              </w:rPr>
              <w:t>30,254</w:t>
            </w: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169,015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(1) Represents Company contributions to the non-qualified defined contribution plan ($40,222) (see – Summary Compensation Table).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Equity Compensation Plan Information</w:t>
      </w:r>
    </w:p>
    <w:p>
      <w:pPr>
        <w:spacing w:after="0" w:line="124"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The following table presents information as of December 31, 2019 regarding equity compensation plans applicable to our employees.</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Number of</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Number of</w:t>
            </w:r>
          </w:p>
        </w:tc>
        <w:tc>
          <w:tcPr>
            <w:tcW w:w="138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securities</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securities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Weighted-</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remaining</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to be issued upon</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average</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available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exercise of</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exercise price of</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for future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outstanding</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outstanding</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issuance</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options,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options,</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under equity</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warrants and</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warrants and</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compensation</w:t>
            </w:r>
          </w:p>
        </w:tc>
      </w:tr>
      <w:tr>
        <w:trPr>
          <w:trHeight w:val="162"/>
        </w:trPr>
        <w:tc>
          <w:tcPr>
            <w:tcW w:w="4840" w:type="dxa"/>
            <w:vAlign w:val="bottom"/>
          </w:tcPr>
          <w:p>
            <w:pPr>
              <w:spacing w:after="0"/>
              <w:rPr>
                <w:sz w:val="14"/>
                <w:szCs w:val="14"/>
                <w:color w:val="auto"/>
              </w:rPr>
            </w:pPr>
          </w:p>
        </w:tc>
        <w:tc>
          <w:tcPr>
            <w:tcW w:w="1800" w:type="dxa"/>
            <w:vAlign w:val="bottom"/>
          </w:tcPr>
          <w:p>
            <w:pPr>
              <w:jc w:val="right"/>
              <w:ind w:right="87"/>
              <w:spacing w:after="0"/>
              <w:rPr>
                <w:sz w:val="20"/>
                <w:szCs w:val="20"/>
                <w:color w:val="auto"/>
              </w:rPr>
            </w:pPr>
            <w:r>
              <w:rPr>
                <w:rFonts w:ascii="Arial" w:cs="Arial" w:eastAsia="Arial" w:hAnsi="Arial"/>
                <w:sz w:val="14"/>
                <w:szCs w:val="14"/>
                <w:b w:val="1"/>
                <w:bCs w:val="1"/>
                <w:color w:val="6A2887"/>
              </w:rPr>
              <w:t>rights</w:t>
            </w:r>
          </w:p>
        </w:tc>
        <w:tc>
          <w:tcPr>
            <w:tcW w:w="1380" w:type="dxa"/>
            <w:vAlign w:val="bottom"/>
          </w:tcPr>
          <w:p>
            <w:pPr>
              <w:jc w:val="right"/>
              <w:ind w:right="87"/>
              <w:spacing w:after="0"/>
              <w:rPr>
                <w:sz w:val="20"/>
                <w:szCs w:val="20"/>
                <w:color w:val="auto"/>
              </w:rPr>
            </w:pPr>
            <w:r>
              <w:rPr>
                <w:rFonts w:ascii="Arial" w:cs="Arial" w:eastAsia="Arial" w:hAnsi="Arial"/>
                <w:sz w:val="14"/>
                <w:szCs w:val="14"/>
                <w:b w:val="1"/>
                <w:bCs w:val="1"/>
                <w:color w:val="6A2887"/>
              </w:rPr>
              <w:t>rights</w:t>
            </w:r>
          </w:p>
        </w:tc>
        <w:tc>
          <w:tcPr>
            <w:tcW w:w="1160" w:type="dxa"/>
            <w:vAlign w:val="bottom"/>
          </w:tcPr>
          <w:p>
            <w:pPr>
              <w:jc w:val="right"/>
              <w:ind w:right="27"/>
              <w:spacing w:after="0"/>
              <w:rPr>
                <w:sz w:val="20"/>
                <w:szCs w:val="20"/>
                <w:color w:val="auto"/>
              </w:rPr>
            </w:pPr>
            <w:r>
              <w:rPr>
                <w:rFonts w:ascii="Arial" w:cs="Arial" w:eastAsia="Arial" w:hAnsi="Arial"/>
                <w:sz w:val="14"/>
                <w:szCs w:val="14"/>
                <w:b w:val="1"/>
                <w:bCs w:val="1"/>
                <w:color w:val="6A2887"/>
              </w:rPr>
              <w:t>plans</w:t>
            </w:r>
          </w:p>
        </w:tc>
      </w:tr>
      <w:tr>
        <w:trPr>
          <w:trHeight w:val="196"/>
        </w:trPr>
        <w:tc>
          <w:tcPr>
            <w:tcW w:w="484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Plan category</w:t>
            </w:r>
          </w:p>
        </w:tc>
        <w:tc>
          <w:tcPr>
            <w:tcW w:w="1800" w:type="dxa"/>
            <w:vAlign w:val="bottom"/>
            <w:tcBorders>
              <w:bottom w:val="single" w:sz="8" w:color="6A2887"/>
            </w:tcBorders>
          </w:tcPr>
          <w:p>
            <w:pPr>
              <w:jc w:val="right"/>
              <w:ind w:right="47"/>
              <w:spacing w:after="0"/>
              <w:rPr>
                <w:sz w:val="20"/>
                <w:szCs w:val="20"/>
                <w:color w:val="auto"/>
              </w:rPr>
            </w:pPr>
            <w:r>
              <w:rPr>
                <w:rFonts w:ascii="Arial" w:cs="Arial" w:eastAsia="Arial" w:hAnsi="Arial"/>
                <w:sz w:val="14"/>
                <w:szCs w:val="14"/>
                <w:b w:val="1"/>
                <w:bCs w:val="1"/>
                <w:color w:val="6A2887"/>
              </w:rPr>
              <w:t>(#)</w:t>
            </w:r>
          </w:p>
        </w:tc>
        <w:tc>
          <w:tcPr>
            <w:tcW w:w="1380" w:type="dxa"/>
            <w:vAlign w:val="bottom"/>
            <w:tcBorders>
              <w:bottom w:val="single" w:sz="8" w:color="6A2887"/>
            </w:tcBorders>
          </w:tcPr>
          <w:p>
            <w:pPr>
              <w:jc w:val="right"/>
              <w:ind w:right="47"/>
              <w:spacing w:after="0"/>
              <w:rPr>
                <w:sz w:val="20"/>
                <w:szCs w:val="20"/>
                <w:color w:val="auto"/>
              </w:rPr>
            </w:pPr>
            <w:r>
              <w:rPr>
                <w:rFonts w:ascii="Arial" w:cs="Arial" w:eastAsia="Arial" w:hAnsi="Arial"/>
                <w:sz w:val="14"/>
                <w:szCs w:val="14"/>
                <w:b w:val="1"/>
                <w:bCs w:val="1"/>
                <w:color w:val="6A2887"/>
              </w:rPr>
              <w:t>($)</w:t>
            </w:r>
          </w:p>
        </w:tc>
        <w:tc>
          <w:tcPr>
            <w:tcW w:w="116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w:t>
            </w:r>
          </w:p>
        </w:tc>
      </w:tr>
      <w:tr>
        <w:trPr>
          <w:trHeight w:val="221"/>
        </w:trPr>
        <w:tc>
          <w:tcPr>
            <w:tcW w:w="4840" w:type="dxa"/>
            <w:vAlign w:val="bottom"/>
          </w:tcPr>
          <w:p>
            <w:pPr>
              <w:ind w:left="40"/>
              <w:spacing w:after="0"/>
              <w:rPr>
                <w:sz w:val="20"/>
                <w:szCs w:val="20"/>
                <w:color w:val="auto"/>
              </w:rPr>
            </w:pPr>
            <w:r>
              <w:rPr>
                <w:rFonts w:ascii="Arial" w:cs="Arial" w:eastAsia="Arial" w:hAnsi="Arial"/>
                <w:sz w:val="15"/>
                <w:szCs w:val="15"/>
                <w:b w:val="1"/>
                <w:bCs w:val="1"/>
                <w:color w:val="auto"/>
              </w:rPr>
              <w:t>Equity compensation plans approved by security holders</w:t>
            </w: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
        </w:trPr>
        <w:tc>
          <w:tcPr>
            <w:tcW w:w="4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97"/>
        </w:trPr>
        <w:tc>
          <w:tcPr>
            <w:tcW w:w="4840" w:type="dxa"/>
            <w:vAlign w:val="bottom"/>
            <w:shd w:val="clear" w:color="auto" w:fill="EFE9FC"/>
          </w:tcPr>
          <w:p>
            <w:pPr>
              <w:ind w:left="200"/>
              <w:spacing w:after="0"/>
              <w:rPr>
                <w:sz w:val="20"/>
                <w:szCs w:val="20"/>
                <w:color w:val="auto"/>
              </w:rPr>
            </w:pPr>
            <w:r>
              <w:rPr>
                <w:rFonts w:ascii="Arial" w:cs="Arial" w:eastAsia="Arial" w:hAnsi="Arial"/>
                <w:sz w:val="15"/>
                <w:szCs w:val="15"/>
                <w:color w:val="auto"/>
              </w:rPr>
              <w:t>LivaNova PLC 2015 Incentive Award Plan and Sub-Plan</w:t>
            </w:r>
            <w:r>
              <w:rPr>
                <w:rFonts w:ascii="Arial" w:cs="Arial" w:eastAsia="Arial" w:hAnsi="Arial"/>
                <w:sz w:val="23"/>
                <w:szCs w:val="23"/>
                <w:color w:val="auto"/>
                <w:vertAlign w:val="superscript"/>
              </w:rPr>
              <w:t>(1)</w:t>
            </w:r>
          </w:p>
        </w:tc>
        <w:tc>
          <w:tcPr>
            <w:tcW w:w="1800" w:type="dxa"/>
            <w:vAlign w:val="bottom"/>
            <w:shd w:val="clear" w:color="auto" w:fill="EFE9FC"/>
          </w:tcPr>
          <w:p>
            <w:pPr>
              <w:jc w:val="right"/>
              <w:ind w:right="47"/>
              <w:spacing w:after="0"/>
              <w:rPr>
                <w:sz w:val="20"/>
                <w:szCs w:val="20"/>
                <w:color w:val="auto"/>
              </w:rPr>
            </w:pPr>
            <w:r>
              <w:rPr>
                <w:rFonts w:ascii="Arial" w:cs="Arial" w:eastAsia="Arial" w:hAnsi="Arial"/>
                <w:sz w:val="15"/>
                <w:szCs w:val="15"/>
                <w:color w:val="auto"/>
              </w:rPr>
              <w:t>2,788,448</w:t>
            </w:r>
          </w:p>
        </w:tc>
        <w:tc>
          <w:tcPr>
            <w:tcW w:w="1380" w:type="dxa"/>
            <w:vAlign w:val="bottom"/>
            <w:shd w:val="clear" w:color="auto" w:fill="EFE9FC"/>
          </w:tcPr>
          <w:p>
            <w:pPr>
              <w:jc w:val="right"/>
              <w:ind w:right="47"/>
              <w:spacing w:after="0"/>
              <w:rPr>
                <w:sz w:val="20"/>
                <w:szCs w:val="20"/>
                <w:color w:val="auto"/>
              </w:rPr>
            </w:pPr>
            <w:r>
              <w:rPr>
                <w:rFonts w:ascii="Arial" w:cs="Arial" w:eastAsia="Arial" w:hAnsi="Arial"/>
                <w:sz w:val="15"/>
                <w:szCs w:val="15"/>
                <w:color w:val="auto"/>
              </w:rPr>
              <w:t>77.06</w:t>
            </w:r>
          </w:p>
        </w:tc>
        <w:tc>
          <w:tcPr>
            <w:tcW w:w="1160" w:type="dxa"/>
            <w:vAlign w:val="bottom"/>
            <w:shd w:val="clear" w:color="auto" w:fill="EFE9FC"/>
          </w:tcPr>
          <w:p>
            <w:pPr>
              <w:jc w:val="right"/>
              <w:spacing w:after="0"/>
              <w:rPr>
                <w:sz w:val="20"/>
                <w:szCs w:val="20"/>
                <w:color w:val="auto"/>
              </w:rPr>
            </w:pPr>
            <w:r>
              <w:rPr>
                <w:rFonts w:ascii="Arial" w:cs="Arial" w:eastAsia="Arial" w:hAnsi="Arial"/>
                <w:sz w:val="15"/>
                <w:szCs w:val="15"/>
                <w:color w:val="auto"/>
              </w:rPr>
              <w:t>4,903,894</w:t>
            </w:r>
          </w:p>
        </w:tc>
      </w:tr>
      <w:tr>
        <w:trPr>
          <w:trHeight w:val="270"/>
        </w:trPr>
        <w:tc>
          <w:tcPr>
            <w:tcW w:w="4840" w:type="dxa"/>
            <w:vAlign w:val="bottom"/>
          </w:tcPr>
          <w:p>
            <w:pPr>
              <w:ind w:left="200"/>
              <w:spacing w:after="0"/>
              <w:rPr>
                <w:sz w:val="20"/>
                <w:szCs w:val="20"/>
                <w:color w:val="auto"/>
              </w:rPr>
            </w:pPr>
            <w:r>
              <w:rPr>
                <w:rFonts w:ascii="Arial" w:cs="Arial" w:eastAsia="Arial" w:hAnsi="Arial"/>
                <w:sz w:val="15"/>
                <w:szCs w:val="15"/>
                <w:color w:val="auto"/>
              </w:rPr>
              <w:t>Cyberonics Legacy Plans</w:t>
            </w:r>
            <w:r>
              <w:rPr>
                <w:rFonts w:ascii="Arial" w:cs="Arial" w:eastAsia="Arial" w:hAnsi="Arial"/>
                <w:sz w:val="23"/>
                <w:szCs w:val="23"/>
                <w:color w:val="auto"/>
                <w:vertAlign w:val="superscript"/>
              </w:rPr>
              <w:t>(2)</w:t>
            </w:r>
          </w:p>
        </w:tc>
        <w:tc>
          <w:tcPr>
            <w:tcW w:w="1800" w:type="dxa"/>
            <w:vAlign w:val="bottom"/>
          </w:tcPr>
          <w:p>
            <w:pPr>
              <w:jc w:val="right"/>
              <w:ind w:right="47"/>
              <w:spacing w:after="0"/>
              <w:rPr>
                <w:sz w:val="20"/>
                <w:szCs w:val="20"/>
                <w:color w:val="auto"/>
              </w:rPr>
            </w:pPr>
            <w:r>
              <w:rPr>
                <w:rFonts w:ascii="Arial" w:cs="Arial" w:eastAsia="Arial" w:hAnsi="Arial"/>
                <w:sz w:val="15"/>
                <w:szCs w:val="15"/>
                <w:color w:val="auto"/>
              </w:rPr>
              <w:t>235,844</w:t>
            </w:r>
          </w:p>
        </w:tc>
        <w:tc>
          <w:tcPr>
            <w:tcW w:w="1380" w:type="dxa"/>
            <w:vAlign w:val="bottom"/>
          </w:tcPr>
          <w:p>
            <w:pPr>
              <w:jc w:val="right"/>
              <w:ind w:right="47"/>
              <w:spacing w:after="0"/>
              <w:rPr>
                <w:sz w:val="20"/>
                <w:szCs w:val="20"/>
                <w:color w:val="auto"/>
              </w:rPr>
            </w:pPr>
            <w:r>
              <w:rPr>
                <w:rFonts w:ascii="Arial" w:cs="Arial" w:eastAsia="Arial" w:hAnsi="Arial"/>
                <w:sz w:val="15"/>
                <w:szCs w:val="15"/>
                <w:color w:val="auto"/>
              </w:rPr>
              <w:t>52.10</w:t>
            </w:r>
          </w:p>
        </w:tc>
        <w:tc>
          <w:tcPr>
            <w:tcW w:w="1160" w:type="dxa"/>
            <w:vAlign w:val="bottom"/>
          </w:tcPr>
          <w:p>
            <w:pPr>
              <w:jc w:val="right"/>
              <w:spacing w:after="0"/>
              <w:rPr>
                <w:sz w:val="20"/>
                <w:szCs w:val="20"/>
                <w:color w:val="auto"/>
              </w:rPr>
            </w:pPr>
            <w:r>
              <w:rPr>
                <w:rFonts w:ascii="Arial" w:cs="Arial" w:eastAsia="Arial" w:hAnsi="Arial"/>
                <w:sz w:val="15"/>
                <w:szCs w:val="15"/>
                <w:color w:val="auto"/>
              </w:rPr>
              <w:t>1,855,720</w:t>
            </w:r>
          </w:p>
        </w:tc>
      </w:tr>
      <w:tr>
        <w:trPr>
          <w:trHeight w:val="264"/>
        </w:trPr>
        <w:tc>
          <w:tcPr>
            <w:tcW w:w="48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b w:val="1"/>
                <w:bCs w:val="1"/>
                <w:color w:val="auto"/>
              </w:rPr>
              <w:t>Equity compensation plans not approved by security holders</w:t>
            </w:r>
          </w:p>
        </w:tc>
        <w:tc>
          <w:tcPr>
            <w:tcW w:w="1800" w:type="dxa"/>
            <w:vAlign w:val="bottom"/>
            <w:tcBorders>
              <w:bottom w:val="single" w:sz="8" w:color="EFE9FC"/>
            </w:tcBorders>
            <w:shd w:val="clear" w:color="auto" w:fill="EFE9FC"/>
          </w:tcPr>
          <w:p>
            <w:pPr>
              <w:spacing w:after="0"/>
              <w:rPr>
                <w:sz w:val="22"/>
                <w:szCs w:val="22"/>
                <w:color w:val="auto"/>
              </w:rPr>
            </w:pPr>
          </w:p>
        </w:tc>
        <w:tc>
          <w:tcPr>
            <w:tcW w:w="1380" w:type="dxa"/>
            <w:vAlign w:val="bottom"/>
            <w:tcBorders>
              <w:bottom w:val="single" w:sz="8" w:color="EFE9FC"/>
            </w:tcBorders>
            <w:shd w:val="clear" w:color="auto" w:fill="EFE9FC"/>
          </w:tcPr>
          <w:p>
            <w:pPr>
              <w:spacing w:after="0"/>
              <w:rPr>
                <w:sz w:val="22"/>
                <w:szCs w:val="22"/>
                <w:color w:val="auto"/>
              </w:rPr>
            </w:pPr>
          </w:p>
        </w:tc>
        <w:tc>
          <w:tcPr>
            <w:tcW w:w="1160" w:type="dxa"/>
            <w:vAlign w:val="bottom"/>
            <w:tcBorders>
              <w:bottom w:val="single" w:sz="8" w:color="EFE9FC"/>
            </w:tcBorders>
            <w:shd w:val="clear" w:color="auto" w:fill="EFE9FC"/>
          </w:tcPr>
          <w:p>
            <w:pPr>
              <w:spacing w:after="0"/>
              <w:rPr>
                <w:sz w:val="22"/>
                <w:szCs w:val="22"/>
                <w:color w:val="auto"/>
              </w:rPr>
            </w:pPr>
          </w:p>
        </w:tc>
      </w:tr>
      <w:tr>
        <w:trPr>
          <w:trHeight w:val="270"/>
        </w:trPr>
        <w:tc>
          <w:tcPr>
            <w:tcW w:w="4840" w:type="dxa"/>
            <w:vAlign w:val="bottom"/>
          </w:tcPr>
          <w:p>
            <w:pPr>
              <w:ind w:left="200"/>
              <w:spacing w:after="0"/>
              <w:rPr>
                <w:sz w:val="20"/>
                <w:szCs w:val="20"/>
                <w:color w:val="auto"/>
              </w:rPr>
            </w:pPr>
            <w:r>
              <w:rPr>
                <w:rFonts w:ascii="Arial" w:cs="Arial" w:eastAsia="Arial" w:hAnsi="Arial"/>
                <w:sz w:val="15"/>
                <w:szCs w:val="15"/>
                <w:color w:val="auto"/>
              </w:rPr>
              <w:t>Cyberonics, Inc. New Employee Equity Inducement Plan</w:t>
            </w:r>
            <w:r>
              <w:rPr>
                <w:rFonts w:ascii="Arial" w:cs="Arial" w:eastAsia="Arial" w:hAnsi="Arial"/>
                <w:sz w:val="23"/>
                <w:szCs w:val="23"/>
                <w:color w:val="auto"/>
                <w:vertAlign w:val="superscript"/>
              </w:rPr>
              <w:t>(4)</w:t>
            </w:r>
          </w:p>
        </w:tc>
        <w:tc>
          <w:tcPr>
            <w:tcW w:w="1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290,185</w:t>
            </w:r>
          </w:p>
        </w:tc>
      </w:tr>
      <w:tr>
        <w:trPr>
          <w:trHeight w:val="250"/>
        </w:trPr>
        <w:tc>
          <w:tcPr>
            <w:tcW w:w="484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b w:val="1"/>
                <w:bCs w:val="1"/>
                <w:color w:val="auto"/>
              </w:rPr>
              <w:t>Total</w:t>
            </w:r>
          </w:p>
        </w:tc>
        <w:tc>
          <w:tcPr>
            <w:tcW w:w="1800" w:type="dxa"/>
            <w:vAlign w:val="bottom"/>
            <w:tcBorders>
              <w:bottom w:val="single" w:sz="8" w:color="EFE9FC"/>
            </w:tcBorders>
            <w:shd w:val="clear" w:color="auto" w:fill="EFE9FC"/>
          </w:tcPr>
          <w:p>
            <w:pPr>
              <w:jc w:val="right"/>
              <w:ind w:right="47"/>
              <w:spacing w:after="0"/>
              <w:rPr>
                <w:sz w:val="20"/>
                <w:szCs w:val="20"/>
                <w:color w:val="auto"/>
              </w:rPr>
            </w:pPr>
            <w:r>
              <w:rPr>
                <w:rFonts w:ascii="Arial" w:cs="Arial" w:eastAsia="Arial" w:hAnsi="Arial"/>
                <w:sz w:val="15"/>
                <w:szCs w:val="15"/>
                <w:color w:val="auto"/>
              </w:rPr>
              <w:t>3,024,292</w:t>
            </w:r>
          </w:p>
        </w:tc>
        <w:tc>
          <w:tcPr>
            <w:tcW w:w="1380" w:type="dxa"/>
            <w:vAlign w:val="bottom"/>
            <w:tcBorders>
              <w:bottom w:val="single" w:sz="8" w:color="EFE9FC"/>
            </w:tcBorders>
            <w:shd w:val="clear" w:color="auto" w:fill="EFE9FC"/>
          </w:tcPr>
          <w:p>
            <w:pPr>
              <w:jc w:val="right"/>
              <w:ind w:right="47"/>
              <w:spacing w:after="0"/>
              <w:rPr>
                <w:sz w:val="20"/>
                <w:szCs w:val="20"/>
                <w:color w:val="auto"/>
              </w:rPr>
            </w:pPr>
            <w:r>
              <w:rPr>
                <w:rFonts w:ascii="Arial" w:cs="Arial" w:eastAsia="Arial" w:hAnsi="Arial"/>
                <w:sz w:val="15"/>
                <w:szCs w:val="15"/>
                <w:color w:val="auto"/>
              </w:rPr>
              <w:t>64.58</w:t>
            </w:r>
          </w:p>
        </w:tc>
        <w:tc>
          <w:tcPr>
            <w:tcW w:w="11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7,049,799</w:t>
            </w:r>
          </w:p>
        </w:tc>
      </w:tr>
      <w:tr>
        <w:trPr>
          <w:trHeight w:val="20"/>
        </w:trPr>
        <w:tc>
          <w:tcPr>
            <w:tcW w:w="4840" w:type="dxa"/>
            <w:vAlign w:val="bottom"/>
            <w:shd w:val="clear" w:color="auto" w:fill="6A2887"/>
          </w:tcPr>
          <w:p>
            <w:pPr>
              <w:spacing w:after="0" w:line="20" w:lineRule="exact"/>
              <w:rPr>
                <w:sz w:val="1"/>
                <w:szCs w:val="1"/>
                <w:color w:val="auto"/>
              </w:rPr>
            </w:pPr>
          </w:p>
        </w:tc>
        <w:tc>
          <w:tcPr>
            <w:tcW w:w="1800" w:type="dxa"/>
            <w:vAlign w:val="bottom"/>
            <w:shd w:val="clear" w:color="auto" w:fill="6A2887"/>
          </w:tcPr>
          <w:p>
            <w:pPr>
              <w:spacing w:after="0" w:line="20" w:lineRule="exact"/>
              <w:rPr>
                <w:sz w:val="1"/>
                <w:szCs w:val="1"/>
                <w:color w:val="auto"/>
              </w:rPr>
            </w:pPr>
          </w:p>
        </w:tc>
        <w:tc>
          <w:tcPr>
            <w:tcW w:w="1380" w:type="dxa"/>
            <w:vAlign w:val="bottom"/>
            <w:shd w:val="clear" w:color="auto" w:fill="6A2887"/>
          </w:tcPr>
          <w:p>
            <w:pPr>
              <w:spacing w:after="0" w:line="20" w:lineRule="exact"/>
              <w:rPr>
                <w:sz w:val="1"/>
                <w:szCs w:val="1"/>
                <w:color w:val="auto"/>
              </w:rPr>
            </w:pPr>
          </w:p>
        </w:tc>
        <w:tc>
          <w:tcPr>
            <w:tcW w:w="1160" w:type="dxa"/>
            <w:vAlign w:val="bottom"/>
            <w:shd w:val="clear" w:color="auto" w:fill="6A2887"/>
          </w:tcPr>
          <w:p>
            <w:pPr>
              <w:spacing w:after="0" w:line="20" w:lineRule="exact"/>
              <w:rPr>
                <w:sz w:val="1"/>
                <w:szCs w:val="1"/>
                <w:color w:val="auto"/>
              </w:rPr>
            </w:pPr>
          </w:p>
        </w:tc>
      </w:tr>
    </w:tbl>
    <w:p>
      <w:pPr>
        <w:spacing w:after="0" w:line="115" w:lineRule="exact"/>
        <w:rPr>
          <w:sz w:val="20"/>
          <w:szCs w:val="20"/>
          <w:color w:val="auto"/>
        </w:rPr>
      </w:pPr>
    </w:p>
    <w:p>
      <w:pPr>
        <w:sectPr>
          <w:pgSz w:w="11900" w:h="16838" w:orient="portrait"/>
          <w:cols w:equalWidth="0" w:num="1">
            <w:col w:w="10180"/>
          </w:cols>
          <w:pgMar w:left="320" w:top="132" w:right="1399" w:bottom="1440" w:gutter="0" w:footer="0" w:header="0"/>
        </w:sect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339" w:hanging="216"/>
        <w:spacing w:after="0" w:line="253" w:lineRule="auto"/>
        <w:tabs>
          <w:tab w:leader="none" w:pos="98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The LivaNova 2015 Incentive Award Plan and the Sub-Plan were approved by our Board and our sole shareholder, effective on October 16, 2015. Amounts represent the number of LivaNova Shares issuable upon the exercise or settlement of outstanding SARs (1,979,011) and RSUs (809,437), as granted under the LivaNova 2015 Incentive Award Plan as of December 31, 2019.</w:t>
      </w:r>
    </w:p>
    <w:p>
      <w:pPr>
        <w:ind w:left="980" w:right="259" w:hanging="216"/>
        <w:spacing w:after="0" w:line="242" w:lineRule="auto"/>
        <w:tabs>
          <w:tab w:leader="none" w:pos="98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2019. Based on the unused share reserve of the assumed Cyberonics, Inc. 2009 Stock Plan, there remain 1,855,720 LivaNova Shares available for issuance thereunder, as converted in connection with the above-described merger Transaction.</w:t>
      </w:r>
    </w:p>
    <w:p>
      <w:pPr>
        <w:spacing w:after="0" w:line="4" w:lineRule="exact"/>
        <w:rPr>
          <w:rFonts w:ascii="Arial" w:cs="Arial" w:eastAsia="Arial" w:hAnsi="Arial"/>
          <w:sz w:val="13"/>
          <w:szCs w:val="13"/>
          <w:i w:val="1"/>
          <w:iCs w:val="1"/>
          <w:color w:val="auto"/>
        </w:rPr>
      </w:pPr>
    </w:p>
    <w:p>
      <w:pPr>
        <w:ind w:left="980" w:right="259" w:hanging="216"/>
        <w:spacing w:after="0" w:line="248" w:lineRule="auto"/>
        <w:tabs>
          <w:tab w:leader="none" w:pos="980" w:val="left"/>
        </w:tabs>
        <w:numPr>
          <w:ilvl w:val="0"/>
          <w:numId w:val="67"/>
        </w:numPr>
        <w:rPr>
          <w:rFonts w:ascii="Arial" w:cs="Arial" w:eastAsia="Arial" w:hAnsi="Arial"/>
          <w:sz w:val="13"/>
          <w:szCs w:val="13"/>
          <w:i w:val="1"/>
          <w:iCs w:val="1"/>
          <w:color w:val="auto"/>
        </w:rPr>
      </w:pPr>
      <w:r>
        <w:rPr>
          <w:rFonts w:ascii="Arial" w:cs="Arial" w:eastAsia="Arial" w:hAnsi="Arial"/>
          <w:sz w:val="13"/>
          <w:szCs w:val="13"/>
          <w:i w:val="1"/>
          <w:iCs w:val="1"/>
          <w:color w:val="auto"/>
        </w:rPr>
        <w:t>The Cyberonics, Inc. New Employee Equity Inducement Plan (“New Employee Plan”) was not approved by the shareholders of Cyberonics. The New Employee Plan provides for the award of unrestricted shares, restricted stock and stock options to newly 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w:t>
      </w:r>
    </w:p>
    <w:p>
      <w:pPr>
        <w:spacing w:after="0" w:line="24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139" w:lineRule="exact"/>
        <w:rPr>
          <w:sz w:val="20"/>
          <w:szCs w:val="20"/>
          <w:color w:val="auto"/>
        </w:rPr>
      </w:pPr>
    </w:p>
    <w:p>
      <w:pPr>
        <w:ind w:left="760" w:right="199"/>
        <w:spacing w:after="0" w:line="251" w:lineRule="auto"/>
        <w:rPr>
          <w:sz w:val="20"/>
          <w:szCs w:val="20"/>
          <w:color w:val="auto"/>
        </w:rPr>
      </w:pPr>
      <w:r>
        <w:rPr>
          <w:rFonts w:ascii="Arial" w:cs="Arial" w:eastAsia="Arial" w:hAnsi="Arial"/>
          <w:sz w:val="16"/>
          <w:szCs w:val="16"/>
          <w:color w:val="auto"/>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 times, as circumstances dictate, we also enter into additional separation arrangements with departing executive officers.</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Employment agreements and any additional separation arrangements for departing NEOs are set out below.</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Damien McDonald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Following Mr. McDonald’s appointment as Chief Executive Officer with effect from January 1, 2017, the Compensation Committee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February 22, 2017 approved a service agreement with Mr. McDonald. Mr. McDonald’s annual base salary was £731,500</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($933,202) as of April 1, 2019 and an opportunity to earn an annual cash incentive bonus with a target amount equal to 125% of</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his annual base salary (effective April 2019). In addition, we agreed to pay Mr. McDonald an annual housing allowance for a period</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of five years, commencing at £150,000 ($191,361) for 2017 and decreasing by £30,000 ($38,272) each year for the succeeding</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four years, an annual school allowance for a period of five years, commencing at £31,950 ($40,760) for 2017 and decreasing by</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£6,390 ($8,152) each year for the succeeding four years, an annual car allowance of £17,750 ($22,644) and pension contributions</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equal to 15% of the sum of his base salary and annual bonus under our STIP. Mr. McDonald is also eligible to participate in 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employee benefit plans made available to all our UK-based employees. Mr. McDonald was also issued a letter dated February 22,</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2017 confirming that the Company would recommend to the Compensation Committee annual equity awards but underscoring that</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any such awards remain in the absolute discretion of the Compensation Committee.</w:t>
      </w:r>
    </w:p>
    <w:p>
      <w:pPr>
        <w:spacing w:after="0" w:line="100" w:lineRule="exact"/>
        <w:rPr>
          <w:sz w:val="20"/>
          <w:szCs w:val="20"/>
          <w:color w:val="auto"/>
        </w:rPr>
      </w:pPr>
    </w:p>
    <w:p>
      <w:pPr>
        <w:ind w:left="760" w:right="359"/>
        <w:spacing w:after="0" w:line="260" w:lineRule="auto"/>
        <w:rPr>
          <w:sz w:val="20"/>
          <w:szCs w:val="20"/>
          <w:color w:val="auto"/>
        </w:rPr>
      </w:pPr>
      <w:r>
        <w:rPr>
          <w:rFonts w:ascii="Arial" w:cs="Arial" w:eastAsia="Arial" w:hAnsi="Arial"/>
          <w:sz w:val="16"/>
          <w:szCs w:val="16"/>
          <w:color w:val="auto"/>
        </w:rPr>
        <w:t>Certain provisions of Mr. McDonald’s service agreement will continue in effect until the expiration of 12 months following notice of termination. The Company’s policy is not to have any notice period exceed 12 months.</w:t>
      </w:r>
    </w:p>
    <w:p>
      <w:pPr>
        <w:spacing w:after="0" w:line="60" w:lineRule="exact"/>
        <w:rPr>
          <w:sz w:val="20"/>
          <w:szCs w:val="20"/>
          <w:color w:val="auto"/>
        </w:rPr>
      </w:pPr>
    </w:p>
    <w:p>
      <w:pPr>
        <w:ind w:left="760" w:right="399"/>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McDonald assuming a termination or change-in-control event had occurred on December 31, 2019.</w:t>
      </w:r>
    </w:p>
    <w:p>
      <w:pPr>
        <w:spacing w:after="0" w:line="140"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600" w:type="dxa"/>
            <w:vAlign w:val="bottom"/>
          </w:tcPr>
          <w:p>
            <w:pPr>
              <w:ind w:left="40"/>
              <w:spacing w:after="0"/>
              <w:rPr>
                <w:sz w:val="20"/>
                <w:szCs w:val="20"/>
                <w:color w:val="auto"/>
              </w:rPr>
            </w:pPr>
            <w:r>
              <w:rPr>
                <w:rFonts w:ascii="Arial" w:cs="Arial" w:eastAsia="Arial" w:hAnsi="Arial"/>
                <w:sz w:val="14"/>
                <w:szCs w:val="14"/>
                <w:b w:val="1"/>
                <w:bCs w:val="1"/>
                <w:color w:val="6A2887"/>
              </w:rPr>
              <w:t>Type of Payment</w:t>
            </w:r>
          </w:p>
        </w:tc>
        <w:tc>
          <w:tcPr>
            <w:tcW w:w="168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6A2887"/>
              </w:rPr>
              <w:t>Termination</w:t>
            </w:r>
          </w:p>
        </w:tc>
        <w:tc>
          <w:tcPr>
            <w:tcW w:w="158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r>
      <w:tr>
        <w:trPr>
          <w:trHeight w:val="216"/>
        </w:trPr>
        <w:tc>
          <w:tcPr>
            <w:tcW w:w="16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or Benefit</w:t>
            </w:r>
          </w:p>
        </w:tc>
        <w:tc>
          <w:tcPr>
            <w:tcW w:w="1680" w:type="dxa"/>
            <w:vAlign w:val="bottom"/>
            <w:tcBorders>
              <w:bottom w:val="single" w:sz="8" w:color="6A2887"/>
            </w:tcBorders>
            <w:gridSpan w:val="2"/>
          </w:tcPr>
          <w:p>
            <w:pPr>
              <w:jc w:val="right"/>
              <w:ind w:right="64"/>
              <w:spacing w:after="0" w:line="216" w:lineRule="exact"/>
              <w:rPr>
                <w:sz w:val="20"/>
                <w:szCs w:val="20"/>
                <w:color w:val="auto"/>
              </w:rPr>
            </w:pPr>
            <w:r>
              <w:rPr>
                <w:rFonts w:ascii="Arial" w:cs="Arial" w:eastAsia="Arial" w:hAnsi="Arial"/>
                <w:sz w:val="14"/>
                <w:szCs w:val="14"/>
                <w:b w:val="1"/>
                <w:bCs w:val="1"/>
                <w:color w:val="6A2887"/>
              </w:rPr>
              <w:t>without Cause</w:t>
            </w:r>
            <w:r>
              <w:rPr>
                <w:rFonts w:ascii="Arial" w:cs="Arial" w:eastAsia="Arial" w:hAnsi="Arial"/>
                <w:sz w:val="21"/>
                <w:szCs w:val="21"/>
                <w:b w:val="1"/>
                <w:bCs w:val="1"/>
                <w:color w:val="6A2887"/>
                <w:vertAlign w:val="superscript"/>
              </w:rPr>
              <w:t>(1)</w:t>
            </w:r>
          </w:p>
        </w:tc>
        <w:tc>
          <w:tcPr>
            <w:tcW w:w="158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Disability</w:t>
            </w:r>
            <w:r>
              <w:rPr>
                <w:rFonts w:ascii="Arial" w:cs="Arial" w:eastAsia="Arial" w:hAnsi="Arial"/>
                <w:sz w:val="21"/>
                <w:szCs w:val="21"/>
                <w:b w:val="1"/>
                <w:bCs w:val="1"/>
                <w:color w:val="6A2887"/>
                <w:vertAlign w:val="superscript"/>
              </w:rPr>
              <w:t>(3)</w:t>
            </w:r>
          </w:p>
        </w:tc>
        <w:tc>
          <w:tcPr>
            <w:tcW w:w="14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(4)</w:t>
            </w:r>
          </w:p>
        </w:tc>
        <w:tc>
          <w:tcPr>
            <w:tcW w:w="1400" w:type="dxa"/>
            <w:vAlign w:val="bottom"/>
            <w:tcBorders>
              <w:bottom w:val="single" w:sz="8" w:color="6A2887"/>
            </w:tcBorders>
          </w:tcPr>
          <w:p>
            <w:pPr>
              <w:ind w:left="600"/>
              <w:spacing w:after="0"/>
              <w:rPr>
                <w:sz w:val="20"/>
                <w:szCs w:val="20"/>
                <w:color w:val="auto"/>
              </w:rPr>
            </w:pPr>
            <w:r>
              <w:rPr>
                <w:rFonts w:ascii="Arial" w:cs="Arial" w:eastAsia="Arial" w:hAnsi="Arial"/>
                <w:sz w:val="14"/>
                <w:szCs w:val="14"/>
                <w:b w:val="1"/>
                <w:bCs w:val="1"/>
                <w:color w:val="6A2887"/>
              </w:rPr>
              <w:t>Retirement</w:t>
            </w:r>
          </w:p>
        </w:tc>
      </w:tr>
      <w:tr>
        <w:trPr>
          <w:trHeight w:val="215"/>
        </w:trPr>
        <w:tc>
          <w:tcPr>
            <w:tcW w:w="1600" w:type="dxa"/>
            <w:vAlign w:val="bottom"/>
          </w:tcPr>
          <w:p>
            <w:pPr>
              <w:ind w:left="40"/>
              <w:spacing w:after="0"/>
              <w:rPr>
                <w:sz w:val="20"/>
                <w:szCs w:val="20"/>
                <w:color w:val="auto"/>
              </w:rPr>
            </w:pPr>
            <w:r>
              <w:rPr>
                <w:rFonts w:ascii="Arial" w:cs="Arial" w:eastAsia="Arial" w:hAnsi="Arial"/>
                <w:sz w:val="15"/>
                <w:szCs w:val="15"/>
                <w:color w:val="auto"/>
              </w:rPr>
              <w:t>Severance</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933,202</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$ 3,732,809</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860" w:type="dxa"/>
            <w:vAlign w:val="bottom"/>
            <w:tcBorders>
              <w:bottom w:val="single" w:sz="8" w:color="EFE9FC"/>
            </w:tcBorders>
            <w:shd w:val="clear" w:color="auto" w:fill="EFE9FC"/>
          </w:tcPr>
          <w:p>
            <w:pPr>
              <w:spacing w:after="0"/>
              <w:rPr>
                <w:sz w:val="21"/>
                <w:szCs w:val="21"/>
                <w:color w:val="auto"/>
              </w:rPr>
            </w:pPr>
          </w:p>
        </w:tc>
        <w:tc>
          <w:tcPr>
            <w:tcW w:w="820" w:type="dxa"/>
            <w:vAlign w:val="bottom"/>
            <w:tcBorders>
              <w:bottom w:val="single" w:sz="8" w:color="EFE9FC"/>
            </w:tcBorders>
            <w:shd w:val="clear" w:color="auto" w:fill="EFE9FC"/>
          </w:tcPr>
          <w:p>
            <w:pPr>
              <w:jc w:val="right"/>
              <w:ind w:right="6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LTIP</w:t>
            </w:r>
          </w:p>
        </w:tc>
        <w:tc>
          <w:tcPr>
            <w:tcW w:w="860" w:type="dxa"/>
            <w:vAlign w:val="bottom"/>
          </w:tcPr>
          <w:p>
            <w:pPr>
              <w:spacing w:after="0"/>
              <w:rPr>
                <w:sz w:val="19"/>
                <w:szCs w:val="19"/>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$6,972,797</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86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EFE9FC"/>
            </w:tcBorders>
            <w:shd w:val="clear" w:color="auto" w:fill="EFE9FC"/>
          </w:tcPr>
          <w:p>
            <w:pPr>
              <w:jc w:val="right"/>
              <w:ind w:right="64"/>
              <w:spacing w:after="0"/>
              <w:rPr>
                <w:sz w:val="20"/>
                <w:szCs w:val="20"/>
                <w:color w:val="auto"/>
              </w:rPr>
            </w:pPr>
            <w:r>
              <w:rPr>
                <w:rFonts w:ascii="Arial" w:cs="Arial" w:eastAsia="Arial" w:hAnsi="Arial"/>
                <w:sz w:val="15"/>
                <w:szCs w:val="15"/>
                <w:color w:val="auto"/>
              </w:rPr>
              <w:t>333,845</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Total</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1,267,047</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$6,972,797</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$ 1,334,556</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$ 5,067,365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jc w:val="both"/>
        <w:ind w:left="980" w:right="199" w:hanging="216"/>
        <w:spacing w:after="0" w:line="247" w:lineRule="auto"/>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($933,202) and includes a cash amount representing the value of the following benefits for a period of 12 months: pension ($162,643), accommodation ($122,471), school allowance ($26,086), and car allowance ($22,644).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 As to pension, this amount reflects 15% of Mr. McDonald’s compensation (consisting of base).</w:t>
      </w:r>
    </w:p>
    <w:p>
      <w:pPr>
        <w:jc w:val="both"/>
        <w:ind w:left="980" w:right="559" w:hanging="216"/>
        <w:spacing w:after="0" w:line="280" w:lineRule="auto"/>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adding (i) the amount resulting from multiplying the 74,748 RSUs subject to accelerated vesting by the closing market price at December 31, 2019 ($75.43) and (ii) the amount resulting from multiplying each SARs</w:t>
      </w: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auto"/>
          <w:vertAlign w:val="subscript"/>
        </w:rPr>
        <w:t>45</w:t>
      </w:r>
      <w:r>
        <w:rPr>
          <w:sz w:val="20"/>
          <w:szCs w:val="20"/>
          <w:color w:val="auto"/>
        </w:rPr>
        <w:tab/>
      </w:r>
      <w:r>
        <w:rPr>
          <w:rFonts w:ascii="Arial" w:cs="Arial" w:eastAsia="Arial" w:hAnsi="Arial"/>
          <w:sz w:val="12"/>
          <w:szCs w:val="12"/>
          <w:b w:val="1"/>
          <w:bCs w:val="1"/>
          <w:color w:val="6A2887"/>
        </w:rPr>
        <w:t xml:space="preserve">LIVANOVA </w:t>
      </w:r>
      <w:r>
        <w:rPr>
          <w:rFonts w:ascii="Arial" w:cs="Arial" w:eastAsia="Arial" w:hAnsi="Arial"/>
          <w:sz w:val="12"/>
          <w:szCs w:val="12"/>
          <w:color w:val="000000"/>
        </w:rPr>
        <w:t>|</w:t>
      </w:r>
      <w:r>
        <w:rPr>
          <w:rFonts w:ascii="Arial" w:cs="Arial" w:eastAsia="Arial" w:hAnsi="Arial"/>
          <w:sz w:val="12"/>
          <w:szCs w:val="12"/>
          <w:b w:val="1"/>
          <w:bCs w:val="1"/>
          <w:color w:val="6A2887"/>
        </w:rPr>
        <w:t xml:space="preserve"> </w:t>
      </w:r>
      <w:r>
        <w:rPr>
          <w:rFonts w:ascii="Arial" w:cs="Arial" w:eastAsia="Arial" w:hAnsi="Arial"/>
          <w:sz w:val="12"/>
          <w:szCs w:val="12"/>
          <w:color w:val="6A2887"/>
        </w:rPr>
        <w:t>2020</w:t>
      </w:r>
      <w:r>
        <w:rPr>
          <w:rFonts w:ascii="Arial" w:cs="Arial" w:eastAsia="Arial" w:hAnsi="Arial"/>
          <w:sz w:val="12"/>
          <w:szCs w:val="12"/>
          <w:b w:val="1"/>
          <w:bCs w:val="1"/>
          <w:color w:val="6A2887"/>
        </w:rPr>
        <w:t xml:space="preserve"> </w:t>
      </w:r>
      <w:r>
        <w:rPr>
          <w:rFonts w:ascii="Arial" w:cs="Arial" w:eastAsia="Arial" w:hAnsi="Arial"/>
          <w:sz w:val="12"/>
          <w:szCs w:val="12"/>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85725</wp:posOffset>
            </wp:positionV>
            <wp:extent cx="19545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85725</wp:posOffset>
            </wp:positionV>
            <wp:extent cx="1028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400" w:lineRule="exact"/>
        <w:rPr>
          <w:sz w:val="20"/>
          <w:szCs w:val="20"/>
          <w:color w:val="auto"/>
        </w:rPr>
      </w:pPr>
    </w:p>
    <w:p>
      <w:pPr>
        <w:ind w:left="980" w:right="920"/>
        <w:spacing w:after="0" w:line="249" w:lineRule="auto"/>
        <w:rPr>
          <w:sz w:val="20"/>
          <w:szCs w:val="20"/>
          <w:color w:val="auto"/>
        </w:rPr>
      </w:pPr>
      <w:r>
        <w:rPr>
          <w:rFonts w:ascii="Arial" w:cs="Arial" w:eastAsia="Arial" w:hAnsi="Arial"/>
          <w:sz w:val="13"/>
          <w:szCs w:val="13"/>
          <w:i w:val="1"/>
          <w:iCs w:val="1"/>
          <w:color w:val="auto"/>
        </w:rPr>
        <w:t>award subject to accelerated vesting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1" w:lineRule="exact"/>
        <w:rPr>
          <w:sz w:val="20"/>
          <w:szCs w:val="20"/>
          <w:color w:val="auto"/>
        </w:rPr>
      </w:pPr>
    </w:p>
    <w:p>
      <w:pPr>
        <w:jc w:val="both"/>
        <w:ind w:left="980" w:right="980" w:hanging="216"/>
        <w:spacing w:after="0" w:line="252" w:lineRule="auto"/>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amount in case of separation due to disability represents LTIP payments calculated by multiplying each SARs award subject to accelerated vesting in case of a disability by the difference between the closing market price at December 31, 2019 ($75.43) and the exercise price for each SAR, as follows (43,556 SARs with an exercise price of $44.79). This does not include SARs where the exercise price exceeds the market price.</w:t>
      </w:r>
    </w:p>
    <w:p>
      <w:pPr>
        <w:spacing w:after="0" w:line="1" w:lineRule="exact"/>
        <w:rPr>
          <w:rFonts w:ascii="Arial" w:cs="Arial" w:eastAsia="Arial" w:hAnsi="Arial"/>
          <w:sz w:val="13"/>
          <w:szCs w:val="13"/>
          <w:i w:val="1"/>
          <w:iCs w:val="1"/>
          <w:color w:val="auto"/>
        </w:rPr>
      </w:pPr>
    </w:p>
    <w:p>
      <w:pPr>
        <w:ind w:left="980" w:right="980" w:hanging="216"/>
        <w:spacing w:after="0" w:line="249" w:lineRule="auto"/>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2019 ($75.43) and the exercise price for each SAR, as follows (43,556 SARs with an exercise price of $44.79).</w:t>
      </w:r>
    </w:p>
    <w:p>
      <w:pPr>
        <w:ind w:left="980" w:right="1220" w:hanging="216"/>
        <w:spacing w:after="0" w:line="258" w:lineRule="auto"/>
        <w:tabs>
          <w:tab w:leader="none" w:pos="980" w:val="left"/>
        </w:tabs>
        <w:numPr>
          <w:ilvl w:val="0"/>
          <w:numId w:val="69"/>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Thad Huston</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Compensation Committee approved a service agreement between Mr. Huston and us effective as of May 20, 2017.</w:t>
      </w:r>
    </w:p>
    <w:p>
      <w:pPr>
        <w:spacing w:after="0" w:line="5" w:lineRule="exact"/>
        <w:rPr>
          <w:sz w:val="20"/>
          <w:szCs w:val="20"/>
          <w:color w:val="auto"/>
        </w:rPr>
      </w:pPr>
    </w:p>
    <w:p>
      <w:pPr>
        <w:ind w:left="760" w:right="860"/>
        <w:spacing w:after="0" w:line="262" w:lineRule="auto"/>
        <w:rPr>
          <w:sz w:val="20"/>
          <w:szCs w:val="20"/>
          <w:color w:val="auto"/>
        </w:rPr>
      </w:pPr>
      <w:r>
        <w:rPr>
          <w:rFonts w:ascii="Arial" w:cs="Arial" w:eastAsia="Arial" w:hAnsi="Arial"/>
          <w:sz w:val="15"/>
          <w:szCs w:val="15"/>
          <w:color w:val="auto"/>
        </w:rPr>
        <w:t>Mr. Huston’s annual base salary was £405,000 ($516,674) as of April 1, 2019 and an opportunity to earn an annual cash incentive bonus with a target amount equal to 90% of his annual base salary. In addition, we agreed to pay Mr. Huston an annual car allowance of £13,200 ($16,840) and pension contributions equal to 15% of the sum of his base salary and annual bonus.</w:t>
      </w:r>
    </w:p>
    <w:p>
      <w:pPr>
        <w:spacing w:after="0" w:line="2" w:lineRule="exact"/>
        <w:rPr>
          <w:sz w:val="20"/>
          <w:szCs w:val="20"/>
          <w:color w:val="auto"/>
        </w:rPr>
      </w:pPr>
    </w:p>
    <w:p>
      <w:pPr>
        <w:ind w:left="760" w:right="840"/>
        <w:spacing w:after="0" w:line="250" w:lineRule="auto"/>
        <w:rPr>
          <w:sz w:val="20"/>
          <w:szCs w:val="20"/>
          <w:color w:val="auto"/>
        </w:rPr>
      </w:pPr>
      <w:r>
        <w:rPr>
          <w:rFonts w:ascii="Arial" w:cs="Arial" w:eastAsia="Arial" w:hAnsi="Arial"/>
          <w:sz w:val="16"/>
          <w:szCs w:val="16"/>
          <w:color w:val="auto"/>
        </w:rPr>
        <w:t>Mr. Huston is also eligible to participate in our employee benefit plans made available to all our UK-based employees. Certain provisions of Mr. Huston’s service agreement will continue in effect until the expiration of 12 months following notice of termination. Mr. Huston was also issued a letter dated April 27, 2017 confirming that the Company would recommend to the Compensation Committee annual equity awards but underscoring that any such awards remain in the absolute discretion of the Compensation Committee.</w:t>
      </w:r>
    </w:p>
    <w:p>
      <w:pPr>
        <w:spacing w:after="0" w:line="81" w:lineRule="exact"/>
        <w:rPr>
          <w:sz w:val="20"/>
          <w:szCs w:val="20"/>
          <w:color w:val="auto"/>
        </w:rPr>
      </w:pPr>
    </w:p>
    <w:p>
      <w:pPr>
        <w:ind w:left="760" w:right="120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Huston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80" w:type="dxa"/>
            <w:vAlign w:val="bottom"/>
          </w:tcPr>
          <w:p>
            <w:pPr>
              <w:ind w:left="40"/>
              <w:spacing w:after="0"/>
              <w:rPr>
                <w:sz w:val="20"/>
                <w:szCs w:val="20"/>
                <w:color w:val="auto"/>
              </w:rPr>
            </w:pPr>
            <w:r>
              <w:rPr>
                <w:rFonts w:ascii="Arial" w:cs="Arial" w:eastAsia="Arial" w:hAnsi="Arial"/>
                <w:sz w:val="14"/>
                <w:szCs w:val="14"/>
                <w:b w:val="1"/>
                <w:bCs w:val="1"/>
                <w:color w:val="6A2887"/>
              </w:rPr>
              <w:t>Type of Payment</w:t>
            </w:r>
          </w:p>
        </w:tc>
        <w:tc>
          <w:tcPr>
            <w:tcW w:w="1680" w:type="dxa"/>
            <w:vAlign w:val="bottom"/>
          </w:tcPr>
          <w:p>
            <w:pPr>
              <w:jc w:val="right"/>
              <w:ind w:right="85"/>
              <w:spacing w:after="0"/>
              <w:rPr>
                <w:sz w:val="20"/>
                <w:szCs w:val="20"/>
                <w:color w:val="auto"/>
              </w:rPr>
            </w:pPr>
            <w:r>
              <w:rPr>
                <w:rFonts w:ascii="Arial" w:cs="Arial" w:eastAsia="Arial" w:hAnsi="Arial"/>
                <w:sz w:val="14"/>
                <w:szCs w:val="14"/>
                <w:b w:val="1"/>
                <w:bCs w:val="1"/>
                <w:color w:val="6A2887"/>
              </w:rPr>
              <w:t>Termination</w:t>
            </w:r>
          </w:p>
        </w:tc>
        <w:tc>
          <w:tcPr>
            <w:tcW w:w="1600" w:type="dxa"/>
            <w:vAlign w:val="bottom"/>
          </w:tcPr>
          <w:p>
            <w:pPr>
              <w:jc w:val="right"/>
              <w:ind w:right="6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r>
      <w:tr>
        <w:trPr>
          <w:trHeight w:val="216"/>
        </w:trPr>
        <w:tc>
          <w:tcPr>
            <w:tcW w:w="158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or Benefit</w:t>
            </w:r>
          </w:p>
        </w:tc>
        <w:tc>
          <w:tcPr>
            <w:tcW w:w="1680" w:type="dxa"/>
            <w:vAlign w:val="bottom"/>
            <w:tcBorders>
              <w:bottom w:val="single" w:sz="8" w:color="6A2887"/>
            </w:tcBorders>
          </w:tcPr>
          <w:p>
            <w:pPr>
              <w:jc w:val="right"/>
              <w:ind w:right="65"/>
              <w:spacing w:after="0" w:line="216" w:lineRule="exact"/>
              <w:rPr>
                <w:sz w:val="20"/>
                <w:szCs w:val="20"/>
                <w:color w:val="auto"/>
              </w:rPr>
            </w:pPr>
            <w:r>
              <w:rPr>
                <w:rFonts w:ascii="Arial" w:cs="Arial" w:eastAsia="Arial" w:hAnsi="Arial"/>
                <w:sz w:val="14"/>
                <w:szCs w:val="14"/>
                <w:b w:val="1"/>
                <w:bCs w:val="1"/>
                <w:color w:val="6A2887"/>
              </w:rPr>
              <w:t>Without Cause</w:t>
            </w:r>
            <w:r>
              <w:rPr>
                <w:rFonts w:ascii="Arial" w:cs="Arial" w:eastAsia="Arial" w:hAnsi="Arial"/>
                <w:sz w:val="21"/>
                <w:szCs w:val="21"/>
                <w:b w:val="1"/>
                <w:bCs w:val="1"/>
                <w:color w:val="6A2887"/>
                <w:vertAlign w:val="superscript"/>
              </w:rPr>
              <w:t>(1)</w:t>
            </w:r>
          </w:p>
        </w:tc>
        <w:tc>
          <w:tcPr>
            <w:tcW w:w="160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60" w:type="dxa"/>
            <w:vAlign w:val="bottom"/>
            <w:tcBorders>
              <w:bottom w:val="single" w:sz="8" w:color="6A2887"/>
            </w:tcBorders>
          </w:tcPr>
          <w:p>
            <w:pPr>
              <w:ind w:left="720"/>
              <w:spacing w:after="0"/>
              <w:rPr>
                <w:sz w:val="20"/>
                <w:szCs w:val="20"/>
                <w:color w:val="auto"/>
              </w:rPr>
            </w:pPr>
            <w:r>
              <w:rPr>
                <w:rFonts w:ascii="Arial" w:cs="Arial" w:eastAsia="Arial" w:hAnsi="Arial"/>
                <w:sz w:val="14"/>
                <w:szCs w:val="14"/>
                <w:b w:val="1"/>
                <w:bCs w:val="1"/>
                <w:color w:val="6A2887"/>
              </w:rPr>
              <w:t>Disability</w:t>
            </w:r>
          </w:p>
        </w:tc>
        <w:tc>
          <w:tcPr>
            <w:tcW w:w="14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(3)</w:t>
            </w:r>
          </w:p>
        </w:tc>
        <w:tc>
          <w:tcPr>
            <w:tcW w:w="1400" w:type="dxa"/>
            <w:vAlign w:val="bottom"/>
            <w:tcBorders>
              <w:bottom w:val="single" w:sz="8" w:color="6A2887"/>
            </w:tcBorders>
          </w:tcPr>
          <w:p>
            <w:pPr>
              <w:ind w:left="600"/>
              <w:spacing w:after="0"/>
              <w:rPr>
                <w:sz w:val="20"/>
                <w:szCs w:val="20"/>
                <w:color w:val="auto"/>
              </w:rPr>
            </w:pPr>
            <w:r>
              <w:rPr>
                <w:rFonts w:ascii="Arial" w:cs="Arial" w:eastAsia="Arial" w:hAnsi="Arial"/>
                <w:sz w:val="14"/>
                <w:szCs w:val="14"/>
                <w:b w:val="1"/>
                <w:bCs w:val="1"/>
                <w:color w:val="6A2887"/>
              </w:rPr>
              <w:t>Retirement</w:t>
            </w:r>
          </w:p>
        </w:tc>
      </w:tr>
      <w:tr>
        <w:trPr>
          <w:trHeight w:val="215"/>
        </w:trPr>
        <w:tc>
          <w:tcPr>
            <w:tcW w:w="158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$516,674</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$ 2,066,696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6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80" w:type="dxa"/>
            <w:vAlign w:val="bottom"/>
          </w:tcPr>
          <w:p>
            <w:pPr>
              <w:ind w:left="40"/>
              <w:spacing w:after="0"/>
              <w:rPr>
                <w:sz w:val="20"/>
                <w:szCs w:val="20"/>
                <w:color w:val="auto"/>
              </w:rPr>
            </w:pPr>
            <w:r>
              <w:rPr>
                <w:rFonts w:ascii="Arial" w:cs="Arial" w:eastAsia="Arial" w:hAnsi="Arial"/>
                <w:sz w:val="15"/>
                <w:szCs w:val="15"/>
                <w:color w:val="auto"/>
              </w:rPr>
              <w:t>LTIP</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$3,084,484</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8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6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6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80" w:type="dxa"/>
            <w:vAlign w:val="bottom"/>
          </w:tcPr>
          <w:p>
            <w:pPr>
              <w:ind w:left="40"/>
              <w:spacing w:after="0"/>
              <w:rPr>
                <w:sz w:val="20"/>
                <w:szCs w:val="20"/>
                <w:color w:val="auto"/>
              </w:rPr>
            </w:pPr>
            <w:r>
              <w:rPr>
                <w:rFonts w:ascii="Arial" w:cs="Arial" w:eastAsia="Arial" w:hAnsi="Arial"/>
                <w:sz w:val="15"/>
                <w:szCs w:val="15"/>
                <w:color w:val="auto"/>
              </w:rPr>
              <w:t>Total</w:t>
            </w:r>
          </w:p>
        </w:tc>
        <w:tc>
          <w:tcPr>
            <w:tcW w:w="1680" w:type="dxa"/>
            <w:vAlign w:val="bottom"/>
          </w:tcPr>
          <w:p>
            <w:pPr>
              <w:jc w:val="right"/>
              <w:ind w:right="45"/>
              <w:spacing w:after="0"/>
              <w:rPr>
                <w:sz w:val="20"/>
                <w:szCs w:val="20"/>
                <w:color w:val="auto"/>
              </w:rPr>
            </w:pPr>
            <w:r>
              <w:rPr>
                <w:rFonts w:ascii="Arial" w:cs="Arial" w:eastAsia="Arial" w:hAnsi="Arial"/>
                <w:sz w:val="15"/>
                <w:szCs w:val="15"/>
                <w:color w:val="auto"/>
              </w:rPr>
              <w:t>$516,674</w:t>
            </w:r>
          </w:p>
        </w:tc>
        <w:tc>
          <w:tcPr>
            <w:tcW w:w="1600" w:type="dxa"/>
            <w:vAlign w:val="bottom"/>
          </w:tcPr>
          <w:p>
            <w:pPr>
              <w:jc w:val="right"/>
              <w:ind w:right="25"/>
              <w:spacing w:after="0"/>
              <w:rPr>
                <w:sz w:val="20"/>
                <w:szCs w:val="20"/>
                <w:color w:val="auto"/>
              </w:rPr>
            </w:pPr>
            <w:r>
              <w:rPr>
                <w:rFonts w:ascii="Arial" w:cs="Arial" w:eastAsia="Arial" w:hAnsi="Arial"/>
                <w:sz w:val="15"/>
                <w:szCs w:val="15"/>
                <w:color w:val="auto"/>
              </w:rPr>
              <w:t>$3,084,484</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$ 2,066,696</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7" w:lineRule="exact"/>
        <w:rPr>
          <w:sz w:val="20"/>
          <w:szCs w:val="20"/>
          <w:color w:val="auto"/>
        </w:rPr>
      </w:pPr>
    </w:p>
    <w:p>
      <w:pPr>
        <w:ind w:left="980" w:right="1120" w:hanging="216"/>
        <w:spacing w:after="0" w:line="253"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($516,674). The Company may elect to pay this severance amount in installments, and in this case, if Mr. Huston secures alternative employment, then the gross installments payable after the date when alternative employment commences will be reduced by a sum equal to the gross amount of his income from the alternative employment.</w:t>
      </w:r>
    </w:p>
    <w:p>
      <w:pPr>
        <w:ind w:left="980" w:right="1080" w:hanging="216"/>
        <w:spacing w:after="0" w:line="252"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payments in case of separation due to change in control are calculated adding the amount resulting from multiplying the 40,892 RSUs subject to accelerated vesting in case of a change in control by the closing market price at December 31, 2019 ($75.43) The SARs were underwater, therefore not part of this payout calculation).</w:t>
      </w:r>
    </w:p>
    <w:p>
      <w:pPr>
        <w:spacing w:after="0" w:line="1" w:lineRule="exact"/>
        <w:rPr>
          <w:rFonts w:ascii="Arial" w:cs="Arial" w:eastAsia="Arial" w:hAnsi="Arial"/>
          <w:sz w:val="13"/>
          <w:szCs w:val="13"/>
          <w:i w:val="1"/>
          <w:iCs w:val="1"/>
          <w:color w:val="auto"/>
        </w:rPr>
      </w:pPr>
    </w:p>
    <w:p>
      <w:pPr>
        <w:ind w:left="980" w:hanging="216"/>
        <w:spacing w:after="0"/>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exercise price of the SARs was higher than the market price and, therefore, not part of this payout calculation.</w:t>
      </w:r>
    </w:p>
    <w:p>
      <w:pPr>
        <w:spacing w:after="0" w:line="25" w:lineRule="exact"/>
        <w:rPr>
          <w:rFonts w:ascii="Arial" w:cs="Arial" w:eastAsia="Arial" w:hAnsi="Arial"/>
          <w:sz w:val="13"/>
          <w:szCs w:val="13"/>
          <w:i w:val="1"/>
          <w:iCs w:val="1"/>
          <w:color w:val="auto"/>
        </w:rPr>
      </w:pPr>
    </w:p>
    <w:p>
      <w:pPr>
        <w:ind w:left="980" w:right="980" w:hanging="216"/>
        <w:spacing w:after="0" w:line="249"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amount in case of separation due to death represents four times the base salary as a lump sum (payable by a third party insurer under a policy held by the Company for its employees) tax-free amount to the nominated person(s).</w:t>
      </w:r>
    </w:p>
    <w:p>
      <w:pPr>
        <w:ind w:left="980" w:right="1220" w:hanging="216"/>
        <w:spacing w:after="0" w:line="280" w:lineRule="auto"/>
        <w:tabs>
          <w:tab w:leader="none" w:pos="980" w:val="left"/>
        </w:tabs>
        <w:numPr>
          <w:ilvl w:val="0"/>
          <w:numId w:val="70"/>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Keyna Skeffington</w:t>
      </w:r>
    </w:p>
    <w:p>
      <w:pPr>
        <w:spacing w:after="0" w:line="124" w:lineRule="exact"/>
        <w:rPr>
          <w:sz w:val="20"/>
          <w:szCs w:val="20"/>
          <w:color w:val="auto"/>
        </w:rPr>
      </w:pPr>
    </w:p>
    <w:p>
      <w:pPr>
        <w:ind w:left="760" w:right="780"/>
        <w:spacing w:after="0" w:line="248" w:lineRule="auto"/>
        <w:rPr>
          <w:sz w:val="20"/>
          <w:szCs w:val="20"/>
          <w:color w:val="auto"/>
        </w:rPr>
      </w:pPr>
      <w:r>
        <w:rPr>
          <w:rFonts w:ascii="Arial" w:cs="Arial" w:eastAsia="Arial" w:hAnsi="Arial"/>
          <w:sz w:val="16"/>
          <w:szCs w:val="16"/>
          <w:color w:val="auto"/>
        </w:rPr>
        <w:t>On May 24, 2017, we entered into a service agreement with Ms. Skeffington effective June 12, 2017. The agreement provides for an annual base salary in the amount of £300,000 ($382,721), increased to £340,000 ($433,751) as of April 1, 2019) and an opportunity to earn an annual cash incentive bonus with a target amount equal to 55% (increased to 70% in 2019) of her annual base salary. In addition, we agreed to pay Ms. Skeffington an annual car allowance of £13,200 ($16,840) and pension contributions equal to 15% of the sum of her base salary and annual bonus. Ms. Skeffington is also eligible to participate in our employee benefit plans made available to all our UK-based employees. The agreement will continue in effect until the expiration of 12 months following notice of termination. Ms. Skeffington also benefited from certain relocation benefits under the agreement.</w:t>
      </w:r>
    </w:p>
    <w:p>
      <w:pPr>
        <w:spacing w:after="0" w:line="87" w:lineRule="exact"/>
        <w:rPr>
          <w:sz w:val="20"/>
          <w:szCs w:val="20"/>
          <w:color w:val="auto"/>
        </w:rPr>
      </w:pPr>
    </w:p>
    <w:p>
      <w:pPr>
        <w:ind w:left="760" w:right="88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Ms. Skeffington assuming a termination or change-in-control event had occurred on December 31,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6A2887"/>
              </w:rPr>
              <w:t>Type of Payment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6A2887"/>
              </w:rPr>
              <w:t>Termination</w:t>
            </w:r>
          </w:p>
        </w:tc>
        <w:tc>
          <w:tcPr>
            <w:tcW w:w="1580" w:type="dxa"/>
            <w:vAlign w:val="bottom"/>
          </w:tcPr>
          <w:p>
            <w:pPr>
              <w:ind w:left="240"/>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6"/>
              <w:spacing w:after="0"/>
              <w:rPr>
                <w:sz w:val="20"/>
                <w:szCs w:val="20"/>
                <w:color w:val="auto"/>
              </w:rPr>
            </w:pPr>
            <w:r>
              <w:rPr>
                <w:rFonts w:ascii="Arial" w:cs="Arial" w:eastAsia="Arial" w:hAnsi="Arial"/>
                <w:sz w:val="14"/>
                <w:szCs w:val="14"/>
                <w:b w:val="1"/>
                <w:bCs w:val="1"/>
                <w:color w:val="6A2887"/>
              </w:rPr>
              <w:t>Separation due to</w:t>
            </w:r>
          </w:p>
        </w:tc>
        <w:tc>
          <w:tcPr>
            <w:tcW w:w="2180" w:type="dxa"/>
            <w:vAlign w:val="bottom"/>
            <w:gridSpan w:val="3"/>
          </w:tcPr>
          <w:p>
            <w:pPr>
              <w:jc w:val="right"/>
              <w:ind w:right="808"/>
              <w:spacing w:after="0"/>
              <w:rPr>
                <w:sz w:val="20"/>
                <w:szCs w:val="20"/>
                <w:color w:val="auto"/>
              </w:rPr>
            </w:pPr>
            <w:r>
              <w:rPr>
                <w:rFonts w:ascii="Arial" w:cs="Arial" w:eastAsia="Arial" w:hAnsi="Arial"/>
                <w:sz w:val="14"/>
                <w:szCs w:val="14"/>
                <w:b w:val="1"/>
                <w:bCs w:val="1"/>
                <w:color w:val="6A2887"/>
              </w:rPr>
              <w:t>Separation due to</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620" w:type="dxa"/>
            <w:vAlign w:val="bottom"/>
            <w:tcBorders>
              <w:bottom w:val="single" w:sz="8" w:color="6A2887"/>
            </w:tcBorders>
            <w:gridSpan w:val="2"/>
          </w:tcPr>
          <w:p>
            <w:pPr>
              <w:ind w:left="40"/>
              <w:spacing w:after="0"/>
              <w:rPr>
                <w:sz w:val="20"/>
                <w:szCs w:val="20"/>
                <w:color w:val="auto"/>
              </w:rPr>
            </w:pPr>
            <w:r>
              <w:rPr>
                <w:rFonts w:ascii="Arial" w:cs="Arial" w:eastAsia="Arial" w:hAnsi="Arial"/>
                <w:sz w:val="14"/>
                <w:szCs w:val="14"/>
                <w:b w:val="1"/>
                <w:bCs w:val="1"/>
                <w:color w:val="6A2887"/>
              </w:rPr>
              <w:t>or Benefit</w:t>
            </w:r>
          </w:p>
        </w:tc>
        <w:tc>
          <w:tcPr>
            <w:tcW w:w="1660" w:type="dxa"/>
            <w:vAlign w:val="bottom"/>
            <w:tcBorders>
              <w:bottom w:val="single" w:sz="8" w:color="6A2887"/>
            </w:tcBorders>
            <w:gridSpan w:val="2"/>
          </w:tcPr>
          <w:p>
            <w:pPr>
              <w:jc w:val="right"/>
              <w:ind w:right="120"/>
              <w:spacing w:after="0" w:line="216" w:lineRule="exact"/>
              <w:rPr>
                <w:sz w:val="20"/>
                <w:szCs w:val="20"/>
                <w:color w:val="auto"/>
              </w:rPr>
            </w:pPr>
            <w:r>
              <w:rPr>
                <w:rFonts w:ascii="Arial" w:cs="Arial" w:eastAsia="Arial" w:hAnsi="Arial"/>
                <w:sz w:val="14"/>
                <w:szCs w:val="14"/>
                <w:b w:val="1"/>
                <w:bCs w:val="1"/>
                <w:color w:val="6A2887"/>
              </w:rPr>
              <w:t>without Cause</w:t>
            </w:r>
            <w:r>
              <w:rPr>
                <w:rFonts w:ascii="Arial" w:cs="Arial" w:eastAsia="Arial" w:hAnsi="Arial"/>
                <w:sz w:val="21"/>
                <w:szCs w:val="21"/>
                <w:b w:val="1"/>
                <w:bCs w:val="1"/>
                <w:color w:val="6A2887"/>
                <w:vertAlign w:val="superscript"/>
              </w:rPr>
              <w:t>(1)</w:t>
            </w:r>
          </w:p>
        </w:tc>
        <w:tc>
          <w:tcPr>
            <w:tcW w:w="1580" w:type="dxa"/>
            <w:vAlign w:val="bottom"/>
            <w:tcBorders>
              <w:bottom w:val="single" w:sz="8" w:color="6A2887"/>
            </w:tcBorders>
          </w:tcPr>
          <w:p>
            <w:pPr>
              <w:ind w:left="120"/>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60" w:type="dxa"/>
            <w:vAlign w:val="bottom"/>
            <w:tcBorders>
              <w:bottom w:val="single" w:sz="8" w:color="6A2887"/>
            </w:tcBorders>
            <w:gridSpan w:val="2"/>
          </w:tcPr>
          <w:p>
            <w:pPr>
              <w:ind w:left="600"/>
              <w:spacing w:after="0" w:line="216" w:lineRule="exact"/>
              <w:rPr>
                <w:sz w:val="20"/>
                <w:szCs w:val="20"/>
                <w:color w:val="auto"/>
              </w:rPr>
            </w:pPr>
            <w:r>
              <w:rPr>
                <w:rFonts w:ascii="Arial" w:cs="Arial" w:eastAsia="Arial" w:hAnsi="Arial"/>
                <w:sz w:val="14"/>
                <w:szCs w:val="14"/>
                <w:b w:val="1"/>
                <w:bCs w:val="1"/>
                <w:color w:val="6A2887"/>
              </w:rPr>
              <w:t>Disability</w:t>
            </w:r>
            <w:r>
              <w:rPr>
                <w:rFonts w:ascii="Arial" w:cs="Arial" w:eastAsia="Arial" w:hAnsi="Arial"/>
                <w:sz w:val="21"/>
                <w:szCs w:val="21"/>
                <w:b w:val="1"/>
                <w:bCs w:val="1"/>
                <w:color w:val="6A2887"/>
                <w:vertAlign w:val="superscript"/>
              </w:rPr>
              <w:t>(3)</w:t>
            </w:r>
          </w:p>
        </w:tc>
        <w:tc>
          <w:tcPr>
            <w:tcW w:w="1460" w:type="dxa"/>
            <w:vAlign w:val="bottom"/>
            <w:tcBorders>
              <w:bottom w:val="single" w:sz="8" w:color="6A2887"/>
            </w:tcBorders>
          </w:tcPr>
          <w:p>
            <w:pPr>
              <w:jc w:val="right"/>
              <w:ind w:right="46"/>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(4)</w:t>
            </w:r>
          </w:p>
        </w:tc>
        <w:tc>
          <w:tcPr>
            <w:tcW w:w="1400" w:type="dxa"/>
            <w:vAlign w:val="bottom"/>
            <w:tcBorders>
              <w:bottom w:val="single" w:sz="8" w:color="6A2887"/>
            </w:tcBorders>
            <w:gridSpan w:val="2"/>
          </w:tcPr>
          <w:p>
            <w:pPr>
              <w:jc w:val="right"/>
              <w:spacing w:after="0"/>
              <w:rPr>
                <w:sz w:val="20"/>
                <w:szCs w:val="20"/>
                <w:color w:val="auto"/>
              </w:rPr>
            </w:pPr>
            <w:r>
              <w:rPr>
                <w:rFonts w:ascii="Arial" w:cs="Arial" w:eastAsia="Arial" w:hAnsi="Arial"/>
                <w:sz w:val="14"/>
                <w:szCs w:val="14"/>
                <w:b w:val="1"/>
                <w:bCs w:val="1"/>
                <w:color w:val="6A2887"/>
              </w:rPr>
              <w:t>Retirement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5"/>
                <w:szCs w:val="15"/>
                <w:color w:val="auto"/>
              </w:rPr>
              <w:t>Severance</w:t>
            </w:r>
          </w:p>
        </w:tc>
        <w:tc>
          <w:tcPr>
            <w:tcW w:w="1660" w:type="dxa"/>
            <w:vAlign w:val="bottom"/>
            <w:gridSpan w:val="2"/>
          </w:tcPr>
          <w:p>
            <w:pPr>
              <w:jc w:val="right"/>
              <w:ind w:right="100"/>
              <w:spacing w:after="0"/>
              <w:rPr>
                <w:sz w:val="20"/>
                <w:szCs w:val="20"/>
                <w:color w:val="auto"/>
              </w:rPr>
            </w:pPr>
            <w:r>
              <w:rPr>
                <w:rFonts w:ascii="Arial" w:cs="Arial" w:eastAsia="Arial" w:hAnsi="Arial"/>
                <w:sz w:val="15"/>
                <w:szCs w:val="15"/>
                <w:color w:val="auto"/>
              </w:rPr>
              <w:t>$433,751</w:t>
            </w:r>
          </w:p>
        </w:tc>
        <w:tc>
          <w:tcPr>
            <w:tcW w:w="1580" w:type="dxa"/>
            <w:vAlign w:val="bottom"/>
          </w:tcPr>
          <w:p>
            <w:pPr>
              <w:ind w:left="140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6"/>
              <w:spacing w:after="0"/>
              <w:rPr>
                <w:sz w:val="20"/>
                <w:szCs w:val="20"/>
                <w:color w:val="auto"/>
              </w:rPr>
            </w:pPr>
            <w:r>
              <w:rPr>
                <w:rFonts w:ascii="Arial" w:cs="Arial" w:eastAsia="Arial" w:hAnsi="Arial"/>
                <w:sz w:val="15"/>
                <w:szCs w:val="15"/>
                <w:color w:val="auto"/>
              </w:rPr>
              <w:t>$ 1,735,004</w:t>
            </w:r>
          </w:p>
        </w:tc>
        <w:tc>
          <w:tcPr>
            <w:tcW w:w="12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60" w:type="dxa"/>
            <w:vAlign w:val="bottom"/>
          </w:tcPr>
          <w:p>
            <w:pPr>
              <w:spacing w:after="0"/>
              <w:rPr>
                <w:sz w:val="22"/>
                <w:szCs w:val="22"/>
                <w:color w:val="auto"/>
              </w:rPr>
            </w:pPr>
          </w:p>
        </w:tc>
        <w:tc>
          <w:tcPr>
            <w:tcW w:w="1620" w:type="dxa"/>
            <w:vAlign w:val="bottom"/>
            <w:tcBorders>
              <w:bottom w:val="single" w:sz="8" w:color="EFE9FC"/>
            </w:tcBorders>
            <w:gridSpan w:val="2"/>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660" w:type="dxa"/>
            <w:vAlign w:val="bottom"/>
            <w:tcBorders>
              <w:bottom w:val="single" w:sz="8" w:color="EFE9FC"/>
            </w:tcBorders>
            <w:gridSpan w:val="2"/>
            <w:shd w:val="clear" w:color="auto" w:fill="EFE9FC"/>
          </w:tcPr>
          <w:p>
            <w:pPr>
              <w:jc w:val="right"/>
              <w:ind w:right="100"/>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ind w:left="140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EFE9FC"/>
            </w:tcBorders>
            <w:shd w:val="clear" w:color="auto" w:fill="EFE9FC"/>
          </w:tcPr>
          <w:p>
            <w:pPr>
              <w:spacing w:after="0"/>
              <w:rPr>
                <w:sz w:val="22"/>
                <w:szCs w:val="22"/>
                <w:color w:val="auto"/>
              </w:rPr>
            </w:pPr>
          </w:p>
        </w:tc>
        <w:tc>
          <w:tcPr>
            <w:tcW w:w="380" w:type="dxa"/>
            <w:vAlign w:val="bottom"/>
            <w:tcBorders>
              <w:bottom w:val="single" w:sz="8" w:color="EFE9FC"/>
            </w:tcBorders>
            <w:shd w:val="clear" w:color="auto" w:fill="EFE9FC"/>
          </w:tcPr>
          <w:p>
            <w:pPr>
              <w:ind w:left="18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6"/>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EFE9FC"/>
            </w:tcBorders>
            <w:shd w:val="clear" w:color="auto" w:fill="EFE9FC"/>
          </w:tcPr>
          <w:p>
            <w:pPr>
              <w:spacing w:after="0"/>
              <w:rPr>
                <w:sz w:val="22"/>
                <w:szCs w:val="22"/>
                <w:color w:val="auto"/>
              </w:rPr>
            </w:pPr>
          </w:p>
        </w:tc>
        <w:tc>
          <w:tcPr>
            <w:tcW w:w="160" w:type="dxa"/>
            <w:vAlign w:val="bottom"/>
            <w:tcBorders>
              <w:bottom w:val="single" w:sz="8" w:color="EFE9FC"/>
            </w:tcBorders>
            <w:shd w:val="clear" w:color="auto" w:fill="EFE9FC"/>
          </w:tcPr>
          <w:p>
            <w:pPr>
              <w:ind w:left="2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60" w:type="dxa"/>
            <w:vAlign w:val="bottom"/>
            <w:tcBorders>
              <w:top w:val="single" w:sz="8" w:color="6A2887"/>
            </w:tcBorders>
          </w:tcPr>
          <w:p>
            <w:pPr>
              <w:spacing w:after="0"/>
              <w:rPr>
                <w:sz w:val="24"/>
                <w:szCs w:val="24"/>
                <w:color w:val="auto"/>
              </w:rPr>
            </w:pPr>
          </w:p>
        </w:tc>
        <w:tc>
          <w:tcPr>
            <w:tcW w:w="1560" w:type="dxa"/>
            <w:vAlign w:val="bottom"/>
            <w:tcBorders>
              <w:top w:val="single" w:sz="8" w:color="6A2887"/>
              <w:bottom w:val="single" w:sz="8" w:color="auto"/>
            </w:tcBorders>
          </w:tcPr>
          <w:p>
            <w:pPr>
              <w:spacing w:after="0"/>
              <w:rPr>
                <w:sz w:val="24"/>
                <w:szCs w:val="24"/>
                <w:color w:val="auto"/>
              </w:rPr>
            </w:pPr>
          </w:p>
        </w:tc>
        <w:tc>
          <w:tcPr>
            <w:tcW w:w="1520" w:type="dxa"/>
            <w:vAlign w:val="bottom"/>
            <w:tcBorders>
              <w:top w:val="single" w:sz="8" w:color="6A2887"/>
              <w:bottom w:val="single" w:sz="8" w:color="auto"/>
            </w:tcBorders>
          </w:tcPr>
          <w:p>
            <w:pPr>
              <w:spacing w:after="0"/>
              <w:rPr>
                <w:sz w:val="24"/>
                <w:szCs w:val="24"/>
                <w:color w:val="auto"/>
              </w:rPr>
            </w:pPr>
          </w:p>
        </w:tc>
        <w:tc>
          <w:tcPr>
            <w:tcW w:w="140" w:type="dxa"/>
            <w:vAlign w:val="bottom"/>
            <w:tcBorders>
              <w:top w:val="single" w:sz="8" w:color="6A2887"/>
            </w:tcBorders>
          </w:tcPr>
          <w:p>
            <w:pPr>
              <w:spacing w:after="0"/>
              <w:rPr>
                <w:sz w:val="24"/>
                <w:szCs w:val="24"/>
                <w:color w:val="auto"/>
              </w:rPr>
            </w:pPr>
          </w:p>
        </w:tc>
        <w:tc>
          <w:tcPr>
            <w:tcW w:w="2660" w:type="dxa"/>
            <w:vAlign w:val="bottom"/>
            <w:tcBorders>
              <w:top w:val="single" w:sz="8" w:color="6A2887"/>
              <w:bottom w:val="single" w:sz="8" w:color="6A2887"/>
            </w:tcBorders>
            <w:gridSpan w:val="2"/>
            <w:vMerge w:val="restart"/>
          </w:tcPr>
          <w:p>
            <w:pPr>
              <w:ind w:left="3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80" w:type="dxa"/>
            <w:vAlign w:val="bottom"/>
            <w:tcBorders>
              <w:top w:val="single" w:sz="8" w:color="6A2887"/>
              <w:bottom w:val="single" w:sz="8" w:color="auto"/>
            </w:tcBorders>
          </w:tcPr>
          <w:p>
            <w:pPr>
              <w:spacing w:after="0"/>
              <w:rPr>
                <w:sz w:val="24"/>
                <w:szCs w:val="24"/>
                <w:color w:val="auto"/>
              </w:rPr>
            </w:pPr>
          </w:p>
        </w:tc>
        <w:tc>
          <w:tcPr>
            <w:tcW w:w="1460" w:type="dxa"/>
            <w:vAlign w:val="bottom"/>
            <w:tcBorders>
              <w:top w:val="single" w:sz="8" w:color="6A2887"/>
              <w:bottom w:val="single" w:sz="8" w:color="auto"/>
            </w:tcBorders>
          </w:tcPr>
          <w:p>
            <w:pPr>
              <w:spacing w:after="0"/>
              <w:rPr>
                <w:sz w:val="24"/>
                <w:szCs w:val="24"/>
                <w:color w:val="auto"/>
              </w:rPr>
            </w:pPr>
          </w:p>
        </w:tc>
        <w:tc>
          <w:tcPr>
            <w:tcW w:w="1240" w:type="dxa"/>
            <w:vAlign w:val="bottom"/>
            <w:tcBorders>
              <w:top w:val="single" w:sz="8" w:color="6A2887"/>
              <w:bottom w:val="single" w:sz="8" w:color="auto"/>
            </w:tcBorders>
          </w:tcPr>
          <w:p>
            <w:pPr>
              <w:spacing w:after="0"/>
              <w:rPr>
                <w:sz w:val="24"/>
                <w:szCs w:val="24"/>
                <w:color w:val="auto"/>
              </w:rPr>
            </w:pPr>
          </w:p>
        </w:tc>
        <w:tc>
          <w:tcPr>
            <w:tcW w:w="160" w:type="dxa"/>
            <w:vAlign w:val="bottom"/>
            <w:tcBorders>
              <w:top w:val="single" w:sz="8" w:color="6A2887"/>
              <w:bottom w:val="single" w:sz="8" w:color="6A2887"/>
            </w:tcBorders>
            <w:vMerge w:val="restart"/>
          </w:tcPr>
          <w:p>
            <w:pPr>
              <w:spacing w:after="0"/>
              <w:rPr>
                <w:sz w:val="24"/>
                <w:szCs w:val="24"/>
                <w:color w:val="auto"/>
              </w:rPr>
            </w:pPr>
          </w:p>
        </w:tc>
        <w:tc>
          <w:tcPr>
            <w:tcW w:w="7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600" w:type="dxa"/>
            <w:vAlign w:val="bottom"/>
          </w:tcPr>
          <w:p>
            <w:pPr>
              <w:ind w:left="40"/>
              <w:spacing w:after="0"/>
              <w:rPr>
                <w:sz w:val="20"/>
                <w:szCs w:val="20"/>
                <w:color w:val="auto"/>
              </w:rPr>
            </w:pPr>
            <w:r>
              <w:rPr>
                <w:rFonts w:ascii="Arial" w:cs="Arial" w:eastAsia="Arial" w:hAnsi="Arial"/>
                <w:sz w:val="14"/>
                <w:szCs w:val="14"/>
                <w:b w:val="1"/>
                <w:bCs w:val="1"/>
                <w:color w:val="6A2887"/>
              </w:rPr>
              <w:t>Type of Payment</w:t>
            </w:r>
          </w:p>
        </w:tc>
        <w:tc>
          <w:tcPr>
            <w:tcW w:w="1680" w:type="dxa"/>
            <w:vAlign w:val="bottom"/>
          </w:tcPr>
          <w:p>
            <w:pPr>
              <w:jc w:val="right"/>
              <w:ind w:right="105"/>
              <w:spacing w:after="0"/>
              <w:rPr>
                <w:sz w:val="20"/>
                <w:szCs w:val="20"/>
                <w:color w:val="auto"/>
              </w:rPr>
            </w:pPr>
            <w:r>
              <w:rPr>
                <w:rFonts w:ascii="Arial" w:cs="Arial" w:eastAsia="Arial" w:hAnsi="Arial"/>
                <w:sz w:val="14"/>
                <w:szCs w:val="14"/>
                <w:b w:val="1"/>
                <w:bCs w:val="1"/>
                <w:color w:val="6A2887"/>
              </w:rPr>
              <w:t>Termination</w:t>
            </w:r>
          </w:p>
        </w:tc>
        <w:tc>
          <w:tcPr>
            <w:tcW w:w="1580" w:type="dxa"/>
            <w:vAlign w:val="bottom"/>
          </w:tcPr>
          <w:p>
            <w:pPr>
              <w:jc w:val="right"/>
              <w:ind w:right="6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gridSpan w:val="2"/>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r>
      <w:tr>
        <w:trPr>
          <w:trHeight w:val="216"/>
        </w:trPr>
        <w:tc>
          <w:tcPr>
            <w:tcW w:w="160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or Benefit</w:t>
            </w:r>
          </w:p>
        </w:tc>
        <w:tc>
          <w:tcPr>
            <w:tcW w:w="1680" w:type="dxa"/>
            <w:vAlign w:val="bottom"/>
            <w:tcBorders>
              <w:bottom w:val="single" w:sz="8" w:color="6A2887"/>
            </w:tcBorders>
          </w:tcPr>
          <w:p>
            <w:pPr>
              <w:jc w:val="right"/>
              <w:ind w:right="65"/>
              <w:spacing w:after="0" w:line="216" w:lineRule="exact"/>
              <w:rPr>
                <w:sz w:val="20"/>
                <w:szCs w:val="20"/>
                <w:color w:val="auto"/>
              </w:rPr>
            </w:pPr>
            <w:r>
              <w:rPr>
                <w:rFonts w:ascii="Arial" w:cs="Arial" w:eastAsia="Arial" w:hAnsi="Arial"/>
                <w:sz w:val="14"/>
                <w:szCs w:val="14"/>
                <w:b w:val="1"/>
                <w:bCs w:val="1"/>
                <w:color w:val="6A2887"/>
              </w:rPr>
              <w:t>without Cause</w:t>
            </w:r>
            <w:r>
              <w:rPr>
                <w:rFonts w:ascii="Arial" w:cs="Arial" w:eastAsia="Arial" w:hAnsi="Arial"/>
                <w:sz w:val="21"/>
                <w:szCs w:val="21"/>
                <w:b w:val="1"/>
                <w:bCs w:val="1"/>
                <w:color w:val="6A2887"/>
                <w:vertAlign w:val="superscript"/>
              </w:rPr>
              <w:t>(1)</w:t>
            </w:r>
          </w:p>
        </w:tc>
        <w:tc>
          <w:tcPr>
            <w:tcW w:w="158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60" w:type="dxa"/>
            <w:vAlign w:val="bottom"/>
            <w:tcBorders>
              <w:bottom w:val="single" w:sz="8" w:color="6A2887"/>
            </w:tcBorders>
          </w:tcPr>
          <w:p>
            <w:pPr>
              <w:ind w:left="600"/>
              <w:spacing w:after="0" w:line="216" w:lineRule="exact"/>
              <w:rPr>
                <w:sz w:val="20"/>
                <w:szCs w:val="20"/>
                <w:color w:val="auto"/>
              </w:rPr>
            </w:pPr>
            <w:r>
              <w:rPr>
                <w:rFonts w:ascii="Arial" w:cs="Arial" w:eastAsia="Arial" w:hAnsi="Arial"/>
                <w:sz w:val="14"/>
                <w:szCs w:val="14"/>
                <w:b w:val="1"/>
                <w:bCs w:val="1"/>
                <w:color w:val="6A2887"/>
              </w:rPr>
              <w:t>Disability</w:t>
            </w:r>
            <w:r>
              <w:rPr>
                <w:rFonts w:ascii="Arial" w:cs="Arial" w:eastAsia="Arial" w:hAnsi="Arial"/>
                <w:sz w:val="21"/>
                <w:szCs w:val="21"/>
                <w:b w:val="1"/>
                <w:bCs w:val="1"/>
                <w:color w:val="6A2887"/>
                <w:vertAlign w:val="superscript"/>
              </w:rPr>
              <w:t>(3)</w:t>
            </w:r>
          </w:p>
        </w:tc>
        <w:tc>
          <w:tcPr>
            <w:tcW w:w="660" w:type="dxa"/>
            <w:vAlign w:val="bottom"/>
            <w:tcBorders>
              <w:bottom w:val="single" w:sz="8" w:color="6A2887"/>
            </w:tcBorders>
          </w:tcPr>
          <w:p>
            <w:pPr>
              <w:spacing w:after="0"/>
              <w:rPr>
                <w:sz w:val="18"/>
                <w:szCs w:val="18"/>
                <w:color w:val="auto"/>
              </w:rPr>
            </w:pPr>
          </w:p>
        </w:tc>
        <w:tc>
          <w:tcPr>
            <w:tcW w:w="80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(4)</w:t>
            </w:r>
          </w:p>
        </w:tc>
        <w:tc>
          <w:tcPr>
            <w:tcW w:w="1400" w:type="dxa"/>
            <w:vAlign w:val="bottom"/>
            <w:tcBorders>
              <w:bottom w:val="single" w:sz="8" w:color="6A2887"/>
            </w:tcBorders>
          </w:tcPr>
          <w:p>
            <w:pPr>
              <w:ind w:left="600"/>
              <w:spacing w:after="0"/>
              <w:rPr>
                <w:sz w:val="20"/>
                <w:szCs w:val="20"/>
                <w:color w:val="auto"/>
              </w:rPr>
            </w:pPr>
            <w:r>
              <w:rPr>
                <w:rFonts w:ascii="Arial" w:cs="Arial" w:eastAsia="Arial" w:hAnsi="Arial"/>
                <w:sz w:val="14"/>
                <w:szCs w:val="14"/>
                <w:b w:val="1"/>
                <w:bCs w:val="1"/>
                <w:color w:val="6A2887"/>
              </w:rPr>
              <w:t>Retirement</w:t>
            </w:r>
          </w:p>
        </w:tc>
      </w:tr>
      <w:tr>
        <w:trPr>
          <w:trHeight w:val="250"/>
        </w:trPr>
        <w:tc>
          <w:tcPr>
            <w:tcW w:w="1600" w:type="dxa"/>
            <w:vAlign w:val="bottom"/>
          </w:tcPr>
          <w:p>
            <w:pPr>
              <w:ind w:left="40"/>
              <w:spacing w:after="0" w:line="250" w:lineRule="exact"/>
              <w:rPr>
                <w:sz w:val="20"/>
                <w:szCs w:val="20"/>
                <w:color w:val="auto"/>
              </w:rPr>
            </w:pPr>
            <w:r>
              <w:rPr>
                <w:rFonts w:ascii="Arial" w:cs="Arial" w:eastAsia="Arial" w:hAnsi="Arial"/>
                <w:sz w:val="15"/>
                <w:szCs w:val="15"/>
                <w:color w:val="auto"/>
              </w:rPr>
              <w:t>LTIP</w:t>
            </w:r>
            <w:r>
              <w:rPr>
                <w:rFonts w:ascii="Arial" w:cs="Arial" w:eastAsia="Arial" w:hAnsi="Arial"/>
                <w:sz w:val="23"/>
                <w:szCs w:val="23"/>
                <w:color w:val="auto"/>
                <w:vertAlign w:val="superscript"/>
              </w:rPr>
              <w:t>(1)</w:t>
            </w:r>
          </w:p>
        </w:tc>
        <w:tc>
          <w:tcPr>
            <w:tcW w:w="16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$695,535</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176,275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50"/>
        </w:trPr>
        <w:tc>
          <w:tcPr>
            <w:tcW w:w="160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680" w:type="dxa"/>
            <w:vAlign w:val="bottom"/>
            <w:tcBorders>
              <w:bottom w:val="single" w:sz="8" w:color="EFE9FC"/>
            </w:tcBorders>
            <w:shd w:val="clear" w:color="auto" w:fill="EFE9FC"/>
          </w:tcPr>
          <w:p>
            <w:pPr>
              <w:jc w:val="right"/>
              <w:ind w:right="6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600" w:type="dxa"/>
            <w:vAlign w:val="bottom"/>
          </w:tcPr>
          <w:p>
            <w:pPr>
              <w:ind w:left="40"/>
              <w:spacing w:after="0"/>
              <w:rPr>
                <w:sz w:val="20"/>
                <w:szCs w:val="20"/>
                <w:color w:val="auto"/>
              </w:rPr>
            </w:pPr>
            <w:r>
              <w:rPr>
                <w:rFonts w:ascii="Arial" w:cs="Arial" w:eastAsia="Arial" w:hAnsi="Arial"/>
                <w:sz w:val="15"/>
                <w:szCs w:val="15"/>
                <w:color w:val="auto"/>
              </w:rPr>
              <w:t>Total</w:t>
            </w:r>
          </w:p>
        </w:tc>
        <w:tc>
          <w:tcPr>
            <w:tcW w:w="1680" w:type="dxa"/>
            <w:vAlign w:val="bottom"/>
          </w:tcPr>
          <w:p>
            <w:pPr>
              <w:jc w:val="right"/>
              <w:ind w:right="6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$695,535</w:t>
            </w:r>
          </w:p>
        </w:tc>
        <w:tc>
          <w:tcPr>
            <w:tcW w:w="1460" w:type="dxa"/>
            <w:vAlign w:val="bottom"/>
          </w:tcPr>
          <w:p>
            <w:pPr>
              <w:ind w:left="12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1,911,279</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239" w:hanging="216"/>
        <w:spacing w:after="0" w:line="253"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($433,571). We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w:t>
      </w:r>
    </w:p>
    <w:p>
      <w:pPr>
        <w:ind w:left="980" w:right="199" w:hanging="216"/>
        <w:spacing w:after="0" w:line="249"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6,884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ind w:left="980" w:right="219" w:hanging="216"/>
        <w:spacing w:after="0" w:line="247" w:lineRule="auto"/>
        <w:tabs>
          <w:tab w:leader="none" w:pos="980" w:val="left"/>
        </w:tabs>
        <w:numPr>
          <w:ilvl w:val="0"/>
          <w:numId w:val="71"/>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(11,402 SARs with an exercise price of $59.97). This does not include SARs where the exercise price exceeds the market price.</w:t>
      </w:r>
    </w:p>
    <w:p>
      <w:pPr>
        <w:ind w:left="980" w:right="639" w:hanging="216"/>
        <w:spacing w:after="0" w:line="258" w:lineRule="auto"/>
        <w:tabs>
          <w:tab w:leader="none" w:pos="980"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Edward Andrle</w:t>
      </w:r>
    </w:p>
    <w:p>
      <w:pPr>
        <w:spacing w:after="0" w:line="124" w:lineRule="exact"/>
        <w:rPr>
          <w:sz w:val="20"/>
          <w:szCs w:val="20"/>
          <w:color w:val="auto"/>
        </w:rPr>
      </w:pPr>
    </w:p>
    <w:p>
      <w:pPr>
        <w:jc w:val="both"/>
        <w:ind w:left="760" w:right="399"/>
        <w:spacing w:after="0" w:line="278" w:lineRule="auto"/>
        <w:rPr>
          <w:sz w:val="20"/>
          <w:szCs w:val="20"/>
          <w:color w:val="auto"/>
        </w:rPr>
      </w:pPr>
      <w:r>
        <w:rPr>
          <w:rFonts w:ascii="Arial" w:cs="Arial" w:eastAsia="Arial" w:hAnsi="Arial"/>
          <w:sz w:val="15"/>
          <w:szCs w:val="15"/>
          <w:color w:val="auto"/>
        </w:rPr>
        <w:t>On August 30, 2010, we entered into a service agreement with Mr. Andrle effective September 6, 2010. The agreement provides for an annual base salary in the amount of $333,000, which increased to $440,000 as of April 1, 2019 and an opportunity to earn an annual cash incentive bonus with a target amount equal to 65% of his annual base salary as of April1, 2019.</w:t>
      </w:r>
    </w:p>
    <w:p>
      <w:pPr>
        <w:spacing w:after="0" w:line="49" w:lineRule="exact"/>
        <w:rPr>
          <w:sz w:val="20"/>
          <w:szCs w:val="20"/>
          <w:color w:val="auto"/>
        </w:rPr>
      </w:pPr>
    </w:p>
    <w:p>
      <w:pPr>
        <w:ind w:left="760" w:right="319"/>
        <w:spacing w:after="0" w:line="262" w:lineRule="auto"/>
        <w:rPr>
          <w:sz w:val="20"/>
          <w:szCs w:val="20"/>
          <w:color w:val="auto"/>
        </w:rPr>
      </w:pPr>
      <w:r>
        <w:rPr>
          <w:rFonts w:ascii="Arial" w:cs="Arial" w:eastAsia="Arial" w:hAnsi="Arial"/>
          <w:sz w:val="15"/>
          <w:szCs w:val="15"/>
          <w:color w:val="auto"/>
        </w:rPr>
        <w:t>Effective January 1, 2020, Mr. Andrle resigned from his position as General Manager, Neuromodulation and assumed the position of Senior Advisor, continuing to be employed until June 30, 2020. In connection with Mr. Andrle’s new role as Senior Advisor, the company will pay Mr. Andrle a salary in the amount of $440,000. Mr. Andrle will receive the 2019 STI bonus in April 2020.</w:t>
      </w:r>
    </w:p>
    <w:p>
      <w:pPr>
        <w:spacing w:after="0" w:line="2" w:lineRule="exact"/>
        <w:rPr>
          <w:sz w:val="20"/>
          <w:szCs w:val="20"/>
          <w:color w:val="auto"/>
        </w:rPr>
      </w:pPr>
    </w:p>
    <w:p>
      <w:pPr>
        <w:ind w:left="760" w:right="219"/>
        <w:spacing w:after="0" w:line="250" w:lineRule="auto"/>
        <w:rPr>
          <w:sz w:val="20"/>
          <w:szCs w:val="20"/>
          <w:color w:val="auto"/>
        </w:rPr>
      </w:pPr>
      <w:r>
        <w:rPr>
          <w:rFonts w:ascii="Arial" w:cs="Arial" w:eastAsia="Arial" w:hAnsi="Arial"/>
          <w:sz w:val="16"/>
          <w:szCs w:val="16"/>
          <w:color w:val="auto"/>
        </w:rPr>
        <w:t>Mr. Andrle will receive a severance payment in the gross amount of $440,000 on the first payroll date following June 30, 2020. A payment for Restriction on Competition in the gross amount of $453,750 will be made on the first payroll date following February 15, 2021. Healthcare benefits will be reimbursed for a period of eight months measured from the termination date. Relocation expenses up to $25,000 will be reimbursed for expenses incurred in 2019 and 2020. Attorney fees up to $15,000 will be reimbursed for expenses related to the separation agreement.</w:t>
      </w:r>
    </w:p>
    <w:p>
      <w:pPr>
        <w:spacing w:after="0" w:line="81" w:lineRule="exact"/>
        <w:rPr>
          <w:sz w:val="20"/>
          <w:szCs w:val="20"/>
          <w:color w:val="auto"/>
        </w:rPr>
      </w:pPr>
    </w:p>
    <w:p>
      <w:pPr>
        <w:ind w:left="760" w:right="199"/>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Andrle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20" w:type="dxa"/>
            <w:vAlign w:val="bottom"/>
          </w:tcPr>
          <w:p>
            <w:pPr>
              <w:ind w:left="40"/>
              <w:spacing w:after="0"/>
              <w:rPr>
                <w:sz w:val="20"/>
                <w:szCs w:val="20"/>
                <w:color w:val="auto"/>
              </w:rPr>
            </w:pPr>
            <w:r>
              <w:rPr>
                <w:rFonts w:ascii="Arial" w:cs="Arial" w:eastAsia="Arial" w:hAnsi="Arial"/>
                <w:sz w:val="14"/>
                <w:szCs w:val="14"/>
                <w:b w:val="1"/>
                <w:bCs w:val="1"/>
                <w:color w:val="6A2887"/>
              </w:rPr>
              <w:t>Type of Payment</w:t>
            </w:r>
          </w:p>
        </w:tc>
        <w:tc>
          <w:tcPr>
            <w:tcW w:w="17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6A2887"/>
              </w:rPr>
              <w:t>Termination</w:t>
            </w:r>
          </w:p>
        </w:tc>
        <w:tc>
          <w:tcPr>
            <w:tcW w:w="158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40" w:type="dxa"/>
            <w:vAlign w:val="bottom"/>
          </w:tcPr>
          <w:p>
            <w:pPr>
              <w:ind w:left="100"/>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r>
      <w:tr>
        <w:trPr>
          <w:trHeight w:val="216"/>
        </w:trPr>
        <w:tc>
          <w:tcPr>
            <w:tcW w:w="152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or Benefit</w:t>
            </w:r>
          </w:p>
        </w:tc>
        <w:tc>
          <w:tcPr>
            <w:tcW w:w="1780" w:type="dxa"/>
            <w:vAlign w:val="bottom"/>
            <w:tcBorders>
              <w:bottom w:val="single" w:sz="8" w:color="6A2887"/>
            </w:tcBorders>
            <w:gridSpan w:val="2"/>
          </w:tcPr>
          <w:p>
            <w:pPr>
              <w:jc w:val="right"/>
              <w:ind w:right="64"/>
              <w:spacing w:after="0" w:line="216" w:lineRule="exact"/>
              <w:rPr>
                <w:sz w:val="20"/>
                <w:szCs w:val="20"/>
                <w:color w:val="auto"/>
              </w:rPr>
            </w:pPr>
            <w:r>
              <w:rPr>
                <w:rFonts w:ascii="Arial" w:cs="Arial" w:eastAsia="Arial" w:hAnsi="Arial"/>
                <w:sz w:val="14"/>
                <w:szCs w:val="14"/>
                <w:b w:val="1"/>
                <w:bCs w:val="1"/>
                <w:color w:val="6A2887"/>
              </w:rPr>
              <w:t>without Cause ($)</w:t>
            </w:r>
            <w:r>
              <w:rPr>
                <w:rFonts w:ascii="Arial" w:cs="Arial" w:eastAsia="Arial" w:hAnsi="Arial"/>
                <w:sz w:val="21"/>
                <w:szCs w:val="21"/>
                <w:b w:val="1"/>
                <w:bCs w:val="1"/>
                <w:color w:val="6A2887"/>
                <w:vertAlign w:val="superscript"/>
              </w:rPr>
              <w:t>(1)</w:t>
            </w:r>
          </w:p>
        </w:tc>
        <w:tc>
          <w:tcPr>
            <w:tcW w:w="158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40" w:type="dxa"/>
            <w:vAlign w:val="bottom"/>
            <w:tcBorders>
              <w:bottom w:val="single" w:sz="8" w:color="6A2887"/>
            </w:tcBorders>
          </w:tcPr>
          <w:p>
            <w:pPr>
              <w:ind w:left="700"/>
              <w:spacing w:after="0"/>
              <w:rPr>
                <w:sz w:val="20"/>
                <w:szCs w:val="20"/>
                <w:color w:val="auto"/>
              </w:rPr>
            </w:pPr>
            <w:r>
              <w:rPr>
                <w:rFonts w:ascii="Arial" w:cs="Arial" w:eastAsia="Arial" w:hAnsi="Arial"/>
                <w:sz w:val="14"/>
                <w:szCs w:val="14"/>
                <w:b w:val="1"/>
                <w:bCs w:val="1"/>
                <w:color w:val="6A2887"/>
              </w:rPr>
              <w:t>Disability</w:t>
            </w:r>
          </w:p>
        </w:tc>
        <w:tc>
          <w:tcPr>
            <w:tcW w:w="14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(3)</w:t>
            </w:r>
          </w:p>
        </w:tc>
        <w:tc>
          <w:tcPr>
            <w:tcW w:w="1400" w:type="dxa"/>
            <w:vAlign w:val="bottom"/>
            <w:tcBorders>
              <w:bottom w:val="single" w:sz="8" w:color="6A2887"/>
            </w:tcBorders>
          </w:tcPr>
          <w:p>
            <w:pPr>
              <w:ind w:left="600"/>
              <w:spacing w:after="0"/>
              <w:rPr>
                <w:sz w:val="20"/>
                <w:szCs w:val="20"/>
                <w:color w:val="auto"/>
              </w:rPr>
            </w:pPr>
            <w:r>
              <w:rPr>
                <w:rFonts w:ascii="Arial" w:cs="Arial" w:eastAsia="Arial" w:hAnsi="Arial"/>
                <w:sz w:val="14"/>
                <w:szCs w:val="14"/>
                <w:b w:val="1"/>
                <w:bCs w:val="1"/>
                <w:color w:val="6A2887"/>
              </w:rPr>
              <w:t>Retirement</w:t>
            </w:r>
          </w:p>
        </w:tc>
      </w:tr>
      <w:tr>
        <w:trPr>
          <w:trHeight w:val="215"/>
        </w:trPr>
        <w:tc>
          <w:tcPr>
            <w:tcW w:w="152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780" w:type="dxa"/>
            <w:vAlign w:val="bottom"/>
            <w:gridSpan w:val="2"/>
          </w:tcPr>
          <w:p>
            <w:pPr>
              <w:jc w:val="right"/>
              <w:ind w:right="44"/>
              <w:spacing w:after="0"/>
              <w:rPr>
                <w:sz w:val="20"/>
                <w:szCs w:val="20"/>
                <w:color w:val="auto"/>
              </w:rPr>
            </w:pPr>
            <w:r>
              <w:rPr>
                <w:rFonts w:ascii="Arial" w:cs="Arial" w:eastAsia="Arial" w:hAnsi="Arial"/>
                <w:sz w:val="15"/>
                <w:szCs w:val="15"/>
                <w:color w:val="auto"/>
              </w:rPr>
              <w:t>$440,000</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$500,000</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1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FE9FC"/>
            </w:tcBorders>
            <w:shd w:val="clear" w:color="auto" w:fill="EFE9FC"/>
          </w:tcPr>
          <w:p>
            <w:pPr>
              <w:ind w:left="1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20" w:type="dxa"/>
            <w:vAlign w:val="bottom"/>
          </w:tcPr>
          <w:p>
            <w:pPr>
              <w:ind w:left="40"/>
              <w:spacing w:after="0"/>
              <w:rPr>
                <w:sz w:val="20"/>
                <w:szCs w:val="20"/>
                <w:color w:val="auto"/>
              </w:rPr>
            </w:pPr>
            <w:r>
              <w:rPr>
                <w:rFonts w:ascii="Arial" w:cs="Arial" w:eastAsia="Arial" w:hAnsi="Arial"/>
                <w:sz w:val="15"/>
                <w:szCs w:val="15"/>
                <w:color w:val="auto"/>
              </w:rPr>
              <w:t>LTIP</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$1,466,057</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100" w:type="dxa"/>
            <w:vAlign w:val="bottom"/>
            <w:tcBorders>
              <w:bottom w:val="single" w:sz="8" w:color="EFE9FC"/>
            </w:tcBorders>
            <w:shd w:val="clear" w:color="auto" w:fill="EFE9FC"/>
          </w:tcPr>
          <w:p>
            <w:pPr>
              <w:spacing w:after="0"/>
              <w:rPr>
                <w:sz w:val="21"/>
                <w:szCs w:val="21"/>
                <w:color w:val="auto"/>
              </w:rPr>
            </w:pPr>
          </w:p>
        </w:tc>
        <w:tc>
          <w:tcPr>
            <w:tcW w:w="68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4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EFE9FC"/>
            </w:tcBorders>
            <w:shd w:val="clear" w:color="auto" w:fill="EFE9FC"/>
          </w:tcPr>
          <w:p>
            <w:pPr>
              <w:ind w:left="124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2"/>
        </w:trPr>
        <w:tc>
          <w:tcPr>
            <w:tcW w:w="1520" w:type="dxa"/>
            <w:vAlign w:val="bottom"/>
          </w:tcPr>
          <w:p>
            <w:pPr>
              <w:ind w:left="40"/>
              <w:spacing w:after="0"/>
              <w:rPr>
                <w:sz w:val="20"/>
                <w:szCs w:val="20"/>
                <w:color w:val="auto"/>
              </w:rPr>
            </w:pPr>
            <w:r>
              <w:rPr>
                <w:rFonts w:ascii="Arial" w:cs="Arial" w:eastAsia="Arial" w:hAnsi="Arial"/>
                <w:sz w:val="15"/>
                <w:szCs w:val="15"/>
                <w:color w:val="auto"/>
              </w:rPr>
              <w:t>Total</w:t>
            </w:r>
          </w:p>
        </w:tc>
        <w:tc>
          <w:tcPr>
            <w:tcW w:w="1100" w:type="dxa"/>
            <w:vAlign w:val="bottom"/>
          </w:tcPr>
          <w:p>
            <w:pPr>
              <w:spacing w:after="0"/>
              <w:rPr>
                <w:sz w:val="19"/>
                <w:szCs w:val="19"/>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color w:val="auto"/>
                <w:w w:val="99"/>
              </w:rPr>
              <w:t>440,000</w:t>
            </w:r>
          </w:p>
        </w:tc>
        <w:tc>
          <w:tcPr>
            <w:tcW w:w="1580" w:type="dxa"/>
            <w:vAlign w:val="bottom"/>
          </w:tcPr>
          <w:p>
            <w:pPr>
              <w:jc w:val="right"/>
              <w:ind w:right="45"/>
              <w:spacing w:after="0"/>
              <w:rPr>
                <w:sz w:val="20"/>
                <w:szCs w:val="20"/>
                <w:color w:val="auto"/>
              </w:rPr>
            </w:pPr>
            <w:r>
              <w:rPr>
                <w:rFonts w:ascii="Arial" w:cs="Arial" w:eastAsia="Arial" w:hAnsi="Arial"/>
                <w:sz w:val="15"/>
                <w:szCs w:val="15"/>
                <w:color w:val="auto"/>
              </w:rPr>
              <w:t>$1,466,057</w:t>
            </w:r>
          </w:p>
        </w:tc>
        <w:tc>
          <w:tcPr>
            <w:tcW w:w="1440" w:type="dxa"/>
            <w:vAlign w:val="bottom"/>
          </w:tcPr>
          <w:p>
            <w:pPr>
              <w:ind w:left="1240"/>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$500,000</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54" w:lineRule="exact"/>
        <w:rPr>
          <w:sz w:val="20"/>
          <w:szCs w:val="20"/>
          <w:color w:val="auto"/>
        </w:rPr>
      </w:pPr>
    </w:p>
    <w:p>
      <w:pPr>
        <w:ind w:left="980" w:hanging="216"/>
        <w:spacing w:after="0"/>
        <w:tabs>
          <w:tab w:leader="none" w:pos="980" w:val="left"/>
        </w:tabs>
        <w:numPr>
          <w:ilvl w:val="0"/>
          <w:numId w:val="73"/>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($440,000).</w:t>
      </w:r>
    </w:p>
    <w:p>
      <w:pPr>
        <w:spacing w:after="0" w:line="26" w:lineRule="exact"/>
        <w:rPr>
          <w:rFonts w:ascii="Arial" w:cs="Arial" w:eastAsia="Arial" w:hAnsi="Arial"/>
          <w:sz w:val="13"/>
          <w:szCs w:val="13"/>
          <w:i w:val="1"/>
          <w:iCs w:val="1"/>
          <w:color w:val="auto"/>
        </w:rPr>
      </w:pPr>
    </w:p>
    <w:p>
      <w:pPr>
        <w:jc w:val="both"/>
        <w:ind w:left="980" w:right="359" w:hanging="216"/>
        <w:spacing w:after="0" w:line="245" w:lineRule="auto"/>
        <w:tabs>
          <w:tab w:leader="none" w:pos="980" w:val="left"/>
        </w:tabs>
        <w:numPr>
          <w:ilvl w:val="0"/>
          <w:numId w:val="73"/>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19,436 RSUs subject to accelerated vesting by the closing market price at December 31, 2019 ($75.43). The SARs that were underwater were not part of this payout calculation.</w:t>
      </w:r>
    </w:p>
    <w:p>
      <w:pPr>
        <w:spacing w:after="0" w:line="1" w:lineRule="exact"/>
        <w:rPr>
          <w:rFonts w:ascii="Arial" w:cs="Arial" w:eastAsia="Arial" w:hAnsi="Arial"/>
          <w:sz w:val="13"/>
          <w:szCs w:val="13"/>
          <w:i w:val="1"/>
          <w:iCs w:val="1"/>
          <w:color w:val="auto"/>
        </w:rPr>
      </w:pPr>
    </w:p>
    <w:p>
      <w:pPr>
        <w:ind w:left="980" w:right="379" w:hanging="216"/>
        <w:spacing w:after="0" w:line="280" w:lineRule="auto"/>
        <w:tabs>
          <w:tab w:leader="none" w:pos="980" w:val="left"/>
        </w:tabs>
        <w:numPr>
          <w:ilvl w:val="0"/>
          <w:numId w:val="73"/>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a payment equal to 1.5 times base salary up to a maximum of $500,000 under a Company group life insurance policy.</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F26F52"/>
        </w:rPr>
        <w:t>Alistair Simpson</w:t>
      </w:r>
    </w:p>
    <w:p>
      <w:pPr>
        <w:spacing w:after="0" w:line="110" w:lineRule="exact"/>
        <w:rPr>
          <w:sz w:val="20"/>
          <w:szCs w:val="20"/>
          <w:color w:val="auto"/>
        </w:rPr>
      </w:pPr>
    </w:p>
    <w:p>
      <w:pPr>
        <w:ind w:left="760" w:right="199"/>
        <w:spacing w:after="0" w:line="253" w:lineRule="auto"/>
        <w:rPr>
          <w:sz w:val="20"/>
          <w:szCs w:val="20"/>
          <w:color w:val="auto"/>
        </w:rPr>
      </w:pPr>
      <w:r>
        <w:rPr>
          <w:rFonts w:ascii="Arial" w:cs="Arial" w:eastAsia="Arial" w:hAnsi="Arial"/>
          <w:sz w:val="16"/>
          <w:szCs w:val="16"/>
          <w:color w:val="auto"/>
        </w:rPr>
        <w:t>In February 2017, we entered into a service agreement with Mr. Simpson. The agreement provides for an annual base salary in the amount of £280,000, which increased to £340,000 as of April 1, 2019 and an opportunity to earn an annual cash incentive bonus with a target amount equal to 60% of his annual base salary as of April1, 2019.</w:t>
      </w:r>
    </w:p>
    <w:p>
      <w:pPr>
        <w:spacing w:after="0" w:line="80" w:lineRule="exact"/>
        <w:rPr>
          <w:sz w:val="20"/>
          <w:szCs w:val="20"/>
          <w:color w:val="auto"/>
        </w:rPr>
      </w:pPr>
    </w:p>
    <w:p>
      <w:pPr>
        <w:ind w:left="760" w:right="299"/>
        <w:spacing w:after="0" w:line="270" w:lineRule="auto"/>
        <w:rPr>
          <w:sz w:val="20"/>
          <w:szCs w:val="20"/>
          <w:color w:val="auto"/>
        </w:rPr>
      </w:pPr>
      <w:r>
        <w:rPr>
          <w:rFonts w:ascii="Arial" w:cs="Arial" w:eastAsia="Arial" w:hAnsi="Arial"/>
          <w:sz w:val="15"/>
          <w:szCs w:val="15"/>
          <w:color w:val="auto"/>
        </w:rPr>
        <w:t>Effective January 1, 2020, Mr. Simpson entered into a separation agreement with LivaNova as a transition into a new position and for eventual separation from the company. He resigned his position as General Manager, Cardiac Surgery and assumed the position of Vice President, Special Projects, continuing to be employed until June 30, 2021. His salary as Vice President, Special Projects is £340,000 ($433,751). Mr. Simpson will receive the 2019 STI bonus on April 2020. Mr. Simpson will receive a termination payment in the gross amount of £30,000 ($38,272). Relocation expenses up to £40,000 ($51,030) will be reimbursed</w:t>
      </w:r>
    </w:p>
    <w:p>
      <w:pPr>
        <w:sectPr>
          <w:pgSz w:w="11900" w:h="16838" w:orient="portrait"/>
          <w:cols w:equalWidth="0" w:num="1">
            <w:col w:w="10139"/>
          </w:cols>
          <w:pgMar w:left="320" w:top="132"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1340"/>
        <w:spacing w:after="0" w:line="293" w:lineRule="auto"/>
        <w:rPr>
          <w:sz w:val="20"/>
          <w:szCs w:val="20"/>
          <w:color w:val="auto"/>
        </w:rPr>
      </w:pPr>
      <w:r>
        <w:rPr>
          <w:rFonts w:ascii="Arial" w:cs="Arial" w:eastAsia="Arial" w:hAnsi="Arial"/>
          <w:sz w:val="15"/>
          <w:szCs w:val="15"/>
          <w:color w:val="auto"/>
        </w:rPr>
        <w:t>for expenses incurred in 2019 and 2020. Attorney fees up to £5,000 ($6,379) will be reimbursed for expenses related to the separation agreement. Fees related to tax support or assistance for one year form the termination date will be reimbursed.</w:t>
      </w:r>
    </w:p>
    <w:p>
      <w:pPr>
        <w:spacing w:after="0" w:line="51" w:lineRule="exact"/>
        <w:rPr>
          <w:sz w:val="20"/>
          <w:szCs w:val="20"/>
          <w:color w:val="auto"/>
        </w:rPr>
      </w:pPr>
    </w:p>
    <w:p>
      <w:pPr>
        <w:ind w:left="760" w:right="1080"/>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Simpson assuming a termination or change-in-control event had occurred on December 31, 2019.</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1520" w:type="dxa"/>
            <w:vAlign w:val="bottom"/>
          </w:tcPr>
          <w:p>
            <w:pPr>
              <w:ind w:left="40"/>
              <w:spacing w:after="0"/>
              <w:rPr>
                <w:sz w:val="20"/>
                <w:szCs w:val="20"/>
                <w:color w:val="auto"/>
              </w:rPr>
            </w:pPr>
            <w:r>
              <w:rPr>
                <w:rFonts w:ascii="Arial" w:cs="Arial" w:eastAsia="Arial" w:hAnsi="Arial"/>
                <w:sz w:val="14"/>
                <w:szCs w:val="14"/>
                <w:b w:val="1"/>
                <w:bCs w:val="1"/>
                <w:color w:val="6A2887"/>
              </w:rPr>
              <w:t>Type of Payment</w:t>
            </w:r>
          </w:p>
        </w:tc>
        <w:tc>
          <w:tcPr>
            <w:tcW w:w="1760" w:type="dxa"/>
            <w:vAlign w:val="bottom"/>
          </w:tcPr>
          <w:p>
            <w:pPr>
              <w:jc w:val="right"/>
              <w:ind w:right="65"/>
              <w:spacing w:after="0"/>
              <w:rPr>
                <w:sz w:val="20"/>
                <w:szCs w:val="20"/>
                <w:color w:val="auto"/>
              </w:rPr>
            </w:pPr>
            <w:r>
              <w:rPr>
                <w:rFonts w:ascii="Arial" w:cs="Arial" w:eastAsia="Arial" w:hAnsi="Arial"/>
                <w:sz w:val="14"/>
                <w:szCs w:val="14"/>
                <w:b w:val="1"/>
                <w:bCs w:val="1"/>
                <w:color w:val="6A2887"/>
              </w:rPr>
              <w:t>Termination</w:t>
            </w:r>
          </w:p>
        </w:tc>
        <w:tc>
          <w:tcPr>
            <w:tcW w:w="1580" w:type="dxa"/>
            <w:vAlign w:val="bottom"/>
          </w:tcPr>
          <w:p>
            <w:pPr>
              <w:jc w:val="right"/>
              <w:ind w:right="6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tcPr>
          <w:p>
            <w:pPr>
              <w:jc w:val="right"/>
              <w:ind w:right="85"/>
              <w:spacing w:after="0"/>
              <w:rPr>
                <w:sz w:val="20"/>
                <w:szCs w:val="20"/>
                <w:color w:val="auto"/>
              </w:rPr>
            </w:pPr>
            <w:r>
              <w:rPr>
                <w:rFonts w:ascii="Arial" w:cs="Arial" w:eastAsia="Arial" w:hAnsi="Arial"/>
                <w:sz w:val="14"/>
                <w:szCs w:val="14"/>
                <w:b w:val="1"/>
                <w:bCs w:val="1"/>
                <w:color w:val="6A2887"/>
              </w:rPr>
              <w:t>Separation due to</w:t>
            </w:r>
          </w:p>
        </w:tc>
        <w:tc>
          <w:tcPr>
            <w:tcW w:w="1460" w:type="dxa"/>
            <w:vAlign w:val="bottom"/>
            <w:gridSpan w:val="2"/>
          </w:tcPr>
          <w:p>
            <w:pPr>
              <w:jc w:val="right"/>
              <w:ind w:right="84"/>
              <w:spacing w:after="0"/>
              <w:rPr>
                <w:sz w:val="20"/>
                <w:szCs w:val="20"/>
                <w:color w:val="auto"/>
              </w:rPr>
            </w:pPr>
            <w:r>
              <w:rPr>
                <w:rFonts w:ascii="Arial" w:cs="Arial" w:eastAsia="Arial" w:hAnsi="Arial"/>
                <w:sz w:val="14"/>
                <w:szCs w:val="14"/>
                <w:b w:val="1"/>
                <w:bCs w:val="1"/>
                <w:color w:val="6A2887"/>
              </w:rPr>
              <w:t>Separation due to</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6A2887"/>
              </w:rPr>
              <w:t>Separation due to</w:t>
            </w:r>
          </w:p>
        </w:tc>
      </w:tr>
      <w:tr>
        <w:trPr>
          <w:trHeight w:val="216"/>
        </w:trPr>
        <w:tc>
          <w:tcPr>
            <w:tcW w:w="152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or Benefit</w:t>
            </w:r>
          </w:p>
        </w:tc>
        <w:tc>
          <w:tcPr>
            <w:tcW w:w="17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without Cause ($)</w:t>
            </w:r>
            <w:r>
              <w:rPr>
                <w:rFonts w:ascii="Arial" w:cs="Arial" w:eastAsia="Arial" w:hAnsi="Arial"/>
                <w:sz w:val="21"/>
                <w:szCs w:val="21"/>
                <w:b w:val="1"/>
                <w:bCs w:val="1"/>
                <w:color w:val="6A2887"/>
                <w:vertAlign w:val="superscript"/>
              </w:rPr>
              <w:t>(1)</w:t>
            </w:r>
          </w:p>
        </w:tc>
        <w:tc>
          <w:tcPr>
            <w:tcW w:w="158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Change in Control</w:t>
            </w:r>
            <w:r>
              <w:rPr>
                <w:rFonts w:ascii="Arial" w:cs="Arial" w:eastAsia="Arial" w:hAnsi="Arial"/>
                <w:sz w:val="21"/>
                <w:szCs w:val="21"/>
                <w:b w:val="1"/>
                <w:bCs w:val="1"/>
                <w:color w:val="6A2887"/>
                <w:vertAlign w:val="superscript"/>
              </w:rPr>
              <w:t>(2)</w:t>
            </w:r>
          </w:p>
        </w:tc>
        <w:tc>
          <w:tcPr>
            <w:tcW w:w="1460" w:type="dxa"/>
            <w:vAlign w:val="bottom"/>
            <w:tcBorders>
              <w:bottom w:val="single" w:sz="8" w:color="6A2887"/>
            </w:tcBorders>
          </w:tcPr>
          <w:p>
            <w:pPr>
              <w:jc w:val="right"/>
              <w:ind w:right="45"/>
              <w:spacing w:after="0" w:line="216" w:lineRule="exact"/>
              <w:rPr>
                <w:sz w:val="20"/>
                <w:szCs w:val="20"/>
                <w:color w:val="auto"/>
              </w:rPr>
            </w:pPr>
            <w:r>
              <w:rPr>
                <w:rFonts w:ascii="Arial" w:cs="Arial" w:eastAsia="Arial" w:hAnsi="Arial"/>
                <w:sz w:val="14"/>
                <w:szCs w:val="14"/>
                <w:b w:val="1"/>
                <w:bCs w:val="1"/>
                <w:color w:val="6A2887"/>
              </w:rPr>
              <w:t>Disability</w:t>
            </w:r>
            <w:r>
              <w:rPr>
                <w:rFonts w:ascii="Arial" w:cs="Arial" w:eastAsia="Arial" w:hAnsi="Arial"/>
                <w:sz w:val="21"/>
                <w:szCs w:val="21"/>
                <w:b w:val="1"/>
                <w:bCs w:val="1"/>
                <w:color w:val="6A2887"/>
                <w:vertAlign w:val="superscript"/>
              </w:rPr>
              <w:t>(3)</w:t>
            </w:r>
          </w:p>
        </w:tc>
        <w:tc>
          <w:tcPr>
            <w:tcW w:w="660" w:type="dxa"/>
            <w:vAlign w:val="bottom"/>
            <w:tcBorders>
              <w:bottom w:val="single" w:sz="8" w:color="6A2887"/>
            </w:tcBorders>
          </w:tcPr>
          <w:p>
            <w:pPr>
              <w:spacing w:after="0"/>
              <w:rPr>
                <w:sz w:val="18"/>
                <w:szCs w:val="18"/>
                <w:color w:val="auto"/>
              </w:rPr>
            </w:pPr>
          </w:p>
        </w:tc>
        <w:tc>
          <w:tcPr>
            <w:tcW w:w="800" w:type="dxa"/>
            <w:vAlign w:val="bottom"/>
            <w:tcBorders>
              <w:bottom w:val="single" w:sz="8" w:color="6A2887"/>
            </w:tcBorders>
          </w:tcPr>
          <w:p>
            <w:pPr>
              <w:jc w:val="right"/>
              <w:ind w:right="44"/>
              <w:spacing w:after="0" w:line="216" w:lineRule="exact"/>
              <w:rPr>
                <w:sz w:val="20"/>
                <w:szCs w:val="20"/>
                <w:color w:val="auto"/>
              </w:rPr>
            </w:pPr>
            <w:r>
              <w:rPr>
                <w:rFonts w:ascii="Arial" w:cs="Arial" w:eastAsia="Arial" w:hAnsi="Arial"/>
                <w:sz w:val="14"/>
                <w:szCs w:val="14"/>
                <w:b w:val="1"/>
                <w:bCs w:val="1"/>
                <w:color w:val="6A2887"/>
              </w:rPr>
              <w:t>Death</w:t>
            </w:r>
            <w:r>
              <w:rPr>
                <w:rFonts w:ascii="Arial" w:cs="Arial" w:eastAsia="Arial" w:hAnsi="Arial"/>
                <w:sz w:val="21"/>
                <w:szCs w:val="21"/>
                <w:b w:val="1"/>
                <w:bCs w:val="1"/>
                <w:color w:val="6A2887"/>
                <w:vertAlign w:val="superscript"/>
              </w:rPr>
              <w:t>(4)</w:t>
            </w:r>
          </w:p>
        </w:tc>
        <w:tc>
          <w:tcPr>
            <w:tcW w:w="1400" w:type="dxa"/>
            <w:vAlign w:val="bottom"/>
            <w:tcBorders>
              <w:bottom w:val="single" w:sz="8" w:color="6A2887"/>
            </w:tcBorders>
          </w:tcPr>
          <w:p>
            <w:pPr>
              <w:ind w:left="600"/>
              <w:spacing w:after="0"/>
              <w:rPr>
                <w:sz w:val="20"/>
                <w:szCs w:val="20"/>
                <w:color w:val="auto"/>
              </w:rPr>
            </w:pPr>
            <w:r>
              <w:rPr>
                <w:rFonts w:ascii="Arial" w:cs="Arial" w:eastAsia="Arial" w:hAnsi="Arial"/>
                <w:sz w:val="14"/>
                <w:szCs w:val="14"/>
                <w:b w:val="1"/>
                <w:bCs w:val="1"/>
                <w:color w:val="6A2887"/>
              </w:rPr>
              <w:t>Retirement</w:t>
            </w:r>
          </w:p>
        </w:tc>
      </w:tr>
      <w:tr>
        <w:trPr>
          <w:trHeight w:val="215"/>
        </w:trPr>
        <w:tc>
          <w:tcPr>
            <w:tcW w:w="1520" w:type="dxa"/>
            <w:vAlign w:val="bottom"/>
          </w:tcPr>
          <w:p>
            <w:pPr>
              <w:ind w:left="40"/>
              <w:spacing w:after="0"/>
              <w:rPr>
                <w:sz w:val="20"/>
                <w:szCs w:val="20"/>
                <w:color w:val="auto"/>
              </w:rPr>
            </w:pPr>
            <w:r>
              <w:rPr>
                <w:rFonts w:ascii="Arial" w:cs="Arial" w:eastAsia="Arial" w:hAnsi="Arial"/>
                <w:sz w:val="15"/>
                <w:szCs w:val="15"/>
                <w:color w:val="auto"/>
              </w:rPr>
              <w:t>Severance</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1,735,004</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2"/>
        </w:trPr>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STIP</w:t>
            </w:r>
          </w:p>
        </w:tc>
        <w:tc>
          <w:tcPr>
            <w:tcW w:w="17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57"/>
        </w:trPr>
        <w:tc>
          <w:tcPr>
            <w:tcW w:w="1520" w:type="dxa"/>
            <w:vAlign w:val="bottom"/>
          </w:tcPr>
          <w:p>
            <w:pPr>
              <w:ind w:left="40"/>
              <w:spacing w:after="0" w:line="256" w:lineRule="exact"/>
              <w:rPr>
                <w:sz w:val="20"/>
                <w:szCs w:val="20"/>
                <w:color w:val="auto"/>
              </w:rPr>
            </w:pPr>
            <w:r>
              <w:rPr>
                <w:rFonts w:ascii="Arial" w:cs="Arial" w:eastAsia="Arial" w:hAnsi="Arial"/>
                <w:sz w:val="15"/>
                <w:szCs w:val="15"/>
                <w:color w:val="auto"/>
              </w:rPr>
              <w:t>LTIP</w:t>
            </w:r>
            <w:r>
              <w:rPr>
                <w:rFonts w:ascii="Arial" w:cs="Arial" w:eastAsia="Arial" w:hAnsi="Arial"/>
                <w:sz w:val="23"/>
                <w:szCs w:val="23"/>
                <w:color w:val="auto"/>
                <w:vertAlign w:val="superscript"/>
              </w:rPr>
              <w:t>(1)</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$850,122</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$220,281</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220,281</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r>
        <w:trPr>
          <w:trHeight w:val="250"/>
        </w:trPr>
        <w:tc>
          <w:tcPr>
            <w:tcW w:w="152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Benefits</w:t>
            </w:r>
          </w:p>
        </w:tc>
        <w:tc>
          <w:tcPr>
            <w:tcW w:w="17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EFE9FC"/>
            </w:tcBorders>
            <w:shd w:val="clear" w:color="auto" w:fill="EFE9FC"/>
          </w:tcPr>
          <w:p>
            <w:pPr>
              <w:jc w:val="right"/>
              <w:ind w:right="25"/>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EFE9FC"/>
            </w:tcBorders>
            <w:shd w:val="clear" w:color="auto" w:fill="EFE9FC"/>
          </w:tcPr>
          <w:p>
            <w:pPr>
              <w:spacing w:after="0"/>
              <w:rPr>
                <w:sz w:val="21"/>
                <w:szCs w:val="21"/>
                <w:color w:val="auto"/>
              </w:rPr>
            </w:pPr>
          </w:p>
        </w:tc>
        <w:tc>
          <w:tcPr>
            <w:tcW w:w="80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EFE9FC"/>
            </w:tcBorders>
            <w:shd w:val="clear" w:color="auto" w:fill="EFE9FC"/>
          </w:tcPr>
          <w:p>
            <w:pPr>
              <w:ind w:left="1260"/>
              <w:spacing w:after="0"/>
              <w:rPr>
                <w:sz w:val="20"/>
                <w:szCs w:val="20"/>
                <w:color w:val="auto"/>
              </w:rPr>
            </w:pPr>
            <w:r>
              <w:rPr>
                <w:rFonts w:ascii="Arial" w:cs="Arial" w:eastAsia="Arial" w:hAnsi="Arial"/>
                <w:sz w:val="15"/>
                <w:szCs w:val="15"/>
                <w:color w:val="auto"/>
              </w:rPr>
              <w:t>–</w:t>
            </w:r>
          </w:p>
        </w:tc>
      </w:tr>
      <w:tr>
        <w:trPr>
          <w:trHeight w:val="221"/>
        </w:trPr>
        <w:tc>
          <w:tcPr>
            <w:tcW w:w="1520" w:type="dxa"/>
            <w:vAlign w:val="bottom"/>
          </w:tcPr>
          <w:p>
            <w:pPr>
              <w:ind w:left="40"/>
              <w:spacing w:after="0"/>
              <w:rPr>
                <w:sz w:val="20"/>
                <w:szCs w:val="20"/>
                <w:color w:val="auto"/>
              </w:rPr>
            </w:pPr>
            <w:r>
              <w:rPr>
                <w:rFonts w:ascii="Arial" w:cs="Arial" w:eastAsia="Arial" w:hAnsi="Arial"/>
                <w:sz w:val="15"/>
                <w:szCs w:val="15"/>
                <w:color w:val="auto"/>
              </w:rPr>
              <w:t>Total</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$433,751</w:t>
            </w:r>
          </w:p>
        </w:tc>
        <w:tc>
          <w:tcPr>
            <w:tcW w:w="1580" w:type="dxa"/>
            <w:vAlign w:val="bottom"/>
          </w:tcPr>
          <w:p>
            <w:pPr>
              <w:jc w:val="right"/>
              <w:ind w:right="25"/>
              <w:spacing w:after="0"/>
              <w:rPr>
                <w:sz w:val="20"/>
                <w:szCs w:val="20"/>
                <w:color w:val="auto"/>
              </w:rPr>
            </w:pPr>
            <w:r>
              <w:rPr>
                <w:rFonts w:ascii="Arial" w:cs="Arial" w:eastAsia="Arial" w:hAnsi="Arial"/>
                <w:sz w:val="15"/>
                <w:szCs w:val="15"/>
                <w:color w:val="auto"/>
              </w:rPr>
              <w:t>$850,122</w:t>
            </w:r>
          </w:p>
        </w:tc>
        <w:tc>
          <w:tcPr>
            <w:tcW w:w="1460" w:type="dxa"/>
            <w:vAlign w:val="bottom"/>
          </w:tcPr>
          <w:p>
            <w:pPr>
              <w:jc w:val="right"/>
              <w:ind w:right="25"/>
              <w:spacing w:after="0"/>
              <w:rPr>
                <w:sz w:val="20"/>
                <w:szCs w:val="20"/>
                <w:color w:val="auto"/>
              </w:rPr>
            </w:pPr>
            <w:r>
              <w:rPr>
                <w:rFonts w:ascii="Arial" w:cs="Arial" w:eastAsia="Arial" w:hAnsi="Arial"/>
                <w:sz w:val="15"/>
                <w:szCs w:val="15"/>
                <w:color w:val="auto"/>
              </w:rPr>
              <w:t>$220,281</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1,955,285</w:t>
            </w:r>
          </w:p>
        </w:tc>
        <w:tc>
          <w:tcPr>
            <w:tcW w:w="1400" w:type="dxa"/>
            <w:vAlign w:val="bottom"/>
          </w:tcPr>
          <w:p>
            <w:pPr>
              <w:ind w:left="126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ind w:left="980" w:right="820" w:hanging="216"/>
        <w:spacing w:after="0" w:line="253"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termination without cause represents 12 months of base salary ($433,751). We may elect to pay this severance amount in installments, and in this case, if Mr. Simpson secures alternative employment, then the gross installments payable after the date when alternative employment commences will be reduced by a sum equal to the gross amount of her income from the alternative employment.</w:t>
      </w:r>
    </w:p>
    <w:p>
      <w:pPr>
        <w:ind w:left="980" w:right="780" w:hanging="216"/>
        <w:spacing w:after="0" w:line="247"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separation due to change in control is calculated by adding (i) the amount resulting from multiplying the 8,350 RSUs subject to accelerated vesting by the closing market price at December 31, 2019 ($75.43) and (ii) the amount resulting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ind w:left="980" w:right="800" w:hanging="216"/>
        <w:spacing w:after="0" w:line="252"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potential payment in case of disability is calculated adding the amounts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spacing w:after="0" w:line="1" w:lineRule="exact"/>
        <w:rPr>
          <w:rFonts w:ascii="Arial" w:cs="Arial" w:eastAsia="Arial" w:hAnsi="Arial"/>
          <w:sz w:val="13"/>
          <w:szCs w:val="13"/>
          <w:i w:val="1"/>
          <w:iCs w:val="1"/>
          <w:color w:val="auto"/>
        </w:rPr>
      </w:pPr>
    </w:p>
    <w:p>
      <w:pPr>
        <w:ind w:left="980" w:right="800" w:hanging="216"/>
        <w:spacing w:after="0" w:line="247"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2019 ($75.43) and the exercise price for each SAR, as follows (7,829 SARs with an exercise price of $56.17 and 4,816 SARs with an exercise price of $61). This does not include SARs where the exercise price exceeds the market price.</w:t>
      </w:r>
    </w:p>
    <w:p>
      <w:pPr>
        <w:ind w:left="980" w:right="1220" w:hanging="216"/>
        <w:spacing w:after="0" w:line="280" w:lineRule="auto"/>
        <w:tabs>
          <w:tab w:leader="none" w:pos="980" w:val="left"/>
        </w:tabs>
        <w:numPr>
          <w:ilvl w:val="0"/>
          <w:numId w:val="74"/>
        </w:numPr>
        <w:rPr>
          <w:rFonts w:ascii="Arial" w:cs="Arial" w:eastAsia="Arial" w:hAnsi="Arial"/>
          <w:sz w:val="13"/>
          <w:szCs w:val="13"/>
          <w:i w:val="1"/>
          <w:iCs w:val="1"/>
          <w:color w:val="auto"/>
        </w:rPr>
      </w:pPr>
      <w:r>
        <w:rPr>
          <w:rFonts w:ascii="Arial" w:cs="Arial" w:eastAsia="Arial" w:hAnsi="Arial"/>
          <w:sz w:val="13"/>
          <w:szCs w:val="13"/>
          <w:i w:val="1"/>
          <w:iCs w:val="1"/>
          <w:color w:val="auto"/>
        </w:rPr>
        <w:t>For the amounts on this table, we used an exchange rate of $1.275738014 per British Pound, each of which reflects the applicable period average published rate from our BOPC Accounting System between January 1, 2019 and December 31, 2019.</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CEO Pay Ratio</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required by Item 402(u) of Regulation S-K, we are providing the following information: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year ended December 31, 2019:</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the median of the annual total compensation of all employees of our company (other than the CEO), was $60,298; and</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the annual total compensation of Mr. McDonald, our CEO, was $7,131,927.</w:t>
      </w:r>
    </w:p>
    <w:p>
      <w:pPr>
        <w:spacing w:after="0" w:line="100" w:lineRule="exact"/>
        <w:rPr>
          <w:sz w:val="20"/>
          <w:szCs w:val="20"/>
          <w:color w:val="auto"/>
        </w:rPr>
      </w:pPr>
    </w:p>
    <w:p>
      <w:pPr>
        <w:ind w:left="760" w:right="820"/>
        <w:spacing w:after="0" w:line="260" w:lineRule="auto"/>
        <w:rPr>
          <w:sz w:val="20"/>
          <w:szCs w:val="20"/>
          <w:color w:val="auto"/>
        </w:rPr>
      </w:pPr>
      <w:r>
        <w:rPr>
          <w:rFonts w:ascii="Arial" w:cs="Arial" w:eastAsia="Arial" w:hAnsi="Arial"/>
          <w:sz w:val="16"/>
          <w:szCs w:val="16"/>
          <w:color w:val="auto"/>
        </w:rPr>
        <w:t>Based on this information, the ratio of our annual total compensation of our CEO to the median of the annual total compensation of all employees is 118 to 1.</w:t>
      </w:r>
    </w:p>
    <w:p>
      <w:pPr>
        <w:spacing w:after="0" w:line="74" w:lineRule="exact"/>
        <w:rPr>
          <w:sz w:val="20"/>
          <w:szCs w:val="20"/>
          <w:color w:val="auto"/>
        </w:rPr>
      </w:pPr>
    </w:p>
    <w:p>
      <w:pPr>
        <w:ind w:left="760" w:right="1060"/>
        <w:spacing w:after="0" w:line="253" w:lineRule="auto"/>
        <w:rPr>
          <w:sz w:val="20"/>
          <w:szCs w:val="20"/>
          <w:color w:val="auto"/>
        </w:rPr>
      </w:pPr>
      <w:r>
        <w:rPr>
          <w:rFonts w:ascii="Arial" w:cs="Arial" w:eastAsia="Arial" w:hAnsi="Arial"/>
          <w:sz w:val="16"/>
          <w:szCs w:val="16"/>
          <w:color w:val="auto"/>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66" w:lineRule="exact"/>
        <w:rPr>
          <w:sz w:val="20"/>
          <w:szCs w:val="20"/>
          <w:color w:val="auto"/>
        </w:rPr>
      </w:pPr>
    </w:p>
    <w:p>
      <w:pPr>
        <w:ind w:left="1200" w:right="940" w:hanging="220"/>
        <w:spacing w:after="0" w:line="253" w:lineRule="auto"/>
        <w:tabs>
          <w:tab w:leader="none" w:pos="1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of October 1, 2019, our employee population consisted of 4,035 individuals working at our parent company and consolidated subsidiaries, with approximately 32% of these individuals located in the United States, 6% located in Canada, 52% located in Europe, and 10% located in various countries in Southeast Asia and South America.</w:t>
      </w:r>
    </w:p>
    <w:p>
      <w:pPr>
        <w:spacing w:after="0" w:line="25" w:lineRule="exact"/>
        <w:rPr>
          <w:rFonts w:ascii="Arial" w:cs="Arial" w:eastAsia="Arial" w:hAnsi="Arial"/>
          <w:sz w:val="16"/>
          <w:szCs w:val="16"/>
          <w:color w:val="auto"/>
        </w:rPr>
      </w:pPr>
    </w:p>
    <w:p>
      <w:pPr>
        <w:ind w:left="1360" w:right="1380" w:hanging="164"/>
        <w:spacing w:after="0" w:line="260" w:lineRule="auto"/>
        <w:tabs>
          <w:tab w:leader="none" w:pos="1360" w:val="left"/>
        </w:tabs>
        <w:numPr>
          <w:ilvl w:val="1"/>
          <w:numId w:val="76"/>
        </w:numPr>
        <w:rPr>
          <w:rFonts w:ascii="Arial" w:cs="Arial" w:eastAsia="Arial" w:hAnsi="Arial"/>
          <w:sz w:val="16"/>
          <w:szCs w:val="16"/>
          <w:color w:val="6A2887"/>
        </w:rPr>
      </w:pPr>
      <w:r>
        <w:rPr>
          <w:rFonts w:ascii="Arial" w:cs="Arial" w:eastAsia="Arial" w:hAnsi="Arial"/>
          <w:sz w:val="16"/>
          <w:szCs w:val="16"/>
          <w:color w:val="auto"/>
        </w:rPr>
        <w:t>We selected October 1, 2019 to allow sufficient time to identify the median employee given the global scope of our operations.</w:t>
      </w:r>
    </w:p>
    <w:p>
      <w:pPr>
        <w:spacing w:after="0" w:line="60" w:lineRule="exact"/>
        <w:rPr>
          <w:rFonts w:ascii="Arial" w:cs="Arial" w:eastAsia="Arial" w:hAnsi="Arial"/>
          <w:sz w:val="16"/>
          <w:szCs w:val="16"/>
          <w:color w:val="6A2887"/>
        </w:rPr>
      </w:pPr>
    </w:p>
    <w:p>
      <w:pPr>
        <w:ind w:left="1200" w:right="1220" w:hanging="220"/>
        <w:spacing w:after="0" w:line="260" w:lineRule="auto"/>
        <w:tabs>
          <w:tab w:leader="none" w:pos="1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Our employee population, after taking into consideration the adjustments permitted by SEC rules (as described below), consisted of 3,810 individuals.</w:t>
      </w:r>
    </w:p>
    <w:p>
      <w:pPr>
        <w:spacing w:after="0" w:line="3" w:lineRule="exact"/>
        <w:rPr>
          <w:rFonts w:ascii="Arial" w:cs="Arial" w:eastAsia="Arial" w:hAnsi="Arial"/>
          <w:sz w:val="16"/>
          <w:szCs w:val="16"/>
          <w:color w:val="auto"/>
        </w:rPr>
      </w:pPr>
    </w:p>
    <w:p>
      <w:pPr>
        <w:ind w:left="1360" w:right="1180" w:hanging="164"/>
        <w:spacing w:after="0" w:line="274" w:lineRule="auto"/>
        <w:tabs>
          <w:tab w:leader="none" w:pos="1360" w:val="left"/>
        </w:tabs>
        <w:numPr>
          <w:ilvl w:val="1"/>
          <w:numId w:val="76"/>
        </w:numPr>
        <w:rPr>
          <w:rFonts w:ascii="Arial" w:cs="Arial" w:eastAsia="Arial" w:hAnsi="Arial"/>
          <w:sz w:val="16"/>
          <w:szCs w:val="16"/>
          <w:color w:val="6A2887"/>
        </w:rPr>
      </w:pPr>
      <w:r>
        <w:rPr>
          <w:rFonts w:ascii="Arial" w:cs="Arial" w:eastAsia="Arial" w:hAnsi="Arial"/>
          <w:sz w:val="16"/>
          <w:szCs w:val="16"/>
          <w:color w:val="auto"/>
        </w:rPr>
        <w:t xml:space="preserve">Using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we limited our employee population to individuals residing in Europe, North America, Japan and Australia.</w:t>
      </w:r>
    </w:p>
    <w:p>
      <w:pPr>
        <w:ind w:left="1360" w:right="1020" w:hanging="164"/>
        <w:spacing w:after="0" w:line="270" w:lineRule="auto"/>
        <w:tabs>
          <w:tab w:leader="none" w:pos="1360" w:val="left"/>
        </w:tabs>
        <w:numPr>
          <w:ilvl w:val="1"/>
          <w:numId w:val="76"/>
        </w:numPr>
        <w:rPr>
          <w:rFonts w:ascii="Arial" w:cs="Arial" w:eastAsia="Arial" w:hAnsi="Arial"/>
          <w:sz w:val="15"/>
          <w:szCs w:val="15"/>
          <w:color w:val="6A2887"/>
        </w:rPr>
      </w:pPr>
      <w:r>
        <w:rPr>
          <w:rFonts w:ascii="Arial" w:cs="Arial" w:eastAsia="Arial" w:hAnsi="Arial"/>
          <w:sz w:val="15"/>
          <w:szCs w:val="15"/>
          <w:color w:val="auto"/>
        </w:rPr>
        <w:t>Given the global distribution of our employee population, we have a variety of pay elements in the compensation arrangements of our employees. For example, while most of our employees participate in our short-term incentive plan, the incentive compensation element for some of our employees residing in the US, Japan and Europe is based on commissions. They do not participate in our short-incentive plan. Consequently, we selected base salary or wages plus overtime pay as the most appropriate consistently applied compensation measure to identify the median employee.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Executive </w:t>
      </w:r>
      <w:r>
        <w:rPr>
          <w:rFonts w:ascii="Arial" w:cs="Arial" w:eastAsia="Arial" w:hAnsi="Arial"/>
          <w:sz w:val="13"/>
          <w:szCs w:val="13"/>
          <w:b w:val="1"/>
          <w:bCs w:val="1"/>
          <w:color w:val="666666"/>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60" w:right="299" w:hanging="164"/>
        <w:spacing w:after="0" w:line="260" w:lineRule="auto"/>
        <w:tabs>
          <w:tab w:leader="none" w:pos="1360" w:val="left"/>
        </w:tabs>
        <w:numPr>
          <w:ilvl w:val="1"/>
          <w:numId w:val="77"/>
        </w:numPr>
        <w:rPr>
          <w:rFonts w:ascii="Arial" w:cs="Arial" w:eastAsia="Arial" w:hAnsi="Arial"/>
          <w:sz w:val="16"/>
          <w:szCs w:val="16"/>
          <w:color w:val="6A2887"/>
        </w:rPr>
      </w:pPr>
      <w:r>
        <w:rPr>
          <w:rFonts w:ascii="Arial" w:cs="Arial" w:eastAsia="Arial" w:hAnsi="Arial"/>
          <w:sz w:val="16"/>
          <w:szCs w:val="16"/>
          <w:color w:val="auto"/>
        </w:rPr>
        <w:t>We annualized the compensation of all permanent employees who were hired in fiscal 2019 but did not work for us or our consolidated subsidiaries for the entire fiscal year.</w:t>
      </w:r>
    </w:p>
    <w:p>
      <w:pPr>
        <w:spacing w:after="0" w:line="19" w:lineRule="exact"/>
        <w:rPr>
          <w:rFonts w:ascii="Arial" w:cs="Arial" w:eastAsia="Arial" w:hAnsi="Arial"/>
          <w:sz w:val="16"/>
          <w:szCs w:val="16"/>
          <w:color w:val="6A2887"/>
        </w:rPr>
      </w:pPr>
    </w:p>
    <w:p>
      <w:pPr>
        <w:ind w:left="1360" w:hanging="164"/>
        <w:spacing w:after="0"/>
        <w:tabs>
          <w:tab w:leader="none" w:pos="1360" w:val="left"/>
        </w:tabs>
        <w:numPr>
          <w:ilvl w:val="1"/>
          <w:numId w:val="77"/>
        </w:numPr>
        <w:rPr>
          <w:rFonts w:ascii="Arial" w:cs="Arial" w:eastAsia="Arial" w:hAnsi="Arial"/>
          <w:sz w:val="16"/>
          <w:szCs w:val="16"/>
          <w:color w:val="6A2887"/>
        </w:rPr>
      </w:pPr>
      <w:r>
        <w:rPr>
          <w:rFonts w:ascii="Arial" w:cs="Arial" w:eastAsia="Arial" w:hAnsi="Arial"/>
          <w:sz w:val="16"/>
          <w:szCs w:val="16"/>
          <w:color w:val="auto"/>
        </w:rPr>
        <w:t>We did not make any cost-of-living adjustments in identifying the median employee.</w:t>
      </w:r>
    </w:p>
    <w:p>
      <w:pPr>
        <w:spacing w:after="0" w:line="99" w:lineRule="exact"/>
        <w:rPr>
          <w:rFonts w:ascii="Arial" w:cs="Arial" w:eastAsia="Arial" w:hAnsi="Arial"/>
          <w:sz w:val="16"/>
          <w:szCs w:val="16"/>
          <w:color w:val="6A2887"/>
        </w:rPr>
      </w:pPr>
    </w:p>
    <w:p>
      <w:pPr>
        <w:ind w:left="1200" w:right="419" w:hanging="220"/>
        <w:spacing w:after="0" w:line="253" w:lineRule="auto"/>
        <w:tabs>
          <w:tab w:leader="none" w:pos="12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of our 2019 Summary Compensation Table included in this proxy statement. We applied the same approach to determine the annual total compensation of the identified median employee.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2019 Director Compensation Table</w:t>
      </w:r>
    </w:p>
    <w:p>
      <w:pPr>
        <w:spacing w:after="0" w:line="139" w:lineRule="exact"/>
        <w:rPr>
          <w:sz w:val="20"/>
          <w:szCs w:val="20"/>
          <w:color w:val="auto"/>
        </w:rPr>
      </w:pPr>
    </w:p>
    <w:p>
      <w:pPr>
        <w:ind w:left="760" w:right="199"/>
        <w:spacing w:after="0" w:line="247" w:lineRule="auto"/>
        <w:rPr>
          <w:sz w:val="20"/>
          <w:szCs w:val="20"/>
          <w:color w:val="auto"/>
        </w:rPr>
      </w:pPr>
      <w:r>
        <w:rPr>
          <w:rFonts w:ascii="Arial" w:cs="Arial" w:eastAsia="Arial" w:hAnsi="Arial"/>
          <w:sz w:val="16"/>
          <w:szCs w:val="16"/>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and the chairman of our Board;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w:t>
      </w:r>
    </w:p>
    <w:p>
      <w:pPr>
        <w:spacing w:after="0" w:line="77" w:lineRule="exact"/>
        <w:rPr>
          <w:sz w:val="20"/>
          <w:szCs w:val="20"/>
          <w:color w:val="auto"/>
        </w:rPr>
      </w:pPr>
    </w:p>
    <w:p>
      <w:pPr>
        <w:ind w:left="760" w:right="319"/>
        <w:spacing w:after="0" w:line="260" w:lineRule="auto"/>
        <w:rPr>
          <w:sz w:val="20"/>
          <w:szCs w:val="20"/>
          <w:color w:val="auto"/>
        </w:rPr>
      </w:pPr>
      <w:r>
        <w:rPr>
          <w:rFonts w:ascii="Arial" w:cs="Arial" w:eastAsia="Arial" w:hAnsi="Arial"/>
          <w:sz w:val="16"/>
          <w:szCs w:val="16"/>
          <w:color w:val="auto"/>
        </w:rPr>
        <w:t>In 2019, non-employee directors who served on the Company’s Board received the following fees paid in cash for their service on the Board:</w:t>
      </w:r>
    </w:p>
    <w:p>
      <w:pPr>
        <w:spacing w:after="0" w:line="20" w:lineRule="exact"/>
        <w:rPr>
          <w:sz w:val="20"/>
          <w:szCs w:val="20"/>
          <w:color w:val="auto"/>
        </w:rPr>
      </w:pPr>
    </w:p>
    <w:p>
      <w:pPr>
        <w:ind w:left="920" w:hanging="156"/>
        <w:spacing w:after="0"/>
        <w:tabs>
          <w:tab w:leader="none" w:pos="920" w:val="left"/>
        </w:tabs>
        <w:numPr>
          <w:ilvl w:val="0"/>
          <w:numId w:val="78"/>
        </w:numPr>
        <w:rPr>
          <w:rFonts w:ascii="Arial" w:cs="Arial" w:eastAsia="Arial" w:hAnsi="Arial"/>
          <w:sz w:val="16"/>
          <w:szCs w:val="16"/>
          <w:color w:val="6A2887"/>
        </w:rPr>
      </w:pPr>
      <w:r>
        <w:rPr>
          <w:rFonts w:ascii="Arial" w:cs="Arial" w:eastAsia="Arial" w:hAnsi="Arial"/>
          <w:sz w:val="16"/>
          <w:szCs w:val="16"/>
          <w:color w:val="auto"/>
        </w:rPr>
        <w:t>annual board retainer fee of $110,000 ($185,000 for the Board Chair)</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78"/>
        </w:numPr>
        <w:rPr>
          <w:rFonts w:ascii="Arial" w:cs="Arial" w:eastAsia="Arial" w:hAnsi="Arial"/>
          <w:sz w:val="16"/>
          <w:szCs w:val="16"/>
          <w:color w:val="6A2887"/>
        </w:rPr>
      </w:pPr>
      <w:r>
        <w:rPr>
          <w:rFonts w:ascii="Arial" w:cs="Arial" w:eastAsia="Arial" w:hAnsi="Arial"/>
          <w:sz w:val="16"/>
          <w:szCs w:val="16"/>
          <w:color w:val="auto"/>
        </w:rPr>
        <w:t>committee chair fees:</w:t>
      </w:r>
    </w:p>
    <w:p>
      <w:pPr>
        <w:spacing w:after="0" w:line="32"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$15,000 (Nominating and Corporate Governance Committee)</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$20,000 (Compensation Committee)</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$30,000 (Audit and Compliance Committee)</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78"/>
        </w:numPr>
        <w:rPr>
          <w:rFonts w:ascii="Arial" w:cs="Arial" w:eastAsia="Arial" w:hAnsi="Arial"/>
          <w:sz w:val="16"/>
          <w:szCs w:val="16"/>
          <w:color w:val="6A2887"/>
        </w:rPr>
      </w:pPr>
      <w:r>
        <w:rPr>
          <w:rFonts w:ascii="Arial" w:cs="Arial" w:eastAsia="Arial" w:hAnsi="Arial"/>
          <w:sz w:val="16"/>
          <w:szCs w:val="16"/>
          <w:color w:val="auto"/>
        </w:rPr>
        <w:t>committee member fees (for members other than the committee chairs):</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$6,000 (Nominating and Corporate Governance Committee)</w:t>
      </w:r>
    </w:p>
    <w:p>
      <w:pPr>
        <w:spacing w:after="0" w:line="45"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$8,000 (Compensation Committee)</w:t>
      </w:r>
    </w:p>
    <w:p>
      <w:pPr>
        <w:spacing w:after="0" w:line="32" w:lineRule="exact"/>
        <w:rPr>
          <w:rFonts w:ascii="Arial" w:cs="Arial" w:eastAsia="Arial" w:hAnsi="Arial"/>
          <w:sz w:val="16"/>
          <w:szCs w:val="16"/>
          <w:color w:val="6A2887"/>
        </w:rPr>
      </w:pPr>
    </w:p>
    <w:p>
      <w:pPr>
        <w:ind w:left="1140" w:hanging="160"/>
        <w:spacing w:after="0"/>
        <w:tabs>
          <w:tab w:leader="none" w:pos="1140" w:val="left"/>
        </w:tabs>
        <w:numPr>
          <w:ilvl w:val="1"/>
          <w:numId w:val="78"/>
        </w:numPr>
        <w:rPr>
          <w:rFonts w:ascii="Arial" w:cs="Arial" w:eastAsia="Arial" w:hAnsi="Arial"/>
          <w:sz w:val="16"/>
          <w:szCs w:val="16"/>
          <w:color w:val="6A2887"/>
        </w:rPr>
      </w:pPr>
      <w:r>
        <w:rPr>
          <w:rFonts w:ascii="Arial" w:cs="Arial" w:eastAsia="Arial" w:hAnsi="Arial"/>
          <w:sz w:val="16"/>
          <w:szCs w:val="16"/>
          <w:color w:val="auto"/>
        </w:rPr>
        <w:t>$15,000 (Audit and Compliance Committee)</w:t>
      </w:r>
    </w:p>
    <w:p>
      <w:pPr>
        <w:spacing w:after="0" w:line="100" w:lineRule="exact"/>
        <w:rPr>
          <w:sz w:val="20"/>
          <w:szCs w:val="20"/>
          <w:color w:val="auto"/>
        </w:rPr>
      </w:pPr>
    </w:p>
    <w:p>
      <w:pPr>
        <w:jc w:val="both"/>
        <w:ind w:left="760" w:right="679"/>
        <w:spacing w:after="0" w:line="253" w:lineRule="auto"/>
        <w:rPr>
          <w:sz w:val="20"/>
          <w:szCs w:val="20"/>
          <w:color w:val="auto"/>
        </w:rPr>
      </w:pPr>
      <w:r>
        <w:rPr>
          <w:rFonts w:ascii="Arial" w:cs="Arial" w:eastAsia="Arial" w:hAnsi="Arial"/>
          <w:sz w:val="16"/>
          <w:szCs w:val="16"/>
          <w:color w:val="auto"/>
        </w:rPr>
        <w:t>The non-executive directors, in 2019, were also granted RSUs with a grant date fair market value of $110,000 for each non-executive director ($185,000 for the Board Chair.) These are service-based awards that vest after one year. In the event of a termination prior to the end of a director’s term, these RSUs are prorated.</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a summary of the compensation we paid to our non-employee directors in the year ended</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December 31, 2019:</w:t>
      </w:r>
    </w:p>
    <w:p>
      <w:pPr>
        <w:spacing w:after="0" w:line="152" w:lineRule="exact"/>
        <w:rPr>
          <w:sz w:val="20"/>
          <w:szCs w:val="20"/>
          <w:color w:val="auto"/>
        </w:rPr>
      </w:pPr>
    </w:p>
    <w:tbl>
      <w:tblPr>
        <w:tblLayout w:type="fixed"/>
        <w:tblInd w:w="76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3560" w:type="dxa"/>
            <w:vAlign w:val="bottom"/>
          </w:tcPr>
          <w:p>
            <w:pPr>
              <w:ind w:left="2360"/>
              <w:spacing w:after="0"/>
              <w:rPr>
                <w:sz w:val="20"/>
                <w:szCs w:val="20"/>
                <w:color w:val="auto"/>
              </w:rPr>
            </w:pPr>
            <w:r>
              <w:rPr>
                <w:rFonts w:ascii="Arial" w:cs="Arial" w:eastAsia="Arial" w:hAnsi="Arial"/>
                <w:sz w:val="14"/>
                <w:szCs w:val="14"/>
                <w:b w:val="1"/>
                <w:bCs w:val="1"/>
                <w:color w:val="6A2887"/>
              </w:rPr>
              <w:t>Fees Earned or</w:t>
            </w:r>
          </w:p>
        </w:tc>
        <w:tc>
          <w:tcPr>
            <w:tcW w:w="1080" w:type="dxa"/>
            <w:vAlign w:val="bottom"/>
          </w:tcPr>
          <w:p>
            <w:pPr>
              <w:jc w:val="right"/>
              <w:ind w:right="84"/>
              <w:spacing w:after="0"/>
              <w:rPr>
                <w:sz w:val="20"/>
                <w:szCs w:val="20"/>
                <w:color w:val="auto"/>
              </w:rPr>
            </w:pPr>
            <w:r>
              <w:rPr>
                <w:rFonts w:ascii="Arial" w:cs="Arial" w:eastAsia="Arial" w:hAnsi="Arial"/>
                <w:sz w:val="14"/>
                <w:szCs w:val="14"/>
                <w:b w:val="1"/>
                <w:bCs w:val="1"/>
                <w:color w:val="6A2887"/>
              </w:rPr>
              <w:t>Stock</w:t>
            </w:r>
          </w:p>
        </w:tc>
        <w:tc>
          <w:tcPr>
            <w:tcW w:w="720" w:type="dxa"/>
            <w:vAlign w:val="bottom"/>
          </w:tcPr>
          <w:p>
            <w:pPr>
              <w:spacing w:after="0"/>
              <w:rPr>
                <w:sz w:val="15"/>
                <w:szCs w:val="15"/>
                <w:color w:val="auto"/>
              </w:rPr>
            </w:pPr>
          </w:p>
        </w:tc>
      </w:tr>
      <w:tr>
        <w:trPr>
          <w:trHeight w:val="203"/>
        </w:trPr>
        <w:tc>
          <w:tcPr>
            <w:tcW w:w="382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w:t>
            </w:r>
          </w:p>
        </w:tc>
        <w:tc>
          <w:tcPr>
            <w:tcW w:w="3560" w:type="dxa"/>
            <w:vAlign w:val="bottom"/>
            <w:tcBorders>
              <w:bottom w:val="single" w:sz="8" w:color="6A2887"/>
            </w:tcBorders>
          </w:tcPr>
          <w:p>
            <w:pPr>
              <w:ind w:left="2360"/>
              <w:spacing w:after="0"/>
              <w:rPr>
                <w:sz w:val="20"/>
                <w:szCs w:val="20"/>
                <w:color w:val="auto"/>
              </w:rPr>
            </w:pPr>
            <w:r>
              <w:rPr>
                <w:rFonts w:ascii="Arial" w:cs="Arial" w:eastAsia="Arial" w:hAnsi="Arial"/>
                <w:sz w:val="14"/>
                <w:szCs w:val="14"/>
                <w:b w:val="1"/>
                <w:bCs w:val="1"/>
                <w:color w:val="6A2887"/>
              </w:rPr>
              <w:t>Paid in Cash ($)</w:t>
            </w:r>
          </w:p>
        </w:tc>
        <w:tc>
          <w:tcPr>
            <w:tcW w:w="1080" w:type="dxa"/>
            <w:vAlign w:val="bottom"/>
            <w:tcBorders>
              <w:bottom w:val="single" w:sz="8" w:color="6A2887"/>
            </w:tcBorders>
          </w:tcPr>
          <w:p>
            <w:pPr>
              <w:jc w:val="right"/>
              <w:ind w:right="44"/>
              <w:spacing w:after="0" w:line="203" w:lineRule="exact"/>
              <w:rPr>
                <w:sz w:val="20"/>
                <w:szCs w:val="20"/>
                <w:color w:val="auto"/>
              </w:rPr>
            </w:pPr>
            <w:r>
              <w:rPr>
                <w:rFonts w:ascii="Arial" w:cs="Arial" w:eastAsia="Arial" w:hAnsi="Arial"/>
                <w:sz w:val="14"/>
                <w:szCs w:val="14"/>
                <w:b w:val="1"/>
                <w:bCs w:val="1"/>
                <w:color w:val="6A2887"/>
              </w:rPr>
              <w:t>Awards ($)</w:t>
            </w:r>
            <w:r>
              <w:rPr>
                <w:rFonts w:ascii="Arial" w:cs="Arial" w:eastAsia="Arial" w:hAnsi="Arial"/>
                <w:sz w:val="21"/>
                <w:szCs w:val="21"/>
                <w:b w:val="1"/>
                <w:bCs w:val="1"/>
                <w:color w:val="6A2887"/>
                <w:vertAlign w:val="superscript"/>
              </w:rPr>
              <w:t>(1)</w:t>
            </w:r>
          </w:p>
        </w:tc>
        <w:tc>
          <w:tcPr>
            <w:tcW w:w="720" w:type="dxa"/>
            <w:vAlign w:val="bottom"/>
            <w:tcBorders>
              <w:bottom w:val="single" w:sz="8" w:color="6A2887"/>
            </w:tcBorders>
          </w:tcPr>
          <w:p>
            <w:pPr>
              <w:ind w:left="120"/>
              <w:spacing w:after="0"/>
              <w:rPr>
                <w:sz w:val="20"/>
                <w:szCs w:val="20"/>
                <w:color w:val="auto"/>
              </w:rPr>
            </w:pPr>
            <w:r>
              <w:rPr>
                <w:rFonts w:ascii="Arial" w:cs="Arial" w:eastAsia="Arial" w:hAnsi="Arial"/>
                <w:sz w:val="14"/>
                <w:szCs w:val="14"/>
                <w:b w:val="1"/>
                <w:bCs w:val="1"/>
                <w:color w:val="6A2887"/>
              </w:rPr>
              <w:t>Total ($)</w:t>
            </w:r>
          </w:p>
        </w:tc>
      </w:tr>
      <w:tr>
        <w:trPr>
          <w:trHeight w:val="205"/>
        </w:trPr>
        <w:tc>
          <w:tcPr>
            <w:tcW w:w="3820" w:type="dxa"/>
            <w:vAlign w:val="bottom"/>
          </w:tcPr>
          <w:p>
            <w:pPr>
              <w:ind w:left="40"/>
              <w:spacing w:after="0"/>
              <w:rPr>
                <w:sz w:val="20"/>
                <w:szCs w:val="20"/>
                <w:color w:val="auto"/>
              </w:rPr>
            </w:pPr>
            <w:r>
              <w:rPr>
                <w:rFonts w:ascii="Arial" w:cs="Arial" w:eastAsia="Arial" w:hAnsi="Arial"/>
                <w:sz w:val="15"/>
                <w:szCs w:val="15"/>
                <w:color w:val="auto"/>
              </w:rPr>
              <w:t>Francesco Bianchi</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133,000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242,890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William Kozy</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116,000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225,890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Daniel Moore</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185,000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184,908</w:t>
            </w:r>
          </w:p>
        </w:tc>
        <w:tc>
          <w:tcPr>
            <w:tcW w:w="720" w:type="dxa"/>
            <w:vAlign w:val="bottom"/>
          </w:tcPr>
          <w:p>
            <w:pPr>
              <w:ind w:left="120"/>
              <w:spacing w:after="0"/>
              <w:rPr>
                <w:sz w:val="20"/>
                <w:szCs w:val="20"/>
                <w:color w:val="auto"/>
              </w:rPr>
            </w:pPr>
            <w:r>
              <w:rPr>
                <w:rFonts w:ascii="Arial" w:cs="Arial" w:eastAsia="Arial" w:hAnsi="Arial"/>
                <w:sz w:val="15"/>
                <w:szCs w:val="15"/>
                <w:color w:val="auto"/>
              </w:rPr>
              <w:t>369,908</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Hugh Morrison</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146,000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255,890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133,000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242,890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Sharon O’Kane</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125,000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234,890</w:t>
            </w:r>
          </w:p>
        </w:tc>
      </w:tr>
      <w:tr>
        <w:trPr>
          <w:trHeight w:val="212"/>
        </w:trPr>
        <w:tc>
          <w:tcPr>
            <w:tcW w:w="3820" w:type="dxa"/>
            <w:vAlign w:val="bottom"/>
          </w:tcPr>
          <w:p>
            <w:pPr>
              <w:ind w:left="40"/>
              <w:spacing w:after="0"/>
              <w:rPr>
                <w:sz w:val="20"/>
                <w:szCs w:val="20"/>
                <w:color w:val="auto"/>
              </w:rPr>
            </w:pPr>
            <w:r>
              <w:rPr>
                <w:rFonts w:ascii="Arial" w:cs="Arial" w:eastAsia="Arial" w:hAnsi="Arial"/>
                <w:sz w:val="15"/>
                <w:szCs w:val="15"/>
                <w:color w:val="auto"/>
              </w:rPr>
              <w:t>Arthur Rosenthal</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130,000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239,890</w:t>
            </w:r>
          </w:p>
        </w:tc>
      </w:tr>
      <w:tr>
        <w:trPr>
          <w:trHeight w:val="247"/>
        </w:trPr>
        <w:tc>
          <w:tcPr>
            <w:tcW w:w="3820" w:type="dxa"/>
            <w:vAlign w:val="bottom"/>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356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125,000</w:t>
            </w:r>
          </w:p>
        </w:tc>
        <w:tc>
          <w:tcPr>
            <w:tcW w:w="108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shd w:val="clear" w:color="auto" w:fill="EFE9FC"/>
          </w:tcPr>
          <w:p>
            <w:pPr>
              <w:ind w:left="120"/>
              <w:spacing w:after="0"/>
              <w:rPr>
                <w:sz w:val="20"/>
                <w:szCs w:val="20"/>
                <w:color w:val="auto"/>
              </w:rPr>
            </w:pPr>
            <w:r>
              <w:rPr>
                <w:rFonts w:ascii="Arial" w:cs="Arial" w:eastAsia="Arial" w:hAnsi="Arial"/>
                <w:sz w:val="15"/>
                <w:szCs w:val="15"/>
                <w:color w:val="auto"/>
              </w:rPr>
              <w:t>234,890</w:t>
            </w:r>
          </w:p>
        </w:tc>
      </w:tr>
      <w:tr>
        <w:trPr>
          <w:trHeight w:val="269"/>
        </w:trPr>
        <w:tc>
          <w:tcPr>
            <w:tcW w:w="3820" w:type="dxa"/>
            <w:vAlign w:val="bottom"/>
          </w:tcPr>
          <w:p>
            <w:pPr>
              <w:ind w:left="40"/>
              <w:spacing w:after="0"/>
              <w:rPr>
                <w:sz w:val="20"/>
                <w:szCs w:val="20"/>
                <w:color w:val="auto"/>
              </w:rPr>
            </w:pPr>
            <w:r>
              <w:rPr>
                <w:rFonts w:ascii="Arial" w:cs="Arial" w:eastAsia="Arial" w:hAnsi="Arial"/>
                <w:sz w:val="15"/>
                <w:szCs w:val="15"/>
                <w:color w:val="auto"/>
              </w:rPr>
              <w:t>Stacy Enxing Seng</w:t>
            </w:r>
            <w:r>
              <w:rPr>
                <w:rFonts w:ascii="Arial" w:cs="Arial" w:eastAsia="Arial" w:hAnsi="Arial"/>
                <w:sz w:val="23"/>
                <w:szCs w:val="23"/>
                <w:color w:val="auto"/>
                <w:vertAlign w:val="superscript"/>
              </w:rPr>
              <w:t>(2)</w:t>
            </w:r>
          </w:p>
        </w:tc>
        <w:tc>
          <w:tcPr>
            <w:tcW w:w="3560" w:type="dxa"/>
            <w:vAlign w:val="bottom"/>
          </w:tcPr>
          <w:p>
            <w:pPr>
              <w:jc w:val="right"/>
              <w:ind w:right="44"/>
              <w:spacing w:after="0"/>
              <w:rPr>
                <w:sz w:val="20"/>
                <w:szCs w:val="20"/>
                <w:color w:val="auto"/>
              </w:rPr>
            </w:pPr>
            <w:r>
              <w:rPr>
                <w:rFonts w:ascii="Arial" w:cs="Arial" w:eastAsia="Arial" w:hAnsi="Arial"/>
                <w:sz w:val="15"/>
                <w:szCs w:val="15"/>
                <w:color w:val="auto"/>
              </w:rPr>
              <w:t>62,890</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109,890</w:t>
            </w:r>
          </w:p>
        </w:tc>
        <w:tc>
          <w:tcPr>
            <w:tcW w:w="720" w:type="dxa"/>
            <w:vAlign w:val="bottom"/>
          </w:tcPr>
          <w:p>
            <w:pPr>
              <w:ind w:left="120"/>
              <w:spacing w:after="0"/>
              <w:rPr>
                <w:sz w:val="20"/>
                <w:szCs w:val="20"/>
                <w:color w:val="auto"/>
              </w:rPr>
            </w:pPr>
            <w:r>
              <w:rPr>
                <w:rFonts w:ascii="Arial" w:cs="Arial" w:eastAsia="Arial" w:hAnsi="Arial"/>
                <w:sz w:val="15"/>
                <w:szCs w:val="15"/>
                <w:color w:val="auto"/>
              </w:rPr>
              <w:t>172,780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-24765</wp:posOffset>
            </wp:positionV>
            <wp:extent cx="58293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ind w:left="980" w:right="199" w:hanging="216"/>
        <w:spacing w:after="0" w:line="242" w:lineRule="auto"/>
        <w:tabs>
          <w:tab w:leader="none" w:pos="98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reflect the full grant-date fair value of RSUs granted in 2019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2019. The RSUs shown in the table will vest on the earlier of (i) June 18, 2020 and (ii) the date of a Change in Control. As of December 31, 2019, all RSU awards were unvested. The stock award values shown above correspond to the following number of RSUs: for Mr. Moore 2,524 RSUs; and for all other directors listed above, 1,500 RSUs.</w:t>
      </w:r>
    </w:p>
    <w:p>
      <w:pPr>
        <w:ind w:left="980" w:hanging="216"/>
        <w:spacing w:after="0"/>
        <w:tabs>
          <w:tab w:leader="none" w:pos="98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Ms. Stacy Enxing Seng was elected to the Board at the 2019 AGM and was paid a pro rated cash retainer fee for 2019.</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49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320"/>
        <w:spacing w:after="0" w:line="263" w:lineRule="auto"/>
        <w:rPr>
          <w:sz w:val="20"/>
          <w:szCs w:val="20"/>
          <w:color w:val="auto"/>
        </w:rPr>
      </w:pPr>
      <w:r>
        <w:rPr>
          <w:rFonts w:ascii="Arial" w:cs="Arial" w:eastAsia="Arial" w:hAnsi="Arial"/>
          <w:sz w:val="47"/>
          <w:szCs w:val="47"/>
          <w:b w:val="1"/>
          <w:bCs w:val="1"/>
          <w:color w:val="6A2887"/>
        </w:rPr>
        <w:t xml:space="preserve">Proposal No. 2 </w:t>
      </w:r>
      <w:r>
        <w:rPr>
          <w:rFonts w:ascii="Arial" w:cs="Arial" w:eastAsia="Arial" w:hAnsi="Arial"/>
          <w:sz w:val="47"/>
          <w:szCs w:val="47"/>
          <w:b w:val="1"/>
          <w:bCs w:val="1"/>
          <w:color w:val="666666"/>
        </w:rPr>
        <w:t>Advisory (Non-Binding)</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Vote to Approve Executive Compensation (Say on Pay)</w:t>
      </w:r>
    </w:p>
    <w:p>
      <w:pPr>
        <w:spacing w:after="0" w:line="30" w:lineRule="exact"/>
        <w:rPr>
          <w:sz w:val="20"/>
          <w:szCs w:val="20"/>
          <w:color w:val="auto"/>
        </w:rPr>
      </w:pPr>
    </w:p>
    <w:p>
      <w:pPr>
        <w:ind w:left="760" w:right="400"/>
        <w:spacing w:after="0" w:line="253" w:lineRule="auto"/>
        <w:rPr>
          <w:sz w:val="20"/>
          <w:szCs w:val="20"/>
          <w:color w:val="auto"/>
        </w:rPr>
      </w:pPr>
      <w:r>
        <w:rPr>
          <w:rFonts w:ascii="Arial" w:cs="Arial" w:eastAsia="Arial" w:hAnsi="Arial"/>
          <w:sz w:val="16"/>
          <w:szCs w:val="16"/>
          <w:color w:val="auto"/>
        </w:rPr>
        <w:t>Our shareholders are entitled to cast an advisory vote at the AGM to approve the compensation of our NEOs, as disclosed in this proxy statement. The shareholder vote is an advisory vote only and is not binding on us, the Board, or the Compensation Committee but is required by Section 14A of the Exchange Act.</w:t>
      </w:r>
    </w:p>
    <w:p>
      <w:pPr>
        <w:spacing w:after="0" w:line="80" w:lineRule="exact"/>
        <w:rPr>
          <w:sz w:val="20"/>
          <w:szCs w:val="20"/>
          <w:color w:val="auto"/>
        </w:rPr>
      </w:pPr>
    </w:p>
    <w:p>
      <w:pPr>
        <w:ind w:left="760" w:right="340"/>
        <w:spacing w:after="0" w:line="270" w:lineRule="auto"/>
        <w:rPr>
          <w:sz w:val="20"/>
          <w:szCs w:val="20"/>
          <w:color w:val="auto"/>
        </w:rPr>
      </w:pPr>
      <w:r>
        <w:rPr>
          <w:rFonts w:ascii="Arial" w:cs="Arial" w:eastAsia="Arial" w:hAnsi="Arial"/>
          <w:sz w:val="15"/>
          <w:szCs w:val="15"/>
          <w:color w:val="auto"/>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“Executive Compensation” sections of the proxy statement, our NEOs are compensated in a manner consistent with our business strategy, competitive practice, sound compensation governance principles and shareholder interests and concerns. Our compensation policies and decisions are focused on pay-for-performance.</w:t>
      </w:r>
    </w:p>
    <w:p>
      <w:pPr>
        <w:spacing w:after="0" w:line="56" w:lineRule="exact"/>
        <w:rPr>
          <w:sz w:val="20"/>
          <w:szCs w:val="20"/>
          <w:color w:val="auto"/>
        </w:rPr>
      </w:pPr>
    </w:p>
    <w:p>
      <w:pPr>
        <w:ind w:left="760" w:right="420"/>
        <w:spacing w:after="0" w:line="253" w:lineRule="auto"/>
        <w:rPr>
          <w:sz w:val="20"/>
          <w:szCs w:val="20"/>
          <w:color w:val="auto"/>
        </w:rPr>
      </w:pPr>
      <w:r>
        <w:rPr>
          <w:rFonts w:ascii="Arial" w:cs="Arial" w:eastAsia="Arial" w:hAnsi="Arial"/>
          <w:sz w:val="16"/>
          <w:szCs w:val="16"/>
          <w:color w:val="auto"/>
        </w:rPr>
        <w:t>We are requesting your non-binding vote to approve the compensation of our NEOs as disclosed pursuant to Item 402 of Regulation S-K, and as described in the “Compensation Discussion and Analysis” and “Executive Compensation” sections of the proxy statement.</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240"/>
        <w:spacing w:after="0" w:line="260" w:lineRule="auto"/>
        <w:rPr>
          <w:sz w:val="20"/>
          <w:szCs w:val="20"/>
          <w:color w:val="auto"/>
        </w:rPr>
      </w:pPr>
      <w:r>
        <w:rPr>
          <w:rFonts w:ascii="Arial" w:cs="Arial" w:eastAsia="Arial" w:hAnsi="Arial"/>
          <w:sz w:val="16"/>
          <w:szCs w:val="16"/>
          <w:color w:val="auto"/>
        </w:rPr>
        <w:t>The advisory vote regarding approval of the compensation of our NEOs requires the affirmative vote of a majority of shares present at the annual meeting,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right="340"/>
        <w:spacing w:after="0" w:line="30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COMPENSATION OF OUR NEOS AS DISCLOSED IN THIS PROXY STATEMENT, INCLUDING THE COMPENSATION DISCUSSION AND ANALYSIS, COMPENSATION TABLES, AND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Audit and Compliance Committee Report</w:t>
      </w:r>
    </w:p>
    <w:p>
      <w:pPr>
        <w:spacing w:after="0" w:line="200" w:lineRule="exact"/>
        <w:rPr>
          <w:sz w:val="20"/>
          <w:szCs w:val="20"/>
          <w:color w:val="auto"/>
        </w:rPr>
      </w:pPr>
    </w:p>
    <w:p>
      <w:pPr>
        <w:spacing w:after="0" w:line="37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Audit Matters</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Audit and Compliance Committee Report</w:t>
      </w:r>
    </w:p>
    <w:p>
      <w:pPr>
        <w:spacing w:after="0" w:line="146" w:lineRule="exact"/>
        <w:rPr>
          <w:sz w:val="20"/>
          <w:szCs w:val="20"/>
          <w:color w:val="auto"/>
        </w:rPr>
      </w:pPr>
    </w:p>
    <w:p>
      <w:pPr>
        <w:jc w:val="both"/>
        <w:ind w:left="760" w:right="679"/>
        <w:spacing w:after="0" w:line="253" w:lineRule="auto"/>
        <w:rPr>
          <w:sz w:val="20"/>
          <w:szCs w:val="20"/>
          <w:color w:val="auto"/>
        </w:rPr>
      </w:pPr>
      <w:r>
        <w:rPr>
          <w:rFonts w:ascii="Arial" w:cs="Arial" w:eastAsia="Arial" w:hAnsi="Arial"/>
          <w:sz w:val="16"/>
          <w:szCs w:val="16"/>
          <w:color w:val="auto"/>
        </w:rPr>
        <w:t>The Audit and Compliance Committee is comprised of four non-employee directors, all of whom are “independent” under the applicable Nasdaq rules and the applicable rules of the SEC. The Audit and Compliance Committee is governed by a written charter which has been adopted by the Board.</w:t>
      </w:r>
    </w:p>
    <w:p>
      <w:pPr>
        <w:spacing w:after="0" w:line="80" w:lineRule="exact"/>
        <w:rPr>
          <w:sz w:val="20"/>
          <w:szCs w:val="20"/>
          <w:color w:val="auto"/>
        </w:rPr>
      </w:pPr>
    </w:p>
    <w:p>
      <w:pPr>
        <w:ind w:left="760" w:right="259"/>
        <w:spacing w:after="0" w:line="266" w:lineRule="auto"/>
        <w:rPr>
          <w:sz w:val="20"/>
          <w:szCs w:val="20"/>
          <w:color w:val="auto"/>
        </w:rPr>
      </w:pPr>
      <w:r>
        <w:rPr>
          <w:rFonts w:ascii="Arial" w:cs="Arial" w:eastAsia="Arial" w:hAnsi="Arial"/>
          <w:sz w:val="15"/>
          <w:szCs w:val="15"/>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ten times in 2019 and acted via written resolutions on one occasion.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3" w:lineRule="exact"/>
        <w:rPr>
          <w:sz w:val="20"/>
          <w:szCs w:val="20"/>
          <w:color w:val="auto"/>
        </w:rPr>
      </w:pPr>
    </w:p>
    <w:p>
      <w:pPr>
        <w:ind w:left="920" w:right="359" w:hanging="156"/>
        <w:spacing w:after="0" w:line="253"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and discussed with management and the independent registered public accounting firm our consolidated financial statements for the year ended December 31, 2019 and the quarters ended March 31, 2019, June 30, 2019 and September 30, 2019;</w:t>
      </w:r>
    </w:p>
    <w:p>
      <w:pPr>
        <w:spacing w:after="0" w:line="25" w:lineRule="exact"/>
        <w:rPr>
          <w:rFonts w:ascii="Arial" w:cs="Arial" w:eastAsia="Arial" w:hAnsi="Arial"/>
          <w:sz w:val="16"/>
          <w:szCs w:val="16"/>
          <w:color w:val="6A2887"/>
        </w:rPr>
      </w:pPr>
    </w:p>
    <w:p>
      <w:pPr>
        <w:ind w:left="920" w:hanging="156"/>
        <w:spacing w:after="0"/>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oversaw and discussed with management the review of internal control over our financial reporting;</w:t>
      </w:r>
    </w:p>
    <w:p>
      <w:pPr>
        <w:spacing w:after="0" w:line="45" w:lineRule="exact"/>
        <w:rPr>
          <w:rFonts w:ascii="Arial" w:cs="Arial" w:eastAsia="Arial" w:hAnsi="Arial"/>
          <w:sz w:val="16"/>
          <w:szCs w:val="16"/>
          <w:color w:val="6A2887"/>
        </w:rPr>
      </w:pPr>
    </w:p>
    <w:p>
      <w:pPr>
        <w:ind w:left="920" w:right="499" w:hanging="156"/>
        <w:spacing w:after="0" w:line="260"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management’s representations that our consolidated financial statements were prepared in accordance with GAAP and present fairly our results of operations and financial position;</w:t>
      </w:r>
    </w:p>
    <w:p>
      <w:pPr>
        <w:spacing w:after="0" w:line="6" w:lineRule="exact"/>
        <w:rPr>
          <w:rFonts w:ascii="Arial" w:cs="Arial" w:eastAsia="Arial" w:hAnsi="Arial"/>
          <w:sz w:val="16"/>
          <w:szCs w:val="16"/>
          <w:color w:val="6A2887"/>
        </w:rPr>
      </w:pPr>
    </w:p>
    <w:p>
      <w:pPr>
        <w:ind w:left="920" w:right="259" w:hanging="156"/>
        <w:spacing w:after="0" w:line="260"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discussed with the independent registered public accounting firm the matters required to be discussed by Auditing Standard No. 1301, Communications with Audit Committee;</w:t>
      </w:r>
    </w:p>
    <w:p>
      <w:pPr>
        <w:spacing w:after="0" w:line="19" w:lineRule="exact"/>
        <w:rPr>
          <w:rFonts w:ascii="Arial" w:cs="Arial" w:eastAsia="Arial" w:hAnsi="Arial"/>
          <w:sz w:val="16"/>
          <w:szCs w:val="16"/>
          <w:color w:val="6A2887"/>
        </w:rPr>
      </w:pPr>
    </w:p>
    <w:p>
      <w:pPr>
        <w:ind w:left="920" w:right="299" w:hanging="156"/>
        <w:spacing w:after="0" w:line="251"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26" w:lineRule="exact"/>
        <w:rPr>
          <w:rFonts w:ascii="Arial" w:cs="Arial" w:eastAsia="Arial" w:hAnsi="Arial"/>
          <w:sz w:val="16"/>
          <w:szCs w:val="16"/>
          <w:color w:val="6A2887"/>
        </w:rPr>
      </w:pPr>
    </w:p>
    <w:p>
      <w:pPr>
        <w:ind w:left="920" w:right="619" w:hanging="156"/>
        <w:spacing w:after="0" w:line="251"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13" w:lineRule="exact"/>
        <w:rPr>
          <w:rFonts w:ascii="Arial" w:cs="Arial" w:eastAsia="Arial" w:hAnsi="Arial"/>
          <w:sz w:val="16"/>
          <w:szCs w:val="16"/>
          <w:color w:val="6A2887"/>
        </w:rPr>
      </w:pPr>
    </w:p>
    <w:p>
      <w:pPr>
        <w:ind w:left="920" w:right="419" w:hanging="156"/>
        <w:spacing w:after="0" w:line="260"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considered whether the provision of non-audit services by our registered public accounting firm is compatible with maintaining the registered public accounting firm’s independence;</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the scope of and overall plans for the annual audit and the internal audit program;</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new accounting standards applicable with our CFO, internal audit department and our external auditors;</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consulted with management with respect to our processes for risk assessment and risk mitigation;</w:t>
      </w:r>
    </w:p>
    <w:p>
      <w:pPr>
        <w:spacing w:after="0" w:line="45" w:lineRule="exact"/>
        <w:rPr>
          <w:rFonts w:ascii="Arial" w:cs="Arial" w:eastAsia="Arial" w:hAnsi="Arial"/>
          <w:sz w:val="16"/>
          <w:szCs w:val="16"/>
          <w:color w:val="6A2887"/>
        </w:rPr>
      </w:pPr>
    </w:p>
    <w:p>
      <w:pPr>
        <w:ind w:left="920" w:right="659" w:hanging="156"/>
        <w:spacing w:after="0" w:line="260"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our processes for monitoring compliance with the law and Company policies and Code of Business Conduct and Ethics; and</w:t>
      </w:r>
    </w:p>
    <w:p>
      <w:pPr>
        <w:spacing w:after="0" w:line="19" w:lineRule="exact"/>
        <w:rPr>
          <w:rFonts w:ascii="Arial" w:cs="Arial" w:eastAsia="Arial" w:hAnsi="Arial"/>
          <w:sz w:val="16"/>
          <w:szCs w:val="16"/>
          <w:color w:val="6A2887"/>
        </w:rPr>
      </w:pPr>
    </w:p>
    <w:p>
      <w:pPr>
        <w:ind w:left="920" w:right="419" w:hanging="156"/>
        <w:spacing w:after="0" w:line="260" w:lineRule="auto"/>
        <w:tabs>
          <w:tab w:leader="none" w:pos="920" w:val="left"/>
        </w:tabs>
        <w:numPr>
          <w:ilvl w:val="0"/>
          <w:numId w:val="80"/>
        </w:numPr>
        <w:rPr>
          <w:rFonts w:ascii="Arial" w:cs="Arial" w:eastAsia="Arial" w:hAnsi="Arial"/>
          <w:sz w:val="16"/>
          <w:szCs w:val="16"/>
          <w:color w:val="6A2887"/>
        </w:rPr>
      </w:pPr>
      <w:r>
        <w:rPr>
          <w:rFonts w:ascii="Arial" w:cs="Arial" w:eastAsia="Arial" w:hAnsi="Arial"/>
          <w:sz w:val="16"/>
          <w:szCs w:val="16"/>
          <w:color w:val="auto"/>
        </w:rPr>
        <w:t>reviewed and discussed with management its assessment and report on the effectiveness of our internal control over financial reporting as of December 31, 2019.</w:t>
      </w:r>
    </w:p>
    <w:p>
      <w:pPr>
        <w:spacing w:after="0" w:line="60" w:lineRule="exact"/>
        <w:rPr>
          <w:sz w:val="20"/>
          <w:szCs w:val="20"/>
          <w:color w:val="auto"/>
        </w:rPr>
      </w:pPr>
    </w:p>
    <w:p>
      <w:pPr>
        <w:ind w:left="760" w:right="339"/>
        <w:spacing w:after="0" w:line="253" w:lineRule="auto"/>
        <w:rPr>
          <w:sz w:val="20"/>
          <w:szCs w:val="20"/>
          <w:color w:val="auto"/>
        </w:rPr>
      </w:pPr>
      <w:r>
        <w:rPr>
          <w:rFonts w:ascii="Arial" w:cs="Arial" w:eastAsia="Arial" w:hAnsi="Arial"/>
          <w:sz w:val="16"/>
          <w:szCs w:val="16"/>
          <w:color w:val="auto"/>
        </w:rPr>
        <w:t>Based on its review and report on the Company’s internal control over financial reporting as of December 31, 2019, the Audit and Compliance Committee recommended to the Board that the audited consolidated financial statements be included in the Company’s US Annual Report on Form 10-K for the year ended December 31, 2019.</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Hugh Morrison (Chairman)</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Andrea Saia</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Fees Paid to PricewaterhouseCoopers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Changes in Independent Auditor</w:t>
      </w:r>
    </w:p>
    <w:p>
      <w:pPr>
        <w:spacing w:after="0" w:line="3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auto"/>
        </w:rPr>
        <w:t>PricewaterhouseCoopers S.p.A.</w:t>
      </w:r>
    </w:p>
    <w:p>
      <w:pPr>
        <w:spacing w:after="0" w:line="126" w:lineRule="exact"/>
        <w:rPr>
          <w:sz w:val="20"/>
          <w:szCs w:val="20"/>
          <w:color w:val="auto"/>
        </w:rPr>
      </w:pPr>
    </w:p>
    <w:p>
      <w:pPr>
        <w:ind w:left="760" w:right="320"/>
        <w:spacing w:after="0" w:line="249" w:lineRule="auto"/>
        <w:rPr>
          <w:sz w:val="20"/>
          <w:szCs w:val="20"/>
          <w:color w:val="auto"/>
        </w:rPr>
      </w:pPr>
      <w:r>
        <w:rPr>
          <w:rFonts w:ascii="Arial" w:cs="Arial" w:eastAsia="Arial" w:hAnsi="Arial"/>
          <w:sz w:val="16"/>
          <w:szCs w:val="16"/>
          <w:color w:val="auto"/>
        </w:rPr>
        <w:t>On March 23, 2018, the Audit and Compliance Committee formally dismissed PricewaterhouseCoopers S.p.A. (“PwC S.p.A.” or the “Independent Auditor”), an Italian entity, as our independent registered public accounting firm and separately approved the engagement with that firm’s US affiliate, PricewaterhouseCoopers LLP (“PwC USA”). This decision was made by the committee to better align with our restructuring and centralization of our accounting function in our Houston office, and we now believe it is most efficient to have an accounting firm local to that function. PwC S.p.A. was the auditor of one of our legacy companies, Sorin, which was based in Italy.</w:t>
      </w:r>
    </w:p>
    <w:p>
      <w:pPr>
        <w:spacing w:after="0" w:line="83" w:lineRule="exact"/>
        <w:rPr>
          <w:sz w:val="20"/>
          <w:szCs w:val="20"/>
          <w:color w:val="auto"/>
        </w:rPr>
      </w:pPr>
    </w:p>
    <w:p>
      <w:pPr>
        <w:ind w:left="760" w:right="360"/>
        <w:spacing w:after="0" w:line="250" w:lineRule="auto"/>
        <w:rPr>
          <w:sz w:val="20"/>
          <w:szCs w:val="20"/>
          <w:color w:val="auto"/>
        </w:rPr>
      </w:pPr>
      <w:r>
        <w:rPr>
          <w:rFonts w:ascii="Arial" w:cs="Arial" w:eastAsia="Arial" w:hAnsi="Arial"/>
          <w:sz w:val="16"/>
          <w:szCs w:val="16"/>
          <w:color w:val="auto"/>
        </w:rPr>
        <w:t>The reports of PwC S.p.A on our financial statements for the transitional period from April 25, 2015 to December 31, 2015 and for each of the years ended December 31, 2016 and December 31, 2017 did not contain an adverse opinion or a disclaimer of opinion, nor were they qualified or modified as to uncertainty, audit scope or accounting principles. During the transitional period from April 25 2015 to December 31, 2015 and during each of the years ended December 31, 2016 and 2017 and during the subsequent interim periods through the date of our Current Report on Form 8-K filed with the SEC on March 26, 2018:</w:t>
      </w:r>
    </w:p>
    <w:p>
      <w:pPr>
        <w:spacing w:after="0" w:line="27" w:lineRule="exact"/>
        <w:rPr>
          <w:sz w:val="20"/>
          <w:szCs w:val="20"/>
          <w:color w:val="auto"/>
        </w:rPr>
      </w:pPr>
    </w:p>
    <w:p>
      <w:pPr>
        <w:ind w:left="920" w:right="320" w:hanging="156"/>
        <w:spacing w:after="0" w:line="251" w:lineRule="auto"/>
        <w:tabs>
          <w:tab w:leader="none" w:pos="920" w:val="left"/>
        </w:tabs>
        <w:numPr>
          <w:ilvl w:val="0"/>
          <w:numId w:val="81"/>
        </w:numPr>
        <w:rPr>
          <w:rFonts w:ascii="Arial" w:cs="Arial" w:eastAsia="Arial" w:hAnsi="Arial"/>
          <w:sz w:val="16"/>
          <w:szCs w:val="16"/>
          <w:color w:val="6A2887"/>
        </w:rPr>
      </w:pPr>
      <w:r>
        <w:rPr>
          <w:rFonts w:ascii="Arial" w:cs="Arial" w:eastAsia="Arial" w:hAnsi="Arial"/>
          <w:sz w:val="16"/>
          <w:szCs w:val="16"/>
          <w:color w:val="auto"/>
        </w:rPr>
        <w:t>there were no “disagreements” (as that term is defined in Item 304(a)(1)(iv) of SEC Regulation S-K and the instructions to Item 304) between us and PwC S.p.A. on any matters of accounting principles or practices, financial statement disclosure, or auditing scope or procedures, which disagreements, if not resolved to PwC S.p.A.’s satisfaction would have caused PwC S.p.A. to make reference to the subject matter of the disagreement(s) in connection with this report;</w:t>
      </w:r>
    </w:p>
    <w:p>
      <w:pPr>
        <w:spacing w:after="0" w:line="13" w:lineRule="exact"/>
        <w:rPr>
          <w:rFonts w:ascii="Arial" w:cs="Arial" w:eastAsia="Arial" w:hAnsi="Arial"/>
          <w:sz w:val="16"/>
          <w:szCs w:val="16"/>
          <w:color w:val="6A2887"/>
        </w:rPr>
      </w:pPr>
    </w:p>
    <w:p>
      <w:pPr>
        <w:ind w:left="920" w:hanging="156"/>
        <w:spacing w:after="0"/>
        <w:tabs>
          <w:tab w:leader="none" w:pos="920" w:val="left"/>
        </w:tabs>
        <w:numPr>
          <w:ilvl w:val="0"/>
          <w:numId w:val="81"/>
        </w:numPr>
        <w:rPr>
          <w:rFonts w:ascii="Arial" w:cs="Arial" w:eastAsia="Arial" w:hAnsi="Arial"/>
          <w:sz w:val="16"/>
          <w:szCs w:val="16"/>
          <w:color w:val="6A2887"/>
        </w:rPr>
      </w:pPr>
      <w:r>
        <w:rPr>
          <w:rFonts w:ascii="Arial" w:cs="Arial" w:eastAsia="Arial" w:hAnsi="Arial"/>
          <w:sz w:val="16"/>
          <w:szCs w:val="16"/>
          <w:color w:val="auto"/>
        </w:rPr>
        <w:t>there were no “reportable events” (as that term is defined in Item 304(a)(1)(v) of SEC Regulation S-K); and</w:t>
      </w:r>
    </w:p>
    <w:p>
      <w:pPr>
        <w:spacing w:after="0" w:line="45" w:lineRule="exact"/>
        <w:rPr>
          <w:rFonts w:ascii="Arial" w:cs="Arial" w:eastAsia="Arial" w:hAnsi="Arial"/>
          <w:sz w:val="16"/>
          <w:szCs w:val="16"/>
          <w:color w:val="6A2887"/>
        </w:rPr>
      </w:pPr>
    </w:p>
    <w:p>
      <w:pPr>
        <w:ind w:left="920" w:right="300" w:hanging="156"/>
        <w:spacing w:after="0" w:line="248" w:lineRule="auto"/>
        <w:tabs>
          <w:tab w:leader="none" w:pos="920" w:val="left"/>
        </w:tabs>
        <w:numPr>
          <w:ilvl w:val="0"/>
          <w:numId w:val="81"/>
        </w:numPr>
        <w:rPr>
          <w:rFonts w:ascii="Arial" w:cs="Arial" w:eastAsia="Arial" w:hAnsi="Arial"/>
          <w:sz w:val="16"/>
          <w:szCs w:val="16"/>
          <w:color w:val="6A2887"/>
        </w:rPr>
      </w:pPr>
      <w:r>
        <w:rPr>
          <w:rFonts w:ascii="Arial" w:cs="Arial" w:eastAsia="Arial" w:hAnsi="Arial"/>
          <w:sz w:val="16"/>
          <w:szCs w:val="16"/>
          <w:color w:val="auto"/>
        </w:rPr>
        <w:t>neither we nor anyone on our behalf consulted with PwC US regarding (i) the application of accounting principles to a specified transaction, either completed or proposed, or the type of audit opinion that might be rendered on our consolidated financial statement, and neither a written report was provided to us nor oral advice was provided that PwC USA concluded was an important factor considered by us in reaching a decision as to the accounting, auditing or financial reporting issues, or (ii) any matter that was either the subject of a disagreement (as that term is defined in Item 304(a)(1)(iv) of SEC Regulation S-K and the instructions to Item 304) or a reportable event (as defined in Item 304(a)(1)(v) of SEC Regulation S-K). We provided the disclosure required by Item 304 to PwC S.p.A. The letter received from PwC S.p.A. was filed as Exhibit 16.1 to the Current Report on Form 8-K that we filed with the SEC on March 26, 2018.</w:t>
      </w:r>
    </w:p>
    <w:p>
      <w:pPr>
        <w:spacing w:after="0" w:line="380"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Fees Paid to PricewaterhouseCoopers</w:t>
      </w:r>
    </w:p>
    <w:p>
      <w:pPr>
        <w:spacing w:after="0" w:line="146" w:lineRule="exact"/>
        <w:rPr>
          <w:sz w:val="20"/>
          <w:szCs w:val="20"/>
          <w:color w:val="auto"/>
        </w:rPr>
      </w:pPr>
    </w:p>
    <w:p>
      <w:pPr>
        <w:ind w:left="760" w:right="420"/>
        <w:spacing w:after="0" w:line="278" w:lineRule="auto"/>
        <w:rPr>
          <w:sz w:val="20"/>
          <w:szCs w:val="20"/>
          <w:color w:val="auto"/>
        </w:rPr>
      </w:pPr>
      <w:r>
        <w:rPr>
          <w:rFonts w:ascii="Arial" w:cs="Arial" w:eastAsia="Arial" w:hAnsi="Arial"/>
          <w:sz w:val="15"/>
          <w:szCs w:val="15"/>
          <w:color w:val="auto"/>
        </w:rPr>
        <w:t>The following table summarizes the aggregate fees billed to us by PwC USA and its respective network member firms including PwC S.p.A. and the PricewaterhouseCoopers entity in the UK that acts as our UK statutory auditor (together, “PwC”) for services performed in connection with the financial year ended December 31, 2019 and the financial year ended December 31, 2018:</w:t>
      </w:r>
    </w:p>
    <w:p>
      <w:pPr>
        <w:spacing w:after="0" w:line="114"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820" w:type="dxa"/>
            <w:vAlign w:val="bottom"/>
            <w:gridSpan w:val="2"/>
          </w:tcPr>
          <w:p>
            <w:pPr>
              <w:jc w:val="right"/>
              <w:ind w:right="84"/>
              <w:spacing w:after="0"/>
              <w:rPr>
                <w:sz w:val="20"/>
                <w:szCs w:val="20"/>
                <w:color w:val="auto"/>
              </w:rPr>
            </w:pPr>
            <w:r>
              <w:rPr>
                <w:rFonts w:ascii="Arial" w:cs="Arial" w:eastAsia="Arial" w:hAnsi="Arial"/>
                <w:sz w:val="14"/>
                <w:szCs w:val="14"/>
                <w:b w:val="1"/>
                <w:bCs w:val="1"/>
                <w:color w:val="6A2887"/>
              </w:rPr>
              <w:t>Year Ended</w:t>
            </w:r>
          </w:p>
        </w:tc>
        <w:tc>
          <w:tcPr>
            <w:tcW w:w="14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6A2887"/>
              </w:rPr>
              <w:t>Year Ended</w:t>
            </w:r>
          </w:p>
        </w:tc>
      </w:tr>
      <w:tr>
        <w:trPr>
          <w:trHeight w:val="196"/>
        </w:trPr>
        <w:tc>
          <w:tcPr>
            <w:tcW w:w="3900" w:type="dxa"/>
            <w:vAlign w:val="bottom"/>
            <w:tcBorders>
              <w:bottom w:val="single" w:sz="8" w:color="6A2887"/>
            </w:tcBorders>
          </w:tcPr>
          <w:p>
            <w:pPr>
              <w:spacing w:after="0"/>
              <w:rPr>
                <w:sz w:val="17"/>
                <w:szCs w:val="17"/>
                <w:color w:val="auto"/>
              </w:rPr>
            </w:pPr>
          </w:p>
        </w:tc>
        <w:tc>
          <w:tcPr>
            <w:tcW w:w="3820" w:type="dxa"/>
            <w:vAlign w:val="bottom"/>
            <w:tcBorders>
              <w:bottom w:val="single" w:sz="8" w:color="6A2887"/>
            </w:tcBorders>
            <w:gridSpan w:val="2"/>
          </w:tcPr>
          <w:p>
            <w:pPr>
              <w:jc w:val="right"/>
              <w:ind w:right="44"/>
              <w:spacing w:after="0"/>
              <w:rPr>
                <w:sz w:val="20"/>
                <w:szCs w:val="20"/>
                <w:color w:val="auto"/>
              </w:rPr>
            </w:pPr>
            <w:r>
              <w:rPr>
                <w:rFonts w:ascii="Arial" w:cs="Arial" w:eastAsia="Arial" w:hAnsi="Arial"/>
                <w:sz w:val="14"/>
                <w:szCs w:val="14"/>
                <w:b w:val="1"/>
                <w:bCs w:val="1"/>
                <w:color w:val="6A2887"/>
              </w:rPr>
              <w:t>December 31, 2019</w:t>
            </w:r>
          </w:p>
        </w:tc>
        <w:tc>
          <w:tcPr>
            <w:tcW w:w="1460" w:type="dxa"/>
            <w:vAlign w:val="bottom"/>
            <w:tcBorders>
              <w:bottom w:val="single" w:sz="8" w:color="6A2887"/>
            </w:tcBorders>
            <w:gridSpan w:val="2"/>
          </w:tcPr>
          <w:p>
            <w:pPr>
              <w:jc w:val="right"/>
              <w:spacing w:after="0"/>
              <w:rPr>
                <w:sz w:val="20"/>
                <w:szCs w:val="20"/>
                <w:color w:val="auto"/>
              </w:rPr>
            </w:pPr>
            <w:r>
              <w:rPr>
                <w:rFonts w:ascii="Arial" w:cs="Arial" w:eastAsia="Arial" w:hAnsi="Arial"/>
                <w:sz w:val="14"/>
                <w:szCs w:val="14"/>
                <w:b w:val="1"/>
                <w:bCs w:val="1"/>
                <w:color w:val="6A2887"/>
              </w:rPr>
              <w:t>December 31, 2018</w:t>
            </w:r>
          </w:p>
        </w:tc>
      </w:tr>
      <w:tr>
        <w:trPr>
          <w:trHeight w:val="223"/>
        </w:trPr>
        <w:tc>
          <w:tcPr>
            <w:tcW w:w="3900" w:type="dxa"/>
            <w:vAlign w:val="bottom"/>
            <w:tcBorders>
              <w:bottom w:val="single" w:sz="8" w:color="6A2887"/>
            </w:tcBorders>
          </w:tcPr>
          <w:p>
            <w:pPr>
              <w:spacing w:after="0"/>
              <w:rPr>
                <w:sz w:val="19"/>
                <w:szCs w:val="19"/>
                <w:color w:val="auto"/>
              </w:rPr>
            </w:pPr>
          </w:p>
        </w:tc>
        <w:tc>
          <w:tcPr>
            <w:tcW w:w="3180" w:type="dxa"/>
            <w:vAlign w:val="bottom"/>
            <w:tcBorders>
              <w:bottom w:val="single" w:sz="8" w:color="6A2887"/>
            </w:tcBorders>
          </w:tcPr>
          <w:p>
            <w:pPr>
              <w:spacing w:after="0"/>
              <w:rPr>
                <w:sz w:val="19"/>
                <w:szCs w:val="19"/>
                <w:color w:val="auto"/>
              </w:rPr>
            </w:pPr>
          </w:p>
        </w:tc>
        <w:tc>
          <w:tcPr>
            <w:tcW w:w="640" w:type="dxa"/>
            <w:vAlign w:val="bottom"/>
            <w:tcBorders>
              <w:bottom w:val="single" w:sz="8" w:color="6A2887"/>
            </w:tcBorders>
          </w:tcPr>
          <w:p>
            <w:pPr>
              <w:spacing w:after="0"/>
              <w:rPr>
                <w:sz w:val="19"/>
                <w:szCs w:val="19"/>
                <w:color w:val="auto"/>
              </w:rPr>
            </w:pPr>
          </w:p>
        </w:tc>
        <w:tc>
          <w:tcPr>
            <w:tcW w:w="1460" w:type="dxa"/>
            <w:vAlign w:val="bottom"/>
            <w:tcBorders>
              <w:bottom w:val="single" w:sz="8" w:color="6A2887"/>
            </w:tcBorders>
            <w:gridSpan w:val="2"/>
          </w:tcPr>
          <w:p>
            <w:pPr>
              <w:jc w:val="right"/>
              <w:spacing w:after="0"/>
              <w:rPr>
                <w:sz w:val="20"/>
                <w:szCs w:val="20"/>
                <w:color w:val="auto"/>
              </w:rPr>
            </w:pPr>
            <w:r>
              <w:rPr>
                <w:rFonts w:ascii="Arial" w:cs="Arial" w:eastAsia="Arial" w:hAnsi="Arial"/>
                <w:sz w:val="14"/>
                <w:szCs w:val="14"/>
                <w:b w:val="1"/>
                <w:bCs w:val="1"/>
                <w:color w:val="6A2887"/>
              </w:rPr>
              <w:t>(in thousands)</w:t>
            </w:r>
          </w:p>
        </w:tc>
      </w:tr>
      <w:tr>
        <w:trPr>
          <w:trHeight w:val="256"/>
        </w:trPr>
        <w:tc>
          <w:tcPr>
            <w:tcW w:w="3900" w:type="dxa"/>
            <w:vAlign w:val="bottom"/>
          </w:tcPr>
          <w:p>
            <w:pPr>
              <w:ind w:left="60"/>
              <w:spacing w:after="0" w:line="256" w:lineRule="exact"/>
              <w:rPr>
                <w:sz w:val="20"/>
                <w:szCs w:val="20"/>
                <w:color w:val="auto"/>
              </w:rPr>
            </w:pPr>
            <w:r>
              <w:rPr>
                <w:rFonts w:ascii="Arial" w:cs="Arial" w:eastAsia="Arial" w:hAnsi="Arial"/>
                <w:sz w:val="15"/>
                <w:szCs w:val="15"/>
                <w:color w:val="auto"/>
              </w:rPr>
              <w:t>Audit Fees</w:t>
            </w:r>
            <w:r>
              <w:rPr>
                <w:rFonts w:ascii="Arial" w:cs="Arial" w:eastAsia="Arial" w:hAnsi="Arial"/>
                <w:sz w:val="23"/>
                <w:szCs w:val="23"/>
                <w:color w:val="auto"/>
                <w:vertAlign w:val="superscript"/>
              </w:rPr>
              <w:t>(1)</w:t>
            </w:r>
          </w:p>
        </w:tc>
        <w:tc>
          <w:tcPr>
            <w:tcW w:w="31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7,510</w:t>
            </w:r>
          </w:p>
        </w:tc>
        <w:tc>
          <w:tcPr>
            <w:tcW w:w="8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8,274</w:t>
            </w:r>
          </w:p>
        </w:tc>
      </w:tr>
      <w:tr>
        <w:trPr>
          <w:trHeight w:val="284"/>
        </w:trPr>
        <w:tc>
          <w:tcPr>
            <w:tcW w:w="3900" w:type="dxa"/>
            <w:vAlign w:val="bottom"/>
            <w:shd w:val="clear" w:color="auto" w:fill="EFE9FC"/>
          </w:tcPr>
          <w:p>
            <w:pPr>
              <w:ind w:left="60"/>
              <w:spacing w:after="0"/>
              <w:rPr>
                <w:sz w:val="20"/>
                <w:szCs w:val="20"/>
                <w:color w:val="auto"/>
              </w:rPr>
            </w:pPr>
            <w:r>
              <w:rPr>
                <w:rFonts w:ascii="Arial" w:cs="Arial" w:eastAsia="Arial" w:hAnsi="Arial"/>
                <w:sz w:val="15"/>
                <w:szCs w:val="15"/>
                <w:color w:val="auto"/>
              </w:rPr>
              <w:t>Audit-Related Fees</w:t>
            </w:r>
            <w:r>
              <w:rPr>
                <w:rFonts w:ascii="Arial" w:cs="Arial" w:eastAsia="Arial" w:hAnsi="Arial"/>
                <w:sz w:val="23"/>
                <w:szCs w:val="23"/>
                <w:color w:val="auto"/>
                <w:vertAlign w:val="superscript"/>
              </w:rPr>
              <w:t>(2)</w:t>
            </w:r>
          </w:p>
        </w:tc>
        <w:tc>
          <w:tcPr>
            <w:tcW w:w="3180" w:type="dxa"/>
            <w:vAlign w:val="bottom"/>
            <w:shd w:val="clear" w:color="auto" w:fill="EFE9FC"/>
          </w:tcPr>
          <w:p>
            <w:pPr>
              <w:spacing w:after="0"/>
              <w:rPr>
                <w:sz w:val="24"/>
                <w:szCs w:val="24"/>
                <w:color w:val="auto"/>
              </w:rPr>
            </w:pPr>
          </w:p>
        </w:tc>
        <w:tc>
          <w:tcPr>
            <w:tcW w:w="64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880" w:type="dxa"/>
            <w:vAlign w:val="bottom"/>
            <w:shd w:val="clear" w:color="auto" w:fill="EFE9FC"/>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18</w:t>
            </w:r>
          </w:p>
        </w:tc>
      </w:tr>
      <w:tr>
        <w:trPr>
          <w:trHeight w:val="256"/>
        </w:trPr>
        <w:tc>
          <w:tcPr>
            <w:tcW w:w="3900" w:type="dxa"/>
            <w:vAlign w:val="bottom"/>
          </w:tcPr>
          <w:p>
            <w:pPr>
              <w:ind w:left="60"/>
              <w:spacing w:after="0" w:line="256" w:lineRule="exact"/>
              <w:rPr>
                <w:sz w:val="20"/>
                <w:szCs w:val="20"/>
                <w:color w:val="auto"/>
              </w:rPr>
            </w:pPr>
            <w:r>
              <w:rPr>
                <w:rFonts w:ascii="Arial" w:cs="Arial" w:eastAsia="Arial" w:hAnsi="Arial"/>
                <w:sz w:val="15"/>
                <w:szCs w:val="15"/>
                <w:color w:val="auto"/>
              </w:rPr>
              <w:t>Tax Fees</w:t>
            </w:r>
            <w:r>
              <w:rPr>
                <w:rFonts w:ascii="Arial" w:cs="Arial" w:eastAsia="Arial" w:hAnsi="Arial"/>
                <w:sz w:val="23"/>
                <w:szCs w:val="23"/>
                <w:color w:val="auto"/>
                <w:vertAlign w:val="superscript"/>
              </w:rPr>
              <w:t>(3)</w:t>
            </w:r>
          </w:p>
        </w:tc>
        <w:tc>
          <w:tcPr>
            <w:tcW w:w="31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4"/>
              <w:spacing w:after="0"/>
              <w:rPr>
                <w:sz w:val="20"/>
                <w:szCs w:val="20"/>
                <w:color w:val="auto"/>
              </w:rPr>
            </w:pPr>
            <w:r>
              <w:rPr>
                <w:rFonts w:ascii="Arial" w:cs="Arial" w:eastAsia="Arial" w:hAnsi="Arial"/>
                <w:sz w:val="15"/>
                <w:szCs w:val="15"/>
                <w:color w:val="auto"/>
              </w:rPr>
              <w:t>443</w:t>
            </w:r>
          </w:p>
        </w:tc>
        <w:tc>
          <w:tcPr>
            <w:tcW w:w="88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387</w:t>
            </w:r>
          </w:p>
        </w:tc>
      </w:tr>
      <w:tr>
        <w:trPr>
          <w:trHeight w:val="270"/>
        </w:trPr>
        <w:tc>
          <w:tcPr>
            <w:tcW w:w="3900" w:type="dxa"/>
            <w:vAlign w:val="bottom"/>
            <w:tcBorders>
              <w:bottom w:val="single" w:sz="8" w:color="6A2887"/>
            </w:tcBorders>
            <w:shd w:val="clear" w:color="auto" w:fill="EFE9FC"/>
          </w:tcPr>
          <w:p>
            <w:pPr>
              <w:ind w:left="60"/>
              <w:spacing w:after="0"/>
              <w:rPr>
                <w:sz w:val="20"/>
                <w:szCs w:val="20"/>
                <w:color w:val="auto"/>
              </w:rPr>
            </w:pPr>
            <w:r>
              <w:rPr>
                <w:rFonts w:ascii="Arial" w:cs="Arial" w:eastAsia="Arial" w:hAnsi="Arial"/>
                <w:sz w:val="15"/>
                <w:szCs w:val="15"/>
                <w:color w:val="auto"/>
              </w:rPr>
              <w:t>All Other Fees</w:t>
            </w:r>
            <w:r>
              <w:rPr>
                <w:rFonts w:ascii="Arial" w:cs="Arial" w:eastAsia="Arial" w:hAnsi="Arial"/>
                <w:sz w:val="23"/>
                <w:szCs w:val="23"/>
                <w:color w:val="auto"/>
                <w:vertAlign w:val="superscript"/>
              </w:rPr>
              <w:t>(4)</w:t>
            </w:r>
          </w:p>
        </w:tc>
        <w:tc>
          <w:tcPr>
            <w:tcW w:w="3180" w:type="dxa"/>
            <w:vAlign w:val="bottom"/>
            <w:tcBorders>
              <w:bottom w:val="single" w:sz="8" w:color="6A2887"/>
            </w:tcBorders>
            <w:shd w:val="clear" w:color="auto" w:fill="EFE9FC"/>
          </w:tcPr>
          <w:p>
            <w:pPr>
              <w:spacing w:after="0"/>
              <w:rPr>
                <w:sz w:val="23"/>
                <w:szCs w:val="23"/>
                <w:color w:val="auto"/>
              </w:rPr>
            </w:pPr>
          </w:p>
        </w:tc>
        <w:tc>
          <w:tcPr>
            <w:tcW w:w="640" w:type="dxa"/>
            <w:vAlign w:val="bottom"/>
            <w:tcBorders>
              <w:bottom w:val="single" w:sz="8" w:color="6A2887"/>
            </w:tcBorders>
            <w:shd w:val="clear" w:color="auto" w:fill="EFE9FC"/>
          </w:tcPr>
          <w:p>
            <w:pPr>
              <w:jc w:val="right"/>
              <w:ind w:right="44"/>
              <w:spacing w:after="0"/>
              <w:rPr>
                <w:sz w:val="20"/>
                <w:szCs w:val="20"/>
                <w:color w:val="auto"/>
              </w:rPr>
            </w:pPr>
            <w:r>
              <w:rPr>
                <w:rFonts w:ascii="Arial" w:cs="Arial" w:eastAsia="Arial" w:hAnsi="Arial"/>
                <w:sz w:val="15"/>
                <w:szCs w:val="15"/>
                <w:color w:val="auto"/>
              </w:rPr>
              <w:t>1</w:t>
            </w:r>
          </w:p>
        </w:tc>
        <w:tc>
          <w:tcPr>
            <w:tcW w:w="880" w:type="dxa"/>
            <w:vAlign w:val="bottom"/>
            <w:tcBorders>
              <w:bottom w:val="single" w:sz="8" w:color="6A2887"/>
            </w:tcBorders>
            <w:shd w:val="clear" w:color="auto" w:fill="EFE9FC"/>
          </w:tcPr>
          <w:p>
            <w:pPr>
              <w:jc w:val="right"/>
              <w:ind w:right="85"/>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6A2887"/>
            </w:tcBorders>
            <w:shd w:val="clear" w:color="auto" w:fill="EFE9FC"/>
          </w:tcPr>
          <w:p>
            <w:pPr>
              <w:jc w:val="right"/>
              <w:spacing w:after="0"/>
              <w:rPr>
                <w:sz w:val="20"/>
                <w:szCs w:val="20"/>
                <w:color w:val="auto"/>
              </w:rPr>
            </w:pPr>
            <w:r>
              <w:rPr>
                <w:rFonts w:ascii="Arial" w:cs="Arial" w:eastAsia="Arial" w:hAnsi="Arial"/>
                <w:sz w:val="15"/>
                <w:szCs w:val="15"/>
                <w:color w:val="auto"/>
              </w:rPr>
              <w:t>1</w:t>
            </w:r>
          </w:p>
        </w:tc>
      </w:tr>
      <w:tr>
        <w:trPr>
          <w:trHeight w:val="215"/>
        </w:trPr>
        <w:tc>
          <w:tcPr>
            <w:tcW w:w="3900" w:type="dxa"/>
            <w:vAlign w:val="bottom"/>
          </w:tcPr>
          <w:p>
            <w:pPr>
              <w:ind w:left="60"/>
              <w:spacing w:after="0"/>
              <w:rPr>
                <w:sz w:val="20"/>
                <w:szCs w:val="20"/>
                <w:color w:val="auto"/>
              </w:rPr>
            </w:pPr>
            <w:r>
              <w:rPr>
                <w:rFonts w:ascii="Arial" w:cs="Arial" w:eastAsia="Arial" w:hAnsi="Arial"/>
                <w:sz w:val="15"/>
                <w:szCs w:val="15"/>
                <w:b w:val="1"/>
                <w:bCs w:val="1"/>
                <w:color w:val="6A2887"/>
              </w:rPr>
              <w:t>Total</w:t>
            </w:r>
          </w:p>
        </w:tc>
        <w:tc>
          <w:tcPr>
            <w:tcW w:w="3180" w:type="dxa"/>
            <w:vAlign w:val="bottom"/>
          </w:tcPr>
          <w:p>
            <w:pPr>
              <w:jc w:val="right"/>
              <w:ind w:right="85"/>
              <w:spacing w:after="0"/>
              <w:rPr>
                <w:sz w:val="20"/>
                <w:szCs w:val="20"/>
                <w:color w:val="auto"/>
              </w:rPr>
            </w:pPr>
            <w:r>
              <w:rPr>
                <w:rFonts w:ascii="Arial" w:cs="Arial" w:eastAsia="Arial" w:hAnsi="Arial"/>
                <w:sz w:val="15"/>
                <w:szCs w:val="15"/>
                <w:b w:val="1"/>
                <w:bCs w:val="1"/>
                <w:color w:val="6A2887"/>
              </w:rPr>
              <w:t>$</w:t>
            </w:r>
          </w:p>
        </w:tc>
        <w:tc>
          <w:tcPr>
            <w:tcW w:w="640" w:type="dxa"/>
            <w:vAlign w:val="bottom"/>
          </w:tcPr>
          <w:p>
            <w:pPr>
              <w:jc w:val="right"/>
              <w:ind w:right="44"/>
              <w:spacing w:after="0"/>
              <w:rPr>
                <w:sz w:val="20"/>
                <w:szCs w:val="20"/>
                <w:color w:val="auto"/>
              </w:rPr>
            </w:pPr>
            <w:r>
              <w:rPr>
                <w:rFonts w:ascii="Arial" w:cs="Arial" w:eastAsia="Arial" w:hAnsi="Arial"/>
                <w:sz w:val="15"/>
                <w:szCs w:val="15"/>
                <w:b w:val="1"/>
                <w:bCs w:val="1"/>
                <w:color w:val="6A2887"/>
              </w:rPr>
              <w:t>7,954</w:t>
            </w:r>
          </w:p>
        </w:tc>
        <w:tc>
          <w:tcPr>
            <w:tcW w:w="880" w:type="dxa"/>
            <w:vAlign w:val="bottom"/>
          </w:tcPr>
          <w:p>
            <w:pPr>
              <w:jc w:val="right"/>
              <w:ind w:right="85"/>
              <w:spacing w:after="0"/>
              <w:rPr>
                <w:sz w:val="20"/>
                <w:szCs w:val="20"/>
                <w:color w:val="auto"/>
              </w:rPr>
            </w:pPr>
            <w:r>
              <w:rPr>
                <w:rFonts w:ascii="Arial" w:cs="Arial" w:eastAsia="Arial" w:hAnsi="Arial"/>
                <w:sz w:val="15"/>
                <w:szCs w:val="15"/>
                <w:b w:val="1"/>
                <w:bCs w:val="1"/>
                <w:color w:val="6A2887"/>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6A2887"/>
              </w:rPr>
              <w:t>8,680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8293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7" w:lineRule="exact"/>
        <w:rPr>
          <w:sz w:val="20"/>
          <w:szCs w:val="20"/>
          <w:color w:val="auto"/>
        </w:rPr>
      </w:pPr>
    </w:p>
    <w:p>
      <w:pPr>
        <w:jc w:val="both"/>
        <w:ind w:left="980" w:right="660" w:hanging="216"/>
        <w:spacing w:after="0" w:line="253" w:lineRule="auto"/>
        <w:tabs>
          <w:tab w:leader="none" w:pos="98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ind w:left="980" w:right="380" w:hanging="216"/>
        <w:spacing w:after="0" w:line="260" w:lineRule="auto"/>
        <w:tabs>
          <w:tab w:leader="none" w:pos="98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Audit-Related Fees consist of aggregate fees to PwC for assurance services, other than those included in Audit Fees, related to the sale of our Cardiac Rhythm Management Business Franchise.</w:t>
      </w:r>
    </w:p>
    <w:p>
      <w:pPr>
        <w:ind w:left="980" w:hanging="216"/>
        <w:spacing w:after="0"/>
        <w:tabs>
          <w:tab w:leader="none" w:pos="98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Tax Fees include applicable fees paid to PwC for tax services, including tax compliance and tax advice.</w:t>
      </w:r>
    </w:p>
    <w:p>
      <w:pPr>
        <w:spacing w:after="0" w:line="26" w:lineRule="exact"/>
        <w:rPr>
          <w:rFonts w:ascii="Arial" w:cs="Arial" w:eastAsia="Arial" w:hAnsi="Arial"/>
          <w:sz w:val="13"/>
          <w:szCs w:val="13"/>
          <w:i w:val="1"/>
          <w:iCs w:val="1"/>
          <w:color w:val="auto"/>
        </w:rPr>
      </w:pPr>
    </w:p>
    <w:p>
      <w:pPr>
        <w:ind w:left="980" w:hanging="216"/>
        <w:spacing w:after="0"/>
        <w:tabs>
          <w:tab w:leader="none" w:pos="980" w:val="left"/>
        </w:tabs>
        <w:numPr>
          <w:ilvl w:val="0"/>
          <w:numId w:val="82"/>
        </w:numPr>
        <w:rPr>
          <w:rFonts w:ascii="Arial" w:cs="Arial" w:eastAsia="Arial" w:hAnsi="Arial"/>
          <w:sz w:val="13"/>
          <w:szCs w:val="13"/>
          <w:i w:val="1"/>
          <w:iCs w:val="1"/>
          <w:color w:val="auto"/>
        </w:rPr>
      </w:pPr>
      <w:r>
        <w:rPr>
          <w:rFonts w:ascii="Arial" w:cs="Arial" w:eastAsia="Arial" w:hAnsi="Arial"/>
          <w:sz w:val="13"/>
          <w:szCs w:val="13"/>
          <w:i w:val="1"/>
          <w:iCs w:val="1"/>
          <w:color w:val="auto"/>
        </w:rPr>
        <w:t>All Other Fees in 2019 and 2018 are for fees for disclosure checklist access.</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Pre-Approval Policies and Procedures</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Pre-Approval Policies and Procedures</w:t>
      </w:r>
    </w:p>
    <w:p>
      <w:pPr>
        <w:spacing w:after="0" w:line="146" w:lineRule="exact"/>
        <w:rPr>
          <w:sz w:val="20"/>
          <w:szCs w:val="20"/>
          <w:color w:val="auto"/>
        </w:rPr>
      </w:pPr>
    </w:p>
    <w:p>
      <w:pPr>
        <w:ind w:left="760" w:right="199"/>
        <w:spacing w:after="0" w:line="248" w:lineRule="auto"/>
        <w:rPr>
          <w:sz w:val="20"/>
          <w:szCs w:val="20"/>
          <w:color w:val="auto"/>
        </w:rPr>
      </w:pPr>
      <w:r>
        <w:rPr>
          <w:rFonts w:ascii="Arial" w:cs="Arial" w:eastAsia="Arial" w:hAnsi="Arial"/>
          <w:sz w:val="16"/>
          <w:szCs w:val="16"/>
          <w:color w:val="auto"/>
        </w:rPr>
        <w:t>The Audit and Compliance Committee has established an auditor independence policy that addresses the hiring of former employees of the Company’s auditors as well as the provision by the auditors of audit and non-audit services. The policy sets out certain non-audit services that are prohibited at all times as well as a separate list of services that may be permitted if approved by the Audit and Compliance Committee, subject to certain caps (expressed as a percentage of the average of all fees paid to the auditor in each of the prior three years). The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committee also delegated approval authority to the committee’s chair (or by resolution to any other member of the committee) to approve any one or more individual audit or permitted non-audit services for which estimated fees do not exceed $100,000. In such cases, the committee chair reports such approvals at the next scheduled meeting of the committee.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280"/>
        <w:spacing w:after="0" w:line="257" w:lineRule="auto"/>
        <w:rPr>
          <w:sz w:val="20"/>
          <w:szCs w:val="20"/>
          <w:color w:val="auto"/>
        </w:rPr>
      </w:pPr>
      <w:r>
        <w:rPr>
          <w:rFonts w:ascii="Arial" w:cs="Arial" w:eastAsia="Arial" w:hAnsi="Arial"/>
          <w:sz w:val="47"/>
          <w:szCs w:val="47"/>
          <w:b w:val="1"/>
          <w:bCs w:val="1"/>
          <w:color w:val="6A2887"/>
        </w:rPr>
        <w:t xml:space="preserve">Proposal No. 3 </w:t>
      </w:r>
      <w:r>
        <w:rPr>
          <w:rFonts w:ascii="Arial" w:cs="Arial" w:eastAsia="Arial" w:hAnsi="Arial"/>
          <w:sz w:val="47"/>
          <w:szCs w:val="47"/>
          <w:b w:val="1"/>
          <w:bCs w:val="1"/>
          <w:color w:val="666666"/>
        </w:rPr>
        <w:t>Ratification of the</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Appointment of PwC USA as the Company’s independent registered public accounting firm</w:t>
      </w:r>
    </w:p>
    <w:p>
      <w:pPr>
        <w:spacing w:after="0" w:line="45" w:lineRule="exact"/>
        <w:rPr>
          <w:sz w:val="20"/>
          <w:szCs w:val="20"/>
          <w:color w:val="auto"/>
        </w:rPr>
      </w:pPr>
    </w:p>
    <w:p>
      <w:pPr>
        <w:ind w:left="760" w:right="360"/>
        <w:spacing w:after="0" w:line="251" w:lineRule="auto"/>
        <w:rPr>
          <w:sz w:val="20"/>
          <w:szCs w:val="20"/>
          <w:color w:val="auto"/>
        </w:rPr>
      </w:pPr>
      <w:r>
        <w:rPr>
          <w:rFonts w:ascii="Arial" w:cs="Arial" w:eastAsia="Arial" w:hAnsi="Arial"/>
          <w:sz w:val="16"/>
          <w:szCs w:val="16"/>
          <w:color w:val="auto"/>
        </w:rPr>
        <w:t>The Audit and Compliance Committee has appointed PwC USA as our independent registered public accounting firm for the year ending December 31, 2020,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2020.</w:t>
      </w:r>
    </w:p>
    <w:p>
      <w:pPr>
        <w:spacing w:after="0" w:line="81"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We anticipate that a representative of PwC USA or an affiliated member firm will be present at the AGM. The representative will be given the opportunity to make a statement if he or she desires to do so, and is expected to be available to respond to any appropriate questions that may be submitted by shareholders at the AGM.</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32" w:lineRule="exact"/>
        <w:rPr>
          <w:sz w:val="20"/>
          <w:szCs w:val="20"/>
          <w:color w:val="auto"/>
        </w:rPr>
      </w:pPr>
    </w:p>
    <w:p>
      <w:pPr>
        <w:ind w:left="760" w:right="420"/>
        <w:spacing w:after="0" w:line="251" w:lineRule="auto"/>
        <w:rPr>
          <w:sz w:val="20"/>
          <w:szCs w:val="20"/>
          <w:color w:val="auto"/>
        </w:rPr>
      </w:pPr>
      <w:r>
        <w:rPr>
          <w:rFonts w:ascii="Arial" w:cs="Arial" w:eastAsia="Arial" w:hAnsi="Arial"/>
          <w:sz w:val="16"/>
          <w:szCs w:val="16"/>
          <w:color w:val="auto"/>
        </w:rPr>
        <w:t>This ordinary resolution will be approved if there is an affirmative vote of a majority of shares present at the AGM, in person or by proxy, and entitled to vote on the proposal. If this proposal does not receive the affirmative vote of the holders of a majority of the shares entitled to vote and present in person or represented by proxy at the AGM, the Audit and Compliance Committee will reconsider the appointment, but may decide to maintain its appointment of PwC USA.</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right="440"/>
        <w:spacing w:after="0" w:line="301"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RATIFICATION OF THE APPOINTMENT OF PWC USA. AS THE COMPANY’S INDEPENDENT REGISTERED PUBLIC ACCOUNTING FIRM FOR THE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959"/>
        <w:spacing w:after="0" w:line="263" w:lineRule="auto"/>
        <w:rPr>
          <w:sz w:val="20"/>
          <w:szCs w:val="20"/>
          <w:color w:val="auto"/>
        </w:rPr>
      </w:pPr>
      <w:r>
        <w:rPr>
          <w:rFonts w:ascii="Arial" w:cs="Arial" w:eastAsia="Arial" w:hAnsi="Arial"/>
          <w:sz w:val="47"/>
          <w:szCs w:val="47"/>
          <w:b w:val="1"/>
          <w:bCs w:val="1"/>
          <w:color w:val="6A2887"/>
        </w:rPr>
        <w:t xml:space="preserve">Proposal No. 4 </w:t>
      </w:r>
      <w:r>
        <w:rPr>
          <w:rFonts w:ascii="Arial" w:cs="Arial" w:eastAsia="Arial" w:hAnsi="Arial"/>
          <w:sz w:val="47"/>
          <w:szCs w:val="47"/>
          <w:b w:val="1"/>
          <w:bCs w:val="1"/>
          <w:color w:val="666666"/>
        </w:rPr>
        <w:t>Ordinary Resolution to</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Grant Authority to Allot Shares for a Period of Five Years</w:t>
      </w:r>
    </w:p>
    <w:p>
      <w:pPr>
        <w:spacing w:after="0" w:line="30"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Under the Articles of Association of the Company originally adopted with effect from October 19, 2015 (being the date of completion of the merger of Sorin and Cyberonics) (the “</w:t>
      </w:r>
      <w:r>
        <w:rPr>
          <w:rFonts w:ascii="Arial" w:cs="Arial" w:eastAsia="Arial" w:hAnsi="Arial"/>
          <w:sz w:val="16"/>
          <w:szCs w:val="16"/>
          <w:b w:val="1"/>
          <w:bCs w:val="1"/>
          <w:color w:val="auto"/>
        </w:rPr>
        <w:t>Original Articles</w:t>
      </w:r>
      <w:r>
        <w:rPr>
          <w:rFonts w:ascii="Arial" w:cs="Arial" w:eastAsia="Arial" w:hAnsi="Arial"/>
          <w:sz w:val="16"/>
          <w:szCs w:val="16"/>
          <w:color w:val="auto"/>
        </w:rPr>
        <w:t>”), the Board was given the authority to allot shares, and to grant rights to subscribe for, or to convert any security, into shares, up to an aggregate nominal amount representing 20% of the number of shares in the capital of the Company after completion of the merger on October 19, 2015. The existing authority was not affected by the adoption of the Company’s existing Articles of Association with effect from June 14, 2017. This authority was granted for a period of five years from October 19, 2015 and, accordingly, is expected to expire on October, 19, 2020. Proposal No. 4 is being proposed because of such upcoming expiry. In addition, the existing authority: (i) has to date been utilised in connection with equity awards made under the Company’s incentive plans; and (ii) may be substantially utilised between the date of this proxy statement and the AGM if the Company decides to pursue a strategic capital raising involving the issuance of equity or equity linked securities (as described below).</w:t>
      </w:r>
    </w:p>
    <w:p>
      <w:pPr>
        <w:spacing w:after="0" w:line="83" w:lineRule="exact"/>
        <w:rPr>
          <w:sz w:val="20"/>
          <w:szCs w:val="20"/>
          <w:color w:val="auto"/>
        </w:rPr>
      </w:pPr>
    </w:p>
    <w:p>
      <w:pPr>
        <w:ind w:left="760" w:right="199"/>
        <w:spacing w:after="0" w:line="249" w:lineRule="auto"/>
        <w:rPr>
          <w:sz w:val="20"/>
          <w:szCs w:val="20"/>
          <w:color w:val="auto"/>
        </w:rPr>
      </w:pPr>
      <w:r>
        <w:rPr>
          <w:rFonts w:ascii="Arial" w:cs="Arial" w:eastAsia="Arial" w:hAnsi="Arial"/>
          <w:sz w:val="16"/>
          <w:szCs w:val="16"/>
          <w:color w:val="auto"/>
        </w:rPr>
        <w:t>If passed, this would allow the Board to allot new shares and to grant rights to subscribe for, or to convert any securities into, shares up to an aggregate nominal value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7, 2020, the latest practicable date prior to the date of this proxy statement. The amount set out under (b) is equivalent to the approximate number of shares in respect of which future grants can be made under the Company’s 2015 Incentive Award Plan.</w:t>
      </w:r>
    </w:p>
    <w:p>
      <w:pPr>
        <w:spacing w:after="0" w:line="70" w:lineRule="exact"/>
        <w:rPr>
          <w:sz w:val="20"/>
          <w:szCs w:val="20"/>
          <w:color w:val="auto"/>
        </w:rPr>
      </w:pPr>
    </w:p>
    <w:p>
      <w:pPr>
        <w:ind w:left="760" w:right="459"/>
        <w:spacing w:after="0" w:line="250" w:lineRule="auto"/>
        <w:rPr>
          <w:sz w:val="20"/>
          <w:szCs w:val="20"/>
          <w:color w:val="auto"/>
        </w:rPr>
      </w:pPr>
      <w:r>
        <w:rPr>
          <w:rFonts w:ascii="Arial" w:cs="Arial" w:eastAsia="Arial" w:hAnsi="Arial"/>
          <w:sz w:val="16"/>
          <w:szCs w:val="16"/>
          <w:color w:val="auto"/>
        </w:rPr>
        <w:t>This authority will (unless previously revoked, varied or renewed) expire on the date that is five (5) years after the date on which this resolution is passed. This authority is in addition to (and does not replace) any such previous authority given to the Board, including the existing authority under our current Articles of Association (under which the Board has remaining authority to allot new shares and to grant rights to subscribe for, or to convert any securities into, shares up to an aggregate nominal value of approximately £4,600,000).</w:t>
      </w:r>
    </w:p>
    <w:p>
      <w:pPr>
        <w:spacing w:after="0" w:line="81" w:lineRule="exact"/>
        <w:rPr>
          <w:sz w:val="20"/>
          <w:szCs w:val="20"/>
          <w:color w:val="auto"/>
        </w:rPr>
      </w:pPr>
    </w:p>
    <w:p>
      <w:pPr>
        <w:ind w:left="760" w:right="219"/>
        <w:spacing w:after="0" w:line="247" w:lineRule="auto"/>
        <w:rPr>
          <w:sz w:val="20"/>
          <w:szCs w:val="20"/>
          <w:color w:val="auto"/>
        </w:rPr>
      </w:pPr>
      <w:r>
        <w:rPr>
          <w:rFonts w:ascii="Arial" w:cs="Arial" w:eastAsia="Arial" w:hAnsi="Arial"/>
          <w:sz w:val="16"/>
          <w:szCs w:val="16"/>
          <w:color w:val="auto"/>
        </w:rPr>
        <w:t>Under the Companies Act, the Board may only allot shares in the Company or grant rights to subscribe for or to convert any security into shares in the Company if it is authorized to do so by the company’s Articles of Association or by shareholder resolution. Any such authorization is only valid for a maximum period of five years. The requirement for such authorization to allot by the Company’s shareholders is an additional step not generally required when companies domiciled in the United States are issuing securities. The Board believes that it is important for the Company to retain the flexibility to allot shares on an accelerated basis should the Board determine it is necessary or advisable and in the best interests of shareholders, without incurring the costs or delays associated with calling a special meeting and preparing and circulating proxy materials to approve specific allotments of shares. The Board also believes that a large majority of public companies based in the US do not require shareholder approval of each issuance and allotment of common equity. As a result of the utilisation of the existing authority and its upcoming expiry on October 19, 2020, without the approval of this Proposal 4, the Company may not be able to raise additional capital, in a timely manner or at all, if and as needed to fund its ongoing business and operations. In addition, without the approval of this Proposal No. 4, the Company may not be able to continue to grant equity awards to employees, directors, officers and consultants under the Company’s incentive plans.</w:t>
      </w:r>
    </w:p>
    <w:p>
      <w:pPr>
        <w:spacing w:after="0" w:line="90" w:lineRule="exact"/>
        <w:rPr>
          <w:sz w:val="20"/>
          <w:szCs w:val="20"/>
          <w:color w:val="auto"/>
        </w:rPr>
      </w:pPr>
    </w:p>
    <w:p>
      <w:pPr>
        <w:ind w:left="760" w:right="239"/>
        <w:spacing w:after="0" w:line="229" w:lineRule="auto"/>
        <w:rPr>
          <w:sz w:val="20"/>
          <w:szCs w:val="20"/>
          <w:color w:val="auto"/>
        </w:rPr>
      </w:pPr>
      <w:r>
        <w:rPr>
          <w:rFonts w:ascii="Arial" w:cs="Arial" w:eastAsia="Arial" w:hAnsi="Arial"/>
          <w:sz w:val="16"/>
          <w:szCs w:val="16"/>
          <w:color w:val="auto"/>
        </w:rPr>
        <w:t>As noted in the Company’s Q1 2020 results announcement, we are in the process of evaluating strategic capital raising options to fulfill our short- and medium-term capital needs. Among these alternatives, we have been analyzing potential offerings of equity/equity linked or debt securities.</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Discussions concerning these potential transactions are ongoing, and no assurance can be given that a transaction will be consummated or as to the ultimate terms of any such transaction. For a copy of the Company’s Q1 2020 results announcement, please refer to the Company’s Form 8-K filed with the SEC on April 29, 2020, which is available on the Company’s website at www.livanova.com and on the SEC’s website at www.sec.gov</w:t>
      </w:r>
    </w:p>
    <w:p>
      <w:pPr>
        <w:spacing w:after="0" w:line="76" w:lineRule="exact"/>
        <w:rPr>
          <w:sz w:val="20"/>
          <w:szCs w:val="20"/>
          <w:color w:val="auto"/>
        </w:rPr>
      </w:pPr>
    </w:p>
    <w:p>
      <w:pPr>
        <w:jc w:val="both"/>
        <w:ind w:left="760" w:right="319"/>
        <w:spacing w:after="0" w:line="253" w:lineRule="auto"/>
        <w:rPr>
          <w:sz w:val="20"/>
          <w:szCs w:val="20"/>
          <w:color w:val="auto"/>
        </w:rPr>
      </w:pPr>
      <w:r>
        <w:rPr>
          <w:rFonts w:ascii="Arial" w:cs="Arial" w:eastAsia="Arial" w:hAnsi="Arial"/>
          <w:sz w:val="16"/>
          <w:szCs w:val="16"/>
          <w:color w:val="auto"/>
        </w:rPr>
        <w:t>The Company currently expects that, if it decides to pursue any such strategic capital raising, this would be consummated prior to the AGM. This would mean that any equity or equity linked securities issued in such capital raising would be authorized (in whole or in part) pursuant to the existing authority. The Company may utilise the authority sought under Proposal 4 (in</w:t>
      </w:r>
    </w:p>
    <w:p>
      <w:pPr>
        <w:spacing w:after="0" w:line="77" w:lineRule="exact"/>
        <w:rPr>
          <w:sz w:val="20"/>
          <w:szCs w:val="20"/>
          <w:color w:val="auto"/>
        </w:rPr>
      </w:pPr>
    </w:p>
    <w:p>
      <w:pPr>
        <w:ind w:left="980" w:right="439" w:hanging="216"/>
        <w:spacing w:after="0" w:line="223" w:lineRule="auto"/>
        <w:tabs>
          <w:tab w:leader="none" w:pos="980" w:val="left"/>
        </w:tabs>
        <w:numPr>
          <w:ilvl w:val="0"/>
          <w:numId w:val="83"/>
        </w:numPr>
        <w:rPr>
          <w:rFonts w:ascii="Arial" w:cs="Arial" w:eastAsia="Arial" w:hAnsi="Arial"/>
          <w:sz w:val="20"/>
          <w:szCs w:val="20"/>
          <w:i w:val="1"/>
          <w:iCs w:val="1"/>
          <w:color w:val="auto"/>
          <w:vertAlign w:val="subscript"/>
        </w:rPr>
      </w:pPr>
      <w:r>
        <w:rPr>
          <w:rFonts w:ascii="Arial" w:cs="Arial" w:eastAsia="Arial" w:hAnsi="Arial"/>
          <w:sz w:val="13"/>
          <w:szCs w:val="13"/>
          <w:i w:val="1"/>
          <w:iCs w:val="1"/>
          <w:color w:val="auto"/>
        </w:rPr>
        <w:t>Any securities that may be issued by LivaNova have not been and will not be registered under the U.S. Securities Act of 1933, as amended (the “Securities Act”), and if offered, will only be offered to persons who are either (i) an “accredited investor” within the meaning of Regulation D under the Securities Act or (ii) a “qualified institutional buyer” within the meaning of Rule 144A under the Securities Act, or to persons that are not U.S. persons pursuant to Regulation S under the Securities Act. This communication shall not constitute an offer to sell or the solicitation of an offer to buy any securities of LivaNova.</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 xml:space="preserve">Proposal No. 4 </w:t>
      </w:r>
      <w:r>
        <w:rPr>
          <w:rFonts w:ascii="Arial" w:cs="Arial" w:eastAsia="Arial" w:hAnsi="Arial"/>
          <w:sz w:val="12"/>
          <w:szCs w:val="12"/>
          <w:b w:val="1"/>
          <w:bCs w:val="1"/>
          <w:color w:val="666666"/>
        </w:rPr>
        <w:t>Ordinary Resolution to Grant Authority to Allot Shares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58293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72" w:lineRule="exact"/>
        <w:rPr>
          <w:sz w:val="20"/>
          <w:szCs w:val="20"/>
          <w:color w:val="auto"/>
        </w:rPr>
      </w:pPr>
    </w:p>
    <w:p>
      <w:pPr>
        <w:ind w:left="8500"/>
        <w:spacing w:after="0"/>
        <w:rPr>
          <w:sz w:val="20"/>
          <w:szCs w:val="20"/>
          <w:color w:val="auto"/>
        </w:rPr>
      </w:pPr>
      <w:r>
        <w:rPr>
          <w:rFonts w:ascii="Arial" w:cs="Arial" w:eastAsia="Arial" w:hAnsi="Arial"/>
          <w:sz w:val="12"/>
          <w:szCs w:val="12"/>
          <w:b w:val="1"/>
          <w:bCs w:val="1"/>
          <w:color w:val="6A2887"/>
        </w:rPr>
        <w:t>Board Recommendation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760" w:right="460"/>
        <w:spacing w:after="0" w:line="253" w:lineRule="auto"/>
        <w:rPr>
          <w:sz w:val="20"/>
          <w:szCs w:val="20"/>
          <w:color w:val="auto"/>
        </w:rPr>
      </w:pPr>
      <w:r>
        <w:rPr>
          <w:rFonts w:ascii="Arial" w:cs="Arial" w:eastAsia="Arial" w:hAnsi="Arial"/>
          <w:sz w:val="16"/>
          <w:szCs w:val="16"/>
          <w:color w:val="auto"/>
        </w:rPr>
        <w:t>whole or in part) in respect of any such strategic capital raising consummated after the AGM or may structure any such strategic capital raising such that it is authorized partly pursuant to the existing authority and partly pursuant to the authority sought under Proposal 4.</w:t>
      </w:r>
    </w:p>
    <w:p>
      <w:pPr>
        <w:spacing w:after="0" w:line="80" w:lineRule="exact"/>
        <w:rPr>
          <w:sz w:val="20"/>
          <w:szCs w:val="20"/>
          <w:color w:val="auto"/>
        </w:rPr>
      </w:pPr>
    </w:p>
    <w:p>
      <w:pPr>
        <w:ind w:left="760" w:right="580"/>
        <w:spacing w:after="0" w:line="260" w:lineRule="auto"/>
        <w:rPr>
          <w:sz w:val="20"/>
          <w:szCs w:val="20"/>
          <w:color w:val="auto"/>
        </w:rPr>
      </w:pPr>
      <w:r>
        <w:rPr>
          <w:rFonts w:ascii="Arial" w:cs="Arial" w:eastAsia="Arial" w:hAnsi="Arial"/>
          <w:sz w:val="16"/>
          <w:szCs w:val="16"/>
          <w:color w:val="auto"/>
        </w:rPr>
        <w:t>The approval of this Proposal 4 by the Company’s shareholders will not substitute for any approvals that may be required for a specific transaction under any applicable Nasdaq listing rules.</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240"/>
        <w:spacing w:after="0" w:line="293" w:lineRule="auto"/>
        <w:rPr>
          <w:sz w:val="20"/>
          <w:szCs w:val="20"/>
          <w:color w:val="auto"/>
        </w:rPr>
      </w:pPr>
      <w:r>
        <w:rPr>
          <w:rFonts w:ascii="Arial" w:cs="Arial" w:eastAsia="Arial" w:hAnsi="Arial"/>
          <w:sz w:val="15"/>
          <w:szCs w:val="15"/>
          <w:color w:val="auto"/>
        </w:rPr>
        <w:t>This resolution requires an affirmative vote of a majority of shares present at the annual meeting, in person or by proxy, and entitled to vote on the proposal. Abstentions and broker non-votes will not be counted as a vote either for or against this resolution.</w:t>
      </w:r>
    </w:p>
    <w:p>
      <w:pPr>
        <w:spacing w:after="0" w:line="34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right="260"/>
        <w:spacing w:after="0" w:line="32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ORDINARY RESOLUTION TO GRANT AUTHORITY TO ALLOT SHARES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-309245</wp:posOffset>
            </wp:positionV>
            <wp:extent cx="1371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760" w:right="1199"/>
        <w:spacing w:after="0" w:line="272" w:lineRule="auto"/>
        <w:rPr>
          <w:sz w:val="20"/>
          <w:szCs w:val="20"/>
          <w:color w:val="auto"/>
        </w:rPr>
      </w:pPr>
      <w:r>
        <w:rPr>
          <w:rFonts w:ascii="Arial" w:cs="Arial" w:eastAsia="Arial" w:hAnsi="Arial"/>
          <w:sz w:val="45"/>
          <w:szCs w:val="45"/>
          <w:b w:val="1"/>
          <w:bCs w:val="1"/>
          <w:color w:val="6A2887"/>
        </w:rPr>
        <w:t xml:space="preserve">Proposal No. 5 </w:t>
      </w:r>
      <w:r>
        <w:rPr>
          <w:rFonts w:ascii="Arial" w:cs="Arial" w:eastAsia="Arial" w:hAnsi="Arial"/>
          <w:sz w:val="45"/>
          <w:szCs w:val="45"/>
          <w:b w:val="1"/>
          <w:bCs w:val="1"/>
          <w:color w:val="666666"/>
        </w:rPr>
        <w:t>Special Resolution to</w:t>
      </w:r>
      <w:r>
        <w:rPr>
          <w:rFonts w:ascii="Arial" w:cs="Arial" w:eastAsia="Arial" w:hAnsi="Arial"/>
          <w:sz w:val="45"/>
          <w:szCs w:val="45"/>
          <w:b w:val="1"/>
          <w:bCs w:val="1"/>
          <w:color w:val="6A2887"/>
        </w:rPr>
        <w:t xml:space="preserve"> </w:t>
      </w:r>
      <w:r>
        <w:rPr>
          <w:rFonts w:ascii="Arial" w:cs="Arial" w:eastAsia="Arial" w:hAnsi="Arial"/>
          <w:sz w:val="45"/>
          <w:szCs w:val="45"/>
          <w:b w:val="1"/>
          <w:bCs w:val="1"/>
          <w:color w:val="666666"/>
        </w:rPr>
        <w:t>Grant Power to Disapply Pre-Emption Rights for a Period of Five Years</w:t>
      </w:r>
    </w:p>
    <w:p>
      <w:pPr>
        <w:spacing w:after="0" w:line="6" w:lineRule="exact"/>
        <w:rPr>
          <w:sz w:val="20"/>
          <w:szCs w:val="20"/>
          <w:color w:val="auto"/>
        </w:rPr>
      </w:pPr>
    </w:p>
    <w:p>
      <w:pPr>
        <w:ind w:left="760" w:right="259"/>
        <w:spacing w:after="0" w:line="248" w:lineRule="auto"/>
        <w:rPr>
          <w:sz w:val="20"/>
          <w:szCs w:val="20"/>
          <w:color w:val="auto"/>
        </w:rPr>
      </w:pPr>
      <w:r>
        <w:rPr>
          <w:rFonts w:ascii="Arial" w:cs="Arial" w:eastAsia="Arial" w:hAnsi="Arial"/>
          <w:sz w:val="16"/>
          <w:szCs w:val="16"/>
          <w:color w:val="auto"/>
        </w:rPr>
        <w:t>Under the Original Articles, the Board was given power to disapply the pre-emption rights of existing shareholders in relation to the allotment of equity securities pursuant to the existing authority to allot described under Proposal No. 4 above. This power was granted for a period of five years and, accordingly, is expected to expire on 19 October 2020. Proposal No. 5 is being proposed because of such upcoming expiry. In addition, the existing power: (i) has to date been utilised in connection with equity awards made under the Company’s incentive plans; and (ii) may be substantially utilised between the date of this proxy statement and the AGM if the Company decides to pursue a strategic capital raising involving the issuance of equity or equity linked securities (as described below).</w:t>
      </w:r>
    </w:p>
    <w:p>
      <w:pPr>
        <w:spacing w:after="0" w:line="87" w:lineRule="exact"/>
        <w:rPr>
          <w:sz w:val="20"/>
          <w:szCs w:val="20"/>
          <w:color w:val="auto"/>
        </w:rPr>
      </w:pPr>
    </w:p>
    <w:p>
      <w:pPr>
        <w:ind w:left="760" w:right="219"/>
        <w:spacing w:after="0" w:line="248" w:lineRule="auto"/>
        <w:rPr>
          <w:sz w:val="20"/>
          <w:szCs w:val="20"/>
          <w:color w:val="auto"/>
        </w:rPr>
      </w:pPr>
      <w:r>
        <w:rPr>
          <w:rFonts w:ascii="Arial" w:cs="Arial" w:eastAsia="Arial" w:hAnsi="Arial"/>
          <w:sz w:val="16"/>
          <w:szCs w:val="16"/>
          <w:color w:val="auto"/>
        </w:rPr>
        <w:t>If passed, this would allow the Board to allot new equity securities or to sell treasury shares held by the Company without first offering them to shareholders in proportion to their existing holdings up to an aggregate nominal amount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7, 2020, the latest practicable date prior to the date of this proxy statement. The amount set out under (b) is equivalent to the number of shares in respect of which future grants can be made under the Company’s 2015 Incentive Award Plan.</w:t>
      </w:r>
    </w:p>
    <w:p>
      <w:pPr>
        <w:spacing w:after="0" w:line="73" w:lineRule="exact"/>
        <w:rPr>
          <w:sz w:val="20"/>
          <w:szCs w:val="20"/>
          <w:color w:val="auto"/>
        </w:rPr>
      </w:pPr>
    </w:p>
    <w:p>
      <w:pPr>
        <w:ind w:left="760" w:right="279"/>
        <w:spacing w:after="0" w:line="273" w:lineRule="auto"/>
        <w:rPr>
          <w:sz w:val="20"/>
          <w:szCs w:val="20"/>
          <w:color w:val="auto"/>
        </w:rPr>
      </w:pPr>
      <w:r>
        <w:rPr>
          <w:rFonts w:ascii="Arial" w:cs="Arial" w:eastAsia="Arial" w:hAnsi="Arial"/>
          <w:sz w:val="15"/>
          <w:szCs w:val="15"/>
          <w:color w:val="auto"/>
        </w:rPr>
        <w:t>This power will (unless previously revoked, varied or renewed) expire on the date that is five (5) years after the date on which this resolution is passed. This power is in addition to (and does not replace) any such previous power given to the Board, including the existing power under our current Articles of Association (under which the Board has remaining power to disapply pre-emption rights in relation to the allotment of equity securities up to an aggregate nominal value of approximately £4,600,000).</w:t>
      </w:r>
    </w:p>
    <w:p>
      <w:pPr>
        <w:spacing w:after="0" w:line="66" w:lineRule="exact"/>
        <w:rPr>
          <w:sz w:val="20"/>
          <w:szCs w:val="20"/>
          <w:color w:val="auto"/>
        </w:rPr>
      </w:pPr>
    </w:p>
    <w:p>
      <w:pPr>
        <w:ind w:left="760" w:right="219"/>
        <w:spacing w:after="0" w:line="249" w:lineRule="auto"/>
        <w:rPr>
          <w:sz w:val="20"/>
          <w:szCs w:val="20"/>
          <w:color w:val="auto"/>
        </w:rPr>
      </w:pPr>
      <w:r>
        <w:rPr>
          <w:rFonts w:ascii="Arial" w:cs="Arial" w:eastAsia="Arial" w:hAnsi="Arial"/>
          <w:sz w:val="16"/>
          <w:szCs w:val="16"/>
          <w:color w:val="auto"/>
        </w:rPr>
        <w:t>The Board believes that a large majority of public companies based in the US do not have mandatory pre-emptive rights provisions with respect to their common equity. As a result of the utilisation of the existing power and its upcoming expiry on October 19, 2020, without the approval of this Proposal No. 5, the Company may not be able to raise additional capital, in a timely manner or at all, if and as needed to fund its ongoing business and operations. In addition, without the approval of this Proposal No. 5, the Company may not be able to continue to grant equity awards to employees, directors, officers and consultants under the Company incentive plans.</w:t>
      </w:r>
    </w:p>
    <w:p>
      <w:pPr>
        <w:spacing w:after="0" w:line="83" w:lineRule="exact"/>
        <w:rPr>
          <w:sz w:val="20"/>
          <w:szCs w:val="20"/>
          <w:color w:val="auto"/>
        </w:rPr>
      </w:pPr>
    </w:p>
    <w:p>
      <w:pPr>
        <w:ind w:left="760" w:right="299"/>
        <w:spacing w:after="0" w:line="249" w:lineRule="auto"/>
        <w:rPr>
          <w:sz w:val="20"/>
          <w:szCs w:val="20"/>
          <w:color w:val="auto"/>
        </w:rPr>
      </w:pPr>
      <w:r>
        <w:rPr>
          <w:rFonts w:ascii="Arial" w:cs="Arial" w:eastAsia="Arial" w:hAnsi="Arial"/>
          <w:sz w:val="16"/>
          <w:szCs w:val="16"/>
          <w:color w:val="auto"/>
        </w:rPr>
        <w:t>As noted in the Company’s Q1 2020 results announcement, we are in the process of evaluating strategic capital raising options to fulfill our short- and medium-term capital needs. Among these alternatives, we have been analyzing potential offerings of equity/equity linked or debt securities. Discussions concerning these potential transactions are ongoing, and no assurance can be given that a transaction will be consummated or as to the ultimate terms of any such transaction. For a copy of the Company’s Q1 2020 results announcement, please refer to the Company’s Form 8-K filed with the SEC on April 29, 2020, which is available on the Company’s website at www.livanova.com and on the SEC’s website at www.sec.gov.</w:t>
      </w:r>
    </w:p>
    <w:p>
      <w:pPr>
        <w:spacing w:after="0" w:line="70" w:lineRule="exact"/>
        <w:rPr>
          <w:sz w:val="20"/>
          <w:szCs w:val="20"/>
          <w:color w:val="auto"/>
        </w:rPr>
      </w:pPr>
    </w:p>
    <w:p>
      <w:pPr>
        <w:ind w:left="760" w:right="219"/>
        <w:spacing w:after="0" w:line="249" w:lineRule="auto"/>
        <w:rPr>
          <w:sz w:val="20"/>
          <w:szCs w:val="20"/>
          <w:color w:val="auto"/>
        </w:rPr>
      </w:pPr>
      <w:r>
        <w:rPr>
          <w:rFonts w:ascii="Arial" w:cs="Arial" w:eastAsia="Arial" w:hAnsi="Arial"/>
          <w:sz w:val="16"/>
          <w:szCs w:val="16"/>
          <w:color w:val="auto"/>
        </w:rPr>
        <w:t>The Company currently expects that, if it decides to pursue any such strategic capital raising, this would be consummated prior to the AGM. This would mean that any equity or equity linked securities issued in such capital raising would be issued (in whole or in part) pursuant to the existing power. The Company may utilise the power sought under Proposal 5 (in whole or in part) in respect of any such strategic capital raising consummated after the AGM or may structure any such strategic capital raising such that any equity or equity linked securities issued in such capital raising would be issued partly pursuant to the existing power and partly pursuant to the power sought under Proposal 5.</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This resolution must be approved by shareholders representing at least 75% of the votes cast on the resolution. Abstentions and broker non-votes will not be counted as a vote either for or against this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85" w:lineRule="exact"/>
        <w:rPr>
          <w:sz w:val="20"/>
          <w:szCs w:val="20"/>
          <w:color w:val="auto"/>
        </w:rPr>
      </w:pPr>
    </w:p>
    <w:p>
      <w:pPr>
        <w:ind w:left="1080" w:right="339"/>
        <w:spacing w:after="0" w:line="32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SPECIAL RESOLUTION TO GRANT THE POWER TO DISAPPLY PRE-EMPTION RIGHTS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-309245</wp:posOffset>
            </wp:positionV>
            <wp:extent cx="1371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ind w:left="480"/>
        <w:spacing w:after="0"/>
        <w:tabs>
          <w:tab w:leader="none" w:pos="4400" w:val="left"/>
          <w:tab w:leader="none" w:pos="8760" w:val="left"/>
        </w:tabs>
        <w:rPr>
          <w:sz w:val="20"/>
          <w:szCs w:val="20"/>
          <w:color w:val="auto"/>
        </w:rPr>
      </w:pPr>
      <w:r>
        <w:rPr>
          <w:rFonts w:ascii="Arial" w:cs="Arial" w:eastAsia="Arial" w:hAnsi="Arial"/>
          <w:sz w:val="26"/>
          <w:szCs w:val="26"/>
          <w:b w:val="1"/>
          <w:bCs w:val="1"/>
          <w:color w:val="auto"/>
          <w:vertAlign w:val="subscript"/>
        </w:rPr>
        <w:t>57</w:t>
      </w:r>
      <w:r>
        <w:rPr>
          <w:sz w:val="20"/>
          <w:szCs w:val="20"/>
          <w:color w:val="auto"/>
        </w:rPr>
        <w:tab/>
      </w:r>
      <w:r>
        <w:rPr>
          <w:rFonts w:ascii="Arial" w:cs="Arial" w:eastAsia="Arial" w:hAnsi="Arial"/>
          <w:sz w:val="12"/>
          <w:szCs w:val="12"/>
          <w:b w:val="1"/>
          <w:bCs w:val="1"/>
          <w:color w:val="6A2887"/>
        </w:rPr>
        <w:t xml:space="preserve">LIVANOVA </w:t>
      </w:r>
      <w:r>
        <w:rPr>
          <w:rFonts w:ascii="Arial" w:cs="Arial" w:eastAsia="Arial" w:hAnsi="Arial"/>
          <w:sz w:val="12"/>
          <w:szCs w:val="12"/>
          <w:color w:val="000000"/>
        </w:rPr>
        <w:t>|</w:t>
      </w:r>
      <w:r>
        <w:rPr>
          <w:rFonts w:ascii="Arial" w:cs="Arial" w:eastAsia="Arial" w:hAnsi="Arial"/>
          <w:sz w:val="12"/>
          <w:szCs w:val="12"/>
          <w:b w:val="1"/>
          <w:bCs w:val="1"/>
          <w:color w:val="6A2887"/>
        </w:rPr>
        <w:t xml:space="preserve"> </w:t>
      </w:r>
      <w:r>
        <w:rPr>
          <w:rFonts w:ascii="Arial" w:cs="Arial" w:eastAsia="Arial" w:hAnsi="Arial"/>
          <w:sz w:val="12"/>
          <w:szCs w:val="12"/>
          <w:color w:val="6A2887"/>
        </w:rPr>
        <w:t>2020</w:t>
      </w:r>
      <w:r>
        <w:rPr>
          <w:rFonts w:ascii="Arial" w:cs="Arial" w:eastAsia="Arial" w:hAnsi="Arial"/>
          <w:sz w:val="12"/>
          <w:szCs w:val="12"/>
          <w:b w:val="1"/>
          <w:bCs w:val="1"/>
          <w:color w:val="6A2887"/>
        </w:rPr>
        <w:t xml:space="preserve"> </w:t>
      </w:r>
      <w:r>
        <w:rPr>
          <w:rFonts w:ascii="Arial" w:cs="Arial" w:eastAsia="Arial" w:hAnsi="Arial"/>
          <w:sz w:val="12"/>
          <w:szCs w:val="12"/>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95250</wp:posOffset>
            </wp:positionV>
            <wp:extent cx="19545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95250</wp:posOffset>
            </wp:positionV>
            <wp:extent cx="1028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1860"/>
        <w:spacing w:after="0" w:line="278" w:lineRule="auto"/>
        <w:rPr>
          <w:sz w:val="20"/>
          <w:szCs w:val="20"/>
          <w:color w:val="auto"/>
        </w:rPr>
      </w:pPr>
      <w:r>
        <w:rPr>
          <w:rFonts w:ascii="Arial" w:cs="Arial" w:eastAsia="Arial" w:hAnsi="Arial"/>
          <w:sz w:val="47"/>
          <w:szCs w:val="47"/>
          <w:b w:val="1"/>
          <w:bCs w:val="1"/>
          <w:color w:val="6A2887"/>
        </w:rPr>
        <w:t xml:space="preserve">Proposal No. 6 </w:t>
      </w:r>
      <w:r>
        <w:rPr>
          <w:rFonts w:ascii="Arial" w:cs="Arial" w:eastAsia="Arial" w:hAnsi="Arial"/>
          <w:sz w:val="47"/>
          <w:szCs w:val="47"/>
          <w:b w:val="1"/>
          <w:bCs w:val="1"/>
          <w:color w:val="666666"/>
        </w:rPr>
        <w:t>Special Resolution to</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Adopt New Articles</w:t>
      </w:r>
    </w:p>
    <w:p>
      <w:pPr>
        <w:spacing w:after="0" w:line="1" w:lineRule="exact"/>
        <w:rPr>
          <w:sz w:val="20"/>
          <w:szCs w:val="20"/>
          <w:color w:val="auto"/>
        </w:rPr>
      </w:pPr>
    </w:p>
    <w:p>
      <w:pPr>
        <w:ind w:left="760" w:right="860"/>
        <w:spacing w:after="0" w:line="260" w:lineRule="auto"/>
        <w:rPr>
          <w:sz w:val="20"/>
          <w:szCs w:val="20"/>
          <w:color w:val="auto"/>
        </w:rPr>
      </w:pPr>
      <w:r>
        <w:rPr>
          <w:rFonts w:ascii="Arial" w:cs="Arial" w:eastAsia="Arial" w:hAnsi="Arial"/>
          <w:sz w:val="16"/>
          <w:szCs w:val="16"/>
          <w:color w:val="auto"/>
        </w:rPr>
        <w:t>Our shareholders are being asked to consider and approve the adoption of the New Articles, which is being proposed as a special resolution under Proposal No. 6.</w:t>
      </w:r>
    </w:p>
    <w:p>
      <w:pPr>
        <w:spacing w:after="0" w:line="74" w:lineRule="exact"/>
        <w:rPr>
          <w:sz w:val="20"/>
          <w:szCs w:val="20"/>
          <w:color w:val="auto"/>
        </w:rPr>
      </w:pPr>
    </w:p>
    <w:p>
      <w:pPr>
        <w:jc w:val="both"/>
        <w:ind w:left="760" w:right="1200"/>
        <w:spacing w:after="0" w:line="253" w:lineRule="auto"/>
        <w:rPr>
          <w:sz w:val="20"/>
          <w:szCs w:val="20"/>
          <w:color w:val="auto"/>
        </w:rPr>
      </w:pPr>
      <w:r>
        <w:rPr>
          <w:rFonts w:ascii="Arial" w:cs="Arial" w:eastAsia="Arial" w:hAnsi="Arial"/>
          <w:sz w:val="16"/>
          <w:szCs w:val="16"/>
          <w:color w:val="auto"/>
        </w:rPr>
        <w:t>The full text of the proposed New Articles marked to show changes from the existing Articles of Association is attached to this proxy statement as Appendix A. We urge you to read the text of the New Articles in its entirety. The following descriptions are qualified in their entirety by reference to Appendix A.</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Effective Date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New Articles will become effective on the passing of the special resolution under Proposal No. 6 at the 2020 AGM.</w:t>
      </w:r>
    </w:p>
    <w:p>
      <w:pPr>
        <w:spacing w:after="0" w:line="100" w:lineRule="exact"/>
        <w:rPr>
          <w:sz w:val="20"/>
          <w:szCs w:val="20"/>
          <w:color w:val="auto"/>
        </w:rPr>
      </w:pPr>
    </w:p>
    <w:p>
      <w:pPr>
        <w:ind w:left="760" w:right="1000"/>
        <w:spacing w:after="0" w:line="260" w:lineRule="auto"/>
        <w:rPr>
          <w:sz w:val="20"/>
          <w:szCs w:val="20"/>
          <w:color w:val="auto"/>
        </w:rPr>
      </w:pPr>
      <w:r>
        <w:rPr>
          <w:rFonts w:ascii="Arial" w:cs="Arial" w:eastAsia="Arial" w:hAnsi="Arial"/>
          <w:sz w:val="16"/>
          <w:szCs w:val="16"/>
          <w:color w:val="auto"/>
        </w:rPr>
        <w:t>The following table provides a summary comparison of certain material changes between our current Articles of Association and the proposed New Articles:</w:t>
      </w:r>
    </w:p>
    <w:p>
      <w:pPr>
        <w:spacing w:after="0" w:line="126" w:lineRule="exact"/>
        <w:rPr>
          <w:sz w:val="20"/>
          <w:szCs w:val="20"/>
          <w:color w:val="auto"/>
        </w:rPr>
      </w:pPr>
    </w:p>
    <w:p>
      <w:pPr>
        <w:ind w:left="820"/>
        <w:spacing w:after="0"/>
        <w:tabs>
          <w:tab w:leader="none" w:pos="4780" w:val="left"/>
          <w:tab w:leader="none" w:pos="7820" w:val="left"/>
        </w:tabs>
        <w:rPr>
          <w:sz w:val="20"/>
          <w:szCs w:val="20"/>
          <w:color w:val="auto"/>
        </w:rPr>
      </w:pPr>
      <w:r>
        <w:rPr>
          <w:rFonts w:ascii="Arial" w:cs="Arial" w:eastAsia="Arial" w:hAnsi="Arial"/>
          <w:sz w:val="14"/>
          <w:szCs w:val="14"/>
          <w:b w:val="1"/>
          <w:bCs w:val="1"/>
          <w:color w:val="6A2887"/>
        </w:rPr>
        <w:t>Subject</w:t>
      </w:r>
      <w:r>
        <w:rPr>
          <w:sz w:val="20"/>
          <w:szCs w:val="20"/>
          <w:color w:val="auto"/>
        </w:rPr>
        <w:tab/>
      </w:r>
      <w:r>
        <w:rPr>
          <w:rFonts w:ascii="Arial" w:cs="Arial" w:eastAsia="Arial" w:hAnsi="Arial"/>
          <w:sz w:val="14"/>
          <w:szCs w:val="14"/>
          <w:b w:val="1"/>
          <w:bCs w:val="1"/>
          <w:color w:val="6A2887"/>
        </w:rPr>
        <w:t>Existing Articles</w:t>
      </w:r>
      <w:r>
        <w:rPr>
          <w:sz w:val="20"/>
          <w:szCs w:val="20"/>
          <w:color w:val="auto"/>
        </w:rPr>
        <w:tab/>
      </w:r>
      <w:r>
        <w:rPr>
          <w:rFonts w:ascii="Arial" w:cs="Arial" w:eastAsia="Arial" w:hAnsi="Arial"/>
          <w:sz w:val="14"/>
          <w:szCs w:val="14"/>
          <w:b w:val="1"/>
          <w:bCs w:val="1"/>
          <w:color w:val="6A2887"/>
        </w:rPr>
        <w:t>Proposed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5829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p>
      <w:pPr>
        <w:spacing w:after="0" w:line="75" w:lineRule="exact"/>
        <w:rPr>
          <w:sz w:val="20"/>
          <w:szCs w:val="20"/>
          <w:color w:val="auto"/>
        </w:rPr>
      </w:pPr>
    </w:p>
    <w:p>
      <w:pPr>
        <w:ind w:left="820"/>
        <w:spacing w:after="0"/>
        <w:tabs>
          <w:tab w:leader="none" w:pos="3880" w:val="left"/>
        </w:tabs>
        <w:rPr>
          <w:sz w:val="20"/>
          <w:szCs w:val="20"/>
          <w:color w:val="auto"/>
        </w:rPr>
      </w:pPr>
      <w:r>
        <w:rPr>
          <w:rFonts w:ascii="Arial" w:cs="Arial" w:eastAsia="Arial" w:hAnsi="Arial"/>
          <w:sz w:val="16"/>
          <w:szCs w:val="16"/>
          <w:color w:val="auto"/>
        </w:rPr>
        <w:t>Election of Directors</w:t>
      </w:r>
      <w:r>
        <w:rPr>
          <w:sz w:val="20"/>
          <w:szCs w:val="20"/>
          <w:color w:val="auto"/>
        </w:rPr>
        <w:tab/>
      </w:r>
      <w:r>
        <w:rPr>
          <w:rFonts w:ascii="Arial" w:cs="Arial" w:eastAsia="Arial" w:hAnsi="Arial"/>
          <w:sz w:val="16"/>
          <w:szCs w:val="16"/>
          <w:color w:val="auto"/>
        </w:rPr>
        <w:t>Directors of the Company are elected by</w:t>
      </w:r>
    </w:p>
    <w:p>
      <w:pPr>
        <w:ind w:left="3900"/>
        <w:spacing w:after="0"/>
        <w:rPr>
          <w:sz w:val="20"/>
          <w:szCs w:val="20"/>
          <w:color w:val="auto"/>
        </w:rPr>
      </w:pPr>
      <w:r>
        <w:rPr>
          <w:rFonts w:ascii="Arial" w:cs="Arial" w:eastAsia="Arial" w:hAnsi="Arial"/>
          <w:sz w:val="16"/>
          <w:szCs w:val="16"/>
          <w:color w:val="auto"/>
        </w:rPr>
        <w:t>a plurality of votes cast.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ind w:right="840"/>
        <w:spacing w:after="0" w:line="217" w:lineRule="auto"/>
        <w:rPr>
          <w:sz w:val="20"/>
          <w:szCs w:val="20"/>
          <w:color w:val="auto"/>
        </w:rPr>
      </w:pPr>
      <w:r>
        <w:rPr>
          <w:rFonts w:ascii="Arial" w:cs="Arial" w:eastAsia="Arial" w:hAnsi="Arial"/>
          <w:sz w:val="16"/>
          <w:szCs w:val="16"/>
          <w:color w:val="auto"/>
        </w:rPr>
        <w:t>Directors of the Company shall be elected by the affirmative vote of the majority of votes cast at an annual meeting of shareholders in uncontested elections. A plurality vote standard will continue to apply to contested director elections.</w:t>
      </w:r>
    </w:p>
    <w:p>
      <w:pPr>
        <w:spacing w:after="0" w:line="22" w:lineRule="exact"/>
        <w:rPr>
          <w:sz w:val="20"/>
          <w:szCs w:val="20"/>
          <w:color w:val="auto"/>
        </w:rPr>
      </w:pPr>
    </w:p>
    <w:p>
      <w:pPr>
        <w:sectPr>
          <w:pgSz w:w="11900" w:h="16838" w:orient="portrait"/>
          <w:cols w:equalWidth="0" w:num="2">
            <w:col w:w="6780" w:space="220"/>
            <w:col w:w="3720"/>
          </w:cols>
          <w:pgMar w:left="320" w:top="132" w:right="859" w:bottom="1440" w:gutter="0" w:footer="0" w:header="0"/>
          <w:type w:val="continuous"/>
        </w:sectPr>
      </w:pPr>
    </w:p>
    <w:tbl>
      <w:tblPr>
        <w:tblLayout w:type="fixed"/>
        <w:tblInd w:w="760" w:type="dxa"/>
        <w:tblCellMar>
          <w:top w:w="0" w:type="dxa"/>
          <w:left w:w="0" w:type="dxa"/>
          <w:bottom w:w="0" w:type="dxa"/>
          <w:right w:w="0" w:type="dxa"/>
        </w:tblCellMar>
      </w:tblPr>
      <w:tr>
        <w:trPr>
          <w:trHeight w:val="217"/>
        </w:trPr>
        <w:tc>
          <w:tcPr>
            <w:tcW w:w="2780" w:type="dxa"/>
            <w:vAlign w:val="bottom"/>
            <w:shd w:val="clear" w:color="auto" w:fill="EFE9FC"/>
          </w:tcPr>
          <w:p>
            <w:pPr>
              <w:ind w:left="60"/>
              <w:spacing w:after="0"/>
              <w:rPr>
                <w:sz w:val="20"/>
                <w:szCs w:val="20"/>
                <w:color w:val="auto"/>
              </w:rPr>
            </w:pPr>
            <w:r>
              <w:rPr>
                <w:rFonts w:ascii="Arial" w:cs="Arial" w:eastAsia="Arial" w:hAnsi="Arial"/>
                <w:sz w:val="16"/>
                <w:szCs w:val="16"/>
                <w:color w:val="auto"/>
              </w:rPr>
              <w:t>Untraced Members</w:t>
            </w:r>
          </w:p>
        </w:tc>
        <w:tc>
          <w:tcPr>
            <w:tcW w:w="2960" w:type="dxa"/>
            <w:vAlign w:val="bottom"/>
            <w:gridSpan w:val="4"/>
            <w:shd w:val="clear" w:color="auto" w:fill="EFE9FC"/>
          </w:tcPr>
          <w:p>
            <w:pPr>
              <w:ind w:left="360"/>
              <w:spacing w:after="0"/>
              <w:rPr>
                <w:sz w:val="20"/>
                <w:szCs w:val="20"/>
                <w:color w:val="auto"/>
              </w:rPr>
            </w:pPr>
            <w:r>
              <w:rPr>
                <w:rFonts w:ascii="Arial" w:cs="Arial" w:eastAsia="Arial" w:hAnsi="Arial"/>
                <w:sz w:val="16"/>
                <w:szCs w:val="16"/>
                <w:color w:val="auto"/>
              </w:rPr>
              <w:t>Among other requirements, before</w:t>
            </w:r>
          </w:p>
        </w:tc>
        <w:tc>
          <w:tcPr>
            <w:tcW w:w="400" w:type="dxa"/>
            <w:vAlign w:val="bottom"/>
            <w:shd w:val="clear" w:color="auto" w:fill="EFE9FC"/>
          </w:tcPr>
          <w:p>
            <w:pPr>
              <w:jc w:val="right"/>
              <w:ind w:right="39"/>
              <w:spacing w:after="0"/>
              <w:rPr>
                <w:sz w:val="20"/>
                <w:szCs w:val="20"/>
                <w:color w:val="auto"/>
              </w:rPr>
            </w:pPr>
            <w:r>
              <w:rPr>
                <w:rFonts w:ascii="Arial" w:cs="Arial" w:eastAsia="Arial" w:hAnsi="Arial"/>
                <w:sz w:val="16"/>
                <w:szCs w:val="16"/>
                <w:color w:val="auto"/>
              </w:rPr>
              <w:t>the</w:t>
            </w:r>
          </w:p>
        </w:tc>
        <w:tc>
          <w:tcPr>
            <w:tcW w:w="3040" w:type="dxa"/>
            <w:vAlign w:val="bottom"/>
            <w:shd w:val="clear" w:color="auto" w:fill="EFE9FC"/>
          </w:tcPr>
          <w:p>
            <w:pPr>
              <w:ind w:left="100"/>
              <w:spacing w:after="0"/>
              <w:rPr>
                <w:sz w:val="20"/>
                <w:szCs w:val="20"/>
                <w:color w:val="auto"/>
              </w:rPr>
            </w:pPr>
            <w:r>
              <w:rPr>
                <w:rFonts w:ascii="Arial" w:cs="Arial" w:eastAsia="Arial" w:hAnsi="Arial"/>
                <w:sz w:val="16"/>
                <w:szCs w:val="16"/>
                <w:color w:val="auto"/>
              </w:rPr>
              <w:t>Among other requirements, before the</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Company  can  sell  the  shares  of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Company  can  sell  the  shares  of  an</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untraced member, it must publish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untraced member, the Company must</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advertisement in a leading national daily</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make   reasonable   and   appropriate</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newspaper  published  in  the  United</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tracing inquiries and send a notice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Kingdom and in a newspaper circulating</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such member’s last known address.</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in the area of the registered address or</w:t>
            </w:r>
          </w:p>
        </w:tc>
        <w:tc>
          <w:tcPr>
            <w:tcW w:w="3040" w:type="dxa"/>
            <w:vAlign w:val="bottom"/>
            <w:shd w:val="clear" w:color="auto" w:fill="EFE9FC"/>
          </w:tcPr>
          <w:p>
            <w:pPr>
              <w:spacing w:after="0"/>
              <w:rPr>
                <w:sz w:val="14"/>
                <w:szCs w:val="14"/>
                <w:color w:val="auto"/>
              </w:rPr>
            </w:pPr>
          </w:p>
        </w:tc>
      </w:tr>
      <w:tr>
        <w:trPr>
          <w:trHeight w:val="208"/>
        </w:trPr>
        <w:tc>
          <w:tcPr>
            <w:tcW w:w="2780" w:type="dxa"/>
            <w:vAlign w:val="bottom"/>
            <w:tcBorders>
              <w:bottom w:val="single" w:sz="8" w:color="FEFEFE"/>
            </w:tcBorders>
            <w:shd w:val="clear" w:color="auto" w:fill="EFE9FC"/>
          </w:tcPr>
          <w:p>
            <w:pPr>
              <w:spacing w:after="0"/>
              <w:rPr>
                <w:sz w:val="18"/>
                <w:szCs w:val="18"/>
                <w:color w:val="auto"/>
              </w:rPr>
            </w:pPr>
          </w:p>
        </w:tc>
        <w:tc>
          <w:tcPr>
            <w:tcW w:w="2960" w:type="dxa"/>
            <w:vAlign w:val="bottom"/>
            <w:tcBorders>
              <w:bottom w:val="single" w:sz="8" w:color="FEFEFE"/>
            </w:tcBorders>
            <w:gridSpan w:val="4"/>
            <w:shd w:val="clear" w:color="auto" w:fill="EFE9FC"/>
          </w:tcPr>
          <w:p>
            <w:pPr>
              <w:ind w:left="360"/>
              <w:spacing w:after="0"/>
              <w:rPr>
                <w:sz w:val="20"/>
                <w:szCs w:val="20"/>
                <w:color w:val="auto"/>
              </w:rPr>
            </w:pPr>
            <w:r>
              <w:rPr>
                <w:rFonts w:ascii="Arial" w:cs="Arial" w:eastAsia="Arial" w:hAnsi="Arial"/>
                <w:sz w:val="16"/>
                <w:szCs w:val="16"/>
                <w:color w:val="auto"/>
                <w:w w:val="99"/>
              </w:rPr>
              <w:t>last known address of such member.</w:t>
            </w:r>
          </w:p>
        </w:tc>
        <w:tc>
          <w:tcPr>
            <w:tcW w:w="400" w:type="dxa"/>
            <w:vAlign w:val="bottom"/>
            <w:tcBorders>
              <w:bottom w:val="single" w:sz="8" w:color="FEFEFE"/>
            </w:tcBorders>
            <w:shd w:val="clear" w:color="auto" w:fill="EFE9FC"/>
          </w:tcPr>
          <w:p>
            <w:pPr>
              <w:spacing w:after="0"/>
              <w:rPr>
                <w:sz w:val="18"/>
                <w:szCs w:val="18"/>
                <w:color w:val="auto"/>
              </w:rPr>
            </w:pPr>
          </w:p>
        </w:tc>
        <w:tc>
          <w:tcPr>
            <w:tcW w:w="3040" w:type="dxa"/>
            <w:vAlign w:val="bottom"/>
            <w:tcBorders>
              <w:bottom w:val="single" w:sz="8" w:color="FEFEFE"/>
            </w:tcBorders>
            <w:shd w:val="clear" w:color="auto" w:fill="EFE9FC"/>
          </w:tcPr>
          <w:p>
            <w:pPr>
              <w:spacing w:after="0"/>
              <w:rPr>
                <w:sz w:val="18"/>
                <w:szCs w:val="18"/>
                <w:color w:val="auto"/>
              </w:rPr>
            </w:pPr>
          </w:p>
        </w:tc>
      </w:tr>
      <w:tr>
        <w:trPr>
          <w:trHeight w:val="204"/>
        </w:trPr>
        <w:tc>
          <w:tcPr>
            <w:tcW w:w="2780" w:type="dxa"/>
            <w:vAlign w:val="bottom"/>
          </w:tcPr>
          <w:p>
            <w:pPr>
              <w:ind w:left="60"/>
              <w:spacing w:after="0"/>
              <w:rPr>
                <w:sz w:val="20"/>
                <w:szCs w:val="20"/>
                <w:color w:val="auto"/>
              </w:rPr>
            </w:pPr>
            <w:r>
              <w:rPr>
                <w:rFonts w:ascii="Arial" w:cs="Arial" w:eastAsia="Arial" w:hAnsi="Arial"/>
                <w:sz w:val="16"/>
                <w:szCs w:val="16"/>
                <w:color w:val="auto"/>
              </w:rPr>
              <w:t>Quorum at an Adjourned Meeting</w:t>
            </w:r>
          </w:p>
        </w:tc>
        <w:tc>
          <w:tcPr>
            <w:tcW w:w="700" w:type="dxa"/>
            <w:vAlign w:val="bottom"/>
          </w:tcPr>
          <w:p>
            <w:pPr>
              <w:ind w:left="360"/>
              <w:spacing w:after="0"/>
              <w:rPr>
                <w:sz w:val="20"/>
                <w:szCs w:val="20"/>
                <w:color w:val="auto"/>
              </w:rPr>
            </w:pPr>
            <w:r>
              <w:rPr>
                <w:rFonts w:ascii="Arial" w:cs="Arial" w:eastAsia="Arial" w:hAnsi="Arial"/>
                <w:sz w:val="16"/>
                <w:szCs w:val="16"/>
                <w:color w:val="auto"/>
              </w:rPr>
              <w:t>One</w:t>
            </w:r>
          </w:p>
        </w:tc>
        <w:tc>
          <w:tcPr>
            <w:tcW w:w="880" w:type="dxa"/>
            <w:vAlign w:val="bottom"/>
          </w:tcPr>
          <w:p>
            <w:pPr>
              <w:ind w:left="120"/>
              <w:spacing w:after="0"/>
              <w:rPr>
                <w:sz w:val="20"/>
                <w:szCs w:val="20"/>
                <w:color w:val="auto"/>
              </w:rPr>
            </w:pPr>
            <w:r>
              <w:rPr>
                <w:rFonts w:ascii="Arial" w:cs="Arial" w:eastAsia="Arial" w:hAnsi="Arial"/>
                <w:sz w:val="16"/>
                <w:szCs w:val="16"/>
                <w:color w:val="auto"/>
              </w:rPr>
              <w:t>qualifying</w:t>
            </w:r>
          </w:p>
        </w:tc>
        <w:tc>
          <w:tcPr>
            <w:tcW w:w="700" w:type="dxa"/>
            <w:vAlign w:val="bottom"/>
          </w:tcPr>
          <w:p>
            <w:pPr>
              <w:ind w:left="60"/>
              <w:spacing w:after="0"/>
              <w:rPr>
                <w:sz w:val="20"/>
                <w:szCs w:val="20"/>
                <w:color w:val="auto"/>
              </w:rPr>
            </w:pPr>
            <w:r>
              <w:rPr>
                <w:rFonts w:ascii="Arial" w:cs="Arial" w:eastAsia="Arial" w:hAnsi="Arial"/>
                <w:sz w:val="16"/>
                <w:szCs w:val="16"/>
                <w:color w:val="auto"/>
              </w:rPr>
              <w:t>person</w:t>
            </w:r>
          </w:p>
        </w:tc>
        <w:tc>
          <w:tcPr>
            <w:tcW w:w="680" w:type="dxa"/>
            <w:vAlign w:val="bottom"/>
          </w:tcPr>
          <w:p>
            <w:pPr>
              <w:spacing w:after="0"/>
              <w:rPr>
                <w:sz w:val="20"/>
                <w:szCs w:val="20"/>
                <w:color w:val="auto"/>
              </w:rPr>
            </w:pPr>
            <w:r>
              <w:rPr>
                <w:rFonts w:ascii="Arial" w:cs="Arial" w:eastAsia="Arial" w:hAnsi="Arial"/>
                <w:sz w:val="16"/>
                <w:szCs w:val="16"/>
                <w:color w:val="auto"/>
              </w:rPr>
              <w:t>present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and</w:t>
            </w:r>
          </w:p>
        </w:tc>
        <w:tc>
          <w:tcPr>
            <w:tcW w:w="3040" w:type="dxa"/>
            <w:vAlign w:val="bottom"/>
          </w:tcPr>
          <w:p>
            <w:pPr>
              <w:ind w:left="100"/>
              <w:spacing w:after="0"/>
              <w:rPr>
                <w:sz w:val="20"/>
                <w:szCs w:val="20"/>
                <w:color w:val="auto"/>
              </w:rPr>
            </w:pPr>
            <w:r>
              <w:rPr>
                <w:rFonts w:ascii="Arial" w:cs="Arial" w:eastAsia="Arial" w:hAnsi="Arial"/>
                <w:sz w:val="16"/>
                <w:szCs w:val="16"/>
                <w:color w:val="auto"/>
              </w:rPr>
              <w:t>Members present in person or by proxy</w:t>
            </w:r>
          </w:p>
        </w:tc>
      </w:tr>
      <w:tr>
        <w:trPr>
          <w:trHeight w:val="162"/>
        </w:trPr>
        <w:tc>
          <w:tcPr>
            <w:tcW w:w="2780" w:type="dxa"/>
            <w:vAlign w:val="bottom"/>
          </w:tcPr>
          <w:p>
            <w:pPr>
              <w:spacing w:after="0"/>
              <w:rPr>
                <w:sz w:val="14"/>
                <w:szCs w:val="14"/>
                <w:color w:val="auto"/>
              </w:rPr>
            </w:pPr>
          </w:p>
        </w:tc>
        <w:tc>
          <w:tcPr>
            <w:tcW w:w="158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entitled to vote.</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who  together  represent  at  least  a</w:t>
            </w:r>
          </w:p>
        </w:tc>
      </w:tr>
      <w:tr>
        <w:trPr>
          <w:trHeight w:val="162"/>
        </w:trPr>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majority of the voting rights, which is the</w:t>
            </w:r>
          </w:p>
        </w:tc>
      </w:tr>
      <w:tr>
        <w:trPr>
          <w:trHeight w:val="162"/>
        </w:trPr>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ind w:left="100"/>
              <w:spacing w:after="0" w:line="162" w:lineRule="exact"/>
              <w:rPr>
                <w:sz w:val="20"/>
                <w:szCs w:val="20"/>
                <w:color w:val="auto"/>
              </w:rPr>
            </w:pPr>
            <w:r>
              <w:rPr>
                <w:rFonts w:ascii="Arial" w:cs="Arial" w:eastAsia="Arial" w:hAnsi="Arial"/>
                <w:sz w:val="16"/>
                <w:szCs w:val="16"/>
                <w:color w:val="auto"/>
              </w:rPr>
              <w:t>same quorum required for an annual</w:t>
            </w:r>
          </w:p>
        </w:tc>
      </w:tr>
      <w:tr>
        <w:trPr>
          <w:trHeight w:val="208"/>
        </w:trPr>
        <w:tc>
          <w:tcPr>
            <w:tcW w:w="2780" w:type="dxa"/>
            <w:vAlign w:val="bottom"/>
            <w:tcBorders>
              <w:bottom w:val="single" w:sz="8" w:color="FEFEFE"/>
            </w:tcBorders>
          </w:tcPr>
          <w:p>
            <w:pPr>
              <w:spacing w:after="0"/>
              <w:rPr>
                <w:sz w:val="18"/>
                <w:szCs w:val="18"/>
                <w:color w:val="auto"/>
              </w:rPr>
            </w:pPr>
          </w:p>
        </w:tc>
        <w:tc>
          <w:tcPr>
            <w:tcW w:w="700" w:type="dxa"/>
            <w:vAlign w:val="bottom"/>
            <w:tcBorders>
              <w:bottom w:val="single" w:sz="8" w:color="FEFEFE"/>
            </w:tcBorders>
          </w:tcPr>
          <w:p>
            <w:pPr>
              <w:spacing w:after="0"/>
              <w:rPr>
                <w:sz w:val="18"/>
                <w:szCs w:val="18"/>
                <w:color w:val="auto"/>
              </w:rPr>
            </w:pPr>
          </w:p>
        </w:tc>
        <w:tc>
          <w:tcPr>
            <w:tcW w:w="880" w:type="dxa"/>
            <w:vAlign w:val="bottom"/>
            <w:tcBorders>
              <w:bottom w:val="single" w:sz="8" w:color="FEFEFE"/>
            </w:tcBorders>
          </w:tcPr>
          <w:p>
            <w:pPr>
              <w:spacing w:after="0"/>
              <w:rPr>
                <w:sz w:val="18"/>
                <w:szCs w:val="18"/>
                <w:color w:val="auto"/>
              </w:rPr>
            </w:pPr>
          </w:p>
        </w:tc>
        <w:tc>
          <w:tcPr>
            <w:tcW w:w="700" w:type="dxa"/>
            <w:vAlign w:val="bottom"/>
            <w:tcBorders>
              <w:bottom w:val="single" w:sz="8" w:color="FEFEFE"/>
            </w:tcBorders>
          </w:tcPr>
          <w:p>
            <w:pPr>
              <w:spacing w:after="0"/>
              <w:rPr>
                <w:sz w:val="18"/>
                <w:szCs w:val="18"/>
                <w:color w:val="auto"/>
              </w:rPr>
            </w:pPr>
          </w:p>
        </w:tc>
        <w:tc>
          <w:tcPr>
            <w:tcW w:w="680" w:type="dxa"/>
            <w:vAlign w:val="bottom"/>
            <w:tcBorders>
              <w:bottom w:val="single" w:sz="8" w:color="FEFEFE"/>
            </w:tcBorders>
          </w:tcPr>
          <w:p>
            <w:pPr>
              <w:spacing w:after="0"/>
              <w:rPr>
                <w:sz w:val="18"/>
                <w:szCs w:val="18"/>
                <w:color w:val="auto"/>
              </w:rPr>
            </w:pPr>
          </w:p>
        </w:tc>
        <w:tc>
          <w:tcPr>
            <w:tcW w:w="400" w:type="dxa"/>
            <w:vAlign w:val="bottom"/>
            <w:tcBorders>
              <w:bottom w:val="single" w:sz="8" w:color="FEFEFE"/>
            </w:tcBorders>
          </w:tcPr>
          <w:p>
            <w:pPr>
              <w:spacing w:after="0"/>
              <w:rPr>
                <w:sz w:val="18"/>
                <w:szCs w:val="18"/>
                <w:color w:val="auto"/>
              </w:rPr>
            </w:pPr>
          </w:p>
        </w:tc>
        <w:tc>
          <w:tcPr>
            <w:tcW w:w="3040" w:type="dxa"/>
            <w:vAlign w:val="bottom"/>
            <w:tcBorders>
              <w:bottom w:val="single" w:sz="8" w:color="FEFEFE"/>
            </w:tcBorders>
          </w:tcPr>
          <w:p>
            <w:pPr>
              <w:ind w:left="100"/>
              <w:spacing w:after="0"/>
              <w:rPr>
                <w:sz w:val="20"/>
                <w:szCs w:val="20"/>
                <w:color w:val="auto"/>
              </w:rPr>
            </w:pPr>
            <w:r>
              <w:rPr>
                <w:rFonts w:ascii="Arial" w:cs="Arial" w:eastAsia="Arial" w:hAnsi="Arial"/>
                <w:sz w:val="16"/>
                <w:szCs w:val="16"/>
                <w:color w:val="auto"/>
              </w:rPr>
              <w:t>general meeting.</w:t>
            </w:r>
          </w:p>
        </w:tc>
      </w:tr>
      <w:tr>
        <w:trPr>
          <w:trHeight w:val="204"/>
        </w:trPr>
        <w:tc>
          <w:tcPr>
            <w:tcW w:w="2780" w:type="dxa"/>
            <w:vAlign w:val="bottom"/>
            <w:shd w:val="clear" w:color="auto" w:fill="EFE9FC"/>
          </w:tcPr>
          <w:p>
            <w:pPr>
              <w:ind w:left="60"/>
              <w:spacing w:after="0"/>
              <w:rPr>
                <w:sz w:val="20"/>
                <w:szCs w:val="20"/>
                <w:color w:val="auto"/>
              </w:rPr>
            </w:pPr>
            <w:r>
              <w:rPr>
                <w:rFonts w:ascii="Arial" w:cs="Arial" w:eastAsia="Arial" w:hAnsi="Arial"/>
                <w:sz w:val="16"/>
                <w:szCs w:val="16"/>
                <w:color w:val="auto"/>
              </w:rPr>
              <w:t>Bonus Issues</w:t>
            </w:r>
          </w:p>
        </w:tc>
        <w:tc>
          <w:tcPr>
            <w:tcW w:w="2960" w:type="dxa"/>
            <w:vAlign w:val="bottom"/>
            <w:gridSpan w:val="4"/>
            <w:shd w:val="clear" w:color="auto" w:fill="EFE9FC"/>
          </w:tcPr>
          <w:p>
            <w:pPr>
              <w:ind w:left="360"/>
              <w:spacing w:after="0"/>
              <w:rPr>
                <w:sz w:val="20"/>
                <w:szCs w:val="20"/>
                <w:color w:val="auto"/>
              </w:rPr>
            </w:pPr>
            <w:r>
              <w:rPr>
                <w:rFonts w:ascii="Arial" w:cs="Arial" w:eastAsia="Arial" w:hAnsi="Arial"/>
                <w:sz w:val="16"/>
                <w:szCs w:val="16"/>
                <w:color w:val="auto"/>
              </w:rPr>
              <w:t>Board may only capitalise profits</w:t>
            </w:r>
          </w:p>
        </w:tc>
        <w:tc>
          <w:tcPr>
            <w:tcW w:w="400" w:type="dxa"/>
            <w:vAlign w:val="bottom"/>
            <w:shd w:val="clear" w:color="auto" w:fill="EFE9FC"/>
          </w:tcPr>
          <w:p>
            <w:pPr>
              <w:jc w:val="right"/>
              <w:ind w:right="39"/>
              <w:spacing w:after="0"/>
              <w:rPr>
                <w:sz w:val="20"/>
                <w:szCs w:val="20"/>
                <w:color w:val="auto"/>
              </w:rPr>
            </w:pPr>
            <w:r>
              <w:rPr>
                <w:rFonts w:ascii="Arial" w:cs="Arial" w:eastAsia="Arial" w:hAnsi="Arial"/>
                <w:sz w:val="16"/>
                <w:szCs w:val="16"/>
                <w:color w:val="auto"/>
                <w:w w:val="97"/>
              </w:rPr>
              <w:t>and</w:t>
            </w:r>
          </w:p>
        </w:tc>
        <w:tc>
          <w:tcPr>
            <w:tcW w:w="3040" w:type="dxa"/>
            <w:vAlign w:val="bottom"/>
            <w:shd w:val="clear" w:color="auto" w:fill="EFE9FC"/>
          </w:tcPr>
          <w:p>
            <w:pPr>
              <w:ind w:left="100"/>
              <w:spacing w:after="0"/>
              <w:rPr>
                <w:sz w:val="20"/>
                <w:szCs w:val="20"/>
                <w:color w:val="auto"/>
              </w:rPr>
            </w:pPr>
            <w:r>
              <w:rPr>
                <w:rFonts w:ascii="Arial" w:cs="Arial" w:eastAsia="Arial" w:hAnsi="Arial"/>
                <w:sz w:val="16"/>
                <w:szCs w:val="16"/>
                <w:color w:val="auto"/>
              </w:rPr>
              <w:t>In addition, the Board will be permitted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certain other sums for the purpose of</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capitalise profits and certain other sums</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paying up shares to be issued under a</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for the purpose of paying up the nominal</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bonus issue: (i) in ordinary shares to the</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value  of  shares  to  be  issued  upon</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holders of ordinary shares on an equal</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exercise of any warrant (or other right to</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per share basis; (ii) for certain purposes</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subscribe) for shares in the Company.</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in connection with awards made under</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This may be used in connection with any</w:t>
            </w:r>
          </w:p>
        </w:tc>
      </w:tr>
      <w:tr>
        <w:trPr>
          <w:trHeight w:val="162"/>
        </w:trPr>
        <w:tc>
          <w:tcPr>
            <w:tcW w:w="2780" w:type="dxa"/>
            <w:vAlign w:val="bottom"/>
            <w:shd w:val="clear" w:color="auto" w:fill="EFE9FC"/>
          </w:tcPr>
          <w:p>
            <w:pPr>
              <w:spacing w:after="0"/>
              <w:rPr>
                <w:sz w:val="14"/>
                <w:szCs w:val="14"/>
                <w:color w:val="auto"/>
              </w:rPr>
            </w:pPr>
          </w:p>
        </w:tc>
        <w:tc>
          <w:tcPr>
            <w:tcW w:w="700" w:type="dxa"/>
            <w:vAlign w:val="bottom"/>
            <w:shd w:val="clear" w:color="auto" w:fill="EFE9FC"/>
          </w:tcPr>
          <w:p>
            <w:pPr>
              <w:ind w:left="360"/>
              <w:spacing w:after="0" w:line="162" w:lineRule="exact"/>
              <w:rPr>
                <w:sz w:val="20"/>
                <w:szCs w:val="20"/>
                <w:color w:val="auto"/>
              </w:rPr>
            </w:pPr>
            <w:r>
              <w:rPr>
                <w:rFonts w:ascii="Arial" w:cs="Arial" w:eastAsia="Arial" w:hAnsi="Arial"/>
                <w:sz w:val="16"/>
                <w:szCs w:val="16"/>
                <w:color w:val="auto"/>
              </w:rPr>
              <w:t>the</w:t>
            </w:r>
          </w:p>
        </w:tc>
        <w:tc>
          <w:tcPr>
            <w:tcW w:w="880" w:type="dxa"/>
            <w:vAlign w:val="bottom"/>
            <w:shd w:val="clear" w:color="auto" w:fill="EFE9FC"/>
          </w:tcPr>
          <w:p>
            <w:pPr>
              <w:ind w:left="20"/>
              <w:spacing w:after="0" w:line="162" w:lineRule="exact"/>
              <w:rPr>
                <w:sz w:val="20"/>
                <w:szCs w:val="20"/>
                <w:color w:val="auto"/>
              </w:rPr>
            </w:pPr>
            <w:r>
              <w:rPr>
                <w:rFonts w:ascii="Arial" w:cs="Arial" w:eastAsia="Arial" w:hAnsi="Arial"/>
                <w:sz w:val="16"/>
                <w:szCs w:val="16"/>
                <w:color w:val="auto"/>
              </w:rPr>
              <w:t>Company’s</w:t>
            </w:r>
          </w:p>
        </w:tc>
        <w:tc>
          <w:tcPr>
            <w:tcW w:w="700" w:type="dxa"/>
            <w:vAlign w:val="bottom"/>
            <w:shd w:val="clear" w:color="auto" w:fill="EFE9FC"/>
          </w:tcPr>
          <w:p>
            <w:pPr>
              <w:ind w:left="80"/>
              <w:spacing w:after="0" w:line="162" w:lineRule="exact"/>
              <w:rPr>
                <w:sz w:val="20"/>
                <w:szCs w:val="20"/>
                <w:color w:val="auto"/>
              </w:rPr>
            </w:pPr>
            <w:r>
              <w:rPr>
                <w:rFonts w:ascii="Arial" w:cs="Arial" w:eastAsia="Arial" w:hAnsi="Arial"/>
                <w:sz w:val="16"/>
                <w:szCs w:val="16"/>
                <w:color w:val="auto"/>
                <w:w w:val="94"/>
              </w:rPr>
              <w:t>incentive</w:t>
            </w:r>
          </w:p>
        </w:tc>
        <w:tc>
          <w:tcPr>
            <w:tcW w:w="680" w:type="dxa"/>
            <w:vAlign w:val="bottom"/>
            <w:shd w:val="clear" w:color="auto" w:fill="EFE9FC"/>
          </w:tcPr>
          <w:p>
            <w:pPr>
              <w:ind w:left="140"/>
              <w:spacing w:after="0" w:line="162" w:lineRule="exact"/>
              <w:rPr>
                <w:sz w:val="20"/>
                <w:szCs w:val="20"/>
                <w:color w:val="auto"/>
              </w:rPr>
            </w:pPr>
            <w:r>
              <w:rPr>
                <w:rFonts w:ascii="Arial" w:cs="Arial" w:eastAsia="Arial" w:hAnsi="Arial"/>
                <w:sz w:val="16"/>
                <w:szCs w:val="16"/>
                <w:color w:val="auto"/>
              </w:rPr>
              <w:t>plans;</w:t>
            </w:r>
          </w:p>
        </w:tc>
        <w:tc>
          <w:tcPr>
            <w:tcW w:w="400" w:type="dxa"/>
            <w:vAlign w:val="bottom"/>
            <w:shd w:val="clear" w:color="auto" w:fill="EFE9FC"/>
          </w:tcPr>
          <w:p>
            <w:pPr>
              <w:jc w:val="right"/>
              <w:ind w:right="39"/>
              <w:spacing w:after="0" w:line="162" w:lineRule="exact"/>
              <w:rPr>
                <w:sz w:val="20"/>
                <w:szCs w:val="20"/>
                <w:color w:val="auto"/>
              </w:rPr>
            </w:pPr>
            <w:r>
              <w:rPr>
                <w:rFonts w:ascii="Arial" w:cs="Arial" w:eastAsia="Arial" w:hAnsi="Arial"/>
                <w:sz w:val="16"/>
                <w:szCs w:val="16"/>
                <w:color w:val="auto"/>
                <w:w w:val="97"/>
              </w:rPr>
              <w:t>and</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equity or equity linked securities that</w:t>
            </w:r>
          </w:p>
        </w:tc>
      </w:tr>
      <w:tr>
        <w:trPr>
          <w:trHeight w:val="162"/>
        </w:trPr>
        <w:tc>
          <w:tcPr>
            <w:tcW w:w="2780" w:type="dxa"/>
            <w:vAlign w:val="bottom"/>
            <w:shd w:val="clear" w:color="auto" w:fill="EFE9FC"/>
          </w:tcPr>
          <w:p>
            <w:pPr>
              <w:spacing w:after="0"/>
              <w:rPr>
                <w:sz w:val="14"/>
                <w:szCs w:val="14"/>
                <w:color w:val="auto"/>
              </w:rPr>
            </w:pPr>
          </w:p>
        </w:tc>
        <w:tc>
          <w:tcPr>
            <w:tcW w:w="3360" w:type="dxa"/>
            <w:vAlign w:val="bottom"/>
            <w:gridSpan w:val="5"/>
            <w:shd w:val="clear" w:color="auto" w:fill="EFE9FC"/>
          </w:tcPr>
          <w:p>
            <w:pPr>
              <w:ind w:left="360"/>
              <w:spacing w:after="0" w:line="162" w:lineRule="exact"/>
              <w:rPr>
                <w:sz w:val="20"/>
                <w:szCs w:val="20"/>
                <w:color w:val="auto"/>
              </w:rPr>
            </w:pPr>
            <w:r>
              <w:rPr>
                <w:rFonts w:ascii="Arial" w:cs="Arial" w:eastAsia="Arial" w:hAnsi="Arial"/>
                <w:sz w:val="16"/>
                <w:szCs w:val="16"/>
                <w:color w:val="auto"/>
              </w:rPr>
              <w:t>(iii) otherwise with the approval of an</w:t>
            </w: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may be issued in connection with the</w:t>
            </w:r>
          </w:p>
        </w:tc>
      </w:tr>
      <w:tr>
        <w:trPr>
          <w:trHeight w:val="162"/>
        </w:trPr>
        <w:tc>
          <w:tcPr>
            <w:tcW w:w="2780" w:type="dxa"/>
            <w:vAlign w:val="bottom"/>
            <w:shd w:val="clear" w:color="auto" w:fill="EFE9FC"/>
          </w:tcPr>
          <w:p>
            <w:pPr>
              <w:spacing w:after="0"/>
              <w:rPr>
                <w:sz w:val="14"/>
                <w:szCs w:val="14"/>
                <w:color w:val="auto"/>
              </w:rPr>
            </w:pPr>
          </w:p>
        </w:tc>
        <w:tc>
          <w:tcPr>
            <w:tcW w:w="2960" w:type="dxa"/>
            <w:vAlign w:val="bottom"/>
            <w:gridSpan w:val="4"/>
            <w:shd w:val="clear" w:color="auto" w:fill="EFE9FC"/>
          </w:tcPr>
          <w:p>
            <w:pPr>
              <w:ind w:left="360"/>
              <w:spacing w:after="0" w:line="162" w:lineRule="exact"/>
              <w:rPr>
                <w:sz w:val="20"/>
                <w:szCs w:val="20"/>
                <w:color w:val="auto"/>
              </w:rPr>
            </w:pPr>
            <w:r>
              <w:rPr>
                <w:rFonts w:ascii="Arial" w:cs="Arial" w:eastAsia="Arial" w:hAnsi="Arial"/>
                <w:sz w:val="16"/>
                <w:szCs w:val="16"/>
                <w:color w:val="auto"/>
              </w:rPr>
              <w:t>ordinary resolution of shareholders.</w:t>
            </w:r>
          </w:p>
        </w:tc>
        <w:tc>
          <w:tcPr>
            <w:tcW w:w="400" w:type="dxa"/>
            <w:vAlign w:val="bottom"/>
            <w:shd w:val="clear" w:color="auto" w:fill="EFE9FC"/>
          </w:tcPr>
          <w:p>
            <w:pPr>
              <w:spacing w:after="0"/>
              <w:rPr>
                <w:sz w:val="14"/>
                <w:szCs w:val="14"/>
                <w:color w:val="auto"/>
              </w:rPr>
            </w:pP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strategic capital raising options currently</w:t>
            </w:r>
          </w:p>
        </w:tc>
      </w:tr>
      <w:tr>
        <w:trPr>
          <w:trHeight w:val="162"/>
        </w:trPr>
        <w:tc>
          <w:tcPr>
            <w:tcW w:w="2780" w:type="dxa"/>
            <w:vAlign w:val="bottom"/>
            <w:shd w:val="clear" w:color="auto" w:fill="EFE9FC"/>
          </w:tcPr>
          <w:p>
            <w:pPr>
              <w:spacing w:after="0"/>
              <w:rPr>
                <w:sz w:val="14"/>
                <w:szCs w:val="14"/>
                <w:color w:val="auto"/>
              </w:rPr>
            </w:pPr>
          </w:p>
        </w:tc>
        <w:tc>
          <w:tcPr>
            <w:tcW w:w="700" w:type="dxa"/>
            <w:vAlign w:val="bottom"/>
            <w:shd w:val="clear" w:color="auto" w:fill="EFE9FC"/>
          </w:tcPr>
          <w:p>
            <w:pPr>
              <w:spacing w:after="0"/>
              <w:rPr>
                <w:sz w:val="14"/>
                <w:szCs w:val="14"/>
                <w:color w:val="auto"/>
              </w:rPr>
            </w:pPr>
          </w:p>
        </w:tc>
        <w:tc>
          <w:tcPr>
            <w:tcW w:w="880" w:type="dxa"/>
            <w:vAlign w:val="bottom"/>
            <w:shd w:val="clear" w:color="auto" w:fill="EFE9FC"/>
          </w:tcPr>
          <w:p>
            <w:pPr>
              <w:spacing w:after="0"/>
              <w:rPr>
                <w:sz w:val="14"/>
                <w:szCs w:val="14"/>
                <w:color w:val="auto"/>
              </w:rPr>
            </w:pPr>
          </w:p>
        </w:tc>
        <w:tc>
          <w:tcPr>
            <w:tcW w:w="700" w:type="dxa"/>
            <w:vAlign w:val="bottom"/>
            <w:shd w:val="clear" w:color="auto" w:fill="EFE9FC"/>
          </w:tcPr>
          <w:p>
            <w:pPr>
              <w:spacing w:after="0"/>
              <w:rPr>
                <w:sz w:val="14"/>
                <w:szCs w:val="14"/>
                <w:color w:val="auto"/>
              </w:rPr>
            </w:pPr>
          </w:p>
        </w:tc>
        <w:tc>
          <w:tcPr>
            <w:tcW w:w="680" w:type="dxa"/>
            <w:vAlign w:val="bottom"/>
            <w:shd w:val="clear" w:color="auto" w:fill="EFE9FC"/>
          </w:tcPr>
          <w:p>
            <w:pPr>
              <w:spacing w:after="0"/>
              <w:rPr>
                <w:sz w:val="14"/>
                <w:szCs w:val="14"/>
                <w:color w:val="auto"/>
              </w:rPr>
            </w:pPr>
          </w:p>
        </w:tc>
        <w:tc>
          <w:tcPr>
            <w:tcW w:w="400" w:type="dxa"/>
            <w:vAlign w:val="bottom"/>
            <w:shd w:val="clear" w:color="auto" w:fill="EFE9FC"/>
          </w:tcPr>
          <w:p>
            <w:pPr>
              <w:spacing w:after="0"/>
              <w:rPr>
                <w:sz w:val="14"/>
                <w:szCs w:val="14"/>
                <w:color w:val="auto"/>
              </w:rPr>
            </w:pPr>
          </w:p>
        </w:tc>
        <w:tc>
          <w:tcPr>
            <w:tcW w:w="3040" w:type="dxa"/>
            <w:vAlign w:val="bottom"/>
            <w:shd w:val="clear" w:color="auto" w:fill="EFE9FC"/>
          </w:tcPr>
          <w:p>
            <w:pPr>
              <w:ind w:left="100"/>
              <w:spacing w:after="0" w:line="162" w:lineRule="exact"/>
              <w:rPr>
                <w:sz w:val="20"/>
                <w:szCs w:val="20"/>
                <w:color w:val="auto"/>
              </w:rPr>
            </w:pPr>
            <w:r>
              <w:rPr>
                <w:rFonts w:ascii="Arial" w:cs="Arial" w:eastAsia="Arial" w:hAnsi="Arial"/>
                <w:sz w:val="16"/>
                <w:szCs w:val="16"/>
                <w:color w:val="auto"/>
              </w:rPr>
              <w:t>being evaluated by the Company (as</w:t>
            </w:r>
          </w:p>
        </w:tc>
      </w:tr>
      <w:tr>
        <w:trPr>
          <w:trHeight w:val="208"/>
        </w:trPr>
        <w:tc>
          <w:tcPr>
            <w:tcW w:w="2780" w:type="dxa"/>
            <w:vAlign w:val="bottom"/>
            <w:tcBorders>
              <w:bottom w:val="single" w:sz="8" w:color="6A2887"/>
            </w:tcBorders>
            <w:shd w:val="clear" w:color="auto" w:fill="EFE9FC"/>
          </w:tcPr>
          <w:p>
            <w:pPr>
              <w:spacing w:after="0"/>
              <w:rPr>
                <w:sz w:val="18"/>
                <w:szCs w:val="18"/>
                <w:color w:val="auto"/>
              </w:rPr>
            </w:pPr>
          </w:p>
        </w:tc>
        <w:tc>
          <w:tcPr>
            <w:tcW w:w="700" w:type="dxa"/>
            <w:vAlign w:val="bottom"/>
            <w:tcBorders>
              <w:bottom w:val="single" w:sz="8" w:color="6A2887"/>
            </w:tcBorders>
            <w:shd w:val="clear" w:color="auto" w:fill="EFE9FC"/>
          </w:tcPr>
          <w:p>
            <w:pPr>
              <w:spacing w:after="0"/>
              <w:rPr>
                <w:sz w:val="18"/>
                <w:szCs w:val="18"/>
                <w:color w:val="auto"/>
              </w:rPr>
            </w:pPr>
          </w:p>
        </w:tc>
        <w:tc>
          <w:tcPr>
            <w:tcW w:w="880" w:type="dxa"/>
            <w:vAlign w:val="bottom"/>
            <w:tcBorders>
              <w:bottom w:val="single" w:sz="8" w:color="6A2887"/>
            </w:tcBorders>
            <w:shd w:val="clear" w:color="auto" w:fill="EFE9FC"/>
          </w:tcPr>
          <w:p>
            <w:pPr>
              <w:spacing w:after="0"/>
              <w:rPr>
                <w:sz w:val="18"/>
                <w:szCs w:val="18"/>
                <w:color w:val="auto"/>
              </w:rPr>
            </w:pPr>
          </w:p>
        </w:tc>
        <w:tc>
          <w:tcPr>
            <w:tcW w:w="700" w:type="dxa"/>
            <w:vAlign w:val="bottom"/>
            <w:tcBorders>
              <w:bottom w:val="single" w:sz="8" w:color="6A2887"/>
            </w:tcBorders>
            <w:shd w:val="clear" w:color="auto" w:fill="EFE9FC"/>
          </w:tcPr>
          <w:p>
            <w:pPr>
              <w:spacing w:after="0"/>
              <w:rPr>
                <w:sz w:val="18"/>
                <w:szCs w:val="18"/>
                <w:color w:val="auto"/>
              </w:rPr>
            </w:pPr>
          </w:p>
        </w:tc>
        <w:tc>
          <w:tcPr>
            <w:tcW w:w="680" w:type="dxa"/>
            <w:vAlign w:val="bottom"/>
            <w:tcBorders>
              <w:bottom w:val="single" w:sz="8" w:color="6A2887"/>
            </w:tcBorders>
            <w:shd w:val="clear" w:color="auto" w:fill="EFE9FC"/>
          </w:tcPr>
          <w:p>
            <w:pPr>
              <w:spacing w:after="0"/>
              <w:rPr>
                <w:sz w:val="18"/>
                <w:szCs w:val="18"/>
                <w:color w:val="auto"/>
              </w:rPr>
            </w:pPr>
          </w:p>
        </w:tc>
        <w:tc>
          <w:tcPr>
            <w:tcW w:w="400" w:type="dxa"/>
            <w:vAlign w:val="bottom"/>
            <w:tcBorders>
              <w:bottom w:val="single" w:sz="8" w:color="6A2887"/>
            </w:tcBorders>
            <w:shd w:val="clear" w:color="auto" w:fill="EFE9FC"/>
          </w:tcPr>
          <w:p>
            <w:pPr>
              <w:spacing w:after="0"/>
              <w:rPr>
                <w:sz w:val="18"/>
                <w:szCs w:val="18"/>
                <w:color w:val="auto"/>
              </w:rPr>
            </w:pPr>
          </w:p>
        </w:tc>
        <w:tc>
          <w:tcPr>
            <w:tcW w:w="3040" w:type="dxa"/>
            <w:vAlign w:val="bottom"/>
            <w:tcBorders>
              <w:bottom w:val="single" w:sz="8" w:color="6A2887"/>
            </w:tcBorders>
            <w:shd w:val="clear" w:color="auto" w:fill="EFE9FC"/>
          </w:tcPr>
          <w:p>
            <w:pPr>
              <w:ind w:left="100"/>
              <w:spacing w:after="0"/>
              <w:rPr>
                <w:sz w:val="20"/>
                <w:szCs w:val="20"/>
                <w:color w:val="auto"/>
              </w:rPr>
            </w:pPr>
            <w:r>
              <w:rPr>
                <w:rFonts w:ascii="Arial" w:cs="Arial" w:eastAsia="Arial" w:hAnsi="Arial"/>
                <w:sz w:val="16"/>
                <w:szCs w:val="16"/>
                <w:color w:val="auto"/>
              </w:rPr>
              <w:t>described above).</w:t>
            </w:r>
          </w:p>
        </w:tc>
      </w:tr>
    </w:tbl>
    <w:p>
      <w:pPr>
        <w:spacing w:after="0" w:line="83" w:lineRule="exact"/>
        <w:rPr>
          <w:sz w:val="20"/>
          <w:szCs w:val="20"/>
          <w:color w:val="auto"/>
        </w:rPr>
      </w:pPr>
    </w:p>
    <w:p>
      <w:pPr>
        <w:ind w:left="760" w:right="840"/>
        <w:spacing w:after="0" w:line="248" w:lineRule="auto"/>
        <w:rPr>
          <w:sz w:val="20"/>
          <w:szCs w:val="20"/>
          <w:color w:val="auto"/>
        </w:rPr>
      </w:pPr>
      <w:r>
        <w:rPr>
          <w:rFonts w:ascii="Arial" w:cs="Arial" w:eastAsia="Arial" w:hAnsi="Arial"/>
          <w:sz w:val="16"/>
          <w:szCs w:val="16"/>
          <w:color w:val="auto"/>
        </w:rPr>
        <w:t>In addition to the changes described above, the New Articles also include other revisions and additions that, while less substantive than the changes specified above, are expected to result in better internal procedures (and therefore better corporate governance) of the Company and will also include minor technical corrections (such as conforming defined terms and adding editorial clarifications and using gender-neutral language) that will not involve any substantive changes. The New Articles also eliminate certain provisions that are no longer applicable, including (1) provisions that were required when our current Articles of Association were adopted, but are no longer required due to the fact that the Company’s shares are no longer traded on the London Stock Exchange and (2) provisions that have expired by their terms and are of no current force or effect.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Proposal No. 6 </w:t>
      </w:r>
      <w:r>
        <w:rPr>
          <w:rFonts w:ascii="Arial" w:cs="Arial" w:eastAsia="Arial" w:hAnsi="Arial"/>
          <w:sz w:val="13"/>
          <w:szCs w:val="13"/>
          <w:b w:val="1"/>
          <w:bCs w:val="1"/>
          <w:color w:val="666666"/>
        </w:rPr>
        <w:t>Special Resolution to Adopt New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Board Recommendation</w:t>
      </w:r>
    </w:p>
    <w:p>
      <w:pPr>
        <w:spacing w:after="0" w:line="200" w:lineRule="exact"/>
        <w:rPr>
          <w:sz w:val="20"/>
          <w:szCs w:val="20"/>
          <w:color w:val="auto"/>
        </w:rPr>
      </w:pPr>
    </w:p>
    <w:p>
      <w:pPr>
        <w:spacing w:after="0" w:line="38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379"/>
        <w:spacing w:after="0" w:line="260" w:lineRule="auto"/>
        <w:rPr>
          <w:sz w:val="20"/>
          <w:szCs w:val="20"/>
          <w:color w:val="auto"/>
        </w:rPr>
      </w:pPr>
      <w:r>
        <w:rPr>
          <w:rFonts w:ascii="Arial" w:cs="Arial" w:eastAsia="Arial" w:hAnsi="Arial"/>
          <w:sz w:val="16"/>
          <w:szCs w:val="16"/>
          <w:color w:val="auto"/>
        </w:rPr>
        <w:t>This resolution must be approved by shareholders representing at least 75% of the votes cast on the resolution. Abstentions and broker non-votes will not be counted as a vote either for or against this resolution.</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jc w:val="both"/>
        <w:ind w:left="1080" w:right="759"/>
        <w:spacing w:after="0" w:line="301"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SPECIAL RESOLUTION TO APPROVE AND ADOPT THE NEW ARTICLES, INCLUDING THE CHANGE TO THE VOTING STANDARD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-436245</wp:posOffset>
            </wp:positionV>
            <wp:extent cx="137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59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3"/>
          <w:szCs w:val="13"/>
          <w:b w:val="1"/>
          <w:bCs w:val="1"/>
          <w:color w:val="666666"/>
        </w:rPr>
        <w:t>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Share </w:t>
      </w:r>
      <w:r>
        <w:rPr>
          <w:rFonts w:ascii="Arial" w:cs="Arial" w:eastAsia="Arial" w:hAnsi="Arial"/>
          <w:sz w:val="47"/>
          <w:szCs w:val="47"/>
          <w:b w:val="1"/>
          <w:bCs w:val="1"/>
          <w:color w:val="666666"/>
        </w:rPr>
        <w:t>Ownership Information</w:t>
      </w:r>
    </w:p>
    <w:p>
      <w:pPr>
        <w:spacing w:after="0" w:line="159" w:lineRule="exact"/>
        <w:rPr>
          <w:sz w:val="20"/>
          <w:szCs w:val="20"/>
          <w:color w:val="auto"/>
        </w:rPr>
      </w:pPr>
    </w:p>
    <w:p>
      <w:pPr>
        <w:ind w:left="760" w:right="840"/>
        <w:spacing w:after="0" w:line="260" w:lineRule="auto"/>
        <w:rPr>
          <w:sz w:val="20"/>
          <w:szCs w:val="20"/>
          <w:color w:val="auto"/>
        </w:rPr>
      </w:pPr>
      <w:r>
        <w:rPr>
          <w:rFonts w:ascii="Arial" w:cs="Arial" w:eastAsia="Arial" w:hAnsi="Arial"/>
          <w:sz w:val="16"/>
          <w:szCs w:val="16"/>
          <w:color w:val="auto"/>
        </w:rPr>
        <w:t>The following table sets forth, as of April 20, 2020, except where otherwise noted, certain information with respect to the amount of our ordinary shares beneficially owned by:</w:t>
      </w:r>
    </w:p>
    <w:p>
      <w:pPr>
        <w:spacing w:after="0" w:line="20" w:lineRule="exact"/>
        <w:rPr>
          <w:sz w:val="20"/>
          <w:szCs w:val="20"/>
          <w:color w:val="auto"/>
        </w:rPr>
      </w:pPr>
    </w:p>
    <w:p>
      <w:pPr>
        <w:ind w:left="920" w:hanging="156"/>
        <w:spacing w:after="0"/>
        <w:tabs>
          <w:tab w:leader="none" w:pos="920" w:val="left"/>
        </w:tabs>
        <w:numPr>
          <w:ilvl w:val="0"/>
          <w:numId w:val="84"/>
        </w:numPr>
        <w:rPr>
          <w:rFonts w:ascii="Arial" w:cs="Arial" w:eastAsia="Arial" w:hAnsi="Arial"/>
          <w:sz w:val="16"/>
          <w:szCs w:val="16"/>
          <w:color w:val="6A2887"/>
        </w:rPr>
      </w:pPr>
      <w:r>
        <w:rPr>
          <w:rFonts w:ascii="Arial" w:cs="Arial" w:eastAsia="Arial" w:hAnsi="Arial"/>
          <w:sz w:val="16"/>
          <w:szCs w:val="16"/>
          <w:color w:val="auto"/>
        </w:rPr>
        <w:t>each of our NEOs;</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84"/>
        </w:numPr>
        <w:rPr>
          <w:rFonts w:ascii="Arial" w:cs="Arial" w:eastAsia="Arial" w:hAnsi="Arial"/>
          <w:sz w:val="16"/>
          <w:szCs w:val="16"/>
          <w:color w:val="6A2887"/>
        </w:rPr>
      </w:pPr>
      <w:r>
        <w:rPr>
          <w:rFonts w:ascii="Arial" w:cs="Arial" w:eastAsia="Arial" w:hAnsi="Arial"/>
          <w:sz w:val="16"/>
          <w:szCs w:val="16"/>
          <w:color w:val="auto"/>
        </w:rPr>
        <w:t>each director;</w:t>
      </w:r>
    </w:p>
    <w:p>
      <w:pPr>
        <w:spacing w:after="0" w:line="45" w:lineRule="exact"/>
        <w:rPr>
          <w:rFonts w:ascii="Arial" w:cs="Arial" w:eastAsia="Arial" w:hAnsi="Arial"/>
          <w:sz w:val="16"/>
          <w:szCs w:val="16"/>
          <w:color w:val="6A2887"/>
        </w:rPr>
      </w:pPr>
    </w:p>
    <w:p>
      <w:pPr>
        <w:ind w:left="920" w:hanging="156"/>
        <w:spacing w:after="0"/>
        <w:tabs>
          <w:tab w:leader="none" w:pos="920" w:val="left"/>
        </w:tabs>
        <w:numPr>
          <w:ilvl w:val="0"/>
          <w:numId w:val="84"/>
        </w:numPr>
        <w:rPr>
          <w:rFonts w:ascii="Arial" w:cs="Arial" w:eastAsia="Arial" w:hAnsi="Arial"/>
          <w:sz w:val="16"/>
          <w:szCs w:val="16"/>
          <w:color w:val="6A2887"/>
        </w:rPr>
      </w:pPr>
      <w:r>
        <w:rPr>
          <w:rFonts w:ascii="Arial" w:cs="Arial" w:eastAsia="Arial" w:hAnsi="Arial"/>
          <w:sz w:val="16"/>
          <w:szCs w:val="16"/>
          <w:color w:val="auto"/>
        </w:rPr>
        <w:t>all current executive officers and directors as a group; and</w:t>
      </w:r>
    </w:p>
    <w:p>
      <w:pPr>
        <w:spacing w:after="0" w:line="32" w:lineRule="exact"/>
        <w:rPr>
          <w:rFonts w:ascii="Arial" w:cs="Arial" w:eastAsia="Arial" w:hAnsi="Arial"/>
          <w:sz w:val="16"/>
          <w:szCs w:val="16"/>
          <w:color w:val="6A2887"/>
        </w:rPr>
      </w:pPr>
    </w:p>
    <w:p>
      <w:pPr>
        <w:ind w:left="920" w:hanging="156"/>
        <w:spacing w:after="0"/>
        <w:tabs>
          <w:tab w:leader="none" w:pos="920" w:val="left"/>
        </w:tabs>
        <w:numPr>
          <w:ilvl w:val="0"/>
          <w:numId w:val="84"/>
        </w:numPr>
        <w:rPr>
          <w:rFonts w:ascii="Arial" w:cs="Arial" w:eastAsia="Arial" w:hAnsi="Arial"/>
          <w:sz w:val="16"/>
          <w:szCs w:val="16"/>
          <w:color w:val="6A2887"/>
        </w:rPr>
      </w:pPr>
      <w:r>
        <w:rPr>
          <w:rFonts w:ascii="Arial" w:cs="Arial" w:eastAsia="Arial" w:hAnsi="Arial"/>
          <w:sz w:val="16"/>
          <w:szCs w:val="16"/>
          <w:color w:val="auto"/>
        </w:rPr>
        <w:t>each person known by us to own beneficially more than 5% of the outstanding ordinary shares.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are not aware of any agreements among our shareholders that relate to voting or investment of our ordinary shares.</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840" w:type="dxa"/>
            <w:vAlign w:val="bottom"/>
            <w:tcBorders>
              <w:bottom w:val="single" w:sz="8" w:color="6A2887"/>
            </w:tcBorders>
          </w:tcPr>
          <w:p>
            <w:pPr>
              <w:spacing w:after="0"/>
              <w:rPr>
                <w:sz w:val="21"/>
                <w:szCs w:val="21"/>
                <w:color w:val="auto"/>
              </w:rPr>
            </w:pPr>
          </w:p>
        </w:tc>
        <w:tc>
          <w:tcPr>
            <w:tcW w:w="3180" w:type="dxa"/>
            <w:vAlign w:val="bottom"/>
            <w:tcBorders>
              <w:bottom w:val="single" w:sz="8" w:color="6A2887"/>
            </w:tcBorders>
            <w:gridSpan w:val="3"/>
          </w:tcPr>
          <w:p>
            <w:pPr>
              <w:jc w:val="right"/>
              <w:spacing w:after="0"/>
              <w:rPr>
                <w:sz w:val="20"/>
                <w:szCs w:val="20"/>
                <w:color w:val="auto"/>
              </w:rPr>
            </w:pPr>
            <w:r>
              <w:rPr>
                <w:rFonts w:ascii="Arial" w:cs="Arial" w:eastAsia="Arial" w:hAnsi="Arial"/>
                <w:sz w:val="14"/>
                <w:szCs w:val="14"/>
                <w:b w:val="1"/>
                <w:bCs w:val="1"/>
                <w:color w:val="6A2887"/>
                <w:w w:val="99"/>
              </w:rPr>
              <w:t>Amount and Nature of Beneficial Ownership</w:t>
            </w:r>
            <w:r>
              <w:rPr>
                <w:rFonts w:ascii="Arial" w:cs="Arial" w:eastAsia="Arial" w:hAnsi="Arial"/>
                <w:sz w:val="21"/>
                <w:szCs w:val="21"/>
                <w:b w:val="1"/>
                <w:bCs w:val="1"/>
                <w:color w:val="6A2887"/>
                <w:w w:val="99"/>
                <w:vertAlign w:val="superscript"/>
              </w:rPr>
              <w:t>(1)</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jc w:val="right"/>
              <w:ind w:right="84"/>
              <w:spacing w:after="0"/>
              <w:rPr>
                <w:sz w:val="20"/>
                <w:szCs w:val="20"/>
                <w:color w:val="auto"/>
              </w:rPr>
            </w:pPr>
            <w:r>
              <w:rPr>
                <w:rFonts w:ascii="Arial" w:cs="Arial" w:eastAsia="Arial" w:hAnsi="Arial"/>
                <w:sz w:val="14"/>
                <w:szCs w:val="14"/>
                <w:b w:val="1"/>
                <w:bCs w:val="1"/>
                <w:color w:val="6A2887"/>
              </w:rPr>
              <w:t>Shares</w:t>
            </w:r>
          </w:p>
        </w:tc>
        <w:tc>
          <w:tcPr>
            <w:tcW w:w="960" w:type="dxa"/>
            <w:vAlign w:val="bottom"/>
          </w:tcPr>
          <w:p>
            <w:pPr>
              <w:jc w:val="right"/>
              <w:ind w:right="84"/>
              <w:spacing w:after="0"/>
              <w:rPr>
                <w:sz w:val="20"/>
                <w:szCs w:val="20"/>
                <w:color w:val="auto"/>
              </w:rPr>
            </w:pPr>
            <w:r>
              <w:rPr>
                <w:rFonts w:ascii="Arial" w:cs="Arial" w:eastAsia="Arial" w:hAnsi="Arial"/>
                <w:sz w:val="14"/>
                <w:szCs w:val="14"/>
                <w:b w:val="1"/>
                <w:bCs w:val="1"/>
                <w:color w:val="6A2887"/>
              </w:rPr>
              <w:t>Total</w:t>
            </w:r>
          </w:p>
        </w:tc>
        <w:tc>
          <w:tcPr>
            <w:tcW w:w="9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6A2887"/>
              </w:rPr>
              <w:t>Percent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4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6A2887"/>
              </w:rPr>
              <w:t>Shares</w:t>
            </w:r>
          </w:p>
        </w:tc>
        <w:tc>
          <w:tcPr>
            <w:tcW w:w="132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6A2887"/>
              </w:rPr>
              <w:t>Acquirable</w:t>
            </w:r>
          </w:p>
        </w:tc>
        <w:tc>
          <w:tcPr>
            <w:tcW w:w="96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6A2887"/>
              </w:rPr>
              <w:t>Beneficial</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6A2887"/>
            </w:tcBorders>
          </w:tcPr>
          <w:p>
            <w:pPr>
              <w:ind w:left="40"/>
              <w:spacing w:after="0"/>
              <w:rPr>
                <w:sz w:val="20"/>
                <w:szCs w:val="20"/>
                <w:color w:val="auto"/>
              </w:rPr>
            </w:pPr>
            <w:r>
              <w:rPr>
                <w:rFonts w:ascii="Arial" w:cs="Arial" w:eastAsia="Arial" w:hAnsi="Arial"/>
                <w:sz w:val="14"/>
                <w:szCs w:val="14"/>
                <w:b w:val="1"/>
                <w:bCs w:val="1"/>
                <w:color w:val="6A2887"/>
              </w:rPr>
              <w:t>Name of Beneficial Owner</w:t>
            </w:r>
          </w:p>
        </w:tc>
        <w:tc>
          <w:tcPr>
            <w:tcW w:w="840" w:type="dxa"/>
            <w:vAlign w:val="bottom"/>
            <w:tcBorders>
              <w:bottom w:val="single" w:sz="8" w:color="6A2887"/>
            </w:tcBorders>
          </w:tcPr>
          <w:p>
            <w:pPr>
              <w:jc w:val="right"/>
              <w:spacing w:after="0"/>
              <w:rPr>
                <w:sz w:val="20"/>
                <w:szCs w:val="20"/>
                <w:color w:val="auto"/>
              </w:rPr>
            </w:pPr>
            <w:r>
              <w:rPr>
                <w:rFonts w:ascii="Arial" w:cs="Arial" w:eastAsia="Arial" w:hAnsi="Arial"/>
                <w:sz w:val="14"/>
                <w:szCs w:val="14"/>
                <w:b w:val="1"/>
                <w:bCs w:val="1"/>
                <w:color w:val="6A2887"/>
              </w:rPr>
              <w:t>Owned</w:t>
            </w:r>
          </w:p>
        </w:tc>
        <w:tc>
          <w:tcPr>
            <w:tcW w:w="132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Within 60 Days</w:t>
            </w:r>
          </w:p>
        </w:tc>
        <w:tc>
          <w:tcPr>
            <w:tcW w:w="960" w:type="dxa"/>
            <w:vAlign w:val="bottom"/>
            <w:tcBorders>
              <w:bottom w:val="single" w:sz="8" w:color="6A2887"/>
            </w:tcBorders>
          </w:tcPr>
          <w:p>
            <w:pPr>
              <w:jc w:val="right"/>
              <w:ind w:right="44"/>
              <w:spacing w:after="0"/>
              <w:rPr>
                <w:sz w:val="20"/>
                <w:szCs w:val="20"/>
                <w:color w:val="auto"/>
              </w:rPr>
            </w:pPr>
            <w:r>
              <w:rPr>
                <w:rFonts w:ascii="Arial" w:cs="Arial" w:eastAsia="Arial" w:hAnsi="Arial"/>
                <w:sz w:val="14"/>
                <w:szCs w:val="14"/>
                <w:b w:val="1"/>
                <w:bCs w:val="1"/>
                <w:color w:val="6A2887"/>
              </w:rPr>
              <w:t>Ownership</w:t>
            </w:r>
          </w:p>
        </w:tc>
        <w:tc>
          <w:tcPr>
            <w:tcW w:w="900" w:type="dxa"/>
            <w:vAlign w:val="bottom"/>
            <w:tcBorders>
              <w:bottom w:val="single" w:sz="8" w:color="6A2887"/>
            </w:tcBorders>
          </w:tcPr>
          <w:p>
            <w:pPr>
              <w:jc w:val="right"/>
              <w:spacing w:after="0" w:line="216" w:lineRule="exact"/>
              <w:rPr>
                <w:sz w:val="20"/>
                <w:szCs w:val="20"/>
                <w:color w:val="auto"/>
              </w:rPr>
            </w:pPr>
            <w:r>
              <w:rPr>
                <w:rFonts w:ascii="Arial" w:cs="Arial" w:eastAsia="Arial" w:hAnsi="Arial"/>
                <w:sz w:val="14"/>
                <w:szCs w:val="14"/>
                <w:b w:val="1"/>
                <w:bCs w:val="1"/>
                <w:color w:val="6A2887"/>
              </w:rPr>
              <w:t>Class</w:t>
            </w:r>
            <w:r>
              <w:rPr>
                <w:rFonts w:ascii="Arial" w:cs="Arial" w:eastAsia="Arial" w:hAnsi="Arial"/>
                <w:sz w:val="21"/>
                <w:szCs w:val="21"/>
                <w:b w:val="1"/>
                <w:bCs w:val="1"/>
                <w:color w:val="6A2887"/>
                <w:vertAlign w:val="superscript"/>
              </w:rPr>
              <w:t>(2)</w:t>
            </w:r>
          </w:p>
        </w:tc>
        <w:tc>
          <w:tcPr>
            <w:tcW w:w="0" w:type="dxa"/>
            <w:vAlign w:val="bottom"/>
          </w:tcPr>
          <w:p>
            <w:pPr>
              <w:spacing w:after="0"/>
              <w:rPr>
                <w:sz w:val="1"/>
                <w:szCs w:val="1"/>
                <w:color w:val="auto"/>
              </w:rPr>
            </w:pPr>
          </w:p>
        </w:tc>
      </w:tr>
      <w:tr>
        <w:trPr>
          <w:trHeight w:val="215"/>
        </w:trPr>
        <w:tc>
          <w:tcPr>
            <w:tcW w:w="5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Named Executive Officers:</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Damien McDonald</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73,481</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4,451</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77,932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Edward Andrle</w:t>
            </w:r>
          </w:p>
        </w:tc>
        <w:tc>
          <w:tcPr>
            <w:tcW w:w="840" w:type="dxa"/>
            <w:vAlign w:val="bottom"/>
          </w:tcPr>
          <w:p>
            <w:pPr>
              <w:jc w:val="right"/>
              <w:spacing w:after="0"/>
              <w:rPr>
                <w:sz w:val="20"/>
                <w:szCs w:val="20"/>
                <w:color w:val="auto"/>
              </w:rPr>
            </w:pPr>
            <w:r>
              <w:rPr>
                <w:rFonts w:ascii="Arial" w:cs="Arial" w:eastAsia="Arial" w:hAnsi="Arial"/>
                <w:sz w:val="15"/>
                <w:szCs w:val="15"/>
                <w:color w:val="auto"/>
              </w:rPr>
              <w:t>46,241</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688</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46,929</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Thad Huston</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20,910</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11,502</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32,412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5160" w:type="dxa"/>
            <w:vAlign w:val="bottom"/>
          </w:tcPr>
          <w:p>
            <w:pPr>
              <w:ind w:left="40"/>
              <w:spacing w:after="0"/>
              <w:rPr>
                <w:sz w:val="20"/>
                <w:szCs w:val="20"/>
                <w:color w:val="auto"/>
              </w:rPr>
            </w:pPr>
            <w:r>
              <w:rPr>
                <w:rFonts w:ascii="Arial" w:cs="Arial" w:eastAsia="Arial" w:hAnsi="Arial"/>
                <w:sz w:val="15"/>
                <w:szCs w:val="15"/>
                <w:color w:val="auto"/>
              </w:rPr>
              <w:t>Alistair Simpson</w:t>
            </w:r>
          </w:p>
        </w:tc>
        <w:tc>
          <w:tcPr>
            <w:tcW w:w="840" w:type="dxa"/>
            <w:vAlign w:val="bottom"/>
          </w:tcPr>
          <w:p>
            <w:pPr>
              <w:jc w:val="right"/>
              <w:spacing w:after="0"/>
              <w:rPr>
                <w:sz w:val="20"/>
                <w:szCs w:val="20"/>
                <w:color w:val="auto"/>
              </w:rPr>
            </w:pPr>
            <w:r>
              <w:rPr>
                <w:rFonts w:ascii="Arial" w:cs="Arial" w:eastAsia="Arial" w:hAnsi="Arial"/>
                <w:sz w:val="15"/>
                <w:szCs w:val="15"/>
                <w:color w:val="auto"/>
              </w:rPr>
              <w:t>3,440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604</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4,044</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Keyna Skeffington</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2,216</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1,146</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3,362</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Directors:</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Francesco Bianchi</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1,520</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1,520</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Stacy Enxing Seng</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William Kozy</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1,576</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1,576</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6"/>
        </w:trPr>
        <w:tc>
          <w:tcPr>
            <w:tcW w:w="5160" w:type="dxa"/>
            <w:vAlign w:val="bottom"/>
          </w:tcPr>
          <w:p>
            <w:pPr>
              <w:ind w:left="40"/>
              <w:spacing w:after="0" w:line="256" w:lineRule="exact"/>
              <w:rPr>
                <w:sz w:val="20"/>
                <w:szCs w:val="20"/>
                <w:color w:val="auto"/>
              </w:rPr>
            </w:pPr>
            <w:r>
              <w:rPr>
                <w:rFonts w:ascii="Arial" w:cs="Arial" w:eastAsia="Arial" w:hAnsi="Arial"/>
                <w:sz w:val="15"/>
                <w:szCs w:val="15"/>
                <w:color w:val="auto"/>
              </w:rPr>
              <w:t>Daniel Moore</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28,352</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28,352</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Hugh Morrison</w:t>
            </w:r>
            <w:r>
              <w:rPr>
                <w:rFonts w:ascii="Arial" w:cs="Arial" w:eastAsia="Arial" w:hAnsi="Arial"/>
                <w:sz w:val="23"/>
                <w:szCs w:val="23"/>
                <w:color w:val="auto"/>
                <w:vertAlign w:val="superscript"/>
              </w:rPr>
              <w:t>(4)</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1,520</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1,520</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5160" w:type="dxa"/>
            <w:vAlign w:val="bottom"/>
          </w:tcPr>
          <w:p>
            <w:pPr>
              <w:ind w:left="40"/>
              <w:spacing w:after="0"/>
              <w:rPr>
                <w:sz w:val="20"/>
                <w:szCs w:val="20"/>
                <w:color w:val="auto"/>
              </w:rPr>
            </w:pPr>
            <w:r>
              <w:rPr>
                <w:rFonts w:ascii="Arial" w:cs="Arial" w:eastAsia="Arial" w:hAnsi="Arial"/>
                <w:sz w:val="15"/>
                <w:szCs w:val="15"/>
                <w:color w:val="auto"/>
              </w:rPr>
              <w:t>Alfred Novak</w:t>
            </w:r>
          </w:p>
        </w:tc>
        <w:tc>
          <w:tcPr>
            <w:tcW w:w="840" w:type="dxa"/>
            <w:vAlign w:val="bottom"/>
          </w:tcPr>
          <w:p>
            <w:pPr>
              <w:jc w:val="right"/>
              <w:spacing w:after="0"/>
              <w:rPr>
                <w:sz w:val="20"/>
                <w:szCs w:val="20"/>
                <w:color w:val="auto"/>
              </w:rPr>
            </w:pPr>
            <w:r>
              <w:rPr>
                <w:rFonts w:ascii="Arial" w:cs="Arial" w:eastAsia="Arial" w:hAnsi="Arial"/>
                <w:sz w:val="15"/>
                <w:szCs w:val="15"/>
                <w:color w:val="auto"/>
              </w:rPr>
              <w:t>9,570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9,570</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Sharon O’Kane, Ph.D.</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4,228</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4,228</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5160" w:type="dxa"/>
            <w:vAlign w:val="bottom"/>
          </w:tcPr>
          <w:p>
            <w:pPr>
              <w:ind w:left="40"/>
              <w:spacing w:after="0"/>
              <w:rPr>
                <w:sz w:val="20"/>
                <w:szCs w:val="20"/>
                <w:color w:val="auto"/>
              </w:rPr>
            </w:pPr>
            <w:r>
              <w:rPr>
                <w:rFonts w:ascii="Arial" w:cs="Arial" w:eastAsia="Arial" w:hAnsi="Arial"/>
                <w:sz w:val="15"/>
                <w:szCs w:val="15"/>
                <w:color w:val="auto"/>
              </w:rPr>
              <w:t>Arthur Rosenthal, Ph.D.</w:t>
            </w:r>
          </w:p>
        </w:tc>
        <w:tc>
          <w:tcPr>
            <w:tcW w:w="840" w:type="dxa"/>
            <w:vAlign w:val="bottom"/>
          </w:tcPr>
          <w:p>
            <w:pPr>
              <w:jc w:val="right"/>
              <w:spacing w:after="0"/>
              <w:rPr>
                <w:sz w:val="20"/>
                <w:szCs w:val="20"/>
                <w:color w:val="auto"/>
              </w:rPr>
            </w:pPr>
            <w:r>
              <w:rPr>
                <w:rFonts w:ascii="Arial" w:cs="Arial" w:eastAsia="Arial" w:hAnsi="Arial"/>
                <w:sz w:val="15"/>
                <w:szCs w:val="15"/>
                <w:color w:val="auto"/>
              </w:rPr>
              <w:t>18,615</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18,615</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Andrea Saia</w:t>
            </w:r>
          </w:p>
        </w:tc>
        <w:tc>
          <w:tcPr>
            <w:tcW w:w="84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2,998</w:t>
            </w:r>
          </w:p>
        </w:tc>
        <w:tc>
          <w:tcPr>
            <w:tcW w:w="1320" w:type="dxa"/>
            <w:vAlign w:val="bottom"/>
            <w:tcBorders>
              <w:bottom w:val="single" w:sz="8" w:color="EFE9FC"/>
            </w:tcBorders>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EFE9FC"/>
            </w:tcBorders>
            <w:shd w:val="clear" w:color="auto" w:fill="EFE9FC"/>
          </w:tcPr>
          <w:p>
            <w:pPr>
              <w:jc w:val="right"/>
              <w:ind w:right="24"/>
              <w:spacing w:after="0"/>
              <w:rPr>
                <w:sz w:val="20"/>
                <w:szCs w:val="20"/>
                <w:color w:val="auto"/>
              </w:rPr>
            </w:pPr>
            <w:r>
              <w:rPr>
                <w:rFonts w:ascii="Arial" w:cs="Arial" w:eastAsia="Arial" w:hAnsi="Arial"/>
                <w:sz w:val="15"/>
                <w:szCs w:val="15"/>
                <w:color w:val="auto"/>
              </w:rPr>
              <w:t>2,998</w:t>
            </w:r>
          </w:p>
        </w:tc>
        <w:tc>
          <w:tcPr>
            <w:tcW w:w="900" w:type="dxa"/>
            <w:vAlign w:val="bottom"/>
            <w:tcBorders>
              <w:bottom w:val="single" w:sz="8" w:color="EFE9FC"/>
            </w:tcBorders>
            <w:shd w:val="clear" w:color="auto" w:fill="EFE9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5160" w:type="dxa"/>
            <w:vAlign w:val="bottom"/>
            <w:tcBorders>
              <w:top w:val="single" w:sz="8" w:color="EFE9FC"/>
            </w:tcBorders>
          </w:tcPr>
          <w:p>
            <w:pPr>
              <w:ind w:left="40"/>
              <w:spacing w:after="0"/>
              <w:rPr>
                <w:sz w:val="20"/>
                <w:szCs w:val="20"/>
                <w:color w:val="auto"/>
              </w:rPr>
            </w:pPr>
            <w:r>
              <w:rPr>
                <w:rFonts w:ascii="Arial" w:cs="Arial" w:eastAsia="Arial" w:hAnsi="Arial"/>
                <w:sz w:val="15"/>
                <w:szCs w:val="15"/>
                <w:b w:val="1"/>
                <w:bCs w:val="1"/>
                <w:i w:val="1"/>
                <w:iCs w:val="1"/>
                <w:color w:val="auto"/>
              </w:rPr>
              <w:t>All current executive officers and directors as a group (14 persons)</w:t>
            </w:r>
          </w:p>
        </w:tc>
        <w:tc>
          <w:tcPr>
            <w:tcW w:w="840" w:type="dxa"/>
            <w:vAlign w:val="bottom"/>
            <w:tcBorders>
              <w:top w:val="single" w:sz="8" w:color="6A2887"/>
            </w:tcBorders>
          </w:tcPr>
          <w:p>
            <w:pPr>
              <w:jc w:val="right"/>
              <w:spacing w:after="0"/>
              <w:rPr>
                <w:sz w:val="20"/>
                <w:szCs w:val="20"/>
                <w:color w:val="auto"/>
              </w:rPr>
            </w:pPr>
            <w:r>
              <w:rPr>
                <w:rFonts w:ascii="Arial" w:cs="Arial" w:eastAsia="Arial" w:hAnsi="Arial"/>
                <w:sz w:val="15"/>
                <w:szCs w:val="15"/>
                <w:color w:val="auto"/>
              </w:rPr>
              <w:t>214,667</w:t>
            </w:r>
          </w:p>
        </w:tc>
        <w:tc>
          <w:tcPr>
            <w:tcW w:w="1320" w:type="dxa"/>
            <w:vAlign w:val="bottom"/>
            <w:tcBorders>
              <w:top w:val="single" w:sz="8" w:color="6A2887"/>
            </w:tcBorders>
          </w:tcPr>
          <w:p>
            <w:pPr>
              <w:jc w:val="right"/>
              <w:ind w:right="44"/>
              <w:spacing w:after="0"/>
              <w:rPr>
                <w:sz w:val="20"/>
                <w:szCs w:val="20"/>
                <w:color w:val="auto"/>
              </w:rPr>
            </w:pPr>
            <w:r>
              <w:rPr>
                <w:rFonts w:ascii="Arial" w:cs="Arial" w:eastAsia="Arial" w:hAnsi="Arial"/>
                <w:sz w:val="15"/>
                <w:szCs w:val="15"/>
                <w:color w:val="auto"/>
              </w:rPr>
              <w:t>18,391</w:t>
            </w:r>
          </w:p>
        </w:tc>
        <w:tc>
          <w:tcPr>
            <w:tcW w:w="960" w:type="dxa"/>
            <w:vAlign w:val="bottom"/>
            <w:tcBorders>
              <w:top w:val="single" w:sz="8" w:color="6A2887"/>
            </w:tcBorders>
          </w:tcPr>
          <w:p>
            <w:pPr>
              <w:jc w:val="right"/>
              <w:ind w:right="24"/>
              <w:spacing w:after="0"/>
              <w:rPr>
                <w:sz w:val="20"/>
                <w:szCs w:val="20"/>
                <w:color w:val="auto"/>
              </w:rPr>
            </w:pPr>
            <w:r>
              <w:rPr>
                <w:rFonts w:ascii="Arial" w:cs="Arial" w:eastAsia="Arial" w:hAnsi="Arial"/>
                <w:sz w:val="15"/>
                <w:szCs w:val="15"/>
                <w:color w:val="auto"/>
              </w:rPr>
              <w:t>233,058</w:t>
            </w:r>
          </w:p>
        </w:tc>
        <w:tc>
          <w:tcPr>
            <w:tcW w:w="900" w:type="dxa"/>
            <w:vAlign w:val="bottom"/>
            <w:tcBorders>
              <w:top w:val="single" w:sz="8" w:color="6A2887"/>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5160" w:type="dxa"/>
            <w:vAlign w:val="bottom"/>
            <w:tcBorders>
              <w:bottom w:val="single" w:sz="8" w:color="EFE9FC"/>
            </w:tcBorders>
          </w:tcPr>
          <w:p>
            <w:pPr>
              <w:spacing w:after="0" w:line="20" w:lineRule="exact"/>
              <w:rPr>
                <w:sz w:val="1"/>
                <w:szCs w:val="1"/>
                <w:color w:val="auto"/>
              </w:rPr>
            </w:pPr>
          </w:p>
        </w:tc>
        <w:tc>
          <w:tcPr>
            <w:tcW w:w="840" w:type="dxa"/>
            <w:vAlign w:val="bottom"/>
            <w:tcBorders>
              <w:bottom w:val="single" w:sz="8" w:color="6A2887"/>
            </w:tcBorders>
          </w:tcPr>
          <w:p>
            <w:pPr>
              <w:spacing w:after="0" w:line="20" w:lineRule="exact"/>
              <w:rPr>
                <w:sz w:val="1"/>
                <w:szCs w:val="1"/>
                <w:color w:val="auto"/>
              </w:rPr>
            </w:pPr>
          </w:p>
        </w:tc>
        <w:tc>
          <w:tcPr>
            <w:tcW w:w="1320" w:type="dxa"/>
            <w:vAlign w:val="bottom"/>
            <w:tcBorders>
              <w:bottom w:val="single" w:sz="8" w:color="6A2887"/>
            </w:tcBorders>
          </w:tcPr>
          <w:p>
            <w:pPr>
              <w:spacing w:after="0" w:line="20" w:lineRule="exact"/>
              <w:rPr>
                <w:sz w:val="1"/>
                <w:szCs w:val="1"/>
                <w:color w:val="auto"/>
              </w:rPr>
            </w:pPr>
          </w:p>
        </w:tc>
        <w:tc>
          <w:tcPr>
            <w:tcW w:w="960" w:type="dxa"/>
            <w:vAlign w:val="bottom"/>
            <w:tcBorders>
              <w:bottom w:val="single" w:sz="8" w:color="6A2887"/>
            </w:tcBorders>
          </w:tcPr>
          <w:p>
            <w:pPr>
              <w:spacing w:after="0" w:line="20" w:lineRule="exact"/>
              <w:rPr>
                <w:sz w:val="1"/>
                <w:szCs w:val="1"/>
                <w:color w:val="auto"/>
              </w:rPr>
            </w:pPr>
          </w:p>
        </w:tc>
        <w:tc>
          <w:tcPr>
            <w:tcW w:w="900" w:type="dxa"/>
            <w:vAlign w:val="bottom"/>
            <w:tcBorders>
              <w:bottom w:val="single" w:sz="8" w:color="6A288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60" w:type="dxa"/>
            <w:vAlign w:val="bottom"/>
            <w:shd w:val="clear" w:color="auto" w:fill="EFE9FC"/>
          </w:tcPr>
          <w:p>
            <w:pPr>
              <w:ind w:left="40"/>
              <w:spacing w:after="0" w:line="250" w:lineRule="exact"/>
              <w:rPr>
                <w:sz w:val="20"/>
                <w:szCs w:val="20"/>
                <w:color w:val="auto"/>
              </w:rPr>
            </w:pPr>
            <w:r>
              <w:rPr>
                <w:rFonts w:ascii="Arial" w:cs="Arial" w:eastAsia="Arial" w:hAnsi="Arial"/>
                <w:sz w:val="15"/>
                <w:szCs w:val="15"/>
                <w:b w:val="1"/>
                <w:bCs w:val="1"/>
                <w:i w:val="1"/>
                <w:iCs w:val="1"/>
                <w:color w:val="auto"/>
              </w:rPr>
              <w:t>5% Holders:</w:t>
            </w:r>
            <w:r>
              <w:rPr>
                <w:rFonts w:ascii="Arial" w:cs="Arial" w:eastAsia="Arial" w:hAnsi="Arial"/>
                <w:sz w:val="23"/>
                <w:szCs w:val="23"/>
                <w:b w:val="1"/>
                <w:bCs w:val="1"/>
                <w:i w:val="1"/>
                <w:iCs w:val="1"/>
                <w:color w:val="auto"/>
                <w:vertAlign w:val="superscript"/>
              </w:rPr>
              <w:t>(5)</w:t>
            </w:r>
          </w:p>
        </w:tc>
        <w:tc>
          <w:tcPr>
            <w:tcW w:w="840" w:type="dxa"/>
            <w:vAlign w:val="bottom"/>
            <w:shd w:val="clear" w:color="auto" w:fill="EFE9FC"/>
          </w:tcPr>
          <w:p>
            <w:pPr>
              <w:spacing w:after="0"/>
              <w:rPr>
                <w:sz w:val="22"/>
                <w:szCs w:val="22"/>
                <w:color w:val="auto"/>
              </w:rPr>
            </w:pPr>
          </w:p>
        </w:tc>
        <w:tc>
          <w:tcPr>
            <w:tcW w:w="1320" w:type="dxa"/>
            <w:vAlign w:val="bottom"/>
            <w:shd w:val="clear" w:color="auto" w:fill="EFE9FC"/>
          </w:tcPr>
          <w:p>
            <w:pPr>
              <w:spacing w:after="0"/>
              <w:rPr>
                <w:sz w:val="22"/>
                <w:szCs w:val="22"/>
                <w:color w:val="auto"/>
              </w:rPr>
            </w:pPr>
          </w:p>
        </w:tc>
        <w:tc>
          <w:tcPr>
            <w:tcW w:w="960" w:type="dxa"/>
            <w:vAlign w:val="bottom"/>
            <w:shd w:val="clear" w:color="auto" w:fill="EFE9FC"/>
          </w:tcPr>
          <w:p>
            <w:pPr>
              <w:spacing w:after="0"/>
              <w:rPr>
                <w:sz w:val="22"/>
                <w:szCs w:val="22"/>
                <w:color w:val="auto"/>
              </w:rPr>
            </w:pPr>
          </w:p>
        </w:tc>
        <w:tc>
          <w:tcPr>
            <w:tcW w:w="900" w:type="dxa"/>
            <w:vAlign w:val="bottom"/>
            <w:shd w:val="clear" w:color="auto" w:fill="EFE9FC"/>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5"/>
                <w:szCs w:val="15"/>
                <w:color w:val="auto"/>
              </w:rPr>
              <w:t>5,954,330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5,954,330</w:t>
            </w:r>
          </w:p>
        </w:tc>
        <w:tc>
          <w:tcPr>
            <w:tcW w:w="900" w:type="dxa"/>
            <w:vAlign w:val="bottom"/>
          </w:tcPr>
          <w:p>
            <w:pPr>
              <w:jc w:val="right"/>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New York, NY 10055</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55 East 52nd Street</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160" w:type="dxa"/>
            <w:vAlign w:val="bottom"/>
            <w:shd w:val="clear" w:color="auto" w:fill="EFE9FC"/>
          </w:tcPr>
          <w:p>
            <w:pPr>
              <w:ind w:left="40"/>
              <w:spacing w:after="0" w:line="253" w:lineRule="exact"/>
              <w:rPr>
                <w:sz w:val="20"/>
                <w:szCs w:val="20"/>
                <w:color w:val="auto"/>
              </w:rPr>
            </w:pPr>
            <w:r>
              <w:rPr>
                <w:rFonts w:ascii="Arial" w:cs="Arial" w:eastAsia="Arial" w:hAnsi="Arial"/>
                <w:sz w:val="15"/>
                <w:szCs w:val="15"/>
                <w:color w:val="auto"/>
              </w:rPr>
              <w:t>Franklin Resources, Inc.</w:t>
            </w:r>
            <w:r>
              <w:rPr>
                <w:rFonts w:ascii="Arial" w:cs="Arial" w:eastAsia="Arial" w:hAnsi="Arial"/>
                <w:sz w:val="23"/>
                <w:szCs w:val="23"/>
                <w:color w:val="auto"/>
                <w:vertAlign w:val="superscript"/>
              </w:rPr>
              <w:t>(7)</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3,348,444</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3,348,444</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84"/>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One Franklin Parkway</w:t>
            </w:r>
          </w:p>
        </w:tc>
        <w:tc>
          <w:tcPr>
            <w:tcW w:w="840" w:type="dxa"/>
            <w:vAlign w:val="bottom"/>
            <w:shd w:val="clear" w:color="auto" w:fill="EFE9FC"/>
          </w:tcPr>
          <w:p>
            <w:pPr>
              <w:spacing w:after="0"/>
              <w:rPr>
                <w:sz w:val="16"/>
                <w:szCs w:val="16"/>
                <w:color w:val="auto"/>
              </w:rPr>
            </w:pPr>
          </w:p>
        </w:tc>
        <w:tc>
          <w:tcPr>
            <w:tcW w:w="1320" w:type="dxa"/>
            <w:vAlign w:val="bottom"/>
            <w:shd w:val="clear" w:color="auto" w:fill="EFE9FC"/>
          </w:tcPr>
          <w:p>
            <w:pPr>
              <w:spacing w:after="0"/>
              <w:rPr>
                <w:sz w:val="16"/>
                <w:szCs w:val="16"/>
                <w:color w:val="auto"/>
              </w:rPr>
            </w:pPr>
          </w:p>
        </w:tc>
        <w:tc>
          <w:tcPr>
            <w:tcW w:w="960" w:type="dxa"/>
            <w:vAlign w:val="bottom"/>
            <w:shd w:val="clear" w:color="auto" w:fill="EFE9FC"/>
          </w:tcPr>
          <w:p>
            <w:pPr>
              <w:spacing w:after="0"/>
              <w:rPr>
                <w:sz w:val="16"/>
                <w:szCs w:val="16"/>
                <w:color w:val="auto"/>
              </w:rPr>
            </w:pPr>
          </w:p>
        </w:tc>
        <w:tc>
          <w:tcPr>
            <w:tcW w:w="900" w:type="dxa"/>
            <w:vAlign w:val="bottom"/>
            <w:shd w:val="clear" w:color="auto" w:fill="EFE9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San Mateo, CA 94403-1906</w:t>
            </w:r>
          </w:p>
        </w:tc>
        <w:tc>
          <w:tcPr>
            <w:tcW w:w="840" w:type="dxa"/>
            <w:vAlign w:val="bottom"/>
            <w:tcBorders>
              <w:bottom w:val="single" w:sz="8" w:color="EFE9FC"/>
            </w:tcBorders>
            <w:shd w:val="clear" w:color="auto" w:fill="EFE9FC"/>
          </w:tcPr>
          <w:p>
            <w:pPr>
              <w:spacing w:after="0"/>
              <w:rPr>
                <w:sz w:val="17"/>
                <w:szCs w:val="17"/>
                <w:color w:val="auto"/>
              </w:rPr>
            </w:pPr>
          </w:p>
        </w:tc>
        <w:tc>
          <w:tcPr>
            <w:tcW w:w="1320" w:type="dxa"/>
            <w:vAlign w:val="bottom"/>
            <w:tcBorders>
              <w:bottom w:val="single" w:sz="8" w:color="EFE9FC"/>
            </w:tcBorders>
            <w:shd w:val="clear" w:color="auto" w:fill="EFE9FC"/>
          </w:tcPr>
          <w:p>
            <w:pPr>
              <w:spacing w:after="0"/>
              <w:rPr>
                <w:sz w:val="17"/>
                <w:szCs w:val="17"/>
                <w:color w:val="auto"/>
              </w:rPr>
            </w:pPr>
          </w:p>
        </w:tc>
        <w:tc>
          <w:tcPr>
            <w:tcW w:w="960" w:type="dxa"/>
            <w:vAlign w:val="bottom"/>
            <w:tcBorders>
              <w:bottom w:val="single" w:sz="8" w:color="EFE9FC"/>
            </w:tcBorders>
            <w:shd w:val="clear" w:color="auto" w:fill="EFE9FC"/>
          </w:tcPr>
          <w:p>
            <w:pPr>
              <w:spacing w:after="0"/>
              <w:rPr>
                <w:sz w:val="17"/>
                <w:szCs w:val="17"/>
                <w:color w:val="auto"/>
              </w:rPr>
            </w:pPr>
          </w:p>
        </w:tc>
        <w:tc>
          <w:tcPr>
            <w:tcW w:w="900" w:type="dxa"/>
            <w:vAlign w:val="bottom"/>
            <w:tcBorders>
              <w:bottom w:val="single" w:sz="8" w:color="EFE9FC"/>
            </w:tcBorders>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T. Rowe Price Associates, Inc.</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5"/>
                <w:szCs w:val="15"/>
                <w:color w:val="auto"/>
              </w:rPr>
              <w:t>2,766,521</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2,766,521</w:t>
            </w:r>
          </w:p>
        </w:tc>
        <w:tc>
          <w:tcPr>
            <w:tcW w:w="900" w:type="dxa"/>
            <w:vAlign w:val="bottom"/>
          </w:tcPr>
          <w:p>
            <w:pPr>
              <w:jc w:val="right"/>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100 E. Pratt Street</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Baltimore, MD 21202</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160" w:type="dxa"/>
            <w:vAlign w:val="bottom"/>
            <w:shd w:val="clear" w:color="auto" w:fill="EFE9FC"/>
          </w:tcPr>
          <w:p>
            <w:pPr>
              <w:ind w:left="40"/>
              <w:spacing w:after="0" w:line="253" w:lineRule="exact"/>
              <w:rPr>
                <w:sz w:val="20"/>
                <w:szCs w:val="20"/>
                <w:color w:val="auto"/>
              </w:rPr>
            </w:pPr>
            <w:r>
              <w:rPr>
                <w:rFonts w:ascii="Arial" w:cs="Arial" w:eastAsia="Arial" w:hAnsi="Arial"/>
                <w:sz w:val="15"/>
                <w:szCs w:val="15"/>
                <w:color w:val="auto"/>
              </w:rPr>
              <w:t>Harris Associates L.P.</w:t>
            </w:r>
            <w:r>
              <w:rPr>
                <w:rFonts w:ascii="Arial" w:cs="Arial" w:eastAsia="Arial" w:hAnsi="Arial"/>
                <w:sz w:val="23"/>
                <w:szCs w:val="23"/>
                <w:color w:val="auto"/>
                <w:vertAlign w:val="superscript"/>
              </w:rPr>
              <w:t>(9)</w:t>
            </w:r>
          </w:p>
        </w:tc>
        <w:tc>
          <w:tcPr>
            <w:tcW w:w="840" w:type="dxa"/>
            <w:vAlign w:val="bottom"/>
            <w:shd w:val="clear" w:color="auto" w:fill="EFE9FC"/>
          </w:tcPr>
          <w:p>
            <w:pPr>
              <w:jc w:val="right"/>
              <w:spacing w:after="0"/>
              <w:rPr>
                <w:sz w:val="20"/>
                <w:szCs w:val="20"/>
                <w:color w:val="auto"/>
              </w:rPr>
            </w:pPr>
            <w:r>
              <w:rPr>
                <w:rFonts w:ascii="Arial" w:cs="Arial" w:eastAsia="Arial" w:hAnsi="Arial"/>
                <w:sz w:val="15"/>
                <w:szCs w:val="15"/>
                <w:color w:val="auto"/>
              </w:rPr>
              <w:t>2,697,007</w:t>
            </w:r>
          </w:p>
        </w:tc>
        <w:tc>
          <w:tcPr>
            <w:tcW w:w="1320" w:type="dxa"/>
            <w:vAlign w:val="bottom"/>
            <w:shd w:val="clear" w:color="auto" w:fill="EFE9FC"/>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shd w:val="clear" w:color="auto" w:fill="EFE9FC"/>
          </w:tcPr>
          <w:p>
            <w:pPr>
              <w:jc w:val="right"/>
              <w:ind w:right="24"/>
              <w:spacing w:after="0"/>
              <w:rPr>
                <w:sz w:val="20"/>
                <w:szCs w:val="20"/>
                <w:color w:val="auto"/>
              </w:rPr>
            </w:pPr>
            <w:r>
              <w:rPr>
                <w:rFonts w:ascii="Arial" w:cs="Arial" w:eastAsia="Arial" w:hAnsi="Arial"/>
                <w:sz w:val="15"/>
                <w:szCs w:val="15"/>
                <w:color w:val="auto"/>
              </w:rPr>
              <w:t>2,697,007</w:t>
            </w:r>
          </w:p>
        </w:tc>
        <w:tc>
          <w:tcPr>
            <w:tcW w:w="900" w:type="dxa"/>
            <w:vAlign w:val="bottom"/>
            <w:shd w:val="clear" w:color="auto" w:fill="EFE9FC"/>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r>
        <w:trPr>
          <w:trHeight w:val="184"/>
        </w:trPr>
        <w:tc>
          <w:tcPr>
            <w:tcW w:w="5160" w:type="dxa"/>
            <w:vAlign w:val="bottom"/>
            <w:shd w:val="clear" w:color="auto" w:fill="EFE9FC"/>
          </w:tcPr>
          <w:p>
            <w:pPr>
              <w:ind w:left="40"/>
              <w:spacing w:after="0"/>
              <w:rPr>
                <w:sz w:val="20"/>
                <w:szCs w:val="20"/>
                <w:color w:val="auto"/>
              </w:rPr>
            </w:pPr>
            <w:r>
              <w:rPr>
                <w:rFonts w:ascii="Arial" w:cs="Arial" w:eastAsia="Arial" w:hAnsi="Arial"/>
                <w:sz w:val="15"/>
                <w:szCs w:val="15"/>
                <w:color w:val="auto"/>
              </w:rPr>
              <w:t>111. S. Wacker, Suite 4000</w:t>
            </w:r>
          </w:p>
        </w:tc>
        <w:tc>
          <w:tcPr>
            <w:tcW w:w="840" w:type="dxa"/>
            <w:vAlign w:val="bottom"/>
            <w:shd w:val="clear" w:color="auto" w:fill="EFE9FC"/>
          </w:tcPr>
          <w:p>
            <w:pPr>
              <w:spacing w:after="0"/>
              <w:rPr>
                <w:sz w:val="16"/>
                <w:szCs w:val="16"/>
                <w:color w:val="auto"/>
              </w:rPr>
            </w:pPr>
          </w:p>
        </w:tc>
        <w:tc>
          <w:tcPr>
            <w:tcW w:w="1320" w:type="dxa"/>
            <w:vAlign w:val="bottom"/>
            <w:shd w:val="clear" w:color="auto" w:fill="EFE9FC"/>
          </w:tcPr>
          <w:p>
            <w:pPr>
              <w:spacing w:after="0"/>
              <w:rPr>
                <w:sz w:val="16"/>
                <w:szCs w:val="16"/>
                <w:color w:val="auto"/>
              </w:rPr>
            </w:pPr>
          </w:p>
        </w:tc>
        <w:tc>
          <w:tcPr>
            <w:tcW w:w="960" w:type="dxa"/>
            <w:vAlign w:val="bottom"/>
            <w:shd w:val="clear" w:color="auto" w:fill="EFE9FC"/>
          </w:tcPr>
          <w:p>
            <w:pPr>
              <w:spacing w:after="0"/>
              <w:rPr>
                <w:sz w:val="16"/>
                <w:szCs w:val="16"/>
                <w:color w:val="auto"/>
              </w:rPr>
            </w:pPr>
          </w:p>
        </w:tc>
        <w:tc>
          <w:tcPr>
            <w:tcW w:w="900" w:type="dxa"/>
            <w:vAlign w:val="bottom"/>
            <w:shd w:val="clear" w:color="auto" w:fill="EFE9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60" w:type="dxa"/>
            <w:vAlign w:val="bottom"/>
            <w:tcBorders>
              <w:bottom w:val="single" w:sz="8" w:color="EFE9FC"/>
            </w:tcBorders>
            <w:shd w:val="clear" w:color="auto" w:fill="EFE9FC"/>
          </w:tcPr>
          <w:p>
            <w:pPr>
              <w:ind w:left="40"/>
              <w:spacing w:after="0"/>
              <w:rPr>
                <w:sz w:val="20"/>
                <w:szCs w:val="20"/>
                <w:color w:val="auto"/>
              </w:rPr>
            </w:pPr>
            <w:r>
              <w:rPr>
                <w:rFonts w:ascii="Arial" w:cs="Arial" w:eastAsia="Arial" w:hAnsi="Arial"/>
                <w:sz w:val="15"/>
                <w:szCs w:val="15"/>
                <w:color w:val="auto"/>
              </w:rPr>
              <w:t>Chicago, IL 60606</w:t>
            </w:r>
          </w:p>
        </w:tc>
        <w:tc>
          <w:tcPr>
            <w:tcW w:w="840" w:type="dxa"/>
            <w:vAlign w:val="bottom"/>
            <w:tcBorders>
              <w:bottom w:val="single" w:sz="8" w:color="EFE9FC"/>
            </w:tcBorders>
            <w:shd w:val="clear" w:color="auto" w:fill="EFE9FC"/>
          </w:tcPr>
          <w:p>
            <w:pPr>
              <w:spacing w:after="0"/>
              <w:rPr>
                <w:sz w:val="17"/>
                <w:szCs w:val="17"/>
                <w:color w:val="auto"/>
              </w:rPr>
            </w:pPr>
          </w:p>
        </w:tc>
        <w:tc>
          <w:tcPr>
            <w:tcW w:w="1320" w:type="dxa"/>
            <w:vAlign w:val="bottom"/>
            <w:tcBorders>
              <w:bottom w:val="single" w:sz="8" w:color="EFE9FC"/>
            </w:tcBorders>
            <w:shd w:val="clear" w:color="auto" w:fill="EFE9FC"/>
          </w:tcPr>
          <w:p>
            <w:pPr>
              <w:spacing w:after="0"/>
              <w:rPr>
                <w:sz w:val="17"/>
                <w:szCs w:val="17"/>
                <w:color w:val="auto"/>
              </w:rPr>
            </w:pPr>
          </w:p>
        </w:tc>
        <w:tc>
          <w:tcPr>
            <w:tcW w:w="960" w:type="dxa"/>
            <w:vAlign w:val="bottom"/>
            <w:tcBorders>
              <w:bottom w:val="single" w:sz="8" w:color="EFE9FC"/>
            </w:tcBorders>
            <w:shd w:val="clear" w:color="auto" w:fill="EFE9FC"/>
          </w:tcPr>
          <w:p>
            <w:pPr>
              <w:spacing w:after="0"/>
              <w:rPr>
                <w:sz w:val="17"/>
                <w:szCs w:val="17"/>
                <w:color w:val="auto"/>
              </w:rPr>
            </w:pPr>
          </w:p>
        </w:tc>
        <w:tc>
          <w:tcPr>
            <w:tcW w:w="900" w:type="dxa"/>
            <w:vAlign w:val="bottom"/>
            <w:tcBorders>
              <w:bottom w:val="single" w:sz="8" w:color="EFE9FC"/>
            </w:tcBorders>
            <w:shd w:val="clear" w:color="auto" w:fill="EFE9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160" w:type="dxa"/>
            <w:vAlign w:val="bottom"/>
          </w:tcPr>
          <w:p>
            <w:pPr>
              <w:ind w:left="40"/>
              <w:spacing w:after="0" w:line="240" w:lineRule="exact"/>
              <w:rPr>
                <w:sz w:val="20"/>
                <w:szCs w:val="20"/>
                <w:color w:val="auto"/>
              </w:rPr>
            </w:pPr>
            <w:r>
              <w:rPr>
                <w:rFonts w:ascii="Arial" w:cs="Arial" w:eastAsia="Arial" w:hAnsi="Arial"/>
                <w:sz w:val="15"/>
                <w:szCs w:val="15"/>
                <w:color w:val="auto"/>
              </w:rPr>
              <w:t>PRIMECAP Management Company</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5"/>
                <w:szCs w:val="15"/>
                <w:color w:val="auto"/>
              </w:rPr>
              <w:t>2,437,830</w:t>
            </w: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2,437,830</w:t>
            </w:r>
          </w:p>
        </w:tc>
        <w:tc>
          <w:tcPr>
            <w:tcW w:w="900" w:type="dxa"/>
            <w:vAlign w:val="bottom"/>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84"/>
        </w:trPr>
        <w:tc>
          <w:tcPr>
            <w:tcW w:w="5160" w:type="dxa"/>
            <w:vAlign w:val="bottom"/>
          </w:tcPr>
          <w:p>
            <w:pPr>
              <w:ind w:left="40"/>
              <w:spacing w:after="0"/>
              <w:rPr>
                <w:sz w:val="20"/>
                <w:szCs w:val="20"/>
                <w:color w:val="auto"/>
              </w:rPr>
            </w:pPr>
            <w:r>
              <w:rPr>
                <w:rFonts w:ascii="Arial" w:cs="Arial" w:eastAsia="Arial" w:hAnsi="Arial"/>
                <w:sz w:val="15"/>
                <w:szCs w:val="15"/>
                <w:color w:val="auto"/>
              </w:rPr>
              <w:t>177 E. Colorado Blvd., 11th Floor</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5"/>
                <w:szCs w:val="15"/>
                <w:color w:val="auto"/>
              </w:rPr>
              <w:t>Pasadena, CA 91105</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58293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-2214245</wp:posOffset>
            </wp:positionV>
            <wp:extent cx="32746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4" w:lineRule="exact"/>
        <w:rPr>
          <w:sz w:val="20"/>
          <w:szCs w:val="20"/>
          <w:color w:val="auto"/>
        </w:rPr>
      </w:pPr>
    </w:p>
    <w:p>
      <w:pPr>
        <w:ind w:left="1040" w:hanging="276"/>
        <w:spacing w:after="0"/>
        <w:tabs>
          <w:tab w:leader="none" w:pos="1040" w:val="left"/>
        </w:tabs>
        <w:numPr>
          <w:ilvl w:val="0"/>
          <w:numId w:val="85"/>
        </w:numPr>
        <w:rPr>
          <w:rFonts w:ascii="Arial" w:cs="Arial" w:eastAsia="Arial" w:hAnsi="Arial"/>
          <w:sz w:val="13"/>
          <w:szCs w:val="13"/>
          <w:i w:val="1"/>
          <w:iCs w:val="1"/>
          <w:color w:val="auto"/>
        </w:rPr>
      </w:pPr>
      <w:r>
        <w:rPr>
          <w:rFonts w:ascii="Arial" w:cs="Arial" w:eastAsia="Arial" w:hAnsi="Arial"/>
          <w:sz w:val="13"/>
          <w:szCs w:val="13"/>
          <w:i w:val="1"/>
          <w:iCs w:val="1"/>
          <w:color w:val="auto"/>
        </w:rPr>
        <w:t>Less than 1%</w:t>
      </w:r>
    </w:p>
    <w:p>
      <w:pPr>
        <w:spacing w:after="0" w:line="27" w:lineRule="exact"/>
        <w:rPr>
          <w:sz w:val="20"/>
          <w:szCs w:val="20"/>
          <w:color w:val="auto"/>
        </w:rPr>
      </w:pPr>
    </w:p>
    <w:p>
      <w:pPr>
        <w:ind w:left="1040" w:right="780" w:hanging="276"/>
        <w:spacing w:after="0" w:line="280" w:lineRule="auto"/>
        <w:tabs>
          <w:tab w:leader="none" w:pos="1040" w:val="left"/>
        </w:tabs>
        <w:numPr>
          <w:ilvl w:val="0"/>
          <w:numId w:val="86"/>
        </w:numPr>
        <w:rPr>
          <w:rFonts w:ascii="Arial" w:cs="Arial" w:eastAsia="Arial" w:hAnsi="Arial"/>
          <w:sz w:val="13"/>
          <w:szCs w:val="13"/>
          <w:i w:val="1"/>
          <w:iCs w:val="1"/>
          <w:color w:val="auto"/>
        </w:rPr>
      </w:pPr>
      <w:r>
        <w:rPr>
          <w:rFonts w:ascii="Arial" w:cs="Arial" w:eastAsia="Arial" w:hAnsi="Arial"/>
          <w:sz w:val="13"/>
          <w:szCs w:val="13"/>
          <w:i w:val="1"/>
          <w:iCs w:val="1"/>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Share </w:t>
      </w:r>
      <w:r>
        <w:rPr>
          <w:rFonts w:ascii="Arial" w:cs="Arial" w:eastAsia="Arial" w:hAnsi="Arial"/>
          <w:sz w:val="13"/>
          <w:szCs w:val="13"/>
          <w:b w:val="1"/>
          <w:bCs w:val="1"/>
          <w:color w:val="666666"/>
        </w:rPr>
        <w:t>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right="279"/>
        <w:spacing w:after="0" w:line="249" w:lineRule="auto"/>
        <w:rPr>
          <w:sz w:val="20"/>
          <w:szCs w:val="20"/>
          <w:color w:val="auto"/>
        </w:rPr>
      </w:pPr>
      <w:r>
        <w:rPr>
          <w:rFonts w:ascii="Arial" w:cs="Arial" w:eastAsia="Arial" w:hAnsi="Arial"/>
          <w:sz w:val="13"/>
          <w:szCs w:val="13"/>
          <w:i w:val="1"/>
          <w:iCs w:val="1"/>
          <w:color w:val="auto"/>
        </w:rPr>
        <w:t>2020,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w:t>
      </w:r>
    </w:p>
    <w:p>
      <w:pPr>
        <w:spacing w:after="0" w:line="1" w:lineRule="exact"/>
        <w:rPr>
          <w:sz w:val="20"/>
          <w:szCs w:val="20"/>
          <w:color w:val="auto"/>
        </w:rPr>
      </w:pPr>
    </w:p>
    <w:p>
      <w:pPr>
        <w:ind w:left="1040" w:hanging="276"/>
        <w:spacing w:after="0"/>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Based on total shares outstanding of 48,579,200 as of April 20, 2020.</w:t>
      </w:r>
    </w:p>
    <w:p>
      <w:pPr>
        <w:spacing w:after="0" w:line="26" w:lineRule="exact"/>
        <w:rPr>
          <w:rFonts w:ascii="Arial" w:cs="Arial" w:eastAsia="Arial" w:hAnsi="Arial"/>
          <w:sz w:val="13"/>
          <w:szCs w:val="13"/>
          <w:i w:val="1"/>
          <w:iCs w:val="1"/>
          <w:color w:val="auto"/>
        </w:rPr>
      </w:pPr>
    </w:p>
    <w:p>
      <w:pPr>
        <w:ind w:left="1040" w:right="539" w:hanging="276"/>
        <w:spacing w:after="0" w:line="260"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ind w:left="1040" w:hanging="276"/>
        <w:spacing w:after="0"/>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1,520 shares owned by Mr. Morrison are pledged as collateral in connection with a margin account.</w:t>
      </w:r>
    </w:p>
    <w:p>
      <w:pPr>
        <w:spacing w:after="0" w:line="26" w:lineRule="exact"/>
        <w:rPr>
          <w:rFonts w:ascii="Arial" w:cs="Arial" w:eastAsia="Arial" w:hAnsi="Arial"/>
          <w:sz w:val="13"/>
          <w:szCs w:val="13"/>
          <w:i w:val="1"/>
          <w:iCs w:val="1"/>
          <w:color w:val="auto"/>
        </w:rPr>
      </w:pPr>
    </w:p>
    <w:p>
      <w:pPr>
        <w:ind w:left="1040" w:hanging="276"/>
        <w:spacing w:after="0"/>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5% holders are as of April 28, 2020, as reported on Schedules 13G filed with the SEC.</w:t>
      </w:r>
    </w:p>
    <w:p>
      <w:pPr>
        <w:spacing w:after="0" w:line="26" w:lineRule="exact"/>
        <w:rPr>
          <w:rFonts w:ascii="Arial" w:cs="Arial" w:eastAsia="Arial" w:hAnsi="Arial"/>
          <w:sz w:val="13"/>
          <w:szCs w:val="13"/>
          <w:i w:val="1"/>
          <w:iCs w:val="1"/>
          <w:color w:val="auto"/>
        </w:rPr>
      </w:pPr>
    </w:p>
    <w:p>
      <w:pPr>
        <w:ind w:left="1040" w:right="299" w:hanging="276"/>
        <w:spacing w:after="0" w:line="252"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of December 31, 2019, based on a Schedule 13G/A filed on February 4, 2020 by BlackRock, Inc. In such Schedule 13G/A, BlackRock, Inc. reported having sole voting power over 5,859,623 shares, shared voting power over no shares, sole dispositive power over 5,954,330 shares and shared dispositive power over no shares.</w:t>
      </w:r>
    </w:p>
    <w:p>
      <w:pPr>
        <w:spacing w:after="0" w:line="1" w:lineRule="exact"/>
        <w:rPr>
          <w:rFonts w:ascii="Arial" w:cs="Arial" w:eastAsia="Arial" w:hAnsi="Arial"/>
          <w:sz w:val="13"/>
          <w:szCs w:val="13"/>
          <w:i w:val="1"/>
          <w:iCs w:val="1"/>
          <w:color w:val="auto"/>
        </w:rPr>
      </w:pPr>
    </w:p>
    <w:p>
      <w:pPr>
        <w:ind w:left="1040" w:right="299" w:hanging="276"/>
        <w:spacing w:after="0" w:line="249"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5, 2020 by Franklin Resources, Inc. and its affiliates. In such Schedule 13G, Franklin Resources, Inc. and its affiliates reported having sole voting power over 2,419,644 shares, shared voting power over 38,000 shares, sole dispositive power over 3,310,444 shares and shared dispositive power over 38,000 shares.</w:t>
      </w:r>
    </w:p>
    <w:p>
      <w:pPr>
        <w:ind w:left="1040" w:right="239" w:hanging="276"/>
        <w:spacing w:after="0" w:line="252"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14, 2020 by T. Rowe Price Associates, Inc. In such Schedule 13G, T. Rowe Price Associates, Inc. reported having sole voting power over 828,934 shares, shared voting power over no shares, sole dispositive power over 2,766,521 shares and shared dispositive power over no shares.</w:t>
      </w:r>
    </w:p>
    <w:p>
      <w:pPr>
        <w:spacing w:after="0" w:line="1" w:lineRule="exact"/>
        <w:rPr>
          <w:rFonts w:ascii="Arial" w:cs="Arial" w:eastAsia="Arial" w:hAnsi="Arial"/>
          <w:sz w:val="13"/>
          <w:szCs w:val="13"/>
          <w:i w:val="1"/>
          <w:iCs w:val="1"/>
          <w:color w:val="auto"/>
        </w:rPr>
      </w:pPr>
    </w:p>
    <w:p>
      <w:pPr>
        <w:ind w:left="1040" w:right="239" w:hanging="276"/>
        <w:spacing w:after="0" w:line="252"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December 31, 2019, based on a Schedule 13G filed on February 14, 2020 by Harris Associates L.P. In such Schedule 13G, Harris Associates L.P. reported having sole voting power over 1,845,813 shares, shared voting power over no shares, sole dispositive power over 2,697,007 shares and shared dispositive power over no shares.</w:t>
      </w:r>
    </w:p>
    <w:p>
      <w:pPr>
        <w:spacing w:after="0" w:line="1" w:lineRule="exact"/>
        <w:rPr>
          <w:rFonts w:ascii="Arial" w:cs="Arial" w:eastAsia="Arial" w:hAnsi="Arial"/>
          <w:sz w:val="13"/>
          <w:szCs w:val="13"/>
          <w:i w:val="1"/>
          <w:iCs w:val="1"/>
          <w:color w:val="auto"/>
        </w:rPr>
      </w:pPr>
    </w:p>
    <w:p>
      <w:pPr>
        <w:ind w:left="1040" w:right="239" w:hanging="276"/>
        <w:spacing w:after="0" w:line="259" w:lineRule="auto"/>
        <w:tabs>
          <w:tab w:leader="none" w:pos="1040" w:val="left"/>
        </w:tabs>
        <w:numPr>
          <w:ilvl w:val="0"/>
          <w:numId w:val="87"/>
        </w:numPr>
        <w:rPr>
          <w:rFonts w:ascii="Arial" w:cs="Arial" w:eastAsia="Arial" w:hAnsi="Arial"/>
          <w:sz w:val="13"/>
          <w:szCs w:val="13"/>
          <w:i w:val="1"/>
          <w:iCs w:val="1"/>
          <w:color w:val="auto"/>
        </w:rPr>
      </w:pPr>
      <w:r>
        <w:rPr>
          <w:rFonts w:ascii="Arial" w:cs="Arial" w:eastAsia="Arial" w:hAnsi="Arial"/>
          <w:sz w:val="13"/>
          <w:szCs w:val="13"/>
          <w:i w:val="1"/>
          <w:iCs w:val="1"/>
          <w:color w:val="auto"/>
        </w:rPr>
        <w:t>The shares set forth in the table reflect the number of shares beneficially owned as March 31, 2020, based on a Schedule 13G filed on April 24, 2020 by PRIMECAP Management Company. In such Schedule 13G, PRIMECAP Management Company reported having sole voting power over 2,437,830 shares, shared voting power over no shares, sole dispositive power over 2,437,830 shares and shared dispositive power over no shares.</w:t>
      </w:r>
    </w:p>
    <w:p>
      <w:pPr>
        <w:spacing w:after="0" w:line="366"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Delinquent Section 16(a) Reports</w:t>
      </w:r>
    </w:p>
    <w:p>
      <w:pPr>
        <w:spacing w:after="0" w:line="146"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81" w:lineRule="exact"/>
        <w:rPr>
          <w:sz w:val="20"/>
          <w:szCs w:val="20"/>
          <w:color w:val="auto"/>
        </w:rPr>
      </w:pPr>
    </w:p>
    <w:p>
      <w:pPr>
        <w:jc w:val="both"/>
        <w:ind w:left="760" w:right="219"/>
        <w:spacing w:after="0" w:line="262" w:lineRule="auto"/>
        <w:rPr>
          <w:sz w:val="20"/>
          <w:szCs w:val="20"/>
          <w:color w:val="auto"/>
        </w:rPr>
      </w:pPr>
      <w:r>
        <w:rPr>
          <w:rFonts w:ascii="Arial" w:cs="Arial" w:eastAsia="Arial" w:hAnsi="Arial"/>
          <w:sz w:val="15"/>
          <w:szCs w:val="15"/>
          <w:color w:val="auto"/>
        </w:rPr>
        <w:t>Based solely on a review of Forms 3, 4, and 5 (including amendments to such forms) furnished to us during and with respect to the year ended December 31, 2019, no director, officer or beneficial owner of more than 10% of our registered shares failed to file on a timely basis reports required by Section 16(a) of the Exchange Act in the year ended December 31, 2019 with the exception of one Form 3 that, as a result of an administrative error, failed to include certain derivative securities owned by Trui Hebbelinck.</w:t>
      </w:r>
    </w:p>
    <w:p>
      <w:pPr>
        <w:spacing w:after="0" w:line="3" w:lineRule="exact"/>
        <w:rPr>
          <w:sz w:val="20"/>
          <w:szCs w:val="20"/>
          <w:color w:val="auto"/>
        </w:rPr>
      </w:pPr>
    </w:p>
    <w:p>
      <w:pPr>
        <w:ind w:left="760" w:right="259"/>
        <w:spacing w:after="0" w:line="253" w:lineRule="auto"/>
        <w:rPr>
          <w:sz w:val="20"/>
          <w:szCs w:val="20"/>
          <w:color w:val="auto"/>
        </w:rPr>
      </w:pPr>
      <w:r>
        <w:rPr>
          <w:rFonts w:ascii="Arial" w:cs="Arial" w:eastAsia="Arial" w:hAnsi="Arial"/>
          <w:sz w:val="16"/>
          <w:szCs w:val="16"/>
          <w:color w:val="auto"/>
        </w:rPr>
        <w:t>Additionally, it was determined that a Form 3 filed to report securities owned by Keyna Skeffington on July 27, 2017 failed to include certain derivative securities as a result of an administrative error. The Form 3 filings of Ms. Hebbelinck and Ms. Skeffington were amended to report such derivative securities.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Other Proposals</w:t>
      </w:r>
    </w:p>
    <w:p>
      <w:pPr>
        <w:spacing w:after="0" w:line="200" w:lineRule="exact"/>
        <w:rPr>
          <w:sz w:val="20"/>
          <w:szCs w:val="20"/>
          <w:color w:val="auto"/>
        </w:rPr>
      </w:pPr>
    </w:p>
    <w:p>
      <w:pPr>
        <w:spacing w:after="0" w:line="218" w:lineRule="exact"/>
        <w:rPr>
          <w:sz w:val="20"/>
          <w:szCs w:val="20"/>
          <w:color w:val="auto"/>
        </w:rPr>
      </w:pPr>
    </w:p>
    <w:p>
      <w:pPr>
        <w:ind w:left="760" w:right="380"/>
        <w:spacing w:after="0" w:line="281" w:lineRule="auto"/>
        <w:rPr>
          <w:sz w:val="20"/>
          <w:szCs w:val="20"/>
          <w:color w:val="auto"/>
        </w:rPr>
      </w:pPr>
      <w:r>
        <w:rPr>
          <w:rFonts w:ascii="Arial" w:cs="Arial" w:eastAsia="Arial" w:hAnsi="Arial"/>
          <w:sz w:val="46"/>
          <w:szCs w:val="46"/>
          <w:b w:val="1"/>
          <w:bCs w:val="1"/>
          <w:color w:val="6A2887"/>
        </w:rPr>
        <w:t xml:space="preserve">Proposal No. 7 </w:t>
      </w:r>
      <w:r>
        <w:rPr>
          <w:rFonts w:ascii="Arial" w:cs="Arial" w:eastAsia="Arial" w:hAnsi="Arial"/>
          <w:sz w:val="46"/>
          <w:szCs w:val="46"/>
          <w:b w:val="1"/>
          <w:bCs w:val="1"/>
          <w:color w:val="666666"/>
        </w:rPr>
        <w:t>Advisory Vote to Approve</w:t>
      </w:r>
      <w:r>
        <w:rPr>
          <w:rFonts w:ascii="Arial" w:cs="Arial" w:eastAsia="Arial" w:hAnsi="Arial"/>
          <w:sz w:val="46"/>
          <w:szCs w:val="46"/>
          <w:b w:val="1"/>
          <w:bCs w:val="1"/>
          <w:color w:val="6A2887"/>
        </w:rPr>
        <w:t xml:space="preserve"> </w:t>
      </w:r>
      <w:r>
        <w:rPr>
          <w:rFonts w:ascii="Arial" w:cs="Arial" w:eastAsia="Arial" w:hAnsi="Arial"/>
          <w:sz w:val="46"/>
          <w:szCs w:val="46"/>
          <w:b w:val="1"/>
          <w:bCs w:val="1"/>
          <w:color w:val="666666"/>
        </w:rPr>
        <w:t>the UK Directors’ Remuneration Report</w:t>
      </w:r>
    </w:p>
    <w:p>
      <w:pPr>
        <w:spacing w:after="0" w:line="1" w:lineRule="exact"/>
        <w:rPr>
          <w:sz w:val="20"/>
          <w:szCs w:val="20"/>
          <w:color w:val="auto"/>
        </w:rPr>
      </w:pPr>
    </w:p>
    <w:p>
      <w:pPr>
        <w:ind w:left="760" w:right="320"/>
        <w:spacing w:after="0" w:line="248" w:lineRule="auto"/>
        <w:rPr>
          <w:sz w:val="20"/>
          <w:szCs w:val="20"/>
          <w:color w:val="auto"/>
        </w:rPr>
      </w:pPr>
      <w:r>
        <w:rPr>
          <w:rFonts w:ascii="Arial" w:cs="Arial" w:eastAsia="Arial" w:hAnsi="Arial"/>
          <w:sz w:val="16"/>
          <w:szCs w:val="16"/>
          <w:color w:val="auto"/>
        </w:rPr>
        <w:t>The Board considers that appropriate remuneration of directors plays a vital part in helping us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2 regarding the compensation of our NEOs. However, the directors’ remuneration report is concerned solely with the remuneration of our executive and non-executive directors and is required under the Companies Act. We encourage shareholders to read the directors’ remuneration report as set forth in the UK Annual Report and the directors’ remuneration policy approved by shareholders in 2019 (which governs the 2019 directors’ remuneration report). The Board and the Compensation Committee believe that the policies and procedures articulated in the directors’ remuneration report are effective in achieving our compensation objectives, and serve to attract and retain high-quality non-executive directors.</w:t>
      </w:r>
    </w:p>
    <w:p>
      <w:pPr>
        <w:spacing w:after="0" w:line="84" w:lineRule="exact"/>
        <w:rPr>
          <w:sz w:val="20"/>
          <w:szCs w:val="20"/>
          <w:color w:val="auto"/>
        </w:rPr>
      </w:pPr>
    </w:p>
    <w:p>
      <w:pPr>
        <w:ind w:left="760" w:right="240"/>
        <w:spacing w:after="0" w:line="253" w:lineRule="auto"/>
        <w:rPr>
          <w:sz w:val="20"/>
          <w:szCs w:val="20"/>
          <w:color w:val="auto"/>
        </w:rPr>
      </w:pPr>
      <w:r>
        <w:rPr>
          <w:rFonts w:ascii="Arial" w:cs="Arial" w:eastAsia="Arial" w:hAnsi="Arial"/>
          <w:sz w:val="16"/>
          <w:szCs w:val="16"/>
          <w:color w:val="auto"/>
        </w:rPr>
        <w:t>The directors’ remuneration report for 2019 is set out on pages 42 to 56 of the UK Annual Report. The names of directors whose remuneration is the object of this proposal are set out on page 48 of the UK Annual Report. All UK incorporated companies that are “quoted companies” under the Companies Act are required to put their directors’ remuneration report to shareholders.</w:t>
      </w:r>
    </w:p>
    <w:p>
      <w:pPr>
        <w:spacing w:after="0" w:line="80" w:lineRule="exact"/>
        <w:rPr>
          <w:sz w:val="20"/>
          <w:szCs w:val="20"/>
          <w:color w:val="auto"/>
        </w:rPr>
      </w:pPr>
    </w:p>
    <w:p>
      <w:pPr>
        <w:ind w:left="760" w:right="320"/>
        <w:spacing w:after="0" w:line="250" w:lineRule="auto"/>
        <w:rPr>
          <w:sz w:val="20"/>
          <w:szCs w:val="20"/>
          <w:color w:val="auto"/>
        </w:rPr>
      </w:pPr>
      <w:r>
        <w:rPr>
          <w:rFonts w:ascii="Arial" w:cs="Arial" w:eastAsia="Arial" w:hAnsi="Arial"/>
          <w:sz w:val="16"/>
          <w:szCs w:val="16"/>
          <w:color w:val="auto"/>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32" w:lineRule="exact"/>
        <w:rPr>
          <w:sz w:val="20"/>
          <w:szCs w:val="20"/>
          <w:color w:val="auto"/>
        </w:rPr>
      </w:pPr>
    </w:p>
    <w:p>
      <w:pPr>
        <w:ind w:left="760" w:right="380"/>
        <w:spacing w:after="0" w:line="260" w:lineRule="auto"/>
        <w:rPr>
          <w:sz w:val="20"/>
          <w:szCs w:val="20"/>
          <w:color w:val="auto"/>
        </w:rPr>
      </w:pPr>
      <w:r>
        <w:rPr>
          <w:rFonts w:ascii="Arial" w:cs="Arial" w:eastAsia="Arial" w:hAnsi="Arial"/>
          <w:sz w:val="16"/>
          <w:szCs w:val="16"/>
          <w:color w:val="auto"/>
        </w:rPr>
        <w:t>The advisory vote regarding approval of the UK directors’ remuneration report requires the affirmative vote of a majority of shares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2019 UK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339"/>
        <w:spacing w:after="0" w:line="278" w:lineRule="auto"/>
        <w:rPr>
          <w:sz w:val="20"/>
          <w:szCs w:val="20"/>
          <w:color w:val="auto"/>
        </w:rPr>
      </w:pPr>
      <w:r>
        <w:rPr>
          <w:rFonts w:ascii="Arial" w:cs="Arial" w:eastAsia="Arial" w:hAnsi="Arial"/>
          <w:sz w:val="47"/>
          <w:szCs w:val="47"/>
          <w:b w:val="1"/>
          <w:bCs w:val="1"/>
          <w:color w:val="6A2887"/>
        </w:rPr>
        <w:t xml:space="preserve">Proposal No. 8 </w:t>
      </w:r>
      <w:r>
        <w:rPr>
          <w:rFonts w:ascii="Arial" w:cs="Arial" w:eastAsia="Arial" w:hAnsi="Arial"/>
          <w:sz w:val="47"/>
          <w:szCs w:val="47"/>
          <w:b w:val="1"/>
          <w:bCs w:val="1"/>
          <w:color w:val="666666"/>
        </w:rPr>
        <w:t>To Receive and Adopt the</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UK Annual Report and Accounts</w:t>
      </w:r>
    </w:p>
    <w:p>
      <w:pPr>
        <w:spacing w:after="0" w:line="1" w:lineRule="exact"/>
        <w:rPr>
          <w:sz w:val="20"/>
          <w:szCs w:val="20"/>
          <w:color w:val="auto"/>
        </w:rPr>
      </w:pPr>
    </w:p>
    <w:p>
      <w:pPr>
        <w:ind w:left="760" w:right="319"/>
        <w:spacing w:after="0" w:line="250" w:lineRule="auto"/>
        <w:rPr>
          <w:sz w:val="20"/>
          <w:szCs w:val="20"/>
          <w:color w:val="auto"/>
        </w:rPr>
      </w:pPr>
      <w:r>
        <w:rPr>
          <w:rFonts w:ascii="Arial" w:cs="Arial" w:eastAsia="Arial" w:hAnsi="Arial"/>
          <w:sz w:val="16"/>
          <w:szCs w:val="16"/>
          <w:color w:val="auto"/>
        </w:rPr>
        <w:t>The Board is required to present at the Annual Meeting of Shareholders the Company’s audited UK Annual Report for the year ended December 31, 2019. In accordance with its obligations under English law, the Company will provide shareholders at the AGM the opportunity to receive and adopt the UK Annual Report and ask any relevant and appropriate questions of the representative of PricewaterhouseCoopers LLP, a limited liability partnership organized in the UK (“PwC UK”) in attendance at the AGM.</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399"/>
        <w:spacing w:after="0" w:line="260" w:lineRule="auto"/>
        <w:rPr>
          <w:sz w:val="20"/>
          <w:szCs w:val="20"/>
          <w:color w:val="auto"/>
        </w:rPr>
      </w:pPr>
      <w:r>
        <w:rPr>
          <w:rFonts w:ascii="Arial" w:cs="Arial" w:eastAsia="Arial" w:hAnsi="Arial"/>
          <w:sz w:val="16"/>
          <w:szCs w:val="16"/>
          <w:color w:val="auto"/>
        </w:rPr>
        <w:t>The vote regarding approval of the UK Annual Report requires the affirmative vote of a majority of shares present at the AGM,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RECEIPT AND ADOPTION OF THE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-113030</wp:posOffset>
            </wp:positionV>
            <wp:extent cx="13716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63</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1420"/>
        <w:spacing w:after="0" w:line="272" w:lineRule="auto"/>
        <w:rPr>
          <w:sz w:val="20"/>
          <w:szCs w:val="20"/>
          <w:color w:val="auto"/>
        </w:rPr>
      </w:pPr>
      <w:r>
        <w:rPr>
          <w:rFonts w:ascii="Arial" w:cs="Arial" w:eastAsia="Arial" w:hAnsi="Arial"/>
          <w:sz w:val="46"/>
          <w:szCs w:val="46"/>
          <w:b w:val="1"/>
          <w:bCs w:val="1"/>
          <w:color w:val="6A2887"/>
        </w:rPr>
        <w:t xml:space="preserve">Proposal No. 9 </w:t>
      </w:r>
      <w:r>
        <w:rPr>
          <w:rFonts w:ascii="Arial" w:cs="Arial" w:eastAsia="Arial" w:hAnsi="Arial"/>
          <w:sz w:val="46"/>
          <w:szCs w:val="46"/>
          <w:b w:val="1"/>
          <w:bCs w:val="1"/>
          <w:color w:val="666666"/>
        </w:rPr>
        <w:t>Re-appointment of</w:t>
      </w:r>
      <w:r>
        <w:rPr>
          <w:rFonts w:ascii="Arial" w:cs="Arial" w:eastAsia="Arial" w:hAnsi="Arial"/>
          <w:sz w:val="46"/>
          <w:szCs w:val="46"/>
          <w:b w:val="1"/>
          <w:bCs w:val="1"/>
          <w:color w:val="6A2887"/>
        </w:rPr>
        <w:t xml:space="preserve"> </w:t>
      </w:r>
      <w:r>
        <w:rPr>
          <w:rFonts w:ascii="Arial" w:cs="Arial" w:eastAsia="Arial" w:hAnsi="Arial"/>
          <w:sz w:val="46"/>
          <w:szCs w:val="46"/>
          <w:b w:val="1"/>
          <w:bCs w:val="1"/>
          <w:color w:val="666666"/>
        </w:rPr>
        <w:t>PricewaterhouseCoopers LLP as the Company’s UK Statutory Auditor</w:t>
      </w:r>
    </w:p>
    <w:p>
      <w:pPr>
        <w:spacing w:after="0" w:line="8" w:lineRule="exact"/>
        <w:rPr>
          <w:sz w:val="20"/>
          <w:szCs w:val="20"/>
          <w:color w:val="auto"/>
        </w:rPr>
      </w:pPr>
    </w:p>
    <w:p>
      <w:pPr>
        <w:ind w:left="760" w:right="300"/>
        <w:spacing w:after="0" w:line="249" w:lineRule="auto"/>
        <w:rPr>
          <w:sz w:val="20"/>
          <w:szCs w:val="20"/>
          <w:color w:val="auto"/>
        </w:rPr>
      </w:pPr>
      <w:r>
        <w:rPr>
          <w:rFonts w:ascii="Arial" w:cs="Arial" w:eastAsia="Arial" w:hAnsi="Arial"/>
          <w:sz w:val="16"/>
          <w:szCs w:val="16"/>
          <w:color w:val="auto"/>
        </w:rPr>
        <w:t>Under the Companies Act, the Company is required to appoint the UK statutory auditor at each meeting at which the UK Annual Report and accounts are presented to 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280"/>
        <w:spacing w:after="0" w:line="253" w:lineRule="auto"/>
        <w:rPr>
          <w:sz w:val="20"/>
          <w:szCs w:val="20"/>
          <w:color w:val="auto"/>
        </w:rPr>
      </w:pPr>
      <w:r>
        <w:rPr>
          <w:rFonts w:ascii="Arial" w:cs="Arial" w:eastAsia="Arial" w:hAnsi="Arial"/>
          <w:sz w:val="16"/>
          <w:szCs w:val="16"/>
          <w:color w:val="auto"/>
        </w:rPr>
        <w:t>The re-appointment of PwC UK as our UK statutory auditor requires an affirmative vote of a majority of shares present at the AGM, in person or by proxy, and entitled to vote on the proposal. If this ordinary resolution is not approved, the Board may appoint an auditor to fill the vacancy.</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right="260"/>
        <w:spacing w:after="0" w:line="295"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RE-APPOINTMENT OF PWC UK AS THE COMPANY’S UK STATUTORY AUDITOR UNDER THE COMPANIES ACT TO HOLD OFFICE FROM THE CONCLUSION OF THE MEETING UNTIL THE CONCLUSION OF THE NEXT AGM AT WHICH ACCOUNTS ARE LAID BEFORE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-570865</wp:posOffset>
            </wp:positionV>
            <wp:extent cx="13716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right="519"/>
        <w:spacing w:after="0" w:line="254" w:lineRule="auto"/>
        <w:rPr>
          <w:sz w:val="20"/>
          <w:szCs w:val="20"/>
          <w:color w:val="auto"/>
        </w:rPr>
      </w:pPr>
      <w:r>
        <w:rPr>
          <w:rFonts w:ascii="Arial" w:cs="Arial" w:eastAsia="Arial" w:hAnsi="Arial"/>
          <w:sz w:val="47"/>
          <w:szCs w:val="47"/>
          <w:b w:val="1"/>
          <w:bCs w:val="1"/>
          <w:color w:val="6A2887"/>
        </w:rPr>
        <w:t xml:space="preserve">Proposal No. 10 </w:t>
      </w:r>
      <w:r>
        <w:rPr>
          <w:rFonts w:ascii="Arial" w:cs="Arial" w:eastAsia="Arial" w:hAnsi="Arial"/>
          <w:sz w:val="47"/>
          <w:szCs w:val="47"/>
          <w:b w:val="1"/>
          <w:bCs w:val="1"/>
          <w:color w:val="666666"/>
        </w:rPr>
        <w:t>Authorization of the</w:t>
      </w:r>
      <w:r>
        <w:rPr>
          <w:rFonts w:ascii="Arial" w:cs="Arial" w:eastAsia="Arial" w:hAnsi="Arial"/>
          <w:sz w:val="47"/>
          <w:szCs w:val="47"/>
          <w:b w:val="1"/>
          <w:bCs w:val="1"/>
          <w:color w:val="6A2887"/>
        </w:rPr>
        <w:t xml:space="preserve"> </w:t>
      </w:r>
      <w:r>
        <w:rPr>
          <w:rFonts w:ascii="Arial" w:cs="Arial" w:eastAsia="Arial" w:hAnsi="Arial"/>
          <w:sz w:val="47"/>
          <w:szCs w:val="47"/>
          <w:b w:val="1"/>
          <w:bCs w:val="1"/>
          <w:color w:val="666666"/>
        </w:rPr>
        <w:t>Directors and/or the Audit and Compliance Committee to Determine the Remuneration of PwC UK in its Capacity as UK Statutory Auditor</w:t>
      </w:r>
    </w:p>
    <w:p>
      <w:pPr>
        <w:spacing w:after="0" w:line="54" w:lineRule="exact"/>
        <w:rPr>
          <w:sz w:val="20"/>
          <w:szCs w:val="20"/>
          <w:color w:val="auto"/>
        </w:rPr>
      </w:pPr>
    </w:p>
    <w:p>
      <w:pPr>
        <w:ind w:left="760" w:right="259"/>
        <w:spacing w:after="0" w:line="251" w:lineRule="auto"/>
        <w:rPr>
          <w:sz w:val="20"/>
          <w:szCs w:val="20"/>
          <w:color w:val="auto"/>
        </w:rPr>
      </w:pPr>
      <w:r>
        <w:rPr>
          <w:rFonts w:ascii="Arial" w:cs="Arial" w:eastAsia="Arial" w:hAnsi="Arial"/>
          <w:sz w:val="16"/>
          <w:szCs w:val="16"/>
          <w:color w:val="auto"/>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375"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Vote Required</w:t>
      </w:r>
    </w:p>
    <w:p>
      <w:pPr>
        <w:spacing w:after="0" w:line="146" w:lineRule="exact"/>
        <w:rPr>
          <w:sz w:val="20"/>
          <w:szCs w:val="20"/>
          <w:color w:val="auto"/>
        </w:rPr>
      </w:pPr>
    </w:p>
    <w:p>
      <w:pPr>
        <w:ind w:left="760" w:right="539"/>
        <w:spacing w:after="0" w:line="260" w:lineRule="auto"/>
        <w:rPr>
          <w:sz w:val="20"/>
          <w:szCs w:val="20"/>
          <w:color w:val="auto"/>
        </w:rPr>
      </w:pPr>
      <w:r>
        <w:rPr>
          <w:rFonts w:ascii="Arial" w:cs="Arial" w:eastAsia="Arial" w:hAnsi="Arial"/>
          <w:sz w:val="16"/>
          <w:szCs w:val="16"/>
          <w:color w:val="auto"/>
        </w:rPr>
        <w:t>This authorization requires an affirmative vote of a majority of shares present at the annual meeting, in person or by proxy, and entitled to vote on the proposal.</w:t>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Board Recommendation</w:t>
      </w:r>
    </w:p>
    <w:p>
      <w:pPr>
        <w:spacing w:after="0" w:line="99" w:lineRule="exact"/>
        <w:rPr>
          <w:sz w:val="20"/>
          <w:szCs w:val="20"/>
          <w:color w:val="auto"/>
        </w:rPr>
      </w:pPr>
    </w:p>
    <w:p>
      <w:pPr>
        <w:ind w:left="1080" w:right="899"/>
        <w:spacing w:after="0" w:line="359" w:lineRule="auto"/>
        <w:rPr>
          <w:sz w:val="20"/>
          <w:szCs w:val="20"/>
          <w:color w:val="auto"/>
        </w:rPr>
      </w:pPr>
      <w:r>
        <w:rPr>
          <w:rFonts w:ascii="Arial" w:cs="Arial" w:eastAsia="Arial" w:hAnsi="Arial"/>
          <w:sz w:val="15"/>
          <w:szCs w:val="15"/>
          <w:color w:val="auto"/>
        </w:rPr>
        <w:t xml:space="preserve">THE BOARD RECOMMENDS A </w:t>
      </w:r>
      <w:r>
        <w:rPr>
          <w:rFonts w:ascii="Arial" w:cs="Arial" w:eastAsia="Arial" w:hAnsi="Arial"/>
          <w:sz w:val="15"/>
          <w:szCs w:val="15"/>
          <w:b w:val="1"/>
          <w:bCs w:val="1"/>
          <w:color w:val="F26F52"/>
        </w:rPr>
        <w:t>VOTE FOR</w:t>
      </w:r>
      <w:r>
        <w:rPr>
          <w:rFonts w:ascii="Arial" w:cs="Arial" w:eastAsia="Arial" w:hAnsi="Arial"/>
          <w:sz w:val="15"/>
          <w:szCs w:val="15"/>
          <w:color w:val="auto"/>
        </w:rPr>
        <w:t xml:space="preserve"> THE AUTHORIZATION OF THE BOARD AND/OR THE AUDIT AND COMPLIANCE COMMITTEE TO DETERMINE THE COMPANY’S UK STATUTORY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-323850</wp:posOffset>
            </wp:positionV>
            <wp:extent cx="1371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65</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68065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47"/>
          <w:szCs w:val="47"/>
          <w:b w:val="1"/>
          <w:bCs w:val="1"/>
          <w:color w:val="6A2887"/>
        </w:rPr>
        <w:t xml:space="preserve">General </w:t>
      </w:r>
      <w:r>
        <w:rPr>
          <w:rFonts w:ascii="Arial" w:cs="Arial" w:eastAsia="Arial" w:hAnsi="Arial"/>
          <w:sz w:val="47"/>
          <w:szCs w:val="47"/>
          <w:b w:val="1"/>
          <w:bCs w:val="1"/>
          <w:color w:val="666666"/>
        </w:rPr>
        <w:t>Matters</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Shareholder Proposals for the 2021 AGM</w:t>
      </w:r>
    </w:p>
    <w:p>
      <w:pPr>
        <w:spacing w:after="0" w:line="146" w:lineRule="exact"/>
        <w:rPr>
          <w:sz w:val="20"/>
          <w:szCs w:val="20"/>
          <w:color w:val="auto"/>
        </w:rPr>
      </w:pPr>
    </w:p>
    <w:p>
      <w:pPr>
        <w:ind w:left="760" w:right="980"/>
        <w:spacing w:after="0" w:line="251" w:lineRule="auto"/>
        <w:rPr>
          <w:sz w:val="20"/>
          <w:szCs w:val="20"/>
          <w:color w:val="auto"/>
        </w:rPr>
      </w:pPr>
      <w:r>
        <w:rPr>
          <w:rFonts w:ascii="Arial" w:cs="Arial" w:eastAsia="Arial" w:hAnsi="Arial"/>
          <w:sz w:val="16"/>
          <w:szCs w:val="16"/>
          <w:color w:val="auto"/>
        </w:rPr>
        <w:t>Shareholders who, in accordance with Rule 14a-8 of the Exchange Act, wish to present proposals for inclusion in the proxy materials to be published by us in connection with our 2021 AGM must submit their proposals to the Office of the Company Secretary of LivaNova at 20 Eastbourne Terrace, London W2 6LG by March 1, 2021. As the rules of the SEC make clear, simply submitting a proposal does not guarantee its inclusion in our proxy statement.</w:t>
      </w:r>
    </w:p>
    <w:p>
      <w:pPr>
        <w:spacing w:after="0" w:line="81" w:lineRule="exact"/>
        <w:rPr>
          <w:sz w:val="20"/>
          <w:szCs w:val="20"/>
          <w:color w:val="auto"/>
        </w:rPr>
      </w:pPr>
    </w:p>
    <w:p>
      <w:pPr>
        <w:ind w:left="760" w:right="800"/>
        <w:spacing w:after="0" w:line="248" w:lineRule="auto"/>
        <w:rPr>
          <w:sz w:val="20"/>
          <w:szCs w:val="20"/>
          <w:color w:val="auto"/>
        </w:rPr>
      </w:pPr>
      <w:r>
        <w:rPr>
          <w:rFonts w:ascii="Arial" w:cs="Arial" w:eastAsia="Arial" w:hAnsi="Arial"/>
          <w:sz w:val="16"/>
          <w:szCs w:val="16"/>
          <w:color w:val="auto"/>
        </w:rPr>
        <w:t>In accordance with our Articles of Association (our “Articles”), and without prejudice to the rights of a shareholder of record under the Companies Act, in order to nominate a candidate for election as a director or properly bring business before our 2021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March 1, 2021, and no later than April 1, 2021.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w:t>
      </w:r>
    </w:p>
    <w:p>
      <w:pPr>
        <w:spacing w:after="0" w:line="70" w:lineRule="exact"/>
        <w:rPr>
          <w:sz w:val="20"/>
          <w:szCs w:val="20"/>
          <w:color w:val="auto"/>
        </w:rPr>
      </w:pPr>
    </w:p>
    <w:p>
      <w:pPr>
        <w:ind w:left="760" w:right="960"/>
        <w:spacing w:after="0" w:line="260"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Rule 14a-8, our Articles or any other requirements, as applicable.</w:t>
      </w:r>
    </w:p>
    <w:p>
      <w:pPr>
        <w:spacing w:after="0" w:line="74" w:lineRule="exact"/>
        <w:rPr>
          <w:sz w:val="20"/>
          <w:szCs w:val="20"/>
          <w:color w:val="auto"/>
        </w:rPr>
      </w:pPr>
    </w:p>
    <w:p>
      <w:pPr>
        <w:ind w:left="760" w:right="920"/>
        <w:spacing w:after="0" w:line="251" w:lineRule="auto"/>
        <w:rPr>
          <w:sz w:val="20"/>
          <w:szCs w:val="20"/>
          <w:color w:val="auto"/>
        </w:rPr>
      </w:pPr>
      <w:r>
        <w:rPr>
          <w:rFonts w:ascii="Arial" w:cs="Arial" w:eastAsia="Arial" w:hAnsi="Arial"/>
          <w:sz w:val="16"/>
          <w:szCs w:val="16"/>
          <w:color w:val="auto"/>
        </w:rPr>
        <w:t>Under section 338 of the Companies Act, shareholders meeting the threshold requirements in that section may require that we include a resolution in the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w:t>
      </w:r>
    </w:p>
    <w:p>
      <w:pPr>
        <w:spacing w:after="0" w:line="375" w:lineRule="exact"/>
        <w:rPr>
          <w:sz w:val="20"/>
          <w:szCs w:val="20"/>
          <w:color w:val="auto"/>
        </w:rPr>
      </w:pPr>
    </w:p>
    <w:p>
      <w:pPr>
        <w:ind w:left="760" w:right="2820"/>
        <w:spacing w:after="0" w:line="278" w:lineRule="auto"/>
        <w:rPr>
          <w:sz w:val="20"/>
          <w:szCs w:val="20"/>
          <w:color w:val="auto"/>
        </w:rPr>
      </w:pPr>
      <w:r>
        <w:rPr>
          <w:rFonts w:ascii="Arial" w:cs="Arial" w:eastAsia="Arial" w:hAnsi="Arial"/>
          <w:sz w:val="31"/>
          <w:szCs w:val="31"/>
          <w:b w:val="1"/>
          <w:bCs w:val="1"/>
          <w:color w:val="6A2887"/>
        </w:rPr>
        <w:t>Saving Resources: Householding and Electronic Communications</w:t>
      </w:r>
    </w:p>
    <w:p>
      <w:pPr>
        <w:spacing w:after="0" w:line="14" w:lineRule="exact"/>
        <w:rPr>
          <w:sz w:val="20"/>
          <w:szCs w:val="20"/>
          <w:color w:val="auto"/>
        </w:rPr>
      </w:pPr>
    </w:p>
    <w:p>
      <w:pPr>
        <w:jc w:val="both"/>
        <w:ind w:left="760" w:right="780"/>
        <w:spacing w:after="0" w:line="251" w:lineRule="auto"/>
        <w:rPr>
          <w:sz w:val="20"/>
          <w:szCs w:val="20"/>
          <w:color w:val="auto"/>
        </w:rPr>
      </w:pPr>
      <w:r>
        <w:rPr>
          <w:rFonts w:ascii="Arial" w:cs="Arial" w:eastAsia="Arial" w:hAnsi="Arial"/>
          <w:sz w:val="16"/>
          <w:szCs w:val="16"/>
          <w:color w:val="auto"/>
        </w:rPr>
        <w:t>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 and we are pleased to embrace these opportunities.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Internet Availability of Proxy Materials</w:t>
      </w:r>
    </w:p>
    <w:p>
      <w:pPr>
        <w:spacing w:after="0" w:line="124" w:lineRule="exact"/>
        <w:rPr>
          <w:sz w:val="20"/>
          <w:szCs w:val="20"/>
          <w:color w:val="auto"/>
        </w:rPr>
      </w:pPr>
    </w:p>
    <w:p>
      <w:pPr>
        <w:ind w:left="760" w:right="800"/>
        <w:spacing w:after="0" w:line="268" w:lineRule="auto"/>
        <w:rPr>
          <w:sz w:val="20"/>
          <w:szCs w:val="20"/>
          <w:color w:val="auto"/>
        </w:rPr>
      </w:pPr>
      <w:r>
        <w:rPr>
          <w:rFonts w:ascii="Arial" w:cs="Arial" w:eastAsia="Arial" w:hAnsi="Arial"/>
          <w:sz w:val="15"/>
          <w:szCs w:val="15"/>
          <w:color w:val="auto"/>
        </w:rPr>
        <w:t>Pursuant to rules adopted by the SEC, we are making this proxy statement available to our shareholders electronically via the Internet. On or about [May 20, 2020], we will mail the Notice of Internet Availability of Proxy Materials (the “Notice”) to shareholders of our ordinary shares at the close of business on the Record Date, other than those shareholders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the proxy statement. We believe that this process will allow us to provide you with the information you need in a timely manner, while conserving natural resources and lowering the costs of the AGM.</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Electronic Communications</w:t>
      </w:r>
    </w:p>
    <w:p>
      <w:pPr>
        <w:spacing w:after="0" w:line="110" w:lineRule="exact"/>
        <w:rPr>
          <w:sz w:val="20"/>
          <w:szCs w:val="20"/>
          <w:color w:val="auto"/>
        </w:rPr>
      </w:pPr>
    </w:p>
    <w:p>
      <w:pPr>
        <w:ind w:left="760" w:right="800"/>
        <w:spacing w:after="0" w:line="248" w:lineRule="auto"/>
        <w:rPr>
          <w:sz w:val="20"/>
          <w:szCs w:val="20"/>
          <w:color w:val="auto"/>
        </w:rPr>
      </w:pPr>
      <w:r>
        <w:rPr>
          <w:rFonts w:ascii="Arial" w:cs="Arial" w:eastAsia="Arial" w:hAnsi="Arial"/>
          <w:sz w:val="16"/>
          <w:szCs w:val="16"/>
          <w:color w:val="auto"/>
        </w:rPr>
        <w:t>At our 2016 AGM, shareholders voted in favor of a resolution to authorize the Company, under English law, to send notices, documents, or information to shareholders of record by electronic means. In conjunction with our registrars, Computershare Inc., in early 2018 we offered to our shareholders of record the option of receiving an email notification each time we publish new shareholder documents on our website. Those shareholders who have supplied us with an email address will no longer receive copies of certain paper documents, such as our UK Annual Report and US Annual Report. Instead they will receive an email containing links to our website where electronic copies of the documents can be viewed and downloaded. Others have opted to receive paper notices of documents available on our website, and those who did not respond to our letter will by default continue to receive notifications in the same way.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Householding of Proxy Materials</w:t>
      </w:r>
    </w:p>
    <w:p>
      <w:pPr>
        <w:spacing w:after="0" w:line="124" w:lineRule="exact"/>
        <w:rPr>
          <w:sz w:val="20"/>
          <w:szCs w:val="20"/>
          <w:color w:val="auto"/>
        </w:rPr>
      </w:pPr>
    </w:p>
    <w:p>
      <w:pPr>
        <w:ind w:left="760" w:right="279"/>
        <w:spacing w:after="0" w:line="247" w:lineRule="auto"/>
        <w:rPr>
          <w:sz w:val="20"/>
          <w:szCs w:val="20"/>
          <w:color w:val="auto"/>
        </w:rPr>
      </w:pPr>
      <w:r>
        <w:rPr>
          <w:rFonts w:ascii="Arial" w:cs="Arial" w:eastAsia="Arial" w:hAnsi="Arial"/>
          <w:sz w:val="16"/>
          <w:szCs w:val="16"/>
          <w:color w:val="auto"/>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a beneficial owner, you will need to contact your broker, bank or other nominee to make such requests. Shareholders can also opt-in to householding if they are current receiving multiple sets of materials to the same address, or change their previous elections by using the above contact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Annual Reports and Proxy Materials</w:t>
      </w:r>
    </w:p>
    <w:p>
      <w:pPr>
        <w:spacing w:after="0" w:line="146" w:lineRule="exact"/>
        <w:rPr>
          <w:sz w:val="20"/>
          <w:szCs w:val="20"/>
          <w:color w:val="auto"/>
        </w:rPr>
      </w:pPr>
    </w:p>
    <w:p>
      <w:pPr>
        <w:ind w:left="760" w:right="259"/>
        <w:spacing w:after="0" w:line="268" w:lineRule="auto"/>
        <w:rPr>
          <w:sz w:val="20"/>
          <w:szCs w:val="20"/>
          <w:color w:val="auto"/>
        </w:rPr>
      </w:pPr>
      <w:r>
        <w:rPr>
          <w:rFonts w:ascii="Arial" w:cs="Arial" w:eastAsia="Arial" w:hAnsi="Arial"/>
          <w:sz w:val="15"/>
          <w:szCs w:val="15"/>
          <w:color w:val="auto"/>
        </w:rPr>
        <w:t>On [May 20, 2020], we will have begun mailing the Notice and this proxy statement, the accompanying proxy card (as to CDIs as defined herein, a Form of Proxy), our UK Annual Report, and our US Annual Report on Form 10-K . Copies of these materials filed with the SEC may be accessed free of charge through our website (</w:t>
      </w:r>
      <w:r>
        <w:rPr>
          <w:rFonts w:ascii="Arial" w:cs="Arial" w:eastAsia="Arial" w:hAnsi="Arial"/>
          <w:sz w:val="15"/>
          <w:szCs w:val="15"/>
          <w:i w:val="1"/>
          <w:iCs w:val="1"/>
          <w:color w:val="auto"/>
        </w:rPr>
        <w:t>www.livanova.com</w:t>
      </w:r>
      <w:r>
        <w:rPr>
          <w:rFonts w:ascii="Arial" w:cs="Arial" w:eastAsia="Arial" w:hAnsi="Arial"/>
          <w:sz w:val="15"/>
          <w:szCs w:val="15"/>
          <w:color w:val="auto"/>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on Form 10-K, including the exhibits thereto, is also available through the SEC’s web 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as is this proxy statement, filed on Schedule DEF 14A.</w:t>
      </w:r>
    </w:p>
    <w:p>
      <w:pPr>
        <w:spacing w:after="0" w:line="363"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Expenses of Solicitation</w:t>
      </w:r>
    </w:p>
    <w:p>
      <w:pPr>
        <w:spacing w:after="0" w:line="132" w:lineRule="exact"/>
        <w:rPr>
          <w:sz w:val="20"/>
          <w:szCs w:val="20"/>
          <w:color w:val="auto"/>
        </w:rPr>
      </w:pPr>
    </w:p>
    <w:p>
      <w:pPr>
        <w:ind w:left="760" w:right="199"/>
        <w:spacing w:after="0" w:line="249" w:lineRule="auto"/>
        <w:rPr>
          <w:sz w:val="20"/>
          <w:szCs w:val="20"/>
          <w:color w:val="auto"/>
        </w:rPr>
      </w:pPr>
      <w:r>
        <w:rPr>
          <w:rFonts w:ascii="Arial" w:cs="Arial" w:eastAsia="Arial" w:hAnsi="Arial"/>
          <w:sz w:val="16"/>
          <w:szCs w:val="16"/>
          <w:color w:val="auto"/>
        </w:rPr>
        <w:t>This solicitation is made by the Company. 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the Proxy Advisory Group, LLC, to assist in the solicitation of proxies and provide related advice and informational support, for a services fee, plus customary disbursements, which are not expected to exceed $15,000 in total.</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Frequently Asked Questions About the AGM</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What is a proxy statement and what is a proxy?</w:t>
      </w:r>
    </w:p>
    <w:p>
      <w:pPr>
        <w:spacing w:after="0" w:line="124" w:lineRule="exact"/>
        <w:rPr>
          <w:sz w:val="20"/>
          <w:szCs w:val="20"/>
          <w:color w:val="auto"/>
        </w:rPr>
      </w:pPr>
    </w:p>
    <w:p>
      <w:pPr>
        <w:ind w:left="760" w:right="219"/>
        <w:spacing w:after="0" w:line="251" w:lineRule="auto"/>
        <w:rPr>
          <w:sz w:val="20"/>
          <w:szCs w:val="20"/>
          <w:color w:val="auto"/>
        </w:rPr>
      </w:pPr>
      <w:r>
        <w:rPr>
          <w:rFonts w:ascii="Arial" w:cs="Arial" w:eastAsia="Arial" w:hAnsi="Arial"/>
          <w:sz w:val="16"/>
          <w:szCs w:val="16"/>
          <w:color w:val="auto"/>
        </w:rPr>
        <w:t>A proxy statement is a document that the rules and regulations of the United States including the SEC require us to give to you when we ask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Why did I receive these proxy materials?</w:t>
      </w:r>
    </w:p>
    <w:p>
      <w:pPr>
        <w:spacing w:after="0" w:line="124" w:lineRule="exact"/>
        <w:rPr>
          <w:sz w:val="20"/>
          <w:szCs w:val="20"/>
          <w:color w:val="auto"/>
        </w:rPr>
      </w:pPr>
    </w:p>
    <w:p>
      <w:pPr>
        <w:ind w:left="760" w:right="199"/>
        <w:spacing w:after="0" w:line="278" w:lineRule="auto"/>
        <w:rPr>
          <w:sz w:val="20"/>
          <w:szCs w:val="20"/>
          <w:color w:val="auto"/>
        </w:rPr>
      </w:pPr>
      <w:r>
        <w:rPr>
          <w:rFonts w:ascii="Arial" w:cs="Arial" w:eastAsia="Arial" w:hAnsi="Arial"/>
          <w:sz w:val="15"/>
          <w:szCs w:val="15"/>
          <w:color w:val="auto"/>
        </w:rPr>
        <w:t>We have delivered these printed versions of the notice of AGM in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62" w:lineRule="exact"/>
        <w:rPr>
          <w:sz w:val="20"/>
          <w:szCs w:val="20"/>
          <w:color w:val="auto"/>
        </w:rPr>
      </w:pPr>
    </w:p>
    <w:p>
      <w:pPr>
        <w:jc w:val="both"/>
        <w:ind w:left="760" w:right="239"/>
        <w:spacing w:after="0" w:line="253" w:lineRule="auto"/>
        <w:rPr>
          <w:sz w:val="20"/>
          <w:szCs w:val="20"/>
          <w:color w:val="auto"/>
        </w:rPr>
      </w:pPr>
      <w:r>
        <w:rPr>
          <w:rFonts w:ascii="Arial" w:cs="Arial" w:eastAsia="Arial" w:hAnsi="Arial"/>
          <w:sz w:val="16"/>
          <w:szCs w:val="16"/>
          <w:color w:val="auto"/>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67</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900"/>
        <w:spacing w:after="0" w:line="251" w:lineRule="auto"/>
        <w:rPr>
          <w:sz w:val="20"/>
          <w:szCs w:val="20"/>
          <w:color w:val="auto"/>
        </w:rPr>
      </w:pPr>
      <w:r>
        <w:rPr>
          <w:rFonts w:ascii="Arial" w:cs="Arial" w:eastAsia="Arial" w:hAnsi="Arial"/>
          <w:sz w:val="16"/>
          <w:szCs w:val="16"/>
          <w:color w:val="auto"/>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Will any other matters be decided at the AGM?</w:t>
      </w:r>
    </w:p>
    <w:p>
      <w:pPr>
        <w:spacing w:after="0" w:line="124" w:lineRule="exact"/>
        <w:rPr>
          <w:sz w:val="20"/>
          <w:szCs w:val="20"/>
          <w:color w:val="auto"/>
        </w:rPr>
      </w:pPr>
    </w:p>
    <w:p>
      <w:pPr>
        <w:ind w:left="760" w:right="820"/>
        <w:spacing w:after="0" w:line="251" w:lineRule="auto"/>
        <w:rPr>
          <w:sz w:val="20"/>
          <w:szCs w:val="20"/>
          <w:color w:val="auto"/>
        </w:rPr>
      </w:pPr>
      <w:r>
        <w:rPr>
          <w:rFonts w:ascii="Arial" w:cs="Arial" w:eastAsia="Arial" w:hAnsi="Arial"/>
          <w:sz w:val="16"/>
          <w:szCs w:val="16"/>
          <w:color w:val="auto"/>
        </w:rPr>
        <w:t>At the date of this proxy statement, we do not know of any other matters to be raised at the AGM other than those described in this proxy statement. If any other matters are, in accordance with the Companies Act, other applicable law or our Articles, properly presented for consideration at the AGM, such matters will, subject to the Companies Act, the Articles and applicable law, be considered at the AGM and the individuals named in the proxy card will vote on such matters in their discretion.</w:t>
      </w:r>
    </w:p>
    <w:p>
      <w:pPr>
        <w:spacing w:after="0" w:line="146" w:lineRule="exact"/>
        <w:rPr>
          <w:sz w:val="20"/>
          <w:szCs w:val="20"/>
          <w:color w:val="auto"/>
        </w:rPr>
      </w:pPr>
    </w:p>
    <w:p>
      <w:pPr>
        <w:ind w:left="760" w:right="1640"/>
        <w:spacing w:after="0" w:line="257" w:lineRule="auto"/>
        <w:rPr>
          <w:sz w:val="20"/>
          <w:szCs w:val="20"/>
          <w:color w:val="auto"/>
        </w:rPr>
      </w:pPr>
      <w:r>
        <w:rPr>
          <w:rFonts w:ascii="Arial" w:cs="Arial" w:eastAsia="Arial" w:hAnsi="Arial"/>
          <w:sz w:val="20"/>
          <w:szCs w:val="20"/>
          <w:b w:val="1"/>
          <w:bCs w:val="1"/>
          <w:i w:val="1"/>
          <w:iCs w:val="1"/>
          <w:color w:val="F26F52"/>
        </w:rPr>
        <w:t>What is the difference between holding ordinary shares as a shareholder of record, or as a beneficial owner and holder of CDIs?</w:t>
      </w:r>
    </w:p>
    <w:p>
      <w:pPr>
        <w:spacing w:after="0" w:line="63" w:lineRule="exact"/>
        <w:rPr>
          <w:sz w:val="20"/>
          <w:szCs w:val="20"/>
          <w:color w:val="auto"/>
        </w:rPr>
      </w:pPr>
    </w:p>
    <w:p>
      <w:pPr>
        <w:ind w:left="760" w:right="860"/>
        <w:spacing w:after="0" w:line="247" w:lineRule="auto"/>
        <w:rPr>
          <w:sz w:val="20"/>
          <w:szCs w:val="20"/>
          <w:color w:val="auto"/>
        </w:rPr>
      </w:pPr>
      <w:r>
        <w:rPr>
          <w:rFonts w:ascii="Arial" w:cs="Arial" w:eastAsia="Arial" w:hAnsi="Arial"/>
          <w:sz w:val="16"/>
          <w:szCs w:val="16"/>
          <w:color w:val="auto"/>
        </w:rPr>
        <w:t>If a shareholder is registered on the register of members of the Company as holding ordinary shares, that shareholder is considered, with respect to those ordinary shares, the shareholder of record. As of [May 4, 2020], being the latest practicable date prior to publication of this proxy statement, our shareholders of record were Cede &amp; Co., the nominee for the Depositary Trust Company (“DTC”), and [ ] other shareholders of record. 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(“SDRT”)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90" w:lineRule="exact"/>
        <w:rPr>
          <w:sz w:val="20"/>
          <w:szCs w:val="20"/>
          <w:color w:val="auto"/>
        </w:rPr>
      </w:pPr>
    </w:p>
    <w:p>
      <w:pPr>
        <w:ind w:left="760" w:right="780"/>
        <w:spacing w:after="0" w:line="273" w:lineRule="auto"/>
        <w:rPr>
          <w:sz w:val="20"/>
          <w:szCs w:val="20"/>
          <w:color w:val="auto"/>
        </w:rPr>
      </w:pPr>
      <w:r>
        <w:rPr>
          <w:rFonts w:ascii="Arial" w:cs="Arial" w:eastAsia="Arial" w:hAnsi="Arial"/>
          <w:sz w:val="15"/>
          <w:szCs w:val="15"/>
          <w:color w:val="auto"/>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52" w:lineRule="exact"/>
        <w:rPr>
          <w:sz w:val="20"/>
          <w:szCs w:val="20"/>
          <w:color w:val="auto"/>
        </w:rPr>
      </w:pPr>
    </w:p>
    <w:p>
      <w:pPr>
        <w:ind w:left="760" w:right="920"/>
        <w:spacing w:after="0" w:line="249" w:lineRule="auto"/>
        <w:rPr>
          <w:sz w:val="20"/>
          <w:szCs w:val="20"/>
          <w:color w:val="auto"/>
        </w:rPr>
      </w:pPr>
      <w:r>
        <w:rPr>
          <w:rFonts w:ascii="Arial" w:cs="Arial" w:eastAsia="Arial" w:hAnsi="Arial"/>
          <w:sz w:val="16"/>
          <w:szCs w:val="16"/>
          <w:color w:val="auto"/>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Who is entitled to vote at the AGM?</w:t>
      </w:r>
    </w:p>
    <w:p>
      <w:pPr>
        <w:spacing w:after="0" w:line="124" w:lineRule="exact"/>
        <w:rPr>
          <w:sz w:val="20"/>
          <w:szCs w:val="20"/>
          <w:color w:val="auto"/>
        </w:rPr>
      </w:pPr>
    </w:p>
    <w:p>
      <w:pPr>
        <w:ind w:left="760" w:right="940"/>
        <w:spacing w:after="0" w:line="260" w:lineRule="auto"/>
        <w:rPr>
          <w:sz w:val="20"/>
          <w:szCs w:val="20"/>
          <w:color w:val="auto"/>
        </w:rPr>
      </w:pPr>
      <w:r>
        <w:rPr>
          <w:rFonts w:ascii="Arial" w:cs="Arial" w:eastAsia="Arial" w:hAnsi="Arial"/>
          <w:sz w:val="16"/>
          <w:szCs w:val="16"/>
          <w:color w:val="auto"/>
        </w:rPr>
        <w:t>Shareholders of record and beneficial holders as of the Record Date are entitled to attend (virtually) and vote at the AGM. Please note the following special cases:</w:t>
      </w:r>
    </w:p>
    <w:p>
      <w:pPr>
        <w:spacing w:after="0" w:line="6" w:lineRule="exact"/>
        <w:rPr>
          <w:sz w:val="20"/>
          <w:szCs w:val="20"/>
          <w:color w:val="auto"/>
        </w:rPr>
      </w:pPr>
    </w:p>
    <w:p>
      <w:pPr>
        <w:ind w:left="920" w:right="780" w:hanging="156"/>
        <w:spacing w:after="0" w:line="251" w:lineRule="auto"/>
        <w:tabs>
          <w:tab w:leader="none" w:pos="920" w:val="left"/>
        </w:tabs>
        <w:numPr>
          <w:ilvl w:val="0"/>
          <w:numId w:val="88"/>
        </w:numPr>
        <w:rPr>
          <w:rFonts w:ascii="Arial" w:cs="Arial" w:eastAsia="Arial" w:hAnsi="Arial"/>
          <w:sz w:val="16"/>
          <w:szCs w:val="16"/>
          <w:color w:val="6A2887"/>
        </w:rPr>
      </w:pPr>
      <w:r>
        <w:rPr>
          <w:rFonts w:ascii="Arial" w:cs="Arial" w:eastAsia="Arial" w:hAnsi="Arial"/>
          <w:sz w:val="16"/>
          <w:szCs w:val="16"/>
          <w:color w:val="auto"/>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26" w:lineRule="exact"/>
        <w:rPr>
          <w:rFonts w:ascii="Arial" w:cs="Arial" w:eastAsia="Arial" w:hAnsi="Arial"/>
          <w:sz w:val="16"/>
          <w:szCs w:val="16"/>
          <w:color w:val="6A2887"/>
        </w:rPr>
      </w:pPr>
    </w:p>
    <w:p>
      <w:pPr>
        <w:jc w:val="both"/>
        <w:ind w:left="920" w:right="780" w:hanging="156"/>
        <w:spacing w:after="0" w:line="251" w:lineRule="auto"/>
        <w:tabs>
          <w:tab w:leader="none" w:pos="920" w:val="left"/>
        </w:tabs>
        <w:numPr>
          <w:ilvl w:val="0"/>
          <w:numId w:val="88"/>
        </w:numPr>
        <w:rPr>
          <w:rFonts w:ascii="Arial" w:cs="Arial" w:eastAsia="Arial" w:hAnsi="Arial"/>
          <w:sz w:val="16"/>
          <w:szCs w:val="16"/>
          <w:color w:val="6A2887"/>
        </w:rPr>
      </w:pPr>
      <w:r>
        <w:rPr>
          <w:rFonts w:ascii="Arial" w:cs="Arial" w:eastAsia="Arial" w:hAnsi="Arial"/>
          <w:sz w:val="16"/>
          <w:szCs w:val="16"/>
          <w:color w:val="auto"/>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13" w:lineRule="exact"/>
        <w:rPr>
          <w:rFonts w:ascii="Arial" w:cs="Arial" w:eastAsia="Arial" w:hAnsi="Arial"/>
          <w:sz w:val="16"/>
          <w:szCs w:val="16"/>
          <w:color w:val="6A2887"/>
        </w:rPr>
      </w:pPr>
    </w:p>
    <w:p>
      <w:pPr>
        <w:ind w:left="920" w:right="780" w:hanging="156"/>
        <w:spacing w:after="0" w:line="249" w:lineRule="auto"/>
        <w:tabs>
          <w:tab w:leader="none" w:pos="920" w:val="left"/>
        </w:tabs>
        <w:numPr>
          <w:ilvl w:val="0"/>
          <w:numId w:val="88"/>
        </w:numPr>
        <w:rPr>
          <w:rFonts w:ascii="Arial" w:cs="Arial" w:eastAsia="Arial" w:hAnsi="Arial"/>
          <w:sz w:val="16"/>
          <w:szCs w:val="16"/>
          <w:color w:val="6A2887"/>
        </w:rPr>
      </w:pPr>
      <w:r>
        <w:rPr>
          <w:rFonts w:ascii="Arial" w:cs="Arial" w:eastAsia="Arial" w:hAnsi="Arial"/>
          <w:sz w:val="16"/>
          <w:szCs w:val="16"/>
          <w:color w:val="auto"/>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xml:space="preserve"> or returning a completed Form of Proxy (the “CDI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80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What are the total voting rights in the Company?</w:t>
      </w:r>
    </w:p>
    <w:p>
      <w:pPr>
        <w:spacing w:after="0" w:line="124" w:lineRule="exact"/>
        <w:rPr>
          <w:sz w:val="20"/>
          <w:szCs w:val="20"/>
          <w:color w:val="auto"/>
        </w:rPr>
      </w:pPr>
    </w:p>
    <w:p>
      <w:pPr>
        <w:ind w:left="760" w:right="319"/>
        <w:spacing w:after="0" w:line="253" w:lineRule="auto"/>
        <w:rPr>
          <w:sz w:val="20"/>
          <w:szCs w:val="20"/>
          <w:color w:val="auto"/>
        </w:rPr>
      </w:pPr>
      <w:r>
        <w:rPr>
          <w:rFonts w:ascii="Arial" w:cs="Arial" w:eastAsia="Arial" w:hAnsi="Arial"/>
          <w:sz w:val="16"/>
          <w:szCs w:val="16"/>
          <w:color w:val="auto"/>
        </w:rPr>
        <w:t>As of [May , 2020], being the last practicable date prior to the publication of this proxy statement, there were XXXXX ordinary shares in issue and entitled to vote. Each Ordinary Share is entitled to one vote on each matter properly brought before the AGM. Therefore, the total voting rights in the Company as at [May , 2020] are XXXXX.</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How do I vote if I am a shareholder of record?</w:t>
      </w:r>
    </w:p>
    <w:p>
      <w:pPr>
        <w:spacing w:after="0" w:line="110" w:lineRule="exact"/>
        <w:rPr>
          <w:sz w:val="20"/>
          <w:szCs w:val="20"/>
          <w:color w:val="auto"/>
        </w:rPr>
      </w:pPr>
    </w:p>
    <w:p>
      <w:pPr>
        <w:ind w:left="760" w:right="239"/>
        <w:spacing w:after="0" w:line="250" w:lineRule="auto"/>
        <w:rPr>
          <w:sz w:val="20"/>
          <w:szCs w:val="20"/>
          <w:color w:val="auto"/>
        </w:rPr>
      </w:pPr>
      <w:r>
        <w:rPr>
          <w:rFonts w:ascii="Arial" w:cs="Arial" w:eastAsia="Arial" w:hAnsi="Arial"/>
          <w:sz w:val="16"/>
          <w:szCs w:val="16"/>
          <w:color w:val="auto"/>
        </w:rPr>
        <w:t>If you are a shareholder of record who is entitled to attend and vote at the AGM, you may vote your ordinary shares virtually at the AGM or appoint another person or persons as your proxy to exercise any or all of your rights to attend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You may appoint a proxy to vote on your behalf using one of the following methods:</w:t>
      </w:r>
    </w:p>
    <w:p>
      <w:pPr>
        <w:spacing w:after="0" w:line="46" w:lineRule="exact"/>
        <w:rPr>
          <w:sz w:val="20"/>
          <w:szCs w:val="20"/>
          <w:color w:val="auto"/>
        </w:rPr>
      </w:pPr>
    </w:p>
    <w:p>
      <w:pPr>
        <w:ind w:left="920" w:right="459" w:hanging="156"/>
        <w:spacing w:after="0" w:line="260" w:lineRule="auto"/>
        <w:tabs>
          <w:tab w:leader="none" w:pos="920" w:val="left"/>
        </w:tabs>
        <w:numPr>
          <w:ilvl w:val="0"/>
          <w:numId w:val="89"/>
        </w:numPr>
        <w:rPr>
          <w:rFonts w:ascii="Arial" w:cs="Arial" w:eastAsia="Arial" w:hAnsi="Arial"/>
          <w:sz w:val="16"/>
          <w:szCs w:val="16"/>
          <w:color w:val="6A2887"/>
        </w:rPr>
      </w:pPr>
      <w:r>
        <w:rPr>
          <w:rFonts w:ascii="Arial" w:cs="Arial" w:eastAsia="Arial" w:hAnsi="Arial"/>
          <w:sz w:val="16"/>
          <w:szCs w:val="16"/>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3" w:lineRule="exact"/>
        <w:rPr>
          <w:rFonts w:ascii="Arial" w:cs="Arial" w:eastAsia="Arial" w:hAnsi="Arial"/>
          <w:sz w:val="16"/>
          <w:szCs w:val="16"/>
          <w:color w:val="6A2887"/>
        </w:rPr>
      </w:pPr>
    </w:p>
    <w:p>
      <w:pPr>
        <w:ind w:left="920" w:hanging="156"/>
        <w:spacing w:after="0"/>
        <w:tabs>
          <w:tab w:leader="none" w:pos="920" w:val="left"/>
        </w:tabs>
        <w:numPr>
          <w:ilvl w:val="0"/>
          <w:numId w:val="89"/>
        </w:numPr>
        <w:rPr>
          <w:rFonts w:ascii="Arial" w:cs="Arial" w:eastAsia="Arial" w:hAnsi="Arial"/>
          <w:sz w:val="16"/>
          <w:szCs w:val="16"/>
          <w:color w:val="6A2887"/>
        </w:rPr>
      </w:pPr>
      <w:r>
        <w:rPr>
          <w:rFonts w:ascii="Arial" w:cs="Arial" w:eastAsia="Arial" w:hAnsi="Arial"/>
          <w:sz w:val="16"/>
          <w:szCs w:val="16"/>
          <w:color w:val="auto"/>
        </w:rPr>
        <w:t xml:space="preserve">by submission via the Internet by going to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xml:space="preserve"> and following the instructions provided; or</w:t>
      </w:r>
    </w:p>
    <w:p>
      <w:pPr>
        <w:spacing w:after="0" w:line="61" w:lineRule="exact"/>
        <w:rPr>
          <w:rFonts w:ascii="Arial" w:cs="Arial" w:eastAsia="Arial" w:hAnsi="Arial"/>
          <w:sz w:val="16"/>
          <w:szCs w:val="16"/>
          <w:color w:val="6A2887"/>
        </w:rPr>
      </w:pPr>
    </w:p>
    <w:p>
      <w:pPr>
        <w:ind w:left="920" w:hanging="156"/>
        <w:spacing w:after="0"/>
        <w:tabs>
          <w:tab w:leader="none" w:pos="920" w:val="left"/>
        </w:tabs>
        <w:numPr>
          <w:ilvl w:val="0"/>
          <w:numId w:val="89"/>
        </w:numPr>
        <w:rPr>
          <w:rFonts w:ascii="Arial" w:cs="Arial" w:eastAsia="Arial" w:hAnsi="Arial"/>
          <w:sz w:val="16"/>
          <w:szCs w:val="16"/>
          <w:color w:val="6A2887"/>
        </w:rPr>
      </w:pPr>
      <w:r>
        <w:rPr>
          <w:rFonts w:ascii="Arial" w:cs="Arial" w:eastAsia="Arial" w:hAnsi="Arial"/>
          <w:sz w:val="16"/>
          <w:szCs w:val="16"/>
          <w:color w:val="auto"/>
        </w:rPr>
        <w:t>by telephone, using the number shown on the notice or proxy card;</w:t>
      </w:r>
    </w:p>
    <w:p>
      <w:pPr>
        <w:spacing w:after="0" w:line="29" w:lineRule="exact"/>
        <w:rPr>
          <w:rFonts w:ascii="Arial" w:cs="Arial" w:eastAsia="Arial" w:hAnsi="Arial"/>
          <w:sz w:val="16"/>
          <w:szCs w:val="16"/>
          <w:color w:val="6A2887"/>
        </w:rPr>
      </w:pPr>
    </w:p>
    <w:p>
      <w:pPr>
        <w:ind w:left="920" w:right="419" w:hanging="156"/>
        <w:spacing w:after="0" w:line="263" w:lineRule="auto"/>
        <w:tabs>
          <w:tab w:leader="none" w:pos="920" w:val="left"/>
        </w:tabs>
        <w:numPr>
          <w:ilvl w:val="0"/>
          <w:numId w:val="89"/>
        </w:numPr>
        <w:rPr>
          <w:rFonts w:ascii="Arial" w:cs="Arial" w:eastAsia="Arial" w:hAnsi="Arial"/>
          <w:sz w:val="16"/>
          <w:szCs w:val="16"/>
          <w:color w:val="6A2887"/>
        </w:rPr>
      </w:pPr>
      <w:r>
        <w:rPr>
          <w:rFonts w:ascii="Arial" w:cs="Arial" w:eastAsia="Arial" w:hAnsi="Arial"/>
          <w:sz w:val="16"/>
          <w:szCs w:val="16"/>
          <w:color w:val="auto"/>
        </w:rPr>
        <w:t xml:space="preserve">during the AGM, you may submit a ballot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(Password: LIVN2020). You will need to review the information included on your Notice or on your proxy card or in the instructions accompanying your proxy materials. The password for the meeting is LIVN2020.</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 be effective, the proxy appointment must be received by 13:00 British Summer Time on June 29, 2020.</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Details of how to appoint the chairman of the AGM, or another person, as your proxy are set out in the proxy card.</w:t>
      </w:r>
    </w:p>
    <w:p>
      <w:pPr>
        <w:spacing w:after="0" w:line="100" w:lineRule="exact"/>
        <w:rPr>
          <w:sz w:val="20"/>
          <w:szCs w:val="20"/>
          <w:color w:val="auto"/>
        </w:rPr>
      </w:pPr>
    </w:p>
    <w:p>
      <w:pPr>
        <w:ind w:left="760" w:right="359"/>
        <w:spacing w:after="0" w:line="248" w:lineRule="auto"/>
        <w:rPr>
          <w:sz w:val="20"/>
          <w:szCs w:val="20"/>
          <w:color w:val="auto"/>
        </w:rPr>
      </w:pPr>
      <w:r>
        <w:rPr>
          <w:rFonts w:ascii="Arial" w:cs="Arial" w:eastAsia="Arial" w:hAnsi="Arial"/>
          <w:sz w:val="16"/>
          <w:szCs w:val="16"/>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73" w:lineRule="exact"/>
        <w:rPr>
          <w:sz w:val="20"/>
          <w:szCs w:val="20"/>
          <w:color w:val="auto"/>
        </w:rPr>
      </w:pPr>
    </w:p>
    <w:p>
      <w:pPr>
        <w:ind w:left="760" w:right="199"/>
        <w:spacing w:after="0" w:line="253" w:lineRule="auto"/>
        <w:rPr>
          <w:sz w:val="20"/>
          <w:szCs w:val="20"/>
          <w:color w:val="auto"/>
        </w:rPr>
      </w:pPr>
      <w:r>
        <w:rPr>
          <w:rFonts w:ascii="Arial" w:cs="Arial" w:eastAsia="Arial" w:hAnsi="Arial"/>
          <w:sz w:val="16"/>
          <w:szCs w:val="16"/>
          <w:color w:val="auto"/>
        </w:rPr>
        <w:t>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w:t>
      </w:r>
    </w:p>
    <w:p>
      <w:pPr>
        <w:spacing w:after="0" w:line="80"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80" w:lineRule="exact"/>
        <w:rPr>
          <w:sz w:val="20"/>
          <w:szCs w:val="20"/>
          <w:color w:val="auto"/>
        </w:rPr>
      </w:pPr>
    </w:p>
    <w:p>
      <w:pPr>
        <w:ind w:left="760" w:right="439"/>
        <w:spacing w:after="0" w:line="260" w:lineRule="auto"/>
        <w:rPr>
          <w:sz w:val="20"/>
          <w:szCs w:val="20"/>
          <w:color w:val="auto"/>
        </w:rPr>
      </w:pPr>
      <w:r>
        <w:rPr>
          <w:rFonts w:ascii="Arial" w:cs="Arial" w:eastAsia="Arial" w:hAnsi="Arial"/>
          <w:sz w:val="16"/>
          <w:szCs w:val="16"/>
          <w:color w:val="auto"/>
        </w:rPr>
        <w:t>If you are a shareholder of record and you execute and return a proxy card, but do not give instructions, your proxy will be voted FOR each of the proposals.</w:t>
      </w:r>
    </w:p>
    <w:p>
      <w:pPr>
        <w:spacing w:after="0" w:line="60" w:lineRule="exact"/>
        <w:rPr>
          <w:sz w:val="20"/>
          <w:szCs w:val="20"/>
          <w:color w:val="auto"/>
        </w:rPr>
      </w:pPr>
    </w:p>
    <w:p>
      <w:pPr>
        <w:ind w:left="760" w:right="259"/>
        <w:spacing w:after="0" w:line="260" w:lineRule="auto"/>
        <w:rPr>
          <w:sz w:val="20"/>
          <w:szCs w:val="20"/>
          <w:color w:val="auto"/>
        </w:rPr>
      </w:pPr>
      <w:r>
        <w:rPr>
          <w:rFonts w:ascii="Arial" w:cs="Arial" w:eastAsia="Arial" w:hAnsi="Arial"/>
          <w:sz w:val="16"/>
          <w:szCs w:val="16"/>
          <w:color w:val="auto"/>
        </w:rPr>
        <w:t>If you have not received a proxy card and believe that you should have one, please contact your broker, bank or other nominee for more information.</w:t>
      </w:r>
    </w:p>
    <w:p>
      <w:pPr>
        <w:spacing w:after="0" w:line="74"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 xml:space="preserve">If you have not already voted your shares in advance, you will be able to vote your shares electronically during the AGM by clicking on the “Cast Your Vote” link on the Meeting Center site. </w:t>
      </w:r>
      <w:r>
        <w:rPr>
          <w:rFonts w:ascii="Arial" w:cs="Arial" w:eastAsia="Arial" w:hAnsi="Arial"/>
          <w:sz w:val="16"/>
          <w:szCs w:val="16"/>
          <w:b w:val="1"/>
          <w:bCs w:val="1"/>
          <w:color w:val="auto"/>
        </w:rPr>
        <w:t>Whether or not you plan to attend the AGM, we urge you to vote and</w:t>
      </w:r>
      <w:r>
        <w:rPr>
          <w:rFonts w:ascii="Arial" w:cs="Arial" w:eastAsia="Arial" w:hAnsi="Arial"/>
          <w:sz w:val="16"/>
          <w:szCs w:val="16"/>
          <w:color w:val="auto"/>
        </w:rPr>
        <w:t xml:space="preserve"> </w:t>
      </w:r>
      <w:r>
        <w:rPr>
          <w:rFonts w:ascii="Arial" w:cs="Arial" w:eastAsia="Arial" w:hAnsi="Arial"/>
          <w:sz w:val="16"/>
          <w:szCs w:val="16"/>
          <w:b w:val="1"/>
          <w:bCs w:val="1"/>
          <w:color w:val="auto"/>
        </w:rPr>
        <w:t>submit your proxy in advance of the meeting by one of the methods described in the proxy materials.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How do I vote if I am a beneficial owner?</w:t>
      </w:r>
    </w:p>
    <w:p>
      <w:pPr>
        <w:spacing w:after="0" w:line="110" w:lineRule="exact"/>
        <w:rPr>
          <w:sz w:val="20"/>
          <w:szCs w:val="20"/>
          <w:color w:val="auto"/>
        </w:rPr>
      </w:pPr>
    </w:p>
    <w:p>
      <w:pPr>
        <w:ind w:left="760" w:right="219"/>
        <w:spacing w:after="0" w:line="253" w:lineRule="auto"/>
        <w:rPr>
          <w:sz w:val="20"/>
          <w:szCs w:val="20"/>
          <w:color w:val="auto"/>
        </w:rPr>
      </w:pPr>
      <w:r>
        <w:rPr>
          <w:rFonts w:ascii="Arial" w:cs="Arial" w:eastAsia="Arial" w:hAnsi="Arial"/>
          <w:sz w:val="16"/>
          <w:szCs w:val="16"/>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80" w:lineRule="exact"/>
        <w:rPr>
          <w:sz w:val="20"/>
          <w:szCs w:val="20"/>
          <w:color w:val="auto"/>
        </w:rPr>
      </w:pPr>
    </w:p>
    <w:p>
      <w:pPr>
        <w:ind w:left="760" w:right="199"/>
        <w:spacing w:after="0" w:line="250" w:lineRule="auto"/>
        <w:rPr>
          <w:sz w:val="20"/>
          <w:szCs w:val="20"/>
          <w:color w:val="auto"/>
        </w:rPr>
      </w:pPr>
      <w:r>
        <w:rPr>
          <w:rFonts w:ascii="Arial" w:cs="Arial" w:eastAsia="Arial" w:hAnsi="Arial"/>
          <w:sz w:val="16"/>
          <w:szCs w:val="16"/>
          <w:color w:val="auto"/>
        </w:rPr>
        <w:t>If you are a beneficial owner and you wish to vote virtually at the AGM, you must obtain a legal proxy from your broker, bank or other nominee. To register, you must obtain a legal proxy, executed in your favor, from the holder of record and submit proof of your legal proxy reflecting the number of ordinary shares you held as of the Record Date, along with your name and email address, to Computershare. Please forward the email from your broker, or attach an image of your legal proxy to legalproxy@computershare.com. Requests for registration must be labeled as “Legal Proxy” and be received no later than</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69</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94615</wp:posOffset>
            </wp:positionV>
            <wp:extent cx="19545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94615</wp:posOffset>
            </wp:positionV>
            <wp:extent cx="1028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68065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jc w:val="right"/>
        <w:ind w:right="780"/>
        <w:spacing w:after="0"/>
        <w:rPr>
          <w:sz w:val="20"/>
          <w:szCs w:val="20"/>
          <w:color w:val="auto"/>
        </w:rPr>
      </w:pPr>
      <w:r>
        <w:rPr>
          <w:rFonts w:ascii="Arial" w:cs="Arial" w:eastAsia="Arial" w:hAnsi="Arial"/>
          <w:sz w:val="13"/>
          <w:szCs w:val="13"/>
          <w:b w:val="1"/>
          <w:bCs w:val="1"/>
          <w:color w:val="6A2887"/>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840"/>
        <w:spacing w:after="0" w:line="253" w:lineRule="auto"/>
        <w:rPr>
          <w:sz w:val="20"/>
          <w:szCs w:val="20"/>
          <w:color w:val="auto"/>
        </w:rPr>
      </w:pPr>
      <w:r>
        <w:rPr>
          <w:rFonts w:ascii="Arial" w:cs="Arial" w:eastAsia="Arial" w:hAnsi="Arial"/>
          <w:sz w:val="16"/>
          <w:szCs w:val="16"/>
          <w:color w:val="auto"/>
        </w:rPr>
        <w:t xml:space="preserve">5:00 p.m. Eastern, on June 24, 2020. You will then receive a confirmation of your registration, with a control number, by email from Computershare. At the time of the AGM, go to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your control number and the meeting password LIVN2020.</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How do I vote if I am a holder of CDIs?</w:t>
      </w:r>
    </w:p>
    <w:p>
      <w:pPr>
        <w:spacing w:after="0" w:line="124" w:lineRule="exact"/>
        <w:rPr>
          <w:sz w:val="20"/>
          <w:szCs w:val="20"/>
          <w:color w:val="auto"/>
        </w:rPr>
      </w:pPr>
    </w:p>
    <w:p>
      <w:pPr>
        <w:ind w:left="760" w:right="2260"/>
        <w:spacing w:after="0" w:line="260" w:lineRule="auto"/>
        <w:rPr>
          <w:sz w:val="20"/>
          <w:szCs w:val="20"/>
          <w:color w:val="auto"/>
        </w:rPr>
      </w:pPr>
      <w:r>
        <w:rPr>
          <w:rFonts w:ascii="Arial" w:cs="Arial" w:eastAsia="Arial" w:hAnsi="Arial"/>
          <w:sz w:val="16"/>
          <w:szCs w:val="16"/>
          <w:color w:val="auto"/>
        </w:rPr>
        <w:t xml:space="preserve">If you are a holder of CDIs, you should follow the instructions on the notice of meeting and vote your shares at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w:t>
      </w:r>
    </w:p>
    <w:p>
      <w:pPr>
        <w:spacing w:after="0" w:line="60" w:lineRule="exact"/>
        <w:rPr>
          <w:sz w:val="20"/>
          <w:szCs w:val="20"/>
          <w:color w:val="auto"/>
        </w:rPr>
      </w:pPr>
    </w:p>
    <w:p>
      <w:pPr>
        <w:ind w:left="760" w:right="820"/>
        <w:spacing w:after="0" w:line="248" w:lineRule="auto"/>
        <w:rPr>
          <w:sz w:val="20"/>
          <w:szCs w:val="20"/>
          <w:color w:val="auto"/>
        </w:rPr>
      </w:pPr>
      <w:r>
        <w:rPr>
          <w:rFonts w:ascii="Arial" w:cs="Arial" w:eastAsia="Arial" w:hAnsi="Arial"/>
          <w:sz w:val="16"/>
          <w:szCs w:val="16"/>
          <w:color w:val="auto"/>
        </w:rPr>
        <w:t xml:space="preserve">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“CREST Voting Instruction”) must be properly authenticated in accordance with Euroclear’s specifications and must contain the information required for such instructions, as described in the CREST Manual (available via </w:t>
      </w:r>
      <w:r>
        <w:rPr>
          <w:rFonts w:ascii="Arial" w:cs="Arial" w:eastAsia="Arial" w:hAnsi="Arial"/>
          <w:sz w:val="16"/>
          <w:szCs w:val="16"/>
          <w:i w:val="1"/>
          <w:iCs w:val="1"/>
          <w:color w:val="auto"/>
        </w:rPr>
        <w:t>www.euroclear.com</w:t>
      </w:r>
      <w:r>
        <w:rPr>
          <w:rFonts w:ascii="Arial" w:cs="Arial" w:eastAsia="Arial" w:hAnsi="Arial"/>
          <w:sz w:val="16"/>
          <w:szCs w:val="16"/>
          <w:color w:val="auto"/>
        </w:rPr>
        <w:t>).</w:t>
      </w:r>
    </w:p>
    <w:p>
      <w:pPr>
        <w:spacing w:after="0" w:line="87" w:lineRule="exact"/>
        <w:rPr>
          <w:sz w:val="20"/>
          <w:szCs w:val="20"/>
          <w:color w:val="auto"/>
        </w:rPr>
      </w:pPr>
    </w:p>
    <w:p>
      <w:pPr>
        <w:ind w:left="760" w:right="1000"/>
        <w:spacing w:after="0" w:line="248" w:lineRule="auto"/>
        <w:rPr>
          <w:sz w:val="20"/>
          <w:szCs w:val="20"/>
          <w:color w:val="auto"/>
        </w:rPr>
      </w:pPr>
      <w:r>
        <w:rPr>
          <w:rFonts w:ascii="Arial" w:cs="Arial" w:eastAsia="Arial" w:hAnsi="Arial"/>
          <w:sz w:val="16"/>
          <w:szCs w:val="16"/>
          <w:color w:val="auto"/>
        </w:rPr>
        <w:t>To be effective, the CREST Voting Instruction must be transmitted so as to be received by the Voting Agent (ID: 3RA50) no later than 11:00 British Summer Time on June 23, 2020 (or, in the event of an adjourned meeting, four business days before the adjourned meeting (excluding weekends and public holidays in the UK and the US). For this purpose, the time of receipt will be taken to be the time (as determined by the time stamp applied to the CREST Voting Instruction by the CREST applications host) from which our agent is able to retrieve the CREST Voting Instruction by inquiry to CREST in the manner prescribed by CREST. After this time, any change of voting instructions made through CREST should be communicated to the Voting Agent by other means.</w:t>
      </w:r>
    </w:p>
    <w:p>
      <w:pPr>
        <w:spacing w:after="0" w:line="87" w:lineRule="exact"/>
        <w:rPr>
          <w:sz w:val="20"/>
          <w:szCs w:val="20"/>
          <w:color w:val="auto"/>
        </w:rPr>
      </w:pPr>
    </w:p>
    <w:p>
      <w:pPr>
        <w:ind w:left="760" w:right="900"/>
        <w:spacing w:after="0" w:line="248" w:lineRule="auto"/>
        <w:rPr>
          <w:sz w:val="20"/>
          <w:szCs w:val="20"/>
          <w:color w:val="auto"/>
        </w:rPr>
      </w:pPr>
      <w:r>
        <w:rPr>
          <w:rFonts w:ascii="Arial" w:cs="Arial" w:eastAsia="Arial" w:hAnsi="Arial"/>
          <w:sz w:val="16"/>
          <w:szCs w:val="16"/>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72" w:lineRule="exact"/>
        <w:rPr>
          <w:sz w:val="20"/>
          <w:szCs w:val="20"/>
          <w:color w:val="auto"/>
        </w:rPr>
      </w:pPr>
    </w:p>
    <w:p>
      <w:pPr>
        <w:ind w:left="760" w:right="1300"/>
        <w:spacing w:after="0" w:line="260" w:lineRule="auto"/>
        <w:rPr>
          <w:sz w:val="20"/>
          <w:szCs w:val="20"/>
          <w:color w:val="auto"/>
        </w:rPr>
      </w:pPr>
      <w:r>
        <w:rPr>
          <w:rFonts w:ascii="Arial" w:cs="Arial" w:eastAsia="Arial" w:hAnsi="Arial"/>
          <w:sz w:val="16"/>
          <w:szCs w:val="16"/>
          <w:color w:val="auto"/>
        </w:rPr>
        <w:t>We may treat as invalid a CREST Voting Instruction in the circumstances set out in Regulation 35(5)(a) of the Uncertificated Securities Regulations 2001.</w:t>
      </w:r>
    </w:p>
    <w:p>
      <w:pPr>
        <w:spacing w:after="0" w:line="74" w:lineRule="exact"/>
        <w:rPr>
          <w:sz w:val="20"/>
          <w:szCs w:val="20"/>
          <w:color w:val="auto"/>
        </w:rPr>
      </w:pPr>
    </w:p>
    <w:p>
      <w:pPr>
        <w:jc w:val="both"/>
        <w:ind w:left="760" w:right="900"/>
        <w:spacing w:after="0" w:line="260" w:lineRule="auto"/>
        <w:rPr>
          <w:sz w:val="20"/>
          <w:szCs w:val="20"/>
          <w:color w:val="auto"/>
        </w:rPr>
      </w:pPr>
      <w:r>
        <w:rPr>
          <w:rFonts w:ascii="Arial" w:cs="Arial" w:eastAsia="Arial" w:hAnsi="Arial"/>
          <w:sz w:val="16"/>
          <w:szCs w:val="16"/>
          <w:color w:val="auto"/>
        </w:rPr>
        <w:t>After the Voting Agent has received instructions as to how to vote on the resolutions from the CDI holders, it will then complete an omnibus proxy card reflecting such instructions.</w:t>
      </w:r>
    </w:p>
    <w:p>
      <w:pPr>
        <w:spacing w:after="0" w:line="74" w:lineRule="exact"/>
        <w:rPr>
          <w:sz w:val="20"/>
          <w:szCs w:val="20"/>
          <w:color w:val="auto"/>
        </w:rPr>
      </w:pPr>
    </w:p>
    <w:p>
      <w:pPr>
        <w:jc w:val="both"/>
        <w:ind w:left="760" w:right="900"/>
        <w:spacing w:after="0" w:line="253" w:lineRule="auto"/>
        <w:rPr>
          <w:sz w:val="20"/>
          <w:szCs w:val="20"/>
          <w:color w:val="auto"/>
        </w:rPr>
      </w:pPr>
      <w:r>
        <w:rPr>
          <w:rFonts w:ascii="Arial" w:cs="Arial" w:eastAsia="Arial" w:hAnsi="Arial"/>
          <w:sz w:val="16"/>
          <w:szCs w:val="16"/>
          <w:color w:val="auto"/>
        </w:rPr>
        <w:t>If you are a holder of CDIs and you wish to vote in person at the AGM,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AGM.</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What should I do if I receive more than one Notice, proxy card or Form of Proxy?</w:t>
      </w:r>
    </w:p>
    <w:p>
      <w:pPr>
        <w:spacing w:after="0" w:line="124" w:lineRule="exact"/>
        <w:rPr>
          <w:sz w:val="20"/>
          <w:szCs w:val="20"/>
          <w:color w:val="auto"/>
        </w:rPr>
      </w:pPr>
    </w:p>
    <w:p>
      <w:pPr>
        <w:ind w:left="760" w:right="780"/>
        <w:spacing w:after="0" w:line="250" w:lineRule="auto"/>
        <w:rPr>
          <w:sz w:val="20"/>
          <w:szCs w:val="20"/>
          <w:color w:val="auto"/>
        </w:rPr>
      </w:pPr>
      <w:r>
        <w:rPr>
          <w:rFonts w:ascii="Arial" w:cs="Arial" w:eastAsia="Arial" w:hAnsi="Arial"/>
          <w:sz w:val="16"/>
          <w:szCs w:val="16"/>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fill-in, sign and return all of the proxy cards included in the proxy materials you receive (or vote over the Internet or by telephone for each card) and vote separately for each Notice you receive in order for all your shares to be voted.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How is a quorum determined?</w:t>
      </w:r>
    </w:p>
    <w:p>
      <w:pPr>
        <w:spacing w:after="0" w:line="110" w:lineRule="exact"/>
        <w:rPr>
          <w:sz w:val="20"/>
          <w:szCs w:val="20"/>
          <w:color w:val="auto"/>
        </w:rPr>
      </w:pPr>
    </w:p>
    <w:p>
      <w:pPr>
        <w:ind w:left="760" w:right="860"/>
        <w:spacing w:after="0" w:line="251" w:lineRule="auto"/>
        <w:rPr>
          <w:sz w:val="20"/>
          <w:szCs w:val="20"/>
          <w:color w:val="auto"/>
        </w:rPr>
      </w:pPr>
      <w:r>
        <w:rPr>
          <w:rFonts w:ascii="Arial" w:cs="Arial" w:eastAsia="Arial" w:hAnsi="Arial"/>
          <w:sz w:val="16"/>
          <w:szCs w:val="16"/>
          <w:color w:val="auto"/>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What are “routine” and “non-routine” matters and what are “broker non-votes”?</w:t>
      </w:r>
    </w:p>
    <w:p>
      <w:pPr>
        <w:spacing w:after="0" w:line="124" w:lineRule="exact"/>
        <w:rPr>
          <w:sz w:val="20"/>
          <w:szCs w:val="20"/>
          <w:color w:val="auto"/>
        </w:rPr>
      </w:pPr>
    </w:p>
    <w:p>
      <w:pPr>
        <w:ind w:left="760" w:right="940"/>
        <w:spacing w:after="0" w:line="253" w:lineRule="auto"/>
        <w:rPr>
          <w:sz w:val="20"/>
          <w:szCs w:val="20"/>
          <w:color w:val="auto"/>
        </w:rPr>
      </w:pPr>
      <w:r>
        <w:rPr>
          <w:rFonts w:ascii="Arial" w:cs="Arial" w:eastAsia="Arial" w:hAnsi="Arial"/>
          <w:sz w:val="16"/>
          <w:szCs w:val="16"/>
          <w:color w:val="auto"/>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executive compensation, including advisory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800" w:type="dxa"/>
            <w:vAlign w:val="bottom"/>
            <w:vMerge w:val="restart"/>
          </w:tcPr>
          <w:p>
            <w:pPr>
              <w:ind w:left="44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80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General </w:t>
      </w:r>
      <w:r>
        <w:rPr>
          <w:rFonts w:ascii="Arial" w:cs="Arial" w:eastAsia="Arial" w:hAnsi="Arial"/>
          <w:sz w:val="13"/>
          <w:szCs w:val="13"/>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30480</wp:posOffset>
            </wp:positionV>
            <wp:extent cx="58293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6A2887"/>
        </w:rPr>
        <w:t>Frequently Asked Questions About the AGM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right="799"/>
        <w:spacing w:after="0" w:line="253" w:lineRule="auto"/>
        <w:rPr>
          <w:sz w:val="20"/>
          <w:szCs w:val="20"/>
          <w:color w:val="auto"/>
        </w:rPr>
      </w:pPr>
      <w:r>
        <w:rPr>
          <w:rFonts w:ascii="Arial" w:cs="Arial" w:eastAsia="Arial" w:hAnsi="Arial"/>
          <w:sz w:val="16"/>
          <w:szCs w:val="16"/>
          <w:color w:val="auto"/>
        </w:rPr>
        <w:t>shareholder votes on executive compensation and on the frequency of shareholder votes on executive compensation. The ratification of the selection of the independent registered public accounting firm for both the US and the UK are generally considered to be “routine.”</w:t>
      </w:r>
    </w:p>
    <w:p>
      <w:pPr>
        <w:spacing w:after="0" w:line="80" w:lineRule="exact"/>
        <w:rPr>
          <w:sz w:val="20"/>
          <w:szCs w:val="20"/>
          <w:color w:val="auto"/>
        </w:rPr>
      </w:pPr>
    </w:p>
    <w:p>
      <w:pPr>
        <w:ind w:left="760" w:right="499"/>
        <w:spacing w:after="0" w:line="260" w:lineRule="auto"/>
        <w:rPr>
          <w:sz w:val="20"/>
          <w:szCs w:val="20"/>
          <w:color w:val="auto"/>
        </w:rPr>
      </w:pPr>
      <w:r>
        <w:rPr>
          <w:rFonts w:ascii="Arial" w:cs="Arial" w:eastAsia="Arial" w:hAnsi="Arial"/>
          <w:sz w:val="16"/>
          <w:szCs w:val="16"/>
          <w:color w:val="auto"/>
        </w:rPr>
        <w:t>Brokers, banks or other nominees generally have discretionary voting power with respect to routine matters but not non-routine matters.</w:t>
      </w:r>
    </w:p>
    <w:p>
      <w:pPr>
        <w:spacing w:after="0" w:line="74" w:lineRule="exact"/>
        <w:rPr>
          <w:sz w:val="20"/>
          <w:szCs w:val="20"/>
          <w:color w:val="auto"/>
        </w:rPr>
      </w:pPr>
    </w:p>
    <w:p>
      <w:pPr>
        <w:ind w:left="760" w:right="319"/>
        <w:spacing w:after="0" w:line="248" w:lineRule="auto"/>
        <w:rPr>
          <w:sz w:val="20"/>
          <w:szCs w:val="20"/>
          <w:color w:val="auto"/>
        </w:rPr>
      </w:pPr>
      <w:r>
        <w:rPr>
          <w:rFonts w:ascii="Arial" w:cs="Arial" w:eastAsia="Arial" w:hAnsi="Arial"/>
          <w:sz w:val="16"/>
          <w:szCs w:val="16"/>
          <w:color w:val="auto"/>
        </w:rPr>
        <w:t>If you own your ordinary shares through a bank, broker or other nominee and you do not provide them with specific voting instructions, the bank, broker or nominee will be permitted to vote only on routine matters and will submit a “broker non-vote” on non-routine matters. At our AGM, only the ratification of the selection of the independent registered public accounting firms is considered routine and accordingly, those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Broker non-votes will be counted for the purpose of determining whether a quorum is present at the AGM.</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What are the voting requirements to approve the resolutions?</w:t>
      </w:r>
    </w:p>
    <w:p>
      <w:pPr>
        <w:spacing w:after="0" w:line="124" w:lineRule="exact"/>
        <w:rPr>
          <w:sz w:val="20"/>
          <w:szCs w:val="20"/>
          <w:color w:val="auto"/>
        </w:rPr>
      </w:pPr>
    </w:p>
    <w:p>
      <w:pPr>
        <w:ind w:left="760" w:right="559"/>
        <w:spacing w:after="0" w:line="260" w:lineRule="auto"/>
        <w:rPr>
          <w:sz w:val="20"/>
          <w:szCs w:val="20"/>
          <w:color w:val="auto"/>
        </w:rPr>
      </w:pPr>
      <w:r>
        <w:rPr>
          <w:rFonts w:ascii="Arial" w:cs="Arial" w:eastAsia="Arial" w:hAnsi="Arial"/>
          <w:sz w:val="16"/>
          <w:szCs w:val="16"/>
          <w:color w:val="auto"/>
        </w:rPr>
        <w:t>In accordance with the Articles, all resolutions will be taken on a poll. Voting on a poll will mean that each share represented in person or by proxy will be counted in the vote.</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Please see the discussion under each proposal for a detailed explanation of the voting requirement for each proposal.</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Can I change my vote or revoke my proxy?</w:t>
      </w:r>
    </w:p>
    <w:p>
      <w:pPr>
        <w:spacing w:after="0" w:line="104" w:lineRule="exact"/>
        <w:rPr>
          <w:sz w:val="20"/>
          <w:szCs w:val="20"/>
          <w:color w:val="auto"/>
        </w:rPr>
      </w:pPr>
    </w:p>
    <w:p>
      <w:pPr>
        <w:ind w:left="760" w:right="399"/>
        <w:spacing w:after="0" w:line="277" w:lineRule="auto"/>
        <w:rPr>
          <w:sz w:val="20"/>
          <w:szCs w:val="20"/>
          <w:color w:val="auto"/>
        </w:rPr>
      </w:pPr>
      <w:r>
        <w:rPr>
          <w:rFonts w:ascii="Arial" w:cs="Arial" w:eastAsia="Arial" w:hAnsi="Arial"/>
          <w:sz w:val="16"/>
          <w:szCs w:val="16"/>
          <w:b w:val="1"/>
          <w:bCs w:val="1"/>
          <w:color w:val="auto"/>
        </w:rPr>
        <w:t>If you are a shareholder of record</w:t>
      </w:r>
      <w:r>
        <w:rPr>
          <w:rFonts w:ascii="Arial" w:cs="Arial" w:eastAsia="Arial" w:hAnsi="Arial"/>
          <w:sz w:val="16"/>
          <w:szCs w:val="16"/>
          <w:color w:val="auto"/>
        </w:rPr>
        <w:t>, you can change how you wish to instruct the proxy to vote or revoke your proxy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AGM, by:</w:t>
      </w:r>
    </w:p>
    <w:p>
      <w:pPr>
        <w:ind w:left="920" w:right="399" w:hanging="156"/>
        <w:spacing w:after="0" w:line="253" w:lineRule="auto"/>
        <w:tabs>
          <w:tab w:leader="none" w:pos="920" w:val="left"/>
        </w:tabs>
        <w:numPr>
          <w:ilvl w:val="0"/>
          <w:numId w:val="90"/>
        </w:numPr>
        <w:rPr>
          <w:rFonts w:ascii="Arial" w:cs="Arial" w:eastAsia="Arial" w:hAnsi="Arial"/>
          <w:sz w:val="16"/>
          <w:szCs w:val="16"/>
          <w:color w:val="6A2887"/>
        </w:rPr>
      </w:pPr>
      <w:r>
        <w:rPr>
          <w:rFonts w:ascii="Arial" w:cs="Arial" w:eastAsia="Arial" w:hAnsi="Arial"/>
          <w:sz w:val="16"/>
          <w:szCs w:val="16"/>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25" w:lineRule="exact"/>
        <w:rPr>
          <w:rFonts w:ascii="Arial" w:cs="Arial" w:eastAsia="Arial" w:hAnsi="Arial"/>
          <w:sz w:val="16"/>
          <w:szCs w:val="16"/>
          <w:color w:val="6A2887"/>
        </w:rPr>
      </w:pPr>
    </w:p>
    <w:p>
      <w:pPr>
        <w:jc w:val="both"/>
        <w:ind w:left="920" w:right="779" w:hanging="156"/>
        <w:spacing w:after="0" w:line="291" w:lineRule="auto"/>
        <w:tabs>
          <w:tab w:leader="none" w:pos="920" w:val="left"/>
        </w:tabs>
        <w:numPr>
          <w:ilvl w:val="0"/>
          <w:numId w:val="90"/>
        </w:numPr>
        <w:rPr>
          <w:rFonts w:ascii="Arial" w:cs="Arial" w:eastAsia="Arial" w:hAnsi="Arial"/>
          <w:sz w:val="15"/>
          <w:szCs w:val="15"/>
          <w:color w:val="6A2887"/>
        </w:rPr>
      </w:pPr>
      <w:r>
        <w:rPr>
          <w:rFonts w:ascii="Arial" w:cs="Arial" w:eastAsia="Arial" w:hAnsi="Arial"/>
          <w:sz w:val="15"/>
          <w:szCs w:val="15"/>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ind w:left="920" w:right="199" w:hanging="156"/>
        <w:spacing w:after="0" w:line="260" w:lineRule="auto"/>
        <w:tabs>
          <w:tab w:leader="none" w:pos="920" w:val="left"/>
        </w:tabs>
        <w:numPr>
          <w:ilvl w:val="0"/>
          <w:numId w:val="90"/>
        </w:numPr>
        <w:rPr>
          <w:rFonts w:ascii="Arial" w:cs="Arial" w:eastAsia="Arial" w:hAnsi="Arial"/>
          <w:sz w:val="16"/>
          <w:szCs w:val="16"/>
          <w:color w:val="6A2887"/>
        </w:rPr>
      </w:pPr>
      <w:r>
        <w:rPr>
          <w:rFonts w:ascii="Arial" w:cs="Arial" w:eastAsia="Arial" w:hAnsi="Arial"/>
          <w:sz w:val="16"/>
          <w:szCs w:val="16"/>
          <w:color w:val="auto"/>
        </w:rPr>
        <w:t>sending written notice to the office of the Company Secretary at the Company’s registered office, which must be received at least 24 hours prior to the start of the AGM; or</w:t>
      </w:r>
    </w:p>
    <w:p>
      <w:pPr>
        <w:spacing w:after="0" w:line="19" w:lineRule="exact"/>
        <w:rPr>
          <w:rFonts w:ascii="Arial" w:cs="Arial" w:eastAsia="Arial" w:hAnsi="Arial"/>
          <w:sz w:val="16"/>
          <w:szCs w:val="16"/>
          <w:color w:val="6A2887"/>
        </w:rPr>
      </w:pPr>
    </w:p>
    <w:p>
      <w:pPr>
        <w:ind w:left="920" w:hanging="156"/>
        <w:spacing w:after="0"/>
        <w:tabs>
          <w:tab w:leader="none" w:pos="920" w:val="left"/>
        </w:tabs>
        <w:numPr>
          <w:ilvl w:val="0"/>
          <w:numId w:val="90"/>
        </w:numPr>
        <w:rPr>
          <w:rFonts w:ascii="Arial" w:cs="Arial" w:eastAsia="Arial" w:hAnsi="Arial"/>
          <w:sz w:val="16"/>
          <w:szCs w:val="16"/>
          <w:color w:val="6A2887"/>
        </w:rPr>
      </w:pPr>
      <w:r>
        <w:rPr>
          <w:rFonts w:ascii="Arial" w:cs="Arial" w:eastAsia="Arial" w:hAnsi="Arial"/>
          <w:sz w:val="16"/>
          <w:szCs w:val="16"/>
          <w:color w:val="auto"/>
        </w:rPr>
        <w:t>voting at the AGM.</w:t>
      </w:r>
    </w:p>
    <w:p>
      <w:pPr>
        <w:spacing w:after="0" w:line="66" w:lineRule="exact"/>
        <w:rPr>
          <w:sz w:val="20"/>
          <w:szCs w:val="20"/>
          <w:color w:val="auto"/>
        </w:rPr>
      </w:pPr>
    </w:p>
    <w:p>
      <w:pPr>
        <w:ind w:left="760" w:right="359"/>
        <w:spacing w:after="0" w:line="266" w:lineRule="auto"/>
        <w:rPr>
          <w:sz w:val="20"/>
          <w:szCs w:val="20"/>
          <w:color w:val="auto"/>
        </w:rPr>
      </w:pPr>
      <w:r>
        <w:rPr>
          <w:rFonts w:ascii="Arial" w:cs="Arial" w:eastAsia="Arial" w:hAnsi="Arial"/>
          <w:sz w:val="16"/>
          <w:szCs w:val="16"/>
          <w:b w:val="1"/>
          <w:bCs w:val="1"/>
          <w:color w:val="auto"/>
        </w:rPr>
        <w:t xml:space="preserve">If you are a beneficial owner </w:t>
      </w:r>
      <w:r>
        <w:rPr>
          <w:rFonts w:ascii="Arial" w:cs="Arial" w:eastAsia="Arial" w:hAnsi="Arial"/>
          <w:sz w:val="16"/>
          <w:szCs w:val="16"/>
          <w:color w:val="auto"/>
        </w:rPr>
        <w:t>of ordinary shares, you may submit new proxy appointment instructions by contacting your broker,</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other nominee. You may also vote in person at the AGM if you obtain a legal proxy, and you may also change your vote online.</w:t>
      </w:r>
    </w:p>
    <w:p>
      <w:pPr>
        <w:spacing w:after="0" w:line="50" w:lineRule="exact"/>
        <w:rPr>
          <w:sz w:val="20"/>
          <w:szCs w:val="20"/>
          <w:color w:val="auto"/>
        </w:rPr>
      </w:pPr>
    </w:p>
    <w:p>
      <w:pPr>
        <w:ind w:left="760" w:right="539"/>
        <w:spacing w:after="0" w:line="286" w:lineRule="auto"/>
        <w:rPr>
          <w:sz w:val="20"/>
          <w:szCs w:val="20"/>
          <w:color w:val="auto"/>
        </w:rPr>
      </w:pPr>
      <w:r>
        <w:rPr>
          <w:rFonts w:ascii="Arial" w:cs="Arial" w:eastAsia="Arial" w:hAnsi="Arial"/>
          <w:sz w:val="16"/>
          <w:szCs w:val="16"/>
          <w:b w:val="1"/>
          <w:bCs w:val="1"/>
          <w:color w:val="auto"/>
        </w:rPr>
        <w:t>If you are a CDI holder</w:t>
      </w:r>
      <w:r>
        <w:rPr>
          <w:rFonts w:ascii="Arial" w:cs="Arial" w:eastAsia="Arial" w:hAnsi="Arial"/>
          <w:sz w:val="16"/>
          <w:szCs w:val="16"/>
          <w:color w:val="auto"/>
        </w:rPr>
        <w:t>, you may submit a new Form of Proxy following the instructions previously set out, at any time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11:00 a.m. British Summer Time on June 23, 2020.</w:t>
      </w:r>
    </w:p>
    <w:p>
      <w:pPr>
        <w:spacing w:after="0" w:line="54" w:lineRule="exact"/>
        <w:rPr>
          <w:sz w:val="20"/>
          <w:szCs w:val="20"/>
          <w:color w:val="auto"/>
        </w:rPr>
      </w:pPr>
    </w:p>
    <w:p>
      <w:pPr>
        <w:ind w:left="760" w:right="359"/>
        <w:spacing w:after="0" w:line="260" w:lineRule="auto"/>
        <w:rPr>
          <w:sz w:val="20"/>
          <w:szCs w:val="20"/>
          <w:color w:val="auto"/>
        </w:rPr>
      </w:pPr>
      <w:r>
        <w:rPr>
          <w:rFonts w:ascii="Arial" w:cs="Arial" w:eastAsia="Arial" w:hAnsi="Arial"/>
          <w:sz w:val="16"/>
          <w:szCs w:val="16"/>
          <w:color w:val="auto"/>
        </w:rPr>
        <w:t>All ordinary shares that have been properly voted and not revoked will be counted in the votes held on the resolution proposed at the AGM. Attending the AGM without taking further action will not automatically revoke your prior proxy.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Who can attend the AGM?</w:t>
      </w:r>
    </w:p>
    <w:p>
      <w:pPr>
        <w:spacing w:after="0" w:line="104" w:lineRule="exact"/>
        <w:rPr>
          <w:sz w:val="20"/>
          <w:szCs w:val="20"/>
          <w:color w:val="auto"/>
        </w:rPr>
      </w:pPr>
    </w:p>
    <w:p>
      <w:pPr>
        <w:ind w:left="760" w:right="319"/>
        <w:spacing w:after="0" w:line="259"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as of the close of business in New York City on the Record Date) (i.e., you held your shares in your own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name as reflected in the records of our transfer agent, Computershare), may attend the AGM by accessing </w:t>
      </w:r>
      <w:r>
        <w:rPr>
          <w:rFonts w:ascii="Arial" w:cs="Arial" w:eastAsia="Arial" w:hAnsi="Arial"/>
          <w:sz w:val="16"/>
          <w:szCs w:val="16"/>
          <w:i w:val="1"/>
          <w:iCs w:val="1"/>
          <w:color w:val="auto"/>
        </w:rPr>
        <w:t xml:space="preserve">www.meetingcenter.io/260382039 </w:t>
      </w:r>
      <w:r>
        <w:rPr>
          <w:rFonts w:ascii="Arial" w:cs="Arial" w:eastAsia="Arial" w:hAnsi="Arial"/>
          <w:sz w:val="16"/>
          <w:szCs w:val="16"/>
          <w:color w:val="auto"/>
        </w:rPr>
        <w:t>and entering the 15-digit control number on the Proxy Card or Notice of Availability of Proxy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you previously received. The meeting password is LIVN2020.</w:t>
      </w:r>
    </w:p>
    <w:p>
      <w:pPr>
        <w:spacing w:after="0" w:line="56" w:lineRule="exact"/>
        <w:rPr>
          <w:sz w:val="20"/>
          <w:szCs w:val="20"/>
          <w:color w:val="auto"/>
        </w:rPr>
      </w:pPr>
    </w:p>
    <w:p>
      <w:pPr>
        <w:ind w:left="760" w:right="459"/>
        <w:spacing w:after="0" w:line="251" w:lineRule="auto"/>
        <w:rPr>
          <w:sz w:val="20"/>
          <w:szCs w:val="20"/>
          <w:color w:val="auto"/>
        </w:rPr>
      </w:pPr>
      <w:r>
        <w:rPr>
          <w:rFonts w:ascii="Arial" w:cs="Arial" w:eastAsia="Arial" w:hAnsi="Arial"/>
          <w:sz w:val="16"/>
          <w:szCs w:val="16"/>
          <w:color w:val="auto"/>
        </w:rPr>
        <w:t xml:space="preserve">If you were a </w:t>
      </w:r>
      <w:r>
        <w:rPr>
          <w:rFonts w:ascii="Arial" w:cs="Arial" w:eastAsia="Arial" w:hAnsi="Arial"/>
          <w:sz w:val="16"/>
          <w:szCs w:val="16"/>
          <w:b w:val="1"/>
          <w:bCs w:val="1"/>
          <w:color w:val="auto"/>
        </w:rPr>
        <w:t>beneficial owner</w:t>
      </w:r>
      <w:r>
        <w:rPr>
          <w:rFonts w:ascii="Arial" w:cs="Arial" w:eastAsia="Arial" w:hAnsi="Arial"/>
          <w:sz w:val="16"/>
          <w:szCs w:val="16"/>
          <w:color w:val="auto"/>
        </w:rPr>
        <w:t xml:space="preserve"> as of the close of business in New York City as of the Record Date (i.e. you hold your shares in “street name” through an intermediary, such as a bank or broker), you must register in advance to virtually attend the AGM. To register, you must obtain a legal proxy, executed in your favor, from the holder of record and submit proof of your legal proxy reflecting the number of ordinary shares of you held as of the Record Date, along with your name and email address, to Computershare. Please forward the email from your broker, or attach an image of your legal proxy to legalproxy@computershare.com. Requests for registration must be labeled as “Legal Proxy” and be received no later than 5:00 p.m. Eastern, on June 24, 2020. You will then receive a confirmation of your registration, with a control number, by email from Computershare. At the time of the meeting, go to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your control number and the meeting password LIVN2020.</w:t>
      </w:r>
    </w:p>
    <w:p>
      <w:pPr>
        <w:ind w:left="480"/>
        <w:spacing w:after="0"/>
        <w:tabs>
          <w:tab w:leader="none" w:pos="4400" w:val="left"/>
          <w:tab w:leader="none" w:pos="8760" w:val="left"/>
        </w:tabs>
        <w:rPr>
          <w:sz w:val="20"/>
          <w:szCs w:val="20"/>
          <w:color w:val="auto"/>
        </w:rPr>
      </w:pPr>
      <w:r>
        <w:rPr>
          <w:rFonts w:ascii="Arial" w:cs="Arial" w:eastAsia="Arial" w:hAnsi="Arial"/>
          <w:sz w:val="29"/>
          <w:szCs w:val="29"/>
          <w:b w:val="1"/>
          <w:bCs w:val="1"/>
          <w:color w:val="auto"/>
          <w:vertAlign w:val="subscript"/>
        </w:rPr>
        <w:t>71</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86360</wp:posOffset>
            </wp:positionV>
            <wp:extent cx="19545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86360</wp:posOffset>
            </wp:positionV>
            <wp:extent cx="1028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68065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38" w:lineRule="exact"/>
        <w:rPr>
          <w:sz w:val="20"/>
          <w:szCs w:val="20"/>
          <w:color w:val="auto"/>
        </w:rPr>
      </w:pPr>
    </w:p>
    <w:p>
      <w:pPr>
        <w:ind w:left="9000"/>
        <w:spacing w:after="0"/>
        <w:rPr>
          <w:sz w:val="20"/>
          <w:szCs w:val="20"/>
          <w:color w:val="auto"/>
        </w:rPr>
      </w:pPr>
      <w:r>
        <w:rPr>
          <w:rFonts w:ascii="Arial" w:cs="Arial" w:eastAsia="Arial" w:hAnsi="Arial"/>
          <w:sz w:val="12"/>
          <w:szCs w:val="12"/>
          <w:b w:val="1"/>
          <w:bCs w:val="1"/>
          <w:color w:val="auto"/>
        </w:rPr>
        <w:t xml:space="preserve">General </w:t>
      </w:r>
      <w:r>
        <w:rPr>
          <w:rFonts w:ascii="Arial" w:cs="Arial" w:eastAsia="Arial" w:hAnsi="Arial"/>
          <w:sz w:val="12"/>
          <w:szCs w:val="12"/>
          <w:b w:val="1"/>
          <w:bCs w:val="1"/>
          <w:color w:val="666666"/>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37465</wp:posOffset>
            </wp:positionV>
            <wp:extent cx="58293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72" w:lineRule="exact"/>
        <w:rPr>
          <w:sz w:val="20"/>
          <w:szCs w:val="20"/>
          <w:color w:val="auto"/>
        </w:rPr>
      </w:pPr>
    </w:p>
    <w:p>
      <w:pPr>
        <w:jc w:val="right"/>
        <w:ind w:right="240"/>
        <w:spacing w:after="0"/>
        <w:rPr>
          <w:sz w:val="20"/>
          <w:szCs w:val="20"/>
          <w:color w:val="auto"/>
        </w:rPr>
      </w:pPr>
      <w:r>
        <w:rPr>
          <w:rFonts w:ascii="Arial" w:cs="Arial" w:eastAsia="Arial" w:hAnsi="Arial"/>
          <w:sz w:val="13"/>
          <w:szCs w:val="13"/>
          <w:b w:val="1"/>
          <w:bCs w:val="1"/>
          <w:color w:val="6A2887"/>
        </w:rPr>
        <w:t>Other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400"/>
        <w:spacing w:after="0" w:line="282" w:lineRule="auto"/>
        <w:rPr>
          <w:sz w:val="20"/>
          <w:szCs w:val="20"/>
          <w:color w:val="auto"/>
        </w:rPr>
      </w:pPr>
      <w:r>
        <w:rPr>
          <w:rFonts w:ascii="Arial" w:cs="Arial" w:eastAsia="Arial" w:hAnsi="Arial"/>
          <w:sz w:val="15"/>
          <w:szCs w:val="15"/>
          <w:color w:val="auto"/>
        </w:rPr>
        <w:t xml:space="preserve">If you are a </w:t>
      </w:r>
      <w:r>
        <w:rPr>
          <w:rFonts w:ascii="Arial" w:cs="Arial" w:eastAsia="Arial" w:hAnsi="Arial"/>
          <w:sz w:val="15"/>
          <w:szCs w:val="15"/>
          <w:b w:val="1"/>
          <w:bCs w:val="1"/>
          <w:color w:val="auto"/>
        </w:rPr>
        <w:t>holder of CDIs</w:t>
      </w:r>
      <w:r>
        <w:rPr>
          <w:rFonts w:ascii="Arial" w:cs="Arial" w:eastAsia="Arial" w:hAnsi="Arial"/>
          <w:sz w:val="15"/>
          <w:szCs w:val="15"/>
          <w:color w:val="auto"/>
        </w:rPr>
        <w:t xml:space="preserve"> and would like to attend and vote at the AGM,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as at the Record Date that will enable you to attend and vote your underlying ordinary shares at the AGM on CREST Nominees’ behalf.</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Attending the Annual Meeting as a Guest</w:t>
      </w:r>
    </w:p>
    <w:p>
      <w:pPr>
        <w:spacing w:after="0" w:line="124" w:lineRule="exact"/>
        <w:rPr>
          <w:sz w:val="20"/>
          <w:szCs w:val="20"/>
          <w:color w:val="auto"/>
        </w:rPr>
      </w:pPr>
    </w:p>
    <w:p>
      <w:pPr>
        <w:jc w:val="both"/>
        <w:ind w:left="760" w:right="400"/>
        <w:spacing w:after="0" w:line="253" w:lineRule="auto"/>
        <w:rPr>
          <w:sz w:val="20"/>
          <w:szCs w:val="20"/>
          <w:color w:val="auto"/>
        </w:rPr>
      </w:pPr>
      <w:r>
        <w:rPr>
          <w:rFonts w:ascii="Arial" w:cs="Arial" w:eastAsia="Arial" w:hAnsi="Arial"/>
          <w:sz w:val="16"/>
          <w:szCs w:val="16"/>
          <w:color w:val="auto"/>
        </w:rPr>
        <w:t xml:space="preserve">If you would like to enter the meeting as a guest in listen-only mode, click on the “I am a Guest” button after entering the meeting center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and enter the information requested on the following screen. Please note you will not have the ability to ask questions or vote during the meeting if you participate as a guest.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Where is the AGM being held?</w:t>
      </w:r>
    </w:p>
    <w:p>
      <w:pPr>
        <w:spacing w:after="0" w:line="108" w:lineRule="exact"/>
        <w:rPr>
          <w:sz w:val="20"/>
          <w:szCs w:val="20"/>
          <w:color w:val="auto"/>
        </w:rPr>
      </w:pPr>
    </w:p>
    <w:p>
      <w:pPr>
        <w:ind w:left="760" w:right="480"/>
        <w:spacing w:after="0" w:line="281" w:lineRule="auto"/>
        <w:rPr>
          <w:sz w:val="20"/>
          <w:szCs w:val="20"/>
          <w:color w:val="auto"/>
        </w:rPr>
      </w:pPr>
      <w:r>
        <w:rPr>
          <w:rFonts w:ascii="Arial" w:cs="Arial" w:eastAsia="Arial" w:hAnsi="Arial"/>
          <w:sz w:val="16"/>
          <w:szCs w:val="16"/>
          <w:color w:val="auto"/>
        </w:rPr>
        <w:t xml:space="preserve">The AGM is being held virtually on the Internet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xml:space="preserve"> (password LIVN2020). There is no physical meeting.</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Can I ask questions at the AGM?</w:t>
      </w:r>
    </w:p>
    <w:p>
      <w:pPr>
        <w:spacing w:after="0" w:line="110" w:lineRule="exact"/>
        <w:rPr>
          <w:sz w:val="20"/>
          <w:szCs w:val="20"/>
          <w:color w:val="auto"/>
        </w:rPr>
      </w:pPr>
    </w:p>
    <w:p>
      <w:pPr>
        <w:ind w:left="760" w:right="560"/>
        <w:spacing w:after="0" w:line="251" w:lineRule="auto"/>
        <w:rPr>
          <w:sz w:val="20"/>
          <w:szCs w:val="20"/>
          <w:color w:val="auto"/>
        </w:rPr>
      </w:pPr>
      <w:r>
        <w:rPr>
          <w:rFonts w:ascii="Arial" w:cs="Arial" w:eastAsia="Arial" w:hAnsi="Arial"/>
          <w:sz w:val="16"/>
          <w:szCs w:val="16"/>
          <w:color w:val="auto"/>
        </w:rPr>
        <w:t xml:space="preserve">If you are attending the meeting as a shareholder of record or registered beneficial owner, questions can be submitted by accessing the meeting center at </w:t>
      </w:r>
      <w:r>
        <w:rPr>
          <w:rFonts w:ascii="Arial" w:cs="Arial" w:eastAsia="Arial" w:hAnsi="Arial"/>
          <w:sz w:val="16"/>
          <w:szCs w:val="16"/>
          <w:i w:val="1"/>
          <w:iCs w:val="1"/>
          <w:color w:val="auto"/>
        </w:rPr>
        <w:t>www.meetingcenter.io/260382039</w:t>
      </w:r>
      <w:r>
        <w:rPr>
          <w:rFonts w:ascii="Arial" w:cs="Arial" w:eastAsia="Arial" w:hAnsi="Arial"/>
          <w:sz w:val="16"/>
          <w:szCs w:val="16"/>
          <w:color w:val="auto"/>
        </w:rPr>
        <w:t>, entering your control number and meeting password LIVN2020, and clicking on the message icon in the upper right hand corner of the page. To return to the main page, click the “i” icon at the top of the screen.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Who will count the votes?</w:t>
      </w:r>
    </w:p>
    <w:p>
      <w:pPr>
        <w:spacing w:after="0" w:line="124" w:lineRule="exact"/>
        <w:rPr>
          <w:sz w:val="20"/>
          <w:szCs w:val="20"/>
          <w:color w:val="auto"/>
        </w:rPr>
      </w:pPr>
    </w:p>
    <w:p>
      <w:pPr>
        <w:ind w:left="760" w:right="700"/>
        <w:spacing w:after="0" w:line="260" w:lineRule="auto"/>
        <w:rPr>
          <w:sz w:val="20"/>
          <w:szCs w:val="20"/>
          <w:color w:val="auto"/>
        </w:rPr>
      </w:pPr>
      <w:r>
        <w:rPr>
          <w:rFonts w:ascii="Arial" w:cs="Arial" w:eastAsia="Arial" w:hAnsi="Arial"/>
          <w:sz w:val="16"/>
          <w:szCs w:val="16"/>
          <w:color w:val="auto"/>
        </w:rPr>
        <w:t>Representatives of the Company’s transfer agent, Computershare, will serve as scrutineers of the poll, and will also serve as master tabulator.</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Where can I find the voting results of the AGM?</w:t>
      </w:r>
    </w:p>
    <w:p>
      <w:pPr>
        <w:spacing w:after="0" w:line="124" w:lineRule="exact"/>
        <w:rPr>
          <w:sz w:val="20"/>
          <w:szCs w:val="20"/>
          <w:color w:val="auto"/>
        </w:rPr>
      </w:pPr>
    </w:p>
    <w:p>
      <w:pPr>
        <w:ind w:left="760" w:right="580"/>
        <w:spacing w:after="0" w:line="250" w:lineRule="auto"/>
        <w:rPr>
          <w:sz w:val="20"/>
          <w:szCs w:val="20"/>
          <w:color w:val="auto"/>
        </w:rPr>
      </w:pPr>
      <w:r>
        <w:rPr>
          <w:rFonts w:ascii="Arial" w:cs="Arial" w:eastAsia="Arial" w:hAnsi="Arial"/>
          <w:sz w:val="16"/>
          <w:szCs w:val="16"/>
          <w:color w:val="auto"/>
        </w:rPr>
        <w:t>The preliminary voting results will be announced at the AGM. 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as soon as reasonably practicable after the AGM and for a period of two years thereafter.</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F26F52"/>
        </w:rPr>
        <w:t>Other information</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additional information, please contact company.secretariat@livanova.com.</w:t>
      </w:r>
    </w:p>
    <w:p>
      <w:pPr>
        <w:spacing w:after="0" w:line="394" w:lineRule="exact"/>
        <w:rPr>
          <w:sz w:val="20"/>
          <w:szCs w:val="20"/>
          <w:color w:val="auto"/>
        </w:rPr>
      </w:pPr>
    </w:p>
    <w:p>
      <w:pPr>
        <w:ind w:left="760"/>
        <w:spacing w:after="0"/>
        <w:rPr>
          <w:sz w:val="20"/>
          <w:szCs w:val="20"/>
          <w:color w:val="auto"/>
        </w:rPr>
      </w:pPr>
      <w:r>
        <w:rPr>
          <w:rFonts w:ascii="Arial" w:cs="Arial" w:eastAsia="Arial" w:hAnsi="Arial"/>
          <w:sz w:val="31"/>
          <w:szCs w:val="31"/>
          <w:b w:val="1"/>
          <w:bCs w:val="1"/>
          <w:color w:val="6A2887"/>
        </w:rPr>
        <w:t>Other Business</w:t>
      </w:r>
    </w:p>
    <w:p>
      <w:pPr>
        <w:spacing w:after="0" w:line="146" w:lineRule="exact"/>
        <w:rPr>
          <w:sz w:val="20"/>
          <w:szCs w:val="20"/>
          <w:color w:val="auto"/>
        </w:rPr>
      </w:pPr>
    </w:p>
    <w:p>
      <w:pPr>
        <w:ind w:left="760" w:right="260"/>
        <w:spacing w:after="0" w:line="253" w:lineRule="auto"/>
        <w:rPr>
          <w:sz w:val="20"/>
          <w:szCs w:val="20"/>
          <w:color w:val="auto"/>
        </w:rPr>
      </w:pPr>
      <w:r>
        <w:rPr>
          <w:rFonts w:ascii="Arial" w:cs="Arial" w:eastAsia="Arial" w:hAnsi="Arial"/>
          <w:sz w:val="16"/>
          <w:szCs w:val="16"/>
          <w:color w:val="auto"/>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ectPr>
          <w:pgSz w:w="11900" w:h="16838" w:orient="portrait"/>
          <w:cols w:equalWidth="0" w:num="1">
            <w:col w:w="10180"/>
          </w:cols>
          <w:pgMar w:left="320" w:top="13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340"/>
        <w:spacing w:after="0"/>
        <w:tabs>
          <w:tab w:leader="none" w:pos="1000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1"/>
          <w:szCs w:val="21"/>
          <w:b w:val="1"/>
          <w:bCs w:val="1"/>
          <w:color w:val="auto"/>
          <w:vertAlign w:val="subscript"/>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47625</wp:posOffset>
            </wp:positionV>
            <wp:extent cx="19545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47625</wp:posOffset>
            </wp:positionV>
            <wp:extent cx="19545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2" w:right="1399"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99"/>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u w:val="single" w:color="auto"/>
          <w:color w:val="auto"/>
        </w:rPr>
        <w:t>ARTICLES OF ASSOCIATION</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u w:val="single" w:color="auto"/>
          <w:color w:val="auto"/>
        </w:rPr>
        <w:t>of</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u w:val="single" w:color="auto"/>
          <w:color w:val="auto"/>
        </w:rPr>
        <w:t>LIVANOVA PLC</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u w:val="single" w:color="auto"/>
          <w:color w:val="auto"/>
        </w:rPr>
        <w:t>PUBLIC LIMITED COMPANY</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u w:val="single" w:color="auto"/>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b w:val="1"/>
          <w:bCs w:val="1"/>
          <w:u w:val="single" w:color="auto"/>
          <w:color w:val="auto"/>
        </w:rPr>
        <w:t xml:space="preserve">(effective as from [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271780</wp:posOffset>
            </wp:positionV>
            <wp:extent cx="12344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strike w:val="1"/>
        </w:rPr>
        <w:t>ARTICLES OF ASSOCIATION</w:t>
      </w:r>
    </w:p>
    <w:p>
      <w:pPr>
        <w:spacing w:after="0" w:line="8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strike w:val="1"/>
        </w:rPr>
        <w:t>of</w:t>
      </w:r>
    </w:p>
    <w:p>
      <w:pPr>
        <w:spacing w:after="0" w:line="100"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strike w:val="1"/>
        </w:rPr>
        <w:t>LIVANOVA PLC</w:t>
      </w:r>
    </w:p>
    <w:p>
      <w:pPr>
        <w:spacing w:after="0" w:line="100"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strike w:val="1"/>
        </w:rPr>
        <w:t>PUBLIC LIMITED COMPANY the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auto"/>
          <w:strike w:val="1"/>
        </w:rPr>
        <w:t>Company</w:t>
      </w:r>
      <w:r>
        <w:rPr>
          <w:rFonts w:ascii="Arial" w:cs="Arial" w:eastAsia="Arial" w:hAnsi="Arial"/>
          <w:sz w:val="16"/>
          <w:szCs w:val="16"/>
          <w:b w:val="1"/>
          <w:bCs w:val="1"/>
          <w:color w:val="auto"/>
        </w:rPr>
        <w:t>”</w:t>
      </w:r>
    </w:p>
    <w:p>
      <w:pPr>
        <w:spacing w:after="0" w:line="8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strike w:val="1"/>
        </w:rPr>
        <w:t xml:space="preserve">(effective as from [ </w:t>
      </w:r>
      <w:r>
        <w:rPr>
          <w:rFonts w:ascii="Arial" w:cs="Arial" w:eastAsia="Arial" w:hAnsi="Arial"/>
          <w:sz w:val="16"/>
          <w:szCs w:val="16"/>
          <w:color w:val="auto"/>
          <w:strike w:val="1"/>
        </w:rPr>
        <w:t>•</w:t>
      </w:r>
      <w:r>
        <w:rPr>
          <w:rFonts w:ascii="Arial" w:cs="Arial" w:eastAsia="Arial" w:hAnsi="Arial"/>
          <w:sz w:val="16"/>
          <w:szCs w:val="16"/>
          <w:b w:val="1"/>
          <w:bCs w:val="1"/>
          <w:color w:val="auto"/>
          <w:strike w:val="1"/>
        </w:rPr>
        <w:t xml:space="preserve">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57785</wp:posOffset>
            </wp:positionV>
            <wp:extent cx="12344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0"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145415</wp:posOffset>
            </wp:positionV>
            <wp:extent cx="12344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20"/>
        <w:spacing w:after="0"/>
        <w:tabs>
          <w:tab w:leader="none" w:pos="87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-3175</wp:posOffset>
            </wp:positionV>
            <wp:extent cx="19545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-3175</wp:posOffset>
            </wp:positionV>
            <wp:extent cx="1028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68065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38"/>
          <w:szCs w:val="38"/>
          <w:b w:val="1"/>
          <w:bCs w:val="1"/>
          <w:color w:val="6A2887"/>
        </w:rPr>
        <w:t>CONTENTS</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86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Clause</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300" w:type="dxa"/>
            <w:vAlign w:val="bottom"/>
          </w:tcPr>
          <w:p>
            <w:pPr>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1.</w:t>
              </w:r>
            </w:hyperlink>
          </w:p>
        </w:tc>
        <w:tc>
          <w:tcPr>
            <w:tcW w:w="40" w:type="dxa"/>
            <w:vAlign w:val="bottom"/>
          </w:tcPr>
          <w:p>
            <w:pPr>
              <w:spacing w:after="0"/>
              <w:rPr>
                <w:sz w:val="20"/>
                <w:szCs w:val="20"/>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MODEL ARTICLES NOT TO APPLY</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A-1</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2.</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INTERPRETATION</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79">
              <w:r>
                <w:rPr>
                  <w:rFonts w:ascii="Arial" w:cs="Arial" w:eastAsia="Arial" w:hAnsi="Arial"/>
                  <w:sz w:val="15"/>
                  <w:szCs w:val="15"/>
                  <w:b w:val="1"/>
                  <w:bCs w:val="1"/>
                  <w:u w:val="single" w:color="auto"/>
                  <w:color w:val="0000EE"/>
                </w:rPr>
                <w:t>A-1</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3.</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LIABILITY OF MEMBERS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A-4</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4.</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SHARES AND SHARE CAPITAL</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2">
              <w:r>
                <w:rPr>
                  <w:rFonts w:ascii="Arial" w:cs="Arial" w:eastAsia="Arial" w:hAnsi="Arial"/>
                  <w:sz w:val="15"/>
                  <w:szCs w:val="15"/>
                  <w:b w:val="1"/>
                  <w:bCs w:val="1"/>
                  <w:u w:val="single" w:color="auto"/>
                  <w:color w:val="0000EE"/>
                </w:rPr>
                <w:t>A-4</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5.</w:t>
              </w:r>
            </w:hyperlink>
          </w:p>
        </w:tc>
        <w:tc>
          <w:tcPr>
            <w:tcW w:w="8520" w:type="dxa"/>
            <w:vAlign w:val="bottom"/>
            <w:gridSpan w:val="7"/>
          </w:tcPr>
          <w:p>
            <w:pPr>
              <w:ind w:left="160"/>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AUTHORITY TO ALLOT SHARES AND DISAPPLICATION OF PRE-EMPTION RIGHTS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A-5</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6.</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VARIATION OF RIGHTS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A-6</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7.</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SHARE CERTIFICATES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4">
              <w:r>
                <w:rPr>
                  <w:rFonts w:ascii="Arial" w:cs="Arial" w:eastAsia="Arial" w:hAnsi="Arial"/>
                  <w:sz w:val="15"/>
                  <w:szCs w:val="15"/>
                  <w:b w:val="1"/>
                  <w:bCs w:val="1"/>
                  <w:u w:val="single" w:color="auto"/>
                  <w:color w:val="0000EE"/>
                </w:rPr>
                <w:t>A-6</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8.</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LIEN</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A-7</w:t>
              </w:r>
            </w:hyperlink>
          </w:p>
        </w:tc>
      </w:tr>
      <w:tr>
        <w:trPr>
          <w:trHeight w:val="243"/>
        </w:trPr>
        <w:tc>
          <w:tcPr>
            <w:tcW w:w="300" w:type="dxa"/>
            <w:vAlign w:val="bottom"/>
          </w:tcPr>
          <w:p>
            <w:pPr>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9.</w:t>
              </w:r>
            </w:hyperlink>
          </w:p>
        </w:tc>
        <w:tc>
          <w:tcPr>
            <w:tcW w:w="40" w:type="dxa"/>
            <w:vAlign w:val="bottom"/>
          </w:tcPr>
          <w:p>
            <w:pPr>
              <w:spacing w:after="0"/>
              <w:rPr>
                <w:sz w:val="21"/>
                <w:szCs w:val="21"/>
                <w:color w:val="auto"/>
              </w:rPr>
            </w:pPr>
          </w:p>
        </w:tc>
        <w:tc>
          <w:tcPr>
            <w:tcW w:w="8480" w:type="dxa"/>
            <w:vAlign w:val="bottom"/>
            <w:gridSpan w:val="6"/>
          </w:tcPr>
          <w:p>
            <w:pPr>
              <w:ind w:left="120"/>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CALLS ON SHARES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5">
              <w:r>
                <w:rPr>
                  <w:rFonts w:ascii="Arial" w:cs="Arial" w:eastAsia="Arial" w:hAnsi="Arial"/>
                  <w:sz w:val="15"/>
                  <w:szCs w:val="15"/>
                  <w:b w:val="1"/>
                  <w:bCs w:val="1"/>
                  <w:u w:val="single" w:color="auto"/>
                  <w:color w:val="0000EE"/>
                </w:rPr>
                <w:t>A-7</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10.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FORFEITURE AND SURRENDER</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A-8</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11.</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TRANSFER OF SHARES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A-9</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12.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TRANSMISSION OF SHARES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7">
              <w:r>
                <w:rPr>
                  <w:rFonts w:ascii="Arial" w:cs="Arial" w:eastAsia="Arial" w:hAnsi="Arial"/>
                  <w:sz w:val="15"/>
                  <w:szCs w:val="15"/>
                  <w:b w:val="1"/>
                  <w:bCs w:val="1"/>
                  <w:u w:val="single" w:color="auto"/>
                  <w:color w:val="0000EE"/>
                </w:rPr>
                <w:t>A-9</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13.</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SHARE WARRANTS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A-10</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14.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UNTRACED MEMBERS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8">
              <w:r>
                <w:rPr>
                  <w:rFonts w:ascii="Arial" w:cs="Arial" w:eastAsia="Arial" w:hAnsi="Arial"/>
                  <w:sz w:val="15"/>
                  <w:szCs w:val="15"/>
                  <w:b w:val="1"/>
                  <w:bCs w:val="1"/>
                  <w:u w:val="single" w:color="auto"/>
                  <w:color w:val="0000EE"/>
                </w:rPr>
                <w:t>A-10</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15.</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ALTERATION OF CAPITAL</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A-11</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16.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GENERAL MEETINGS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89">
              <w:r>
                <w:rPr>
                  <w:rFonts w:ascii="Arial" w:cs="Arial" w:eastAsia="Arial" w:hAnsi="Arial"/>
                  <w:sz w:val="15"/>
                  <w:szCs w:val="15"/>
                  <w:b w:val="1"/>
                  <w:bCs w:val="1"/>
                  <w:u w:val="single" w:color="auto"/>
                  <w:color w:val="0000EE"/>
                </w:rPr>
                <w:t>A-11</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17.</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NOTICE OF GENERAL MEETINGS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A-12</w:t>
              </w:r>
            </w:hyperlink>
          </w:p>
        </w:tc>
      </w:tr>
      <w:tr>
        <w:trPr>
          <w:trHeight w:val="243"/>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18.</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PROCEEDINGS AT GENERAL MEETINGS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0">
              <w:r>
                <w:rPr>
                  <w:rFonts w:ascii="Arial" w:cs="Arial" w:eastAsia="Arial" w:hAnsi="Arial"/>
                  <w:sz w:val="15"/>
                  <w:szCs w:val="15"/>
                  <w:b w:val="1"/>
                  <w:bCs w:val="1"/>
                  <w:u w:val="single" w:color="auto"/>
                  <w:color w:val="0000EE"/>
                </w:rPr>
                <w:t>A-12</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19.</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AMENDMENTS TO RESOLUTIONS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A-16</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20.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PROPOSED MEMBER RESOLUTIONS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4">
              <w:r>
                <w:rPr>
                  <w:rFonts w:ascii="Arial" w:cs="Arial" w:eastAsia="Arial" w:hAnsi="Arial"/>
                  <w:sz w:val="15"/>
                  <w:szCs w:val="15"/>
                  <w:b w:val="1"/>
                  <w:bCs w:val="1"/>
                  <w:u w:val="single" w:color="auto"/>
                  <w:color w:val="0000EE"/>
                </w:rPr>
                <w:t>A-16</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21.</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VOTES OF MEMBERS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5">
              <w:r>
                <w:rPr>
                  <w:rFonts w:ascii="Arial" w:cs="Arial" w:eastAsia="Arial" w:hAnsi="Arial"/>
                  <w:sz w:val="15"/>
                  <w:szCs w:val="15"/>
                  <w:b w:val="1"/>
                  <w:bCs w:val="1"/>
                  <w:u w:val="single" w:color="auto"/>
                  <w:color w:val="0000EE"/>
                </w:rPr>
                <w:t>A-17</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22.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PROXIES AND CORPORATE REPRESENTATIVES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7">
              <w:r>
                <w:rPr>
                  <w:rFonts w:ascii="Arial" w:cs="Arial" w:eastAsia="Arial" w:hAnsi="Arial"/>
                  <w:sz w:val="15"/>
                  <w:szCs w:val="15"/>
                  <w:b w:val="1"/>
                  <w:bCs w:val="1"/>
                  <w:u w:val="single" w:color="auto"/>
                  <w:color w:val="0000EE"/>
                </w:rPr>
                <w:t>A-19</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23.</w:t>
              </w:r>
            </w:hyperlink>
          </w:p>
        </w:tc>
        <w:tc>
          <w:tcPr>
            <w:tcW w:w="2080" w:type="dxa"/>
            <w:vAlign w:val="bottom"/>
            <w:gridSpan w:val="2"/>
          </w:tcPr>
          <w:p>
            <w:pPr>
              <w:ind w:left="200"/>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NUMBER OF DIRECTORS</w:t>
              </w:r>
            </w:hyperlink>
          </w:p>
        </w:tc>
        <w:tc>
          <w:tcPr>
            <w:tcW w:w="1620" w:type="dxa"/>
            <w:vAlign w:val="bottom"/>
            <w:gridSpan w:val="2"/>
          </w:tcPr>
          <w:p>
            <w:pPr>
              <w:spacing w:after="0"/>
              <w:rPr>
                <w:rFonts w:ascii="Arial" w:cs="Arial" w:eastAsia="Arial" w:hAnsi="Arial"/>
                <w:sz w:val="15"/>
                <w:szCs w:val="15"/>
                <w:b w:val="1"/>
                <w:bCs w:val="1"/>
                <w:u w:val="single" w:color="auto"/>
                <w:color w:val="0000EE"/>
                <w:strike w:val="1"/>
                <w:w w:val="98"/>
              </w:rPr>
            </w:pPr>
            <w:hyperlink w:anchor="page99">
              <w:r>
                <w:rPr>
                  <w:rFonts w:ascii="Arial" w:cs="Arial" w:eastAsia="Arial" w:hAnsi="Arial"/>
                  <w:sz w:val="15"/>
                  <w:szCs w:val="15"/>
                  <w:b w:val="1"/>
                  <w:bCs w:val="1"/>
                  <w:u w:val="single" w:color="auto"/>
                  <w:color w:val="0000EE"/>
                  <w:strike w:val="1"/>
                  <w:w w:val="98"/>
                </w:rPr>
                <w:t>AND CLASSIFICATION</w:t>
              </w:r>
            </w:hyperlink>
          </w:p>
        </w:tc>
        <w:tc>
          <w:tcPr>
            <w:tcW w:w="4780" w:type="dxa"/>
            <w:vAlign w:val="bottom"/>
            <w:gridSpan w:val="2"/>
          </w:tcPr>
          <w:p>
            <w:pPr>
              <w:ind w:left="40"/>
              <w:spacing w:after="0"/>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AND COMPOSITION OF THE BOARD</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99">
              <w:r>
                <w:rPr>
                  <w:rFonts w:ascii="Arial" w:cs="Arial" w:eastAsia="Arial" w:hAnsi="Arial"/>
                  <w:sz w:val="15"/>
                  <w:szCs w:val="15"/>
                  <w:b w:val="1"/>
                  <w:bCs w:val="1"/>
                  <w:u w:val="single" w:color="auto"/>
                  <w:color w:val="0000EE"/>
                </w:rPr>
                <w:t>A-21</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24.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APPOINTMENT AND RE-APPOINTMENT OF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0">
              <w:r>
                <w:rPr>
                  <w:rFonts w:ascii="Arial" w:cs="Arial" w:eastAsia="Arial" w:hAnsi="Arial"/>
                  <w:sz w:val="15"/>
                  <w:szCs w:val="15"/>
                  <w:b w:val="1"/>
                  <w:bCs w:val="1"/>
                  <w:u w:val="single" w:color="auto"/>
                  <w:color w:val="0000EE"/>
                </w:rPr>
                <w:t>A-22</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25.</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DIRECTORS’ FEES AND EXPENSES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1">
              <w:r>
                <w:rPr>
                  <w:rFonts w:ascii="Arial" w:cs="Arial" w:eastAsia="Arial" w:hAnsi="Arial"/>
                  <w:sz w:val="15"/>
                  <w:szCs w:val="15"/>
                  <w:b w:val="1"/>
                  <w:bCs w:val="1"/>
                  <w:u w:val="single" w:color="auto"/>
                  <w:color w:val="0000EE"/>
                </w:rPr>
                <w:t>A-23</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[RESERVED]</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27.</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POWERS OF THE BOARD</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28.</w:t>
              </w:r>
            </w:hyperlink>
          </w:p>
        </w:tc>
        <w:tc>
          <w:tcPr>
            <w:tcW w:w="1680" w:type="dxa"/>
            <w:vAlign w:val="bottom"/>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COMPLIANCE WITH</w:t>
              </w:r>
            </w:hyperlink>
          </w:p>
        </w:tc>
        <w:tc>
          <w:tcPr>
            <w:tcW w:w="660" w:type="dxa"/>
            <w:vAlign w:val="bottom"/>
            <w:gridSpan w:val="2"/>
          </w:tcPr>
          <w:p>
            <w:pPr>
              <w:spacing w:after="0"/>
              <w:rPr>
                <w:rFonts w:ascii="Arial" w:cs="Arial" w:eastAsia="Arial" w:hAnsi="Arial"/>
                <w:sz w:val="15"/>
                <w:szCs w:val="15"/>
                <w:b w:val="1"/>
                <w:bCs w:val="1"/>
                <w:u w:val="single" w:color="auto"/>
                <w:color w:val="0000EE"/>
                <w:strike w:val="1"/>
                <w:w w:val="98"/>
              </w:rPr>
            </w:pPr>
            <w:hyperlink w:anchor="page102">
              <w:r>
                <w:rPr>
                  <w:rFonts w:ascii="Arial" w:cs="Arial" w:eastAsia="Arial" w:hAnsi="Arial"/>
                  <w:sz w:val="15"/>
                  <w:szCs w:val="15"/>
                  <w:b w:val="1"/>
                  <w:bCs w:val="1"/>
                  <w:u w:val="single" w:color="auto"/>
                  <w:color w:val="0000EE"/>
                  <w:strike w:val="1"/>
                  <w:w w:val="98"/>
                </w:rPr>
                <w:t>NASDAQ</w:t>
              </w:r>
            </w:hyperlink>
          </w:p>
        </w:tc>
        <w:tc>
          <w:tcPr>
            <w:tcW w:w="6140" w:type="dxa"/>
            <w:vAlign w:val="bottom"/>
            <w:gridSpan w:val="3"/>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RELEVANT RULES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29.</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DELEGATION OF DIRECTORS’ POWERS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2">
              <w:r>
                <w:rPr>
                  <w:rFonts w:ascii="Arial" w:cs="Arial" w:eastAsia="Arial" w:hAnsi="Arial"/>
                  <w:sz w:val="15"/>
                  <w:szCs w:val="15"/>
                  <w:b w:val="1"/>
                  <w:bCs w:val="1"/>
                  <w:u w:val="single" w:color="auto"/>
                  <w:color w:val="0000EE"/>
                </w:rPr>
                <w:t>A-24</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30.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DISQUALIFICATION AND REMOVAL OF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3">
              <w:r>
                <w:rPr>
                  <w:rFonts w:ascii="Arial" w:cs="Arial" w:eastAsia="Arial" w:hAnsi="Arial"/>
                  <w:sz w:val="15"/>
                  <w:szCs w:val="15"/>
                  <w:b w:val="1"/>
                  <w:bCs w:val="1"/>
                  <w:u w:val="single" w:color="auto"/>
                  <w:color w:val="0000EE"/>
                </w:rPr>
                <w:t>A-25</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31.</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EXECUTIVE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A-26</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32.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DIRECTORS’ INTERESTS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4">
              <w:r>
                <w:rPr>
                  <w:rFonts w:ascii="Arial" w:cs="Arial" w:eastAsia="Arial" w:hAnsi="Arial"/>
                  <w:sz w:val="15"/>
                  <w:szCs w:val="15"/>
                  <w:b w:val="1"/>
                  <w:bCs w:val="1"/>
                  <w:u w:val="single" w:color="auto"/>
                  <w:color w:val="0000EE"/>
                </w:rPr>
                <w:t>A-26</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33.</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PROCEEDINGS OF DIRECTORS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6">
              <w:r>
                <w:rPr>
                  <w:rFonts w:ascii="Arial" w:cs="Arial" w:eastAsia="Arial" w:hAnsi="Arial"/>
                  <w:sz w:val="15"/>
                  <w:szCs w:val="15"/>
                  <w:b w:val="1"/>
                  <w:bCs w:val="1"/>
                  <w:u w:val="single" w:color="auto"/>
                  <w:color w:val="0000EE"/>
                </w:rPr>
                <w:t>A-28</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34.</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MINUTES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35.</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SECRETARY</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36.</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THE SEAL</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37.</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REGISTERS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8">
              <w:r>
                <w:rPr>
                  <w:rFonts w:ascii="Arial" w:cs="Arial" w:eastAsia="Arial" w:hAnsi="Arial"/>
                  <w:sz w:val="15"/>
                  <w:szCs w:val="15"/>
                  <w:b w:val="1"/>
                  <w:bCs w:val="1"/>
                  <w:u w:val="single" w:color="auto"/>
                  <w:color w:val="0000EE"/>
                </w:rPr>
                <w:t>A-30</w:t>
              </w:r>
            </w:hyperlink>
          </w:p>
        </w:tc>
      </w:tr>
      <w:tr>
        <w:trPr>
          <w:trHeight w:val="257"/>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38.</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DIVIDENDS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09">
              <w:r>
                <w:rPr>
                  <w:rFonts w:ascii="Arial" w:cs="Arial" w:eastAsia="Arial" w:hAnsi="Arial"/>
                  <w:sz w:val="15"/>
                  <w:szCs w:val="15"/>
                  <w:b w:val="1"/>
                  <w:bCs w:val="1"/>
                  <w:u w:val="single" w:color="auto"/>
                  <w:color w:val="0000EE"/>
                </w:rPr>
                <w:t>A-31</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39.</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SCRIP DIVIDENDS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0">
              <w:r>
                <w:rPr>
                  <w:rFonts w:ascii="Arial" w:cs="Arial" w:eastAsia="Arial" w:hAnsi="Arial"/>
                  <w:sz w:val="15"/>
                  <w:szCs w:val="15"/>
                  <w:b w:val="1"/>
                  <w:bCs w:val="1"/>
                  <w:u w:val="single" w:color="auto"/>
                  <w:color w:val="0000EE"/>
                </w:rPr>
                <w:t>A-32</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40.</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CAPITALISATION OF PROFITS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1">
              <w:r>
                <w:rPr>
                  <w:rFonts w:ascii="Arial" w:cs="Arial" w:eastAsia="Arial" w:hAnsi="Arial"/>
                  <w:sz w:val="15"/>
                  <w:szCs w:val="15"/>
                  <w:b w:val="1"/>
                  <w:bCs w:val="1"/>
                  <w:u w:val="single" w:color="auto"/>
                  <w:color w:val="0000EE"/>
                </w:rPr>
                <w:t>A-33</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41.</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CHANGE OF THE COMPANY’S NAME</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42.</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RECORD DATES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r>
        <w:trPr>
          <w:trHeight w:val="256"/>
        </w:trPr>
        <w:tc>
          <w:tcPr>
            <w:tcW w:w="340" w:type="dxa"/>
            <w:vAlign w:val="bottom"/>
            <w:gridSpan w:val="2"/>
          </w:tcPr>
          <w:p>
            <w:pPr>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43.</w:t>
              </w:r>
            </w:hyperlink>
          </w:p>
        </w:tc>
        <w:tc>
          <w:tcPr>
            <w:tcW w:w="8480" w:type="dxa"/>
            <w:vAlign w:val="bottom"/>
            <w:gridSpan w:val="6"/>
          </w:tcPr>
          <w:p>
            <w:pPr>
              <w:ind w:left="200"/>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ACCOUNTS</w:t>
              </w:r>
            </w:hyperlink>
          </w:p>
        </w:tc>
        <w:tc>
          <w:tcPr>
            <w:tcW w:w="360" w:type="dxa"/>
            <w:vAlign w:val="bottom"/>
          </w:tcPr>
          <w:p>
            <w:pPr>
              <w:jc w:val="right"/>
              <w:spacing w:after="0"/>
              <w:rPr>
                <w:rFonts w:ascii="Arial" w:cs="Arial" w:eastAsia="Arial" w:hAnsi="Arial"/>
                <w:sz w:val="15"/>
                <w:szCs w:val="15"/>
                <w:b w:val="1"/>
                <w:bCs w:val="1"/>
                <w:u w:val="single" w:color="auto"/>
                <w:color w:val="0000EE"/>
              </w:rPr>
            </w:pPr>
            <w:hyperlink w:anchor="page113">
              <w:r>
                <w:rPr>
                  <w:rFonts w:ascii="Arial" w:cs="Arial" w:eastAsia="Arial" w:hAnsi="Arial"/>
                  <w:sz w:val="15"/>
                  <w:szCs w:val="15"/>
                  <w:b w:val="1"/>
                  <w:bCs w:val="1"/>
                  <w:u w:val="single" w:color="auto"/>
                  <w:color w:val="0000EE"/>
                </w:rPr>
                <w:t>A-35</w:t>
              </w:r>
            </w:hyperlink>
          </w:p>
        </w:tc>
      </w:tr>
    </w:tbl>
    <w:p>
      <w:pPr>
        <w:spacing w:after="0" w:line="123" w:lineRule="exact"/>
        <w:rPr>
          <w:sz w:val="20"/>
          <w:szCs w:val="20"/>
          <w:color w:val="auto"/>
        </w:rPr>
      </w:pPr>
    </w:p>
    <w:p>
      <w:pPr>
        <w:sectPr>
          <w:pgSz w:w="11900" w:h="16838" w:orient="portrait"/>
          <w:cols w:equalWidth="0" w:num="1">
            <w:col w:w="10180"/>
          </w:cols>
          <w:pgMar w:left="320" w:top="131" w:right="1399" w:bottom="1440" w:gutter="0" w:footer="0" w:header="0"/>
        </w:sectPr>
      </w:pPr>
    </w:p>
    <w:p>
      <w:pPr>
        <w:ind w:left="4320"/>
        <w:spacing w:after="0"/>
        <w:tabs>
          <w:tab w:leader="none" w:pos="998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0"/>
          <w:szCs w:val="20"/>
          <w:b w:val="1"/>
          <w:bCs w:val="1"/>
          <w:color w:val="auto"/>
          <w:vertAlign w:val="subscript"/>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55245</wp:posOffset>
            </wp:positionV>
            <wp:extent cx="19545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55245</wp:posOffset>
            </wp:positionV>
            <wp:extent cx="19545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68065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8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Page</w:t>
            </w:r>
          </w:p>
        </w:tc>
      </w:tr>
      <w:tr>
        <w:trPr>
          <w:trHeight w:val="234"/>
        </w:trPr>
        <w:tc>
          <w:tcPr>
            <w:tcW w:w="500" w:type="dxa"/>
            <w:vAlign w:val="bottom"/>
          </w:tcPr>
          <w:p>
            <w:pPr>
              <w:spacing w:after="0"/>
              <w:rPr>
                <w:rFonts w:ascii="Arial" w:cs="Arial" w:eastAsia="Arial" w:hAnsi="Arial"/>
                <w:sz w:val="15"/>
                <w:szCs w:val="15"/>
                <w:b w:val="1"/>
                <w:bCs w:val="1"/>
                <w:u w:val="single" w:color="auto"/>
                <w:color w:val="0000EE"/>
              </w:rPr>
            </w:pPr>
            <w:hyperlink w:anchor="page114">
              <w:r>
                <w:rPr>
                  <w:rFonts w:ascii="Arial" w:cs="Arial" w:eastAsia="Arial" w:hAnsi="Arial"/>
                  <w:sz w:val="15"/>
                  <w:szCs w:val="15"/>
                  <w:b w:val="1"/>
                  <w:bCs w:val="1"/>
                  <w:u w:val="single" w:color="auto"/>
                  <w:color w:val="0000EE"/>
                </w:rPr>
                <w:t>44.</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4">
              <w:r>
                <w:rPr>
                  <w:rFonts w:ascii="Arial" w:cs="Arial" w:eastAsia="Arial" w:hAnsi="Arial"/>
                  <w:sz w:val="15"/>
                  <w:szCs w:val="15"/>
                  <w:b w:val="1"/>
                  <w:bCs w:val="1"/>
                  <w:u w:val="single" w:color="auto"/>
                  <w:color w:val="0000EE"/>
                </w:rPr>
                <w:t>NOTICES AND OTHER COMMUNICATIONS</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4">
              <w:r>
                <w:rPr>
                  <w:rFonts w:ascii="Arial" w:cs="Arial" w:eastAsia="Arial" w:hAnsi="Arial"/>
                  <w:sz w:val="15"/>
                  <w:szCs w:val="15"/>
                  <w:b w:val="1"/>
                  <w:bCs w:val="1"/>
                  <w:u w:val="single" w:color="auto"/>
                  <w:color w:val="0000EE"/>
                  <w:w w:val="98"/>
                </w:rPr>
                <w:t>A-36</w:t>
              </w:r>
            </w:hyperlink>
          </w:p>
        </w:tc>
      </w:tr>
      <w:tr>
        <w:trPr>
          <w:trHeight w:val="243"/>
        </w:trPr>
        <w:tc>
          <w:tcPr>
            <w:tcW w:w="500" w:type="dxa"/>
            <w:vAlign w:val="bottom"/>
          </w:tcPr>
          <w:p>
            <w:pPr>
              <w:spacing w:after="0"/>
              <w:rPr>
                <w:rFonts w:ascii="Arial" w:cs="Arial" w:eastAsia="Arial" w:hAnsi="Arial"/>
                <w:sz w:val="15"/>
                <w:szCs w:val="15"/>
                <w:b w:val="1"/>
                <w:bCs w:val="1"/>
                <w:u w:val="single" w:color="auto"/>
                <w:color w:val="0000EE"/>
              </w:rPr>
            </w:pPr>
            <w:hyperlink w:anchor="page116">
              <w:r>
                <w:rPr>
                  <w:rFonts w:ascii="Arial" w:cs="Arial" w:eastAsia="Arial" w:hAnsi="Arial"/>
                  <w:sz w:val="15"/>
                  <w:szCs w:val="15"/>
                  <w:b w:val="1"/>
                  <w:bCs w:val="1"/>
                  <w:u w:val="single" w:color="auto"/>
                  <w:color w:val="0000EE"/>
                </w:rPr>
                <w:t>45.</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6">
              <w:r>
                <w:rPr>
                  <w:rFonts w:ascii="Arial" w:cs="Arial" w:eastAsia="Arial" w:hAnsi="Arial"/>
                  <w:sz w:val="15"/>
                  <w:szCs w:val="15"/>
                  <w:b w:val="1"/>
                  <w:bCs w:val="1"/>
                  <w:u w:val="single" w:color="auto"/>
                  <w:color w:val="0000EE"/>
                </w:rPr>
                <w:t>DESTRUCTION OF DOCUMENTS</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6">
              <w:r>
                <w:rPr>
                  <w:rFonts w:ascii="Arial" w:cs="Arial" w:eastAsia="Arial" w:hAnsi="Arial"/>
                  <w:sz w:val="15"/>
                  <w:szCs w:val="15"/>
                  <w:b w:val="1"/>
                  <w:bCs w:val="1"/>
                  <w:u w:val="single" w:color="auto"/>
                  <w:color w:val="0000EE"/>
                  <w:w w:val="98"/>
                </w:rPr>
                <w:t>A-38</w:t>
              </w:r>
            </w:hyperlink>
          </w:p>
        </w:tc>
      </w:tr>
      <w:tr>
        <w:trPr>
          <w:trHeight w:val="243"/>
        </w:trPr>
        <w:tc>
          <w:tcPr>
            <w:tcW w:w="500" w:type="dxa"/>
            <w:vAlign w:val="bottom"/>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46.</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WINDING UP</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r>
        <w:trPr>
          <w:trHeight w:val="243"/>
        </w:trPr>
        <w:tc>
          <w:tcPr>
            <w:tcW w:w="500" w:type="dxa"/>
            <w:vAlign w:val="bottom"/>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47.</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INDEMNITY AND INSURANCE</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r>
        <w:trPr>
          <w:trHeight w:val="243"/>
        </w:trPr>
        <w:tc>
          <w:tcPr>
            <w:tcW w:w="500" w:type="dxa"/>
            <w:vAlign w:val="bottom"/>
          </w:tcPr>
          <w:p>
            <w:pPr>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48.</w:t>
              </w:r>
            </w:hyperlink>
          </w:p>
        </w:tc>
        <w:tc>
          <w:tcPr>
            <w:tcW w:w="8320" w:type="dxa"/>
            <w:vAlign w:val="bottom"/>
            <w:gridSpan w:val="2"/>
          </w:tcPr>
          <w:p>
            <w:pPr>
              <w:ind w:left="40"/>
              <w:spacing w:after="0"/>
              <w:rPr>
                <w:rFonts w:ascii="Arial" w:cs="Arial" w:eastAsia="Arial" w:hAnsi="Arial"/>
                <w:sz w:val="15"/>
                <w:szCs w:val="15"/>
                <w:b w:val="1"/>
                <w:bCs w:val="1"/>
                <w:u w:val="single" w:color="auto"/>
                <w:color w:val="0000EE"/>
              </w:rPr>
            </w:pPr>
            <w:hyperlink w:anchor="page117">
              <w:r>
                <w:rPr>
                  <w:rFonts w:ascii="Arial" w:cs="Arial" w:eastAsia="Arial" w:hAnsi="Arial"/>
                  <w:sz w:val="15"/>
                  <w:szCs w:val="15"/>
                  <w:b w:val="1"/>
                  <w:bCs w:val="1"/>
                  <w:u w:val="single" w:color="auto"/>
                  <w:color w:val="0000EE"/>
                </w:rPr>
                <w:t>DISPUTE RESOLUTION</w:t>
              </w:r>
            </w:hyperlink>
          </w:p>
        </w:tc>
        <w:tc>
          <w:tcPr>
            <w:tcW w:w="360" w:type="dxa"/>
            <w:vAlign w:val="bottom"/>
          </w:tcPr>
          <w:p>
            <w:pPr>
              <w:ind w:left="20"/>
              <w:spacing w:after="0"/>
              <w:rPr>
                <w:rFonts w:ascii="Arial" w:cs="Arial" w:eastAsia="Arial" w:hAnsi="Arial"/>
                <w:sz w:val="15"/>
                <w:szCs w:val="15"/>
                <w:b w:val="1"/>
                <w:bCs w:val="1"/>
                <w:u w:val="single" w:color="auto"/>
                <w:color w:val="0000EE"/>
                <w:w w:val="98"/>
              </w:rPr>
            </w:pPr>
            <w:hyperlink w:anchor="page117">
              <w:r>
                <w:rPr>
                  <w:rFonts w:ascii="Arial" w:cs="Arial" w:eastAsia="Arial" w:hAnsi="Arial"/>
                  <w:sz w:val="15"/>
                  <w:szCs w:val="15"/>
                  <w:b w:val="1"/>
                  <w:bCs w:val="1"/>
                  <w:u w:val="single" w:color="auto"/>
                  <w:color w:val="0000EE"/>
                  <w:w w:val="98"/>
                </w:rPr>
                <w:t>A-39</w:t>
              </w:r>
            </w:hyperlink>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A-ii</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MODEL ARTICLES NOT TO APPLY</w:t>
      </w:r>
    </w:p>
    <w:p>
      <w:pPr>
        <w:spacing w:after="0" w:line="160" w:lineRule="exact"/>
        <w:rPr>
          <w:rFonts w:ascii="Arial" w:cs="Arial" w:eastAsia="Arial" w:hAnsi="Arial"/>
          <w:sz w:val="16"/>
          <w:szCs w:val="16"/>
          <w:b w:val="1"/>
          <w:bCs w:val="1"/>
          <w:color w:val="auto"/>
        </w:rPr>
      </w:pPr>
    </w:p>
    <w:p>
      <w:pPr>
        <w:ind w:left="1200" w:right="920"/>
        <w:spacing w:after="0" w:line="260" w:lineRule="auto"/>
        <w:rPr>
          <w:rFonts w:ascii="Arial" w:cs="Arial" w:eastAsia="Arial" w:hAnsi="Arial"/>
          <w:sz w:val="16"/>
          <w:szCs w:val="16"/>
          <w:b w:val="1"/>
          <w:bCs w:val="1"/>
          <w:color w:val="auto"/>
        </w:rPr>
      </w:pPr>
      <w:r>
        <w:rPr>
          <w:rFonts w:ascii="Arial" w:cs="Arial" w:eastAsia="Arial" w:hAnsi="Arial"/>
          <w:sz w:val="16"/>
          <w:szCs w:val="16"/>
          <w:color w:val="auto"/>
          <w:strike w:val="1"/>
        </w:rPr>
        <w:t>The regulations in the relevant</w:t>
      </w:r>
      <w:r>
        <w:rPr>
          <w:rFonts w:ascii="Arial" w:cs="Arial" w:eastAsia="Arial" w:hAnsi="Arial"/>
          <w:sz w:val="16"/>
          <w:szCs w:val="16"/>
          <w:u w:val="single" w:color="auto"/>
          <w:color w:val="auto"/>
        </w:rPr>
        <w:t>No</w:t>
      </w:r>
      <w:r>
        <w:rPr>
          <w:rFonts w:ascii="Arial" w:cs="Arial" w:eastAsia="Arial" w:hAnsi="Arial"/>
          <w:sz w:val="16"/>
          <w:szCs w:val="16"/>
          <w:color w:val="auto"/>
        </w:rPr>
        <w:t xml:space="preserve"> model </w:t>
      </w:r>
      <w:r>
        <w:rPr>
          <w:rFonts w:ascii="Arial" w:cs="Arial" w:eastAsia="Arial" w:hAnsi="Arial"/>
          <w:sz w:val="16"/>
          <w:szCs w:val="16"/>
          <w:u w:val="single" w:color="auto"/>
          <w:color w:val="auto"/>
        </w:rPr>
        <w:t>or specimen</w:t>
      </w:r>
      <w:r>
        <w:rPr>
          <w:rFonts w:ascii="Arial" w:cs="Arial" w:eastAsia="Arial" w:hAnsi="Arial"/>
          <w:sz w:val="16"/>
          <w:szCs w:val="16"/>
          <w:color w:val="auto"/>
        </w:rPr>
        <w:t xml:space="preserve"> articles </w:t>
      </w:r>
      <w:r>
        <w:rPr>
          <w:rFonts w:ascii="Arial" w:cs="Arial" w:eastAsia="Arial" w:hAnsi="Arial"/>
          <w:sz w:val="16"/>
          <w:szCs w:val="16"/>
          <w:u w:val="single" w:color="auto"/>
          <w:color w:val="auto"/>
        </w:rPr>
        <w:t>of association prescribed under any legislation</w:t>
      </w:r>
      <w:r>
        <w:rPr>
          <w:rFonts w:ascii="Arial" w:cs="Arial" w:eastAsia="Arial" w:hAnsi="Arial"/>
          <w:sz w:val="16"/>
          <w:szCs w:val="16"/>
          <w:color w:val="auto"/>
        </w:rPr>
        <w:t xml:space="preserve"> shall </w:t>
      </w:r>
      <w:r>
        <w:rPr>
          <w:rFonts w:ascii="Arial" w:cs="Arial" w:eastAsia="Arial" w:hAnsi="Arial"/>
          <w:sz w:val="16"/>
          <w:szCs w:val="16"/>
          <w:color w:val="auto"/>
          <w:strike w:val="1"/>
        </w:rPr>
        <w:t>not</w:t>
      </w:r>
      <w:r>
        <w:rPr>
          <w:rFonts w:ascii="Arial" w:cs="Arial" w:eastAsia="Arial" w:hAnsi="Arial"/>
          <w:sz w:val="16"/>
          <w:szCs w:val="16"/>
          <w:color w:val="auto"/>
        </w:rPr>
        <w:t xml:space="preserve"> apply to the Company.</w:t>
      </w:r>
    </w:p>
    <w:p>
      <w:pPr>
        <w:spacing w:after="0" w:line="67" w:lineRule="exact"/>
        <w:rPr>
          <w:rFonts w:ascii="Arial" w:cs="Arial" w:eastAsia="Arial" w:hAnsi="Arial"/>
          <w:sz w:val="16"/>
          <w:szCs w:val="16"/>
          <w:b w:val="1"/>
          <w:bCs w:val="1"/>
          <w:color w:val="auto"/>
        </w:rPr>
      </w:pPr>
    </w:p>
    <w:p>
      <w:pPr>
        <w:ind w:left="1200" w:hanging="436"/>
        <w:spacing w:after="0"/>
        <w:tabs>
          <w:tab w:leader="none" w:pos="120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INTERPRETATION</w:t>
      </w:r>
    </w:p>
    <w:p>
      <w:pPr>
        <w:spacing w:after="0" w:line="120"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In these Articles (if not inconsistent with the subject or context) the following words shall bear the following meanings:</w:t>
      </w:r>
    </w:p>
    <w:p>
      <w:pPr>
        <w:spacing w:after="0" w:line="80" w:lineRule="exact"/>
        <w:rPr>
          <w:sz w:val="20"/>
          <w:szCs w:val="20"/>
          <w:color w:val="auto"/>
        </w:rPr>
      </w:pPr>
    </w:p>
    <w:p>
      <w:pPr>
        <w:ind w:left="1200" w:right="10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Affiliates</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specified Person, any other Person that, directly or indirectly, through one or more</w:t>
      </w:r>
      <w:r>
        <w:rPr>
          <w:rFonts w:ascii="Arial" w:cs="Arial" w:eastAsia="Arial" w:hAnsi="Arial"/>
          <w:sz w:val="16"/>
          <w:szCs w:val="16"/>
          <w:color w:val="auto"/>
        </w:rPr>
        <w:t xml:space="preserve"> </w:t>
      </w:r>
      <w:r>
        <w:rPr>
          <w:rFonts w:ascii="Arial" w:cs="Arial" w:eastAsia="Arial" w:hAnsi="Arial"/>
          <w:sz w:val="16"/>
          <w:szCs w:val="16"/>
          <w:color w:val="auto"/>
          <w:strike w:val="1"/>
        </w:rPr>
        <w:t>intermediaries, Controls, is Controlled by or is under common Control with such specified Person;</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means the articles of association for the time being of the Company;</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 from time to time;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British Pounds Sterling</w:t>
      </w:r>
      <w:r>
        <w:rPr>
          <w:rFonts w:ascii="Arial" w:cs="Arial" w:eastAsia="Arial" w:hAnsi="Arial"/>
          <w:sz w:val="16"/>
          <w:szCs w:val="16"/>
          <w:color w:val="auto"/>
        </w:rPr>
        <w:t>” or “</w:t>
      </w:r>
      <w:r>
        <w:rPr>
          <w:rFonts w:ascii="Arial" w:cs="Arial" w:eastAsia="Arial" w:hAnsi="Arial"/>
          <w:sz w:val="16"/>
          <w:szCs w:val="16"/>
          <w:b w:val="1"/>
          <w:bCs w:val="1"/>
          <w:color w:val="auto"/>
        </w:rPr>
        <w:t>£</w:t>
      </w:r>
      <w:r>
        <w:rPr>
          <w:rFonts w:ascii="Arial" w:cs="Arial" w:eastAsia="Arial" w:hAnsi="Arial"/>
          <w:sz w:val="16"/>
          <w:szCs w:val="16"/>
          <w:color w:val="auto"/>
        </w:rPr>
        <w:t>” means the lawful currency of the United Kingdom;</w:t>
      </w:r>
    </w:p>
    <w:p>
      <w:pPr>
        <w:spacing w:after="0" w:line="86" w:lineRule="exact"/>
        <w:rPr>
          <w:sz w:val="20"/>
          <w:szCs w:val="20"/>
          <w:color w:val="auto"/>
        </w:rPr>
      </w:pPr>
    </w:p>
    <w:p>
      <w:pPr>
        <w:ind w:left="1200" w:right="1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certificated share</w:t>
      </w:r>
      <w:r>
        <w:rPr>
          <w:rFonts w:ascii="Arial" w:cs="Arial" w:eastAsia="Arial" w:hAnsi="Arial"/>
          <w:sz w:val="16"/>
          <w:szCs w:val="16"/>
          <w:color w:val="auto"/>
        </w:rPr>
        <w:t>” means a share in the capital of the Company which is not an uncertificated share and references in these Articles to a share being held in certificated form shall be construed accordingly;</w:t>
      </w:r>
    </w:p>
    <w:p>
      <w:pPr>
        <w:spacing w:after="0" w:line="34"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clear days</w:t>
      </w:r>
      <w:r>
        <w:rPr>
          <w:rFonts w:ascii="Arial" w:cs="Arial" w:eastAsia="Arial" w:hAnsi="Arial"/>
          <w:sz w:val="16"/>
          <w:szCs w:val="16"/>
          <w:color w:val="auto"/>
        </w:rPr>
        <w:t xml:space="preserve">” means, in relation to the period of a notice, that period excluding the day on which a notice is given or deemed to be given and the day for which it is given or </w:t>
      </w:r>
      <w:r>
        <w:rPr>
          <w:rFonts w:ascii="Arial" w:cs="Arial" w:eastAsia="Arial" w:hAnsi="Arial"/>
          <w:sz w:val="16"/>
          <w:szCs w:val="16"/>
          <w:u w:val="single" w:color="auto"/>
          <w:color w:val="auto"/>
        </w:rPr>
        <w:t>on</w:t>
      </w:r>
      <w:r>
        <w:rPr>
          <w:rFonts w:ascii="Arial" w:cs="Arial" w:eastAsia="Arial" w:hAnsi="Arial"/>
          <w:sz w:val="16"/>
          <w:szCs w:val="16"/>
          <w:color w:val="auto"/>
        </w:rPr>
        <w:t xml:space="preserve"> which it is to take effect;</w:t>
      </w:r>
    </w:p>
    <w:p>
      <w:pPr>
        <w:spacing w:after="0" w:line="34" w:lineRule="exact"/>
        <w:rPr>
          <w:sz w:val="20"/>
          <w:szCs w:val="20"/>
          <w:color w:val="auto"/>
        </w:rPr>
      </w:pPr>
    </w:p>
    <w:p>
      <w:pPr>
        <w:ind w:left="1200" w:right="10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xml:space="preserve">” means LivaNova PLC </w:t>
      </w:r>
      <w:r>
        <w:rPr>
          <w:rFonts w:ascii="Arial" w:cs="Arial" w:eastAsia="Arial" w:hAnsi="Arial"/>
          <w:sz w:val="16"/>
          <w:szCs w:val="16"/>
          <w:color w:val="auto"/>
          <w:strike w:val="1"/>
        </w:rPr>
        <w:t>(</w:t>
      </w:r>
      <w:r>
        <w:rPr>
          <w:rFonts w:ascii="Arial" w:cs="Arial" w:eastAsia="Arial" w:hAnsi="Arial"/>
          <w:sz w:val="16"/>
          <w:szCs w:val="16"/>
          <w:u w:val="single" w:color="auto"/>
          <w:color w:val="auto"/>
        </w:rPr>
        <w:t>, a public</w:t>
      </w:r>
      <w:r>
        <w:rPr>
          <w:rFonts w:ascii="Arial" w:cs="Arial" w:eastAsia="Arial" w:hAnsi="Arial"/>
          <w:sz w:val="16"/>
          <w:szCs w:val="16"/>
          <w:color w:val="auto"/>
        </w:rPr>
        <w:t xml:space="preserve"> company </w:t>
      </w:r>
      <w:r>
        <w:rPr>
          <w:rFonts w:ascii="Arial" w:cs="Arial" w:eastAsia="Arial" w:hAnsi="Arial"/>
          <w:sz w:val="16"/>
          <w:szCs w:val="16"/>
          <w:u w:val="single" w:color="auto"/>
          <w:color w:val="auto"/>
        </w:rPr>
        <w:t>limited by shares, registered in England and Wales with registered</w:t>
      </w:r>
      <w:r>
        <w:rPr>
          <w:rFonts w:ascii="Arial" w:cs="Arial" w:eastAsia="Arial" w:hAnsi="Arial"/>
          <w:sz w:val="16"/>
          <w:szCs w:val="16"/>
          <w:color w:val="auto"/>
        </w:rPr>
        <w:t xml:space="preserve"> number 09451374</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21" w:lineRule="exact"/>
        <w:rPr>
          <w:sz w:val="20"/>
          <w:szCs w:val="20"/>
          <w:color w:val="auto"/>
        </w:rPr>
      </w:pPr>
    </w:p>
    <w:p>
      <w:pPr>
        <w:ind w:left="1200" w:right="8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Companies Act</w:t>
      </w:r>
      <w:r>
        <w:rPr>
          <w:rFonts w:ascii="Arial" w:cs="Arial" w:eastAsia="Arial" w:hAnsi="Arial"/>
          <w:sz w:val="16"/>
          <w:szCs w:val="16"/>
          <w:color w:val="auto"/>
        </w:rPr>
        <w:t xml:space="preserve">” means the </w:t>
      </w:r>
      <w:r>
        <w:rPr>
          <w:rFonts w:ascii="Arial" w:cs="Arial" w:eastAsia="Arial" w:hAnsi="Arial"/>
          <w:sz w:val="16"/>
          <w:szCs w:val="16"/>
          <w:u w:val="single" w:color="auto"/>
          <w:color w:val="auto"/>
        </w:rPr>
        <w:t>UK</w:t>
      </w:r>
      <w:r>
        <w:rPr>
          <w:rFonts w:ascii="Arial" w:cs="Arial" w:eastAsia="Arial" w:hAnsi="Arial"/>
          <w:sz w:val="16"/>
          <w:szCs w:val="16"/>
          <w:color w:val="auto"/>
        </w:rPr>
        <w:t xml:space="preserve"> Companies Act 2006 including any modifications or re-enactment of it for the time being in force;</w:t>
      </w:r>
    </w:p>
    <w:p>
      <w:pPr>
        <w:spacing w:after="0" w:line="34" w:lineRule="exact"/>
        <w:rPr>
          <w:sz w:val="20"/>
          <w:szCs w:val="20"/>
          <w:color w:val="auto"/>
        </w:rPr>
      </w:pPr>
    </w:p>
    <w:p>
      <w:pPr>
        <w:ind w:left="1200" w:right="12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Contract</w:t>
      </w:r>
      <w:r>
        <w:rPr>
          <w:rFonts w:ascii="Arial" w:cs="Arial" w:eastAsia="Arial" w:hAnsi="Arial"/>
          <w:sz w:val="16"/>
          <w:szCs w:val="16"/>
          <w:color w:val="auto"/>
        </w:rPr>
        <w:t xml:space="preserve">” </w:t>
      </w:r>
      <w:r>
        <w:rPr>
          <w:rFonts w:ascii="Arial" w:cs="Arial" w:eastAsia="Arial" w:hAnsi="Arial"/>
          <w:sz w:val="16"/>
          <w:szCs w:val="16"/>
          <w:color w:val="auto"/>
          <w:strike w:val="1"/>
        </w:rPr>
        <w:t>means, as to any Person, any contract, lease, easement, license, instrument or understanding to which the</w:t>
      </w:r>
      <w:r>
        <w:rPr>
          <w:rFonts w:ascii="Arial" w:cs="Arial" w:eastAsia="Arial" w:hAnsi="Arial"/>
          <w:sz w:val="16"/>
          <w:szCs w:val="16"/>
          <w:color w:val="auto"/>
        </w:rPr>
        <w:t xml:space="preserve"> </w:t>
      </w:r>
      <w:r>
        <w:rPr>
          <w:rFonts w:ascii="Arial" w:cs="Arial" w:eastAsia="Arial" w:hAnsi="Arial"/>
          <w:sz w:val="16"/>
          <w:szCs w:val="16"/>
          <w:color w:val="auto"/>
          <w:strike w:val="1"/>
        </w:rPr>
        <w:t>applicable Person is a party;</w:t>
      </w:r>
    </w:p>
    <w:p>
      <w:pPr>
        <w:spacing w:after="0" w:line="34" w:lineRule="exact"/>
        <w:rPr>
          <w:sz w:val="20"/>
          <w:szCs w:val="20"/>
          <w:color w:val="auto"/>
        </w:rPr>
      </w:pPr>
    </w:p>
    <w:p>
      <w:pPr>
        <w:ind w:left="1200" w:right="80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Control</w:t>
      </w:r>
      <w:r>
        <w:rPr>
          <w:rFonts w:ascii="Arial" w:cs="Arial" w:eastAsia="Arial" w:hAnsi="Arial"/>
          <w:sz w:val="16"/>
          <w:szCs w:val="16"/>
          <w:color w:val="auto"/>
        </w:rPr>
        <w:t xml:space="preserve">” </w:t>
      </w:r>
      <w:r>
        <w:rPr>
          <w:rFonts w:ascii="Arial" w:cs="Arial" w:eastAsia="Arial" w:hAnsi="Arial"/>
          <w:sz w:val="16"/>
          <w:szCs w:val="16"/>
          <w:color w:val="auto"/>
          <w:strike w:val="1"/>
        </w:rPr>
        <w:t>means, as to any Person, the possession, directly or indirectly or as trustee or executor, of the power to direct or</w:t>
      </w:r>
      <w:r>
        <w:rPr>
          <w:rFonts w:ascii="Arial" w:cs="Arial" w:eastAsia="Arial" w:hAnsi="Arial"/>
          <w:sz w:val="16"/>
          <w:szCs w:val="16"/>
          <w:color w:val="auto"/>
        </w:rPr>
        <w:t xml:space="preserve"> </w:t>
      </w:r>
      <w:r>
        <w:rPr>
          <w:rFonts w:ascii="Arial" w:cs="Arial" w:eastAsia="Arial" w:hAnsi="Arial"/>
          <w:sz w:val="16"/>
          <w:szCs w:val="16"/>
          <w:color w:val="auto"/>
          <w:strike w:val="1"/>
        </w:rPr>
        <w:t>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43" w:lineRule="exact"/>
        <w:rPr>
          <w:sz w:val="20"/>
          <w:szCs w:val="20"/>
          <w:color w:val="auto"/>
        </w:rPr>
      </w:pPr>
    </w:p>
    <w:p>
      <w:pPr>
        <w:jc w:val="both"/>
        <w:ind w:left="1200" w:right="1220"/>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xml:space="preserve">” means any depositary, custodian or nominee approved by the Board that holds legal title to shares in the capital of the Company for the purposes of facilitating beneficial ownership of such shares by another </w:t>
      </w:r>
      <w:r>
        <w:rPr>
          <w:rFonts w:ascii="Arial" w:cs="Arial" w:eastAsia="Arial" w:hAnsi="Arial"/>
          <w:sz w:val="15"/>
          <w:szCs w:val="15"/>
          <w:color w:val="auto"/>
          <w:strike w:val="1"/>
        </w:rPr>
        <w:t>individual</w:t>
      </w:r>
      <w:r>
        <w:rPr>
          <w:rFonts w:ascii="Arial" w:cs="Arial" w:eastAsia="Arial" w:hAnsi="Arial"/>
          <w:sz w:val="15"/>
          <w:szCs w:val="15"/>
          <w:u w:val="single" w:color="auto"/>
          <w:color w:val="auto"/>
        </w:rPr>
        <w:t>person</w:t>
      </w:r>
      <w:r>
        <w:rPr>
          <w:rFonts w:ascii="Arial" w:cs="Arial" w:eastAsia="Arial" w:hAnsi="Arial"/>
          <w:sz w:val="15"/>
          <w:szCs w:val="15"/>
          <w:color w:val="auto"/>
        </w:rPr>
        <w:t>;</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director of the Company from time to time;</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dividend</w:t>
      </w:r>
      <w:r>
        <w:rPr>
          <w:rFonts w:ascii="Arial" w:cs="Arial" w:eastAsia="Arial" w:hAnsi="Arial"/>
          <w:sz w:val="16"/>
          <w:szCs w:val="16"/>
          <w:color w:val="auto"/>
        </w:rPr>
        <w:t xml:space="preserve">” </w:t>
      </w:r>
      <w:r>
        <w:rPr>
          <w:rFonts w:ascii="Arial" w:cs="Arial" w:eastAsia="Arial" w:hAnsi="Arial"/>
          <w:sz w:val="16"/>
          <w:szCs w:val="16"/>
          <w:color w:val="auto"/>
          <w:strike w:val="1"/>
        </w:rPr>
        <w:t>means dividend or bonus;</w:t>
      </w:r>
    </w:p>
    <w:p>
      <w:pPr>
        <w:spacing w:after="0" w:line="86" w:lineRule="exact"/>
        <w:rPr>
          <w:sz w:val="20"/>
          <w:szCs w:val="20"/>
          <w:color w:val="auto"/>
        </w:rPr>
      </w:pPr>
    </w:p>
    <w:p>
      <w:pPr>
        <w:ind w:left="1200" w:right="10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address</w:t>
      </w:r>
      <w:r>
        <w:rPr>
          <w:rFonts w:ascii="Arial" w:cs="Arial" w:eastAsia="Arial" w:hAnsi="Arial"/>
          <w:sz w:val="16"/>
          <w:szCs w:val="16"/>
          <w:color w:val="auto"/>
        </w:rPr>
        <w:t>” means any number or address used for the purposes of sending or receiving notices, documents or information by electronic means;</w:t>
      </w:r>
    </w:p>
    <w:p>
      <w:pPr>
        <w:spacing w:after="0" w:line="34"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equity security</w:t>
      </w:r>
      <w:r>
        <w:rPr>
          <w:rFonts w:ascii="Arial" w:cs="Arial" w:eastAsia="Arial" w:hAnsi="Arial"/>
          <w:sz w:val="16"/>
          <w:szCs w:val="16"/>
          <w:color w:val="auto"/>
        </w:rPr>
        <w:t xml:space="preserve">” </w:t>
      </w:r>
      <w:r>
        <w:rPr>
          <w:rFonts w:ascii="Arial" w:cs="Arial" w:eastAsia="Arial" w:hAnsi="Arial"/>
          <w:sz w:val="16"/>
          <w:szCs w:val="16"/>
          <w:color w:val="auto"/>
          <w:strike w:val="1"/>
        </w:rPr>
        <w:t>shall have the meaning given to such term in Rule 405 under the United States Securities Act of 1933, as</w:t>
      </w:r>
      <w:r>
        <w:rPr>
          <w:rFonts w:ascii="Arial" w:cs="Arial" w:eastAsia="Arial" w:hAnsi="Arial"/>
          <w:sz w:val="16"/>
          <w:szCs w:val="16"/>
          <w:color w:val="auto"/>
        </w:rPr>
        <w:t xml:space="preserve"> </w:t>
      </w:r>
      <w:r>
        <w:rPr>
          <w:rFonts w:ascii="Arial" w:cs="Arial" w:eastAsia="Arial" w:hAnsi="Arial"/>
          <w:sz w:val="16"/>
          <w:szCs w:val="16"/>
          <w:color w:val="auto"/>
          <w:strike w:val="1"/>
        </w:rPr>
        <w:t>amended, and the rules and regulations promulgated thereunder;</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means any securities exchange, including NASDAQ, on which the securities of the Company are traded;</w:t>
      </w:r>
    </w:p>
    <w:p>
      <w:pPr>
        <w:spacing w:after="0" w:line="86" w:lineRule="exact"/>
        <w:rPr>
          <w:sz w:val="20"/>
          <w:szCs w:val="20"/>
          <w:color w:val="auto"/>
        </w:rPr>
      </w:pPr>
    </w:p>
    <w:p>
      <w:pPr>
        <w:ind w:left="1200" w:right="14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United States Securities Exchange Act of 1934, as amended from time to time, and the regulations promulgated thereunder;</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executed</w:t>
      </w:r>
      <w:r>
        <w:rPr>
          <w:rFonts w:ascii="Arial" w:cs="Arial" w:eastAsia="Arial" w:hAnsi="Arial"/>
          <w:sz w:val="16"/>
          <w:szCs w:val="16"/>
          <w:color w:val="auto"/>
        </w:rPr>
        <w:t xml:space="preserve">” </w:t>
      </w:r>
      <w:r>
        <w:rPr>
          <w:rFonts w:ascii="Arial" w:cs="Arial" w:eastAsia="Arial" w:hAnsi="Arial"/>
          <w:sz w:val="16"/>
          <w:szCs w:val="16"/>
          <w:color w:val="auto"/>
          <w:strike w:val="1"/>
        </w:rPr>
        <w:t>means any mode of execution;</w:t>
      </w:r>
    </w:p>
    <w:p>
      <w:pPr>
        <w:spacing w:after="0" w:line="100" w:lineRule="exact"/>
        <w:rPr>
          <w:sz w:val="20"/>
          <w:szCs w:val="20"/>
          <w:color w:val="auto"/>
        </w:rPr>
      </w:pPr>
    </w:p>
    <w:p>
      <w:pPr>
        <w:ind w:left="1200" w:right="9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financial institution</w:t>
      </w:r>
      <w:r>
        <w:rPr>
          <w:rFonts w:ascii="Arial" w:cs="Arial" w:eastAsia="Arial" w:hAnsi="Arial"/>
          <w:sz w:val="16"/>
          <w:szCs w:val="16"/>
          <w:color w:val="auto"/>
        </w:rPr>
        <w:t xml:space="preserve">” </w:t>
      </w:r>
      <w:r>
        <w:rPr>
          <w:rFonts w:ascii="Arial" w:cs="Arial" w:eastAsia="Arial" w:hAnsi="Arial"/>
          <w:sz w:val="16"/>
          <w:szCs w:val="16"/>
          <w:color w:val="auto"/>
          <w:strike w:val="1"/>
        </w:rPr>
        <w:t>means a recognised clearing house or a nominee of a recognised clearing house or of a recognised</w:t>
      </w:r>
      <w:r>
        <w:rPr>
          <w:rFonts w:ascii="Arial" w:cs="Arial" w:eastAsia="Arial" w:hAnsi="Arial"/>
          <w:sz w:val="16"/>
          <w:szCs w:val="16"/>
          <w:color w:val="auto"/>
        </w:rPr>
        <w:t xml:space="preserve"> </w:t>
      </w:r>
      <w:r>
        <w:rPr>
          <w:rFonts w:ascii="Arial" w:cs="Arial" w:eastAsia="Arial" w:hAnsi="Arial"/>
          <w:sz w:val="16"/>
          <w:szCs w:val="16"/>
          <w:color w:val="auto"/>
          <w:strike w:val="1"/>
        </w:rPr>
        <w:t>investment exchange who is designated within the meaning of section 778(2) of the Companies Act;</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FSMA</w:t>
      </w:r>
      <w:r>
        <w:rPr>
          <w:rFonts w:ascii="Arial" w:cs="Arial" w:eastAsia="Arial" w:hAnsi="Arial"/>
          <w:sz w:val="16"/>
          <w:szCs w:val="16"/>
          <w:color w:val="auto"/>
        </w:rPr>
        <w:t xml:space="preserve">” </w:t>
      </w:r>
      <w:r>
        <w:rPr>
          <w:rFonts w:ascii="Arial" w:cs="Arial" w:eastAsia="Arial" w:hAnsi="Arial"/>
          <w:sz w:val="16"/>
          <w:szCs w:val="16"/>
          <w:color w:val="auto"/>
          <w:strike w:val="1"/>
        </w:rPr>
        <w:t>means the Financial Services and Market Act 2000;</w:t>
      </w:r>
    </w:p>
    <w:p>
      <w:pPr>
        <w:spacing w:after="0" w:line="100" w:lineRule="exact"/>
        <w:rPr>
          <w:sz w:val="20"/>
          <w:szCs w:val="20"/>
          <w:color w:val="auto"/>
        </w:rPr>
      </w:pPr>
    </w:p>
    <w:p>
      <w:pPr>
        <w:ind w:left="1200" w:right="86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Fully Diluted Interest</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member, the percentage of the Ordinary Shares owned by that member</w:t>
      </w:r>
      <w:r>
        <w:rPr>
          <w:rFonts w:ascii="Arial" w:cs="Arial" w:eastAsia="Arial" w:hAnsi="Arial"/>
          <w:sz w:val="16"/>
          <w:szCs w:val="16"/>
          <w:color w:val="auto"/>
        </w:rPr>
        <w:t xml:space="preserve"> </w:t>
      </w:r>
      <w:r>
        <w:rPr>
          <w:rFonts w:ascii="Arial" w:cs="Arial" w:eastAsia="Arial" w:hAnsi="Arial"/>
          <w:sz w:val="16"/>
          <w:szCs w:val="16"/>
          <w:color w:val="auto"/>
          <w:strike w:val="1"/>
        </w:rPr>
        <w:t>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A-1</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299"/>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xml:space="preserve">” shall mean any </w:t>
      </w:r>
      <w:r>
        <w:rPr>
          <w:rFonts w:ascii="Arial" w:cs="Arial" w:eastAsia="Arial" w:hAnsi="Arial"/>
          <w:sz w:val="15"/>
          <w:szCs w:val="15"/>
          <w:u w:val="single" w:color="auto"/>
          <w:color w:val="auto"/>
        </w:rPr>
        <w:t>supranational,</w:t>
      </w:r>
      <w:r>
        <w:rPr>
          <w:rFonts w:ascii="Arial" w:cs="Arial" w:eastAsia="Arial" w:hAnsi="Arial"/>
          <w:sz w:val="15"/>
          <w:szCs w:val="15"/>
          <w:color w:val="auto"/>
        </w:rPr>
        <w:t xml:space="preserve">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32" w:lineRule="exact"/>
        <w:rPr>
          <w:sz w:val="20"/>
          <w:szCs w:val="20"/>
          <w:color w:val="auto"/>
        </w:rPr>
      </w:pPr>
    </w:p>
    <w:p>
      <w:pPr>
        <w:ind w:left="1200" w:right="4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xml:space="preserve">” means, in relation to a share in the capital of the Company, the member whose name is entered in the register </w:t>
      </w:r>
      <w:r>
        <w:rPr>
          <w:rFonts w:ascii="Arial" w:cs="Arial" w:eastAsia="Arial" w:hAnsi="Arial"/>
          <w:sz w:val="16"/>
          <w:szCs w:val="16"/>
          <w:color w:val="auto"/>
          <w:strike w:val="1"/>
        </w:rPr>
        <w:t>of</w:t>
      </w:r>
      <w:r>
        <w:rPr>
          <w:rFonts w:ascii="Arial" w:cs="Arial" w:eastAsia="Arial" w:hAnsi="Arial"/>
          <w:sz w:val="16"/>
          <w:szCs w:val="16"/>
          <w:color w:val="auto"/>
        </w:rPr>
        <w:t xml:space="preserve"> </w:t>
      </w:r>
      <w:r>
        <w:rPr>
          <w:rFonts w:ascii="Arial" w:cs="Arial" w:eastAsia="Arial" w:hAnsi="Arial"/>
          <w:sz w:val="16"/>
          <w:szCs w:val="16"/>
          <w:color w:val="auto"/>
          <w:strike w:val="1"/>
        </w:rPr>
        <w:t>members</w:t>
      </w:r>
      <w:r>
        <w:rPr>
          <w:rFonts w:ascii="Arial" w:cs="Arial" w:eastAsia="Arial" w:hAnsi="Arial"/>
          <w:sz w:val="16"/>
          <w:szCs w:val="16"/>
          <w:color w:val="auto"/>
        </w:rPr>
        <w:t xml:space="preserve"> as the holder of that share;</w:t>
      </w:r>
    </w:p>
    <w:p>
      <w:pPr>
        <w:spacing w:after="0" w:line="34" w:lineRule="exact"/>
        <w:rPr>
          <w:sz w:val="20"/>
          <w:szCs w:val="20"/>
          <w:color w:val="auto"/>
        </w:rPr>
      </w:pPr>
    </w:p>
    <w:p>
      <w:pPr>
        <w:ind w:left="1200" w:right="479"/>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Director</w:t>
      </w:r>
      <w:r>
        <w:rPr>
          <w:rFonts w:ascii="Arial" w:cs="Arial" w:eastAsia="Arial" w:hAnsi="Arial"/>
          <w:sz w:val="16"/>
          <w:szCs w:val="16"/>
          <w:color w:val="auto"/>
        </w:rPr>
        <w:t xml:space="preserve">” means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who meets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the independence standards of the </w:t>
      </w:r>
      <w:r>
        <w:rPr>
          <w:rFonts w:ascii="Arial" w:cs="Arial" w:eastAsia="Arial" w:hAnsi="Arial"/>
          <w:sz w:val="16"/>
          <w:szCs w:val="16"/>
          <w:color w:val="auto"/>
          <w:strike w:val="1"/>
        </w:rPr>
        <w:t>NASDAQ</w:t>
      </w:r>
      <w:r>
        <w:rPr>
          <w:rFonts w:ascii="Arial" w:cs="Arial" w:eastAsia="Arial" w:hAnsi="Arial"/>
          <w:sz w:val="16"/>
          <w:szCs w:val="16"/>
          <w:u w:val="single" w:color="auto"/>
          <w:color w:val="auto"/>
        </w:rPr>
        <w:t>Relevant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Rules</w:t>
      </w:r>
      <w:r>
        <w:rPr>
          <w:rFonts w:ascii="Arial" w:cs="Arial" w:eastAsia="Arial" w:hAnsi="Arial"/>
          <w:sz w:val="16"/>
          <w:szCs w:val="16"/>
          <w:color w:val="auto"/>
        </w:rPr>
        <w:t xml:space="preserve"> applicable to non-controlled domestic US issuers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Law</w:t>
      </w:r>
      <w:r>
        <w:rPr>
          <w:rFonts w:ascii="Arial" w:cs="Arial" w:eastAsia="Arial" w:hAnsi="Arial"/>
          <w:sz w:val="16"/>
          <w:szCs w:val="16"/>
          <w:color w:val="auto"/>
        </w:rPr>
        <w:t xml:space="preserve">” </w:t>
      </w:r>
      <w:r>
        <w:rPr>
          <w:rFonts w:ascii="Arial" w:cs="Arial" w:eastAsia="Arial" w:hAnsi="Arial"/>
          <w:sz w:val="16"/>
          <w:szCs w:val="16"/>
          <w:color w:val="auto"/>
          <w:strike w:val="1"/>
        </w:rPr>
        <w:t>means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(ii) in the case of</w:t>
      </w:r>
      <w:r>
        <w:rPr>
          <w:rFonts w:ascii="Arial" w:cs="Arial" w:eastAsia="Arial" w:hAnsi="Arial"/>
          <w:sz w:val="16"/>
          <w:szCs w:val="16"/>
          <w:color w:val="auto"/>
        </w:rPr>
        <w:t xml:space="preserve"> any </w:t>
      </w:r>
      <w:r>
        <w:rPr>
          <w:rFonts w:ascii="Arial" w:cs="Arial" w:eastAsia="Arial" w:hAnsi="Arial"/>
          <w:sz w:val="16"/>
          <w:szCs w:val="16"/>
          <w:color w:val="auto"/>
          <w:strike w:val="1"/>
        </w:rPr>
        <w:t>federal, state, provincial,</w:t>
      </w:r>
      <w:r>
        <w:rPr>
          <w:rFonts w:ascii="Arial" w:cs="Arial" w:eastAsia="Arial" w:hAnsi="Arial"/>
          <w:sz w:val="16"/>
          <w:szCs w:val="16"/>
          <w:color w:val="auto"/>
        </w:rPr>
        <w:t xml:space="preserve"> </w:t>
      </w:r>
      <w:r>
        <w:rPr>
          <w:rFonts w:ascii="Arial" w:cs="Arial" w:eastAsia="Arial" w:hAnsi="Arial"/>
          <w:sz w:val="16"/>
          <w:szCs w:val="16"/>
          <w:color w:val="auto"/>
          <w:strike w:val="1"/>
        </w:rPr>
        <w:t>municipal, local or foreign law, statute, code, ordinance, rule, regulation, circular, order, judgment, writ, stipulation, award, injunction, decree or arbitration award or finding</w:t>
      </w:r>
      <w:r>
        <w:rPr>
          <w:rFonts w:ascii="Arial" w:cs="Arial" w:eastAsia="Arial" w:hAnsi="Arial"/>
          <w:sz w:val="16"/>
          <w:szCs w:val="16"/>
          <w:u w:val="single" w:color="auto"/>
          <w:color w:val="auto"/>
          <w:strike w:val="1"/>
        </w:rPr>
        <w:t>appointment to the audit committee of the Company, the independence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standards set forth in Rule 10A-3 under the Exchange Act as amended from time to time</w:t>
      </w:r>
      <w:r>
        <w:rPr>
          <w:rFonts w:ascii="Arial" w:cs="Arial" w:eastAsia="Arial" w:hAnsi="Arial"/>
          <w:sz w:val="16"/>
          <w:szCs w:val="16"/>
          <w:color w:val="auto"/>
          <w:strike w:val="1"/>
        </w:rPr>
        <w:t>;</w:t>
      </w:r>
    </w:p>
    <w:p>
      <w:pPr>
        <w:spacing w:after="0" w:line="4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means a member of the Company;</w:t>
      </w:r>
    </w:p>
    <w:p>
      <w:pPr>
        <w:spacing w:after="0" w:line="100" w:lineRule="exact"/>
        <w:rPr>
          <w:sz w:val="20"/>
          <w:szCs w:val="20"/>
          <w:color w:val="auto"/>
        </w:rPr>
      </w:pPr>
    </w:p>
    <w:p>
      <w:pPr>
        <w:ind w:left="1200" w:right="2719"/>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means the National Association of Securities Dealers Automated Quotations; “</w:t>
      </w:r>
      <w:r>
        <w:rPr>
          <w:rFonts w:ascii="Arial" w:cs="Arial" w:eastAsia="Arial" w:hAnsi="Arial"/>
          <w:sz w:val="16"/>
          <w:szCs w:val="16"/>
          <w:b w:val="1"/>
          <w:bCs w:val="1"/>
          <w:color w:val="auto"/>
        </w:rPr>
        <w:t>Office</w:t>
      </w:r>
      <w:r>
        <w:rPr>
          <w:rFonts w:ascii="Arial" w:cs="Arial" w:eastAsia="Arial" w:hAnsi="Arial"/>
          <w:sz w:val="16"/>
          <w:szCs w:val="16"/>
          <w:color w:val="auto"/>
        </w:rPr>
        <w:t>” means the registered office of the Company from time to time;</w:t>
      </w: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officer</w:t>
      </w:r>
      <w:r>
        <w:rPr>
          <w:rFonts w:ascii="Arial" w:cs="Arial" w:eastAsia="Arial" w:hAnsi="Arial"/>
          <w:sz w:val="16"/>
          <w:szCs w:val="16"/>
          <w:color w:val="auto"/>
        </w:rPr>
        <w:t xml:space="preserve">” </w:t>
      </w:r>
      <w:r>
        <w:rPr>
          <w:rFonts w:ascii="Arial" w:cs="Arial" w:eastAsia="Arial" w:hAnsi="Arial"/>
          <w:sz w:val="16"/>
          <w:szCs w:val="16"/>
          <w:color w:val="auto"/>
          <w:strike w:val="1"/>
        </w:rPr>
        <w:t>includes a Director, manager and the secretary, but shall not include an auditor;</w:t>
      </w:r>
    </w:p>
    <w:p>
      <w:pPr>
        <w:spacing w:after="0" w:line="100" w:lineRule="exact"/>
        <w:rPr>
          <w:sz w:val="20"/>
          <w:szCs w:val="20"/>
          <w:color w:val="auto"/>
        </w:rPr>
      </w:pPr>
    </w:p>
    <w:p>
      <w:pPr>
        <w:ind w:left="1200" w:right="4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Official List</w:t>
      </w:r>
      <w:r>
        <w:rPr>
          <w:rFonts w:ascii="Arial" w:cs="Arial" w:eastAsia="Arial" w:hAnsi="Arial"/>
          <w:sz w:val="16"/>
          <w:szCs w:val="16"/>
          <w:color w:val="auto"/>
        </w:rPr>
        <w:t xml:space="preserve">” </w:t>
      </w:r>
      <w:r>
        <w:rPr>
          <w:rFonts w:ascii="Arial" w:cs="Arial" w:eastAsia="Arial" w:hAnsi="Arial"/>
          <w:sz w:val="16"/>
          <w:szCs w:val="16"/>
          <w:color w:val="auto"/>
          <w:strike w:val="1"/>
        </w:rPr>
        <w:t>means the list of securities that have been admitted to listing which is maintained by the Financial Conduct</w:t>
      </w:r>
      <w:r>
        <w:rPr>
          <w:rFonts w:ascii="Arial" w:cs="Arial" w:eastAsia="Arial" w:hAnsi="Arial"/>
          <w:sz w:val="16"/>
          <w:szCs w:val="16"/>
          <w:color w:val="auto"/>
        </w:rPr>
        <w:t xml:space="preserve"> </w:t>
      </w:r>
      <w:r>
        <w:rPr>
          <w:rFonts w:ascii="Arial" w:cs="Arial" w:eastAsia="Arial" w:hAnsi="Arial"/>
          <w:sz w:val="16"/>
          <w:szCs w:val="16"/>
          <w:color w:val="auto"/>
          <w:strike w:val="1"/>
        </w:rPr>
        <w:t>Authority in accordance with section 74(1) of FSMA;</w:t>
      </w:r>
    </w:p>
    <w:p>
      <w:pPr>
        <w:spacing w:after="0" w:line="34" w:lineRule="exact"/>
        <w:rPr>
          <w:sz w:val="20"/>
          <w:szCs w:val="20"/>
          <w:color w:val="auto"/>
        </w:rPr>
      </w:pPr>
    </w:p>
    <w:p>
      <w:pPr>
        <w:ind w:left="1200" w:right="3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Operator</w:t>
      </w:r>
      <w:r>
        <w:rPr>
          <w:rFonts w:ascii="Arial" w:cs="Arial" w:eastAsia="Arial" w:hAnsi="Arial"/>
          <w:sz w:val="16"/>
          <w:szCs w:val="16"/>
          <w:color w:val="auto"/>
        </w:rPr>
        <w:t xml:space="preserve">” means </w:t>
      </w:r>
      <w:r>
        <w:rPr>
          <w:rFonts w:ascii="Arial" w:cs="Arial" w:eastAsia="Arial" w:hAnsi="Arial"/>
          <w:sz w:val="16"/>
          <w:szCs w:val="16"/>
          <w:color w:val="auto"/>
          <w:strike w:val="1"/>
        </w:rPr>
        <w:t>Euroclear UK and Ireland Limited or such other person as may</w:t>
      </w:r>
      <w:r>
        <w:rPr>
          <w:rFonts w:ascii="Arial" w:cs="Arial" w:eastAsia="Arial" w:hAnsi="Arial"/>
          <w:sz w:val="16"/>
          <w:szCs w:val="16"/>
          <w:u w:val="single" w:color="auto"/>
          <w:color w:val="auto"/>
        </w:rPr>
        <w:t>the operator of a relevant system</w:t>
      </w:r>
      <w:r>
        <w:rPr>
          <w:rFonts w:ascii="Arial" w:cs="Arial" w:eastAsia="Arial" w:hAnsi="Arial"/>
          <w:sz w:val="16"/>
          <w:szCs w:val="16"/>
          <w:color w:val="auto"/>
        </w:rPr>
        <w:t xml:space="preserve"> for the </w:t>
      </w:r>
      <w:r>
        <w:rPr>
          <w:rFonts w:ascii="Arial" w:cs="Arial" w:eastAsia="Arial" w:hAnsi="Arial"/>
          <w:sz w:val="16"/>
          <w:szCs w:val="16"/>
          <w:color w:val="auto"/>
          <w:strike w:val="1"/>
        </w:rPr>
        <w:t>time being be approved by HM Treasury as Operator under</w:t>
      </w:r>
      <w:r>
        <w:rPr>
          <w:rFonts w:ascii="Arial" w:cs="Arial" w:eastAsia="Arial" w:hAnsi="Arial"/>
          <w:sz w:val="16"/>
          <w:szCs w:val="16"/>
          <w:u w:val="single" w:color="auto"/>
          <w:color w:val="auto"/>
        </w:rPr>
        <w:t>purposes of</w:t>
      </w:r>
      <w:r>
        <w:rPr>
          <w:rFonts w:ascii="Arial" w:cs="Arial" w:eastAsia="Arial" w:hAnsi="Arial"/>
          <w:sz w:val="16"/>
          <w:szCs w:val="16"/>
          <w:color w:val="auto"/>
        </w:rPr>
        <w:t xml:space="preserve"> the Uncertificated Securities Rules;</w:t>
      </w:r>
    </w:p>
    <w:p>
      <w:pPr>
        <w:spacing w:after="0" w:line="21" w:lineRule="exact"/>
        <w:rPr>
          <w:sz w:val="20"/>
          <w:szCs w:val="20"/>
          <w:color w:val="auto"/>
        </w:rPr>
      </w:pPr>
    </w:p>
    <w:p>
      <w:pPr>
        <w:ind w:left="1200" w:right="2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means the ordinary shares in the capital of the Company </w:t>
      </w:r>
      <w:r>
        <w:rPr>
          <w:rFonts w:ascii="Arial" w:cs="Arial" w:eastAsia="Arial" w:hAnsi="Arial"/>
          <w:sz w:val="16"/>
          <w:szCs w:val="16"/>
          <w:color w:val="auto"/>
          <w:strike w:val="1"/>
        </w:rPr>
        <w:t>from time to time, identified in Article 4.1(a) and</w:t>
      </w:r>
      <w:r>
        <w:rPr>
          <w:rFonts w:ascii="Arial" w:cs="Arial" w:eastAsia="Arial" w:hAnsi="Arial"/>
          <w:sz w:val="16"/>
          <w:szCs w:val="16"/>
          <w:color w:val="auto"/>
        </w:rPr>
        <w:t xml:space="preserve"> </w:t>
      </w:r>
      <w:r>
        <w:rPr>
          <w:rFonts w:ascii="Arial" w:cs="Arial" w:eastAsia="Arial" w:hAnsi="Arial"/>
          <w:sz w:val="16"/>
          <w:szCs w:val="16"/>
          <w:color w:val="auto"/>
          <w:strike w:val="1"/>
        </w:rPr>
        <w:t>with the rights set out therein and these Articles generally</w:t>
      </w:r>
      <w:r>
        <w:rPr>
          <w:rFonts w:ascii="Arial" w:cs="Arial" w:eastAsia="Arial" w:hAnsi="Arial"/>
          <w:sz w:val="16"/>
          <w:szCs w:val="16"/>
          <w:color w:val="auto"/>
        </w:rPr>
        <w:t>;</w:t>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paid</w:t>
      </w:r>
      <w:r>
        <w:rPr>
          <w:rFonts w:ascii="Arial" w:cs="Arial" w:eastAsia="Arial" w:hAnsi="Arial"/>
          <w:sz w:val="16"/>
          <w:szCs w:val="16"/>
          <w:color w:val="auto"/>
        </w:rPr>
        <w:t>” means paid or credited as paid;</w:t>
      </w:r>
    </w:p>
    <w:p>
      <w:pPr>
        <w:spacing w:after="0" w:line="100" w:lineRule="exact"/>
        <w:rPr>
          <w:sz w:val="20"/>
          <w:szCs w:val="20"/>
          <w:color w:val="auto"/>
        </w:rPr>
      </w:pPr>
    </w:p>
    <w:p>
      <w:pPr>
        <w:ind w:left="1200" w:right="2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class</w:t>
      </w:r>
      <w:r>
        <w:rPr>
          <w:rFonts w:ascii="Arial" w:cs="Arial" w:eastAsia="Arial" w:hAnsi="Arial"/>
          <w:sz w:val="16"/>
          <w:szCs w:val="16"/>
          <w:color w:val="auto"/>
        </w:rPr>
        <w:t xml:space="preserve">” means a class of shares title to which is permitted by the </w:t>
      </w:r>
      <w:r>
        <w:rPr>
          <w:rFonts w:ascii="Arial" w:cs="Arial" w:eastAsia="Arial" w:hAnsi="Arial"/>
          <w:sz w:val="16"/>
          <w:szCs w:val="16"/>
          <w:color w:val="auto"/>
          <w:strike w:val="1"/>
        </w:rPr>
        <w:t>operator</w:t>
      </w:r>
      <w:r>
        <w:rPr>
          <w:rFonts w:ascii="Arial" w:cs="Arial" w:eastAsia="Arial" w:hAnsi="Arial"/>
          <w:sz w:val="16"/>
          <w:szCs w:val="16"/>
          <w:u w:val="single" w:color="auto"/>
          <w:color w:val="auto"/>
        </w:rPr>
        <w:t>Operator</w:t>
      </w:r>
      <w:r>
        <w:rPr>
          <w:rFonts w:ascii="Arial" w:cs="Arial" w:eastAsia="Arial" w:hAnsi="Arial"/>
          <w:sz w:val="16"/>
          <w:szCs w:val="16"/>
          <w:color w:val="auto"/>
        </w:rPr>
        <w:t xml:space="preserve"> to be transferred by means of a relevant system;</w:t>
      </w:r>
    </w:p>
    <w:p>
      <w:pPr>
        <w:spacing w:after="0" w:line="21" w:lineRule="exact"/>
        <w:rPr>
          <w:sz w:val="20"/>
          <w:szCs w:val="20"/>
          <w:color w:val="auto"/>
        </w:rPr>
      </w:pPr>
    </w:p>
    <w:p>
      <w:pPr>
        <w:ind w:left="1200" w:right="65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Percentage Interest</w:t>
      </w:r>
      <w:r>
        <w:rPr>
          <w:rFonts w:ascii="Arial" w:cs="Arial" w:eastAsia="Arial" w:hAnsi="Arial"/>
          <w:sz w:val="16"/>
          <w:szCs w:val="16"/>
          <w:color w:val="auto"/>
        </w:rPr>
        <w:t xml:space="preserve">” </w:t>
      </w:r>
      <w:r>
        <w:rPr>
          <w:rFonts w:ascii="Arial" w:cs="Arial" w:eastAsia="Arial" w:hAnsi="Arial"/>
          <w:sz w:val="16"/>
          <w:szCs w:val="16"/>
          <w:color w:val="auto"/>
          <w:strike w:val="1"/>
        </w:rPr>
        <w:t>means, with respect to any member, the percentage of the total outstanding Ordinary Shares of</w:t>
      </w:r>
      <w:r>
        <w:rPr>
          <w:rFonts w:ascii="Arial" w:cs="Arial" w:eastAsia="Arial" w:hAnsi="Arial"/>
          <w:sz w:val="16"/>
          <w:szCs w:val="16"/>
          <w:color w:val="auto"/>
        </w:rPr>
        <w:t xml:space="preserve"> </w:t>
      </w:r>
      <w:r>
        <w:rPr>
          <w:rFonts w:ascii="Arial" w:cs="Arial" w:eastAsia="Arial" w:hAnsi="Arial"/>
          <w:sz w:val="16"/>
          <w:szCs w:val="16"/>
          <w:color w:val="auto"/>
          <w:strike w:val="1"/>
        </w:rPr>
        <w:t>owned by that member;</w:t>
      </w:r>
    </w:p>
    <w:p>
      <w:pPr>
        <w:spacing w:after="0" w:line="34" w:lineRule="exact"/>
        <w:rPr>
          <w:sz w:val="20"/>
          <w:szCs w:val="20"/>
          <w:color w:val="auto"/>
        </w:rPr>
      </w:pPr>
    </w:p>
    <w:p>
      <w:pPr>
        <w:ind w:left="1200" w:right="47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Person</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50" w:lineRule="exact"/>
        <w:rPr>
          <w:sz w:val="20"/>
          <w:szCs w:val="20"/>
          <w:color w:val="auto"/>
        </w:rPr>
      </w:pPr>
    </w:p>
    <w:p>
      <w:pPr>
        <w:jc w:val="both"/>
        <w:ind w:left="1200" w:right="31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present</w:t>
      </w:r>
      <w:r>
        <w:rPr>
          <w:rFonts w:ascii="Arial" w:cs="Arial" w:eastAsia="Arial" w:hAnsi="Arial"/>
          <w:sz w:val="16"/>
          <w:szCs w:val="16"/>
          <w:color w:val="auto"/>
        </w:rPr>
        <w:t>” means for the purposes of physical general meetings, present in person or, for the purposes of electronic general meetings, present by electronic means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for the purposes of meetings which are both physical and electronic, present by</w:t>
      </w:r>
      <w:r>
        <w:rPr>
          <w:rFonts w:ascii="Arial" w:cs="Arial" w:eastAsia="Arial" w:hAnsi="Arial"/>
          <w:sz w:val="16"/>
          <w:szCs w:val="16"/>
          <w:color w:val="auto"/>
        </w:rPr>
        <w:t xml:space="preserve"> </w:t>
      </w:r>
      <w:r>
        <w:rPr>
          <w:rFonts w:ascii="Arial" w:cs="Arial" w:eastAsia="Arial" w:hAnsi="Arial"/>
          <w:sz w:val="16"/>
          <w:szCs w:val="16"/>
          <w:u w:val="single" w:color="auto"/>
          <w:color w:val="auto"/>
        </w:rPr>
        <w:t>either such means;</w:t>
      </w:r>
    </w:p>
    <w:p>
      <w:pPr>
        <w:spacing w:after="0" w:line="36" w:lineRule="exact"/>
        <w:rPr>
          <w:sz w:val="20"/>
          <w:szCs w:val="20"/>
          <w:color w:val="auto"/>
        </w:rPr>
      </w:pPr>
    </w:p>
    <w:p>
      <w:pPr>
        <w:ind w:left="1200" w:right="379"/>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announcement</w:t>
      </w:r>
      <w:r>
        <w:rPr>
          <w:rFonts w:ascii="Arial" w:cs="Arial" w:eastAsia="Arial" w:hAnsi="Arial"/>
          <w:sz w:val="15"/>
          <w:szCs w:val="15"/>
          <w:color w:val="auto"/>
        </w:rPr>
        <w:t xml:space="preserve">” shall mean </w:t>
      </w:r>
      <w:r>
        <w:rPr>
          <w:rFonts w:ascii="Arial" w:cs="Arial" w:eastAsia="Arial" w:hAnsi="Arial"/>
          <w:sz w:val="15"/>
          <w:szCs w:val="15"/>
          <w:color w:val="auto"/>
          <w:strike w:val="1"/>
        </w:rPr>
        <w:t>(a)</w:t>
      </w:r>
      <w:r>
        <w:rPr>
          <w:rFonts w:ascii="Arial" w:cs="Arial" w:eastAsia="Arial" w:hAnsi="Arial"/>
          <w:sz w:val="15"/>
          <w:szCs w:val="15"/>
          <w:color w:val="auto"/>
        </w:rPr>
        <w:t xml:space="preserve">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w:t>
      </w:r>
      <w:r>
        <w:rPr>
          <w:rFonts w:ascii="Arial" w:cs="Arial" w:eastAsia="Arial" w:hAnsi="Arial"/>
          <w:sz w:val="15"/>
          <w:szCs w:val="15"/>
          <w:color w:val="auto"/>
          <w:strike w:val="1"/>
        </w:rPr>
        <w:t>and (b) for so long as any of the Company</w:t>
      </w:r>
      <w:r>
        <w:rPr>
          <w:rFonts w:ascii="Arial" w:cs="Arial" w:eastAsia="Arial" w:hAnsi="Arial"/>
          <w:sz w:val="15"/>
          <w:szCs w:val="15"/>
          <w:color w:val="auto"/>
        </w:rPr>
        <w:t>’</w:t>
      </w:r>
      <w:r>
        <w:rPr>
          <w:rFonts w:ascii="Arial" w:cs="Arial" w:eastAsia="Arial" w:hAnsi="Arial"/>
          <w:sz w:val="15"/>
          <w:szCs w:val="15"/>
          <w:color w:val="auto"/>
          <w:strike w:val="1"/>
        </w:rPr>
        <w:t>s Shares</w:t>
      </w:r>
      <w:r>
        <w:rPr>
          <w:rFonts w:ascii="Arial" w:cs="Arial" w:eastAsia="Arial" w:hAnsi="Arial"/>
          <w:sz w:val="15"/>
          <w:szCs w:val="15"/>
          <w:color w:val="auto"/>
        </w:rPr>
        <w:t xml:space="preserve"> </w:t>
      </w:r>
      <w:r>
        <w:rPr>
          <w:rFonts w:ascii="Arial" w:cs="Arial" w:eastAsia="Arial" w:hAnsi="Arial"/>
          <w:sz w:val="15"/>
          <w:szCs w:val="15"/>
          <w:color w:val="auto"/>
          <w:strike w:val="1"/>
        </w:rPr>
        <w:t>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4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means the register of members of the Company;</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Relevant Rules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means the rules of NASDAQ or any other Exchange;</w:t>
      </w:r>
    </w:p>
    <w:p>
      <w:pPr>
        <w:spacing w:after="0" w:line="100" w:lineRule="exact"/>
        <w:rPr>
          <w:sz w:val="20"/>
          <w:szCs w:val="20"/>
          <w:color w:val="auto"/>
        </w:rPr>
      </w:pPr>
    </w:p>
    <w:p>
      <w:pPr>
        <w:ind w:left="1200" w:right="7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system</w:t>
      </w:r>
      <w:r>
        <w:rPr>
          <w:rFonts w:ascii="Arial" w:cs="Arial" w:eastAsia="Arial" w:hAnsi="Arial"/>
          <w:sz w:val="16"/>
          <w:szCs w:val="16"/>
          <w:color w:val="auto"/>
        </w:rPr>
        <w:t xml:space="preserve">” means a computer-based system which allows units of securities </w:t>
      </w:r>
      <w:r>
        <w:rPr>
          <w:rFonts w:ascii="Arial" w:cs="Arial" w:eastAsia="Arial" w:hAnsi="Arial"/>
          <w:sz w:val="16"/>
          <w:szCs w:val="16"/>
          <w:color w:val="auto"/>
          <w:strike w:val="1"/>
        </w:rPr>
        <w:t>without written instruments</w:t>
      </w:r>
      <w:r>
        <w:rPr>
          <w:rFonts w:ascii="Arial" w:cs="Arial" w:eastAsia="Arial" w:hAnsi="Arial"/>
          <w:sz w:val="16"/>
          <w:szCs w:val="16"/>
          <w:color w:val="auto"/>
        </w:rPr>
        <w:t xml:space="preserve"> to be transferred and endorsed </w:t>
      </w:r>
      <w:r>
        <w:rPr>
          <w:rFonts w:ascii="Arial" w:cs="Arial" w:eastAsia="Arial" w:hAnsi="Arial"/>
          <w:sz w:val="16"/>
          <w:szCs w:val="16"/>
          <w:u w:val="single" w:color="auto"/>
          <w:color w:val="auto"/>
        </w:rPr>
        <w:t>without written instruments</w:t>
      </w:r>
      <w:r>
        <w:rPr>
          <w:rFonts w:ascii="Arial" w:cs="Arial" w:eastAsia="Arial" w:hAnsi="Arial"/>
          <w:sz w:val="16"/>
          <w:szCs w:val="16"/>
          <w:color w:val="auto"/>
        </w:rPr>
        <w:t xml:space="preserve"> pursuant to the Uncertificated Securities Rules;</w:t>
      </w:r>
    </w:p>
    <w:p>
      <w:pPr>
        <w:spacing w:after="0" w:line="34" w:lineRule="exact"/>
        <w:rPr>
          <w:sz w:val="20"/>
          <w:szCs w:val="20"/>
          <w:color w:val="auto"/>
        </w:rPr>
      </w:pPr>
    </w:p>
    <w:p>
      <w:pPr>
        <w:ind w:left="1200" w:right="19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seal</w:t>
      </w:r>
      <w:r>
        <w:rPr>
          <w:rFonts w:ascii="Arial" w:cs="Arial" w:eastAsia="Arial" w:hAnsi="Arial"/>
          <w:sz w:val="16"/>
          <w:szCs w:val="16"/>
          <w:color w:val="auto"/>
        </w:rPr>
        <w:t>” means the common seal (if any) of the Company and includes an official seal (if any) kept by the Company by virtue of section 49 or 50 of the Companies Act;</w:t>
      </w:r>
    </w:p>
    <w:p>
      <w:pPr>
        <w:spacing w:after="0" w:line="21" w:lineRule="exact"/>
        <w:rPr>
          <w:sz w:val="20"/>
          <w:szCs w:val="20"/>
          <w:color w:val="auto"/>
        </w:rPr>
      </w:pPr>
    </w:p>
    <w:p>
      <w:pPr>
        <w:ind w:left="1200" w:right="55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secretary</w:t>
      </w:r>
      <w:r>
        <w:rPr>
          <w:rFonts w:ascii="Arial" w:cs="Arial" w:eastAsia="Arial" w:hAnsi="Arial"/>
          <w:sz w:val="16"/>
          <w:szCs w:val="16"/>
          <w:color w:val="auto"/>
        </w:rPr>
        <w:t>” means the secretary of the Company and includes a joint, assistant, deputy or temporary secretary and any other person appointed to perform the duties of the secretary of the Company;</w:t>
      </w:r>
    </w:p>
    <w:p>
      <w:pPr>
        <w:spacing w:after="0" w:line="34" w:lineRule="exact"/>
        <w:rPr>
          <w:sz w:val="20"/>
          <w:szCs w:val="20"/>
          <w:color w:val="auto"/>
        </w:rPr>
      </w:pPr>
    </w:p>
    <w:p>
      <w:pPr>
        <w:ind w:left="1200" w:right="19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shall mean, with respect to any </w:t>
      </w: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any corporation, partnership, joint venture or other legal entity of which such </w:t>
      </w: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(either alone or through or together with any other Subsidiary), owns, directly or indirectly, a majority of the stock or other equity interests the holders of which are generally entitled to vote for the election</w:t>
      </w:r>
    </w:p>
    <w:p>
      <w:pPr>
        <w:spacing w:after="0" w:line="8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A-2</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1020"/>
        <w:spacing w:after="0" w:line="293" w:lineRule="auto"/>
        <w:rPr>
          <w:sz w:val="20"/>
          <w:szCs w:val="20"/>
          <w:color w:val="auto"/>
        </w:rPr>
      </w:pPr>
      <w:r>
        <w:rPr>
          <w:rFonts w:ascii="Arial" w:cs="Arial" w:eastAsia="Arial" w:hAnsi="Arial"/>
          <w:sz w:val="15"/>
          <w:szCs w:val="15"/>
          <w:color w:val="auto"/>
        </w:rPr>
        <w:t xml:space="preserve">of the board of directors or other governing body of such corporation, partnership, joint venture or other legal entity, or any </w:t>
      </w:r>
      <w:r>
        <w:rPr>
          <w:rFonts w:ascii="Arial" w:cs="Arial" w:eastAsia="Arial" w:hAnsi="Arial"/>
          <w:sz w:val="15"/>
          <w:szCs w:val="15"/>
          <w:color w:val="auto"/>
          <w:strike w:val="1"/>
        </w:rPr>
        <w:t>Person</w:t>
      </w:r>
      <w:r>
        <w:rPr>
          <w:rFonts w:ascii="Arial" w:cs="Arial" w:eastAsia="Arial" w:hAnsi="Arial"/>
          <w:sz w:val="15"/>
          <w:szCs w:val="15"/>
          <w:u w:val="single" w:color="auto"/>
          <w:color w:val="auto"/>
        </w:rPr>
        <w:t>person</w:t>
      </w:r>
      <w:r>
        <w:rPr>
          <w:rFonts w:ascii="Arial" w:cs="Arial" w:eastAsia="Arial" w:hAnsi="Arial"/>
          <w:sz w:val="15"/>
          <w:szCs w:val="15"/>
          <w:color w:val="auto"/>
        </w:rPr>
        <w:t xml:space="preserve"> that would otherwise be deemed a “subsidiary” under Rule 12b-2 promulgated under the Exchange Act;</w:t>
      </w:r>
    </w:p>
    <w:p>
      <w:pPr>
        <w:spacing w:after="0" w:line="31" w:lineRule="exact"/>
        <w:rPr>
          <w:sz w:val="20"/>
          <w:szCs w:val="20"/>
          <w:color w:val="auto"/>
        </w:rPr>
      </w:pPr>
    </w:p>
    <w:p>
      <w:pPr>
        <w:ind w:left="1200" w:right="9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strike w:val="1"/>
        </w:rPr>
        <w:t>UKLA</w:t>
      </w:r>
      <w:r>
        <w:rPr>
          <w:rFonts w:ascii="Arial" w:cs="Arial" w:eastAsia="Arial" w:hAnsi="Arial"/>
          <w:sz w:val="16"/>
          <w:szCs w:val="16"/>
          <w:color w:val="auto"/>
        </w:rPr>
        <w:t xml:space="preserve">” </w:t>
      </w:r>
      <w:r>
        <w:rPr>
          <w:rFonts w:ascii="Arial" w:cs="Arial" w:eastAsia="Arial" w:hAnsi="Arial"/>
          <w:sz w:val="16"/>
          <w:szCs w:val="16"/>
          <w:color w:val="auto"/>
          <w:strike w:val="1"/>
        </w:rPr>
        <w:t>means the United Kingdom listing authority, which is the Financial Conduct Authority when performing its functions</w:t>
      </w:r>
      <w:r>
        <w:rPr>
          <w:rFonts w:ascii="Arial" w:cs="Arial" w:eastAsia="Arial" w:hAnsi="Arial"/>
          <w:sz w:val="16"/>
          <w:szCs w:val="16"/>
          <w:color w:val="auto"/>
        </w:rPr>
        <w:t xml:space="preserve"> </w:t>
      </w:r>
      <w:r>
        <w:rPr>
          <w:rFonts w:ascii="Arial" w:cs="Arial" w:eastAsia="Arial" w:hAnsi="Arial"/>
          <w:sz w:val="16"/>
          <w:szCs w:val="16"/>
          <w:color w:val="auto"/>
          <w:strike w:val="1"/>
        </w:rPr>
        <w:t>under Part VI of FSMA;</w:t>
      </w:r>
    </w:p>
    <w:p>
      <w:pPr>
        <w:spacing w:after="0" w:line="34" w:lineRule="exact"/>
        <w:rPr>
          <w:sz w:val="20"/>
          <w:szCs w:val="20"/>
          <w:color w:val="auto"/>
        </w:rPr>
      </w:pPr>
    </w:p>
    <w:p>
      <w:pPr>
        <w:jc w:val="both"/>
        <w:ind w:left="1200" w:right="8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Securities Rules</w:t>
      </w:r>
      <w:r>
        <w:rPr>
          <w:rFonts w:ascii="Arial" w:cs="Arial" w:eastAsia="Arial" w:hAnsi="Arial"/>
          <w:sz w:val="16"/>
          <w:szCs w:val="16"/>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36" w:lineRule="exact"/>
        <w:rPr>
          <w:sz w:val="20"/>
          <w:szCs w:val="20"/>
          <w:color w:val="auto"/>
        </w:rPr>
      </w:pPr>
    </w:p>
    <w:p>
      <w:pPr>
        <w:ind w:left="1200" w:right="96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uncertificated share</w:t>
      </w:r>
      <w:r>
        <w:rPr>
          <w:rFonts w:ascii="Arial" w:cs="Arial" w:eastAsia="Arial" w:hAnsi="Arial"/>
          <w:sz w:val="16"/>
          <w:szCs w:val="16"/>
          <w:color w:val="auto"/>
        </w:rPr>
        <w:t xml:space="preserve">” means a share </w:t>
      </w:r>
      <w:r>
        <w:rPr>
          <w:rFonts w:ascii="Arial" w:cs="Arial" w:eastAsia="Arial" w:hAnsi="Arial"/>
          <w:sz w:val="16"/>
          <w:szCs w:val="16"/>
          <w:u w:val="single" w:color="auto"/>
          <w:color w:val="auto"/>
        </w:rPr>
        <w:t>(or a depositary interest representing such share)</w:t>
      </w:r>
      <w:r>
        <w:rPr>
          <w:rFonts w:ascii="Arial" w:cs="Arial" w:eastAsia="Arial" w:hAnsi="Arial"/>
          <w:sz w:val="16"/>
          <w:szCs w:val="16"/>
          <w:color w:val="auto"/>
        </w:rPr>
        <w:t xml:space="preserv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50" w:lineRule="exact"/>
        <w:rPr>
          <w:sz w:val="20"/>
          <w:szCs w:val="20"/>
          <w:color w:val="auto"/>
        </w:rPr>
      </w:pPr>
    </w:p>
    <w:p>
      <w:pPr>
        <w:ind w:left="1200" w:right="88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undertaking</w:t>
      </w:r>
      <w:r>
        <w:rPr>
          <w:rFonts w:ascii="Arial" w:cs="Arial" w:eastAsia="Arial" w:hAnsi="Arial"/>
          <w:sz w:val="16"/>
          <w:szCs w:val="16"/>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Kingdom</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UK</w:t>
      </w:r>
      <w:r>
        <w:rPr>
          <w:rFonts w:ascii="Arial" w:cs="Arial" w:eastAsia="Arial" w:hAnsi="Arial"/>
          <w:sz w:val="16"/>
          <w:szCs w:val="16"/>
          <w:color w:val="auto"/>
        </w:rPr>
        <w:t xml:space="preserve">” means </w:t>
      </w:r>
      <w:r>
        <w:rPr>
          <w:rFonts w:ascii="Arial" w:cs="Arial" w:eastAsia="Arial" w:hAnsi="Arial"/>
          <w:sz w:val="16"/>
          <w:szCs w:val="16"/>
          <w:u w:val="single" w:color="auto"/>
          <w:color w:val="auto"/>
        </w:rPr>
        <w:t>the United Kingdom of</w:t>
      </w:r>
      <w:r>
        <w:rPr>
          <w:rFonts w:ascii="Arial" w:cs="Arial" w:eastAsia="Arial" w:hAnsi="Arial"/>
          <w:sz w:val="16"/>
          <w:szCs w:val="16"/>
          <w:color w:val="auto"/>
        </w:rPr>
        <w:t xml:space="preserve"> Great Britain and Northern Ireland;</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United States</w:t>
      </w:r>
      <w:r>
        <w:rPr>
          <w:rFonts w:ascii="Arial" w:cs="Arial" w:eastAsia="Arial" w:hAnsi="Arial"/>
          <w:sz w:val="16"/>
          <w:szCs w:val="16"/>
          <w:color w:val="auto"/>
        </w:rPr>
        <w:t xml:space="preserve">”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b w:val="1"/>
          <w:bCs w:val="1"/>
          <w:color w:val="auto"/>
        </w:rPr>
        <w:t>US</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Dollars</w:t>
      </w:r>
      <w:r>
        <w:rPr>
          <w:rFonts w:ascii="Arial" w:cs="Arial" w:eastAsia="Arial" w:hAnsi="Arial"/>
          <w:sz w:val="16"/>
          <w:szCs w:val="16"/>
          <w:color w:val="auto"/>
        </w:rPr>
        <w:t xml:space="preserve">” </w:t>
      </w:r>
      <w:r>
        <w:rPr>
          <w:rFonts w:ascii="Arial" w:cs="Arial" w:eastAsia="Arial" w:hAnsi="Arial"/>
          <w:sz w:val="16"/>
          <w:szCs w:val="16"/>
          <w:color w:val="auto"/>
          <w:strike w:val="1"/>
        </w:rPr>
        <w:t>or</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w:t>
      </w:r>
      <w:r>
        <w:rPr>
          <w:rFonts w:ascii="Arial" w:cs="Arial" w:eastAsia="Arial" w:hAnsi="Arial"/>
          <w:sz w:val="16"/>
          <w:szCs w:val="16"/>
          <w:color w:val="auto"/>
        </w:rPr>
        <w:t xml:space="preserve">” “means </w:t>
      </w:r>
      <w:r>
        <w:rPr>
          <w:rFonts w:ascii="Arial" w:cs="Arial" w:eastAsia="Arial" w:hAnsi="Arial"/>
          <w:sz w:val="16"/>
          <w:szCs w:val="16"/>
          <w:color w:val="auto"/>
          <w:strike w:val="1"/>
        </w:rPr>
        <w:t>the lawful currency of</w:t>
      </w:r>
      <w:r>
        <w:rPr>
          <w:rFonts w:ascii="Arial" w:cs="Arial" w:eastAsia="Arial" w:hAnsi="Arial"/>
          <w:sz w:val="16"/>
          <w:szCs w:val="16"/>
          <w:color w:val="auto"/>
        </w:rPr>
        <w:t xml:space="preserve"> the United States of America; and</w:t>
      </w:r>
    </w:p>
    <w:p>
      <w:pPr>
        <w:spacing w:after="0" w:line="100" w:lineRule="exact"/>
        <w:rPr>
          <w:sz w:val="20"/>
          <w:szCs w:val="20"/>
          <w:color w:val="auto"/>
        </w:rPr>
      </w:pPr>
    </w:p>
    <w:p>
      <w:pPr>
        <w:ind w:left="1200" w:right="9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Shares</w:t>
      </w:r>
      <w:r>
        <w:rPr>
          <w:rFonts w:ascii="Arial" w:cs="Arial" w:eastAsia="Arial" w:hAnsi="Arial"/>
          <w:sz w:val="16"/>
          <w:szCs w:val="16"/>
          <w:color w:val="auto"/>
        </w:rPr>
        <w:t>” means the Ordinary Shares and any other shares which may be issued with the right to attend and vote at general meetings.</w:t>
      </w:r>
    </w:p>
    <w:p>
      <w:pPr>
        <w:spacing w:after="0" w:line="41"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Subject to the following paragraph, references to any provision of any enactment or of any subordinate legislation (as defined</w:t>
      </w:r>
    </w:p>
    <w:p>
      <w:pPr>
        <w:spacing w:after="0" w:line="5" w:lineRule="exact"/>
        <w:rPr>
          <w:sz w:val="20"/>
          <w:szCs w:val="20"/>
          <w:color w:val="auto"/>
        </w:rPr>
      </w:pPr>
    </w:p>
    <w:p>
      <w:pPr>
        <w:ind w:left="1200" w:right="1200"/>
        <w:spacing w:after="0" w:line="260" w:lineRule="auto"/>
        <w:rPr>
          <w:sz w:val="20"/>
          <w:szCs w:val="20"/>
          <w:color w:val="auto"/>
        </w:rPr>
      </w:pPr>
      <w:r>
        <w:rPr>
          <w:rFonts w:ascii="Arial" w:cs="Arial" w:eastAsia="Arial" w:hAnsi="Arial"/>
          <w:sz w:val="16"/>
          <w:szCs w:val="16"/>
          <w:color w:val="auto"/>
        </w:rPr>
        <w:t xml:space="preserve">by section 2(1) of the </w:t>
      </w:r>
      <w:r>
        <w:rPr>
          <w:rFonts w:ascii="Arial" w:cs="Arial" w:eastAsia="Arial" w:hAnsi="Arial"/>
          <w:sz w:val="16"/>
          <w:szCs w:val="16"/>
          <w:u w:val="single" w:color="auto"/>
          <w:color w:val="auto"/>
        </w:rPr>
        <w:t>UK</w:t>
      </w:r>
      <w:r>
        <w:rPr>
          <w:rFonts w:ascii="Arial" w:cs="Arial" w:eastAsia="Arial" w:hAnsi="Arial"/>
          <w:sz w:val="16"/>
          <w:szCs w:val="16"/>
          <w:color w:val="auto"/>
        </w:rPr>
        <w:t xml:space="preserve"> Interpretation Act 1978) include any modification or re-enactment of that provision for the time being in force.</w:t>
      </w:r>
    </w:p>
    <w:p>
      <w:pPr>
        <w:spacing w:after="0" w:line="74" w:lineRule="exact"/>
        <w:rPr>
          <w:sz w:val="20"/>
          <w:szCs w:val="20"/>
          <w:color w:val="auto"/>
        </w:rPr>
      </w:pPr>
    </w:p>
    <w:p>
      <w:pPr>
        <w:jc w:val="both"/>
        <w:ind w:left="1200" w:right="1000" w:hanging="431"/>
        <w:spacing w:after="0" w:line="253" w:lineRule="auto"/>
        <w:tabs>
          <w:tab w:leader="none" w:pos="1180" w:val="left"/>
        </w:tabs>
        <w:rPr>
          <w:sz w:val="20"/>
          <w:szCs w:val="20"/>
          <w:color w:val="auto"/>
        </w:rPr>
      </w:pPr>
      <w:r>
        <w:rPr>
          <w:rFonts w:ascii="Arial" w:cs="Arial" w:eastAsia="Arial" w:hAnsi="Arial"/>
          <w:sz w:val="16"/>
          <w:szCs w:val="16"/>
          <w:color w:val="auto"/>
        </w:rPr>
        <w:t>2.3</w:t>
        <w:tab/>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66"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color w:val="auto"/>
        </w:rPr>
        <w:t>In these Articles, unless the context otherwise requires:</w:t>
      </w:r>
    </w:p>
    <w:p>
      <w:pPr>
        <w:spacing w:after="0" w:line="70" w:lineRule="exact"/>
        <w:rPr>
          <w:sz w:val="20"/>
          <w:szCs w:val="20"/>
          <w:color w:val="auto"/>
        </w:rPr>
      </w:pPr>
    </w:p>
    <w:p>
      <w:pPr>
        <w:ind w:left="1620" w:hanging="424"/>
        <w:spacing w:after="0"/>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words in the singular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1620" w:hanging="424"/>
        <w:spacing w:after="0"/>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words importing any gender include all genders;</w:t>
      </w:r>
    </w:p>
    <w:p>
      <w:pPr>
        <w:spacing w:after="0" w:line="86" w:lineRule="exact"/>
        <w:rPr>
          <w:rFonts w:ascii="Arial" w:cs="Arial" w:eastAsia="Arial" w:hAnsi="Arial"/>
          <w:sz w:val="16"/>
          <w:szCs w:val="16"/>
          <w:color w:val="auto"/>
        </w:rPr>
      </w:pPr>
    </w:p>
    <w:p>
      <w:pPr>
        <w:ind w:left="1620" w:right="1560" w:hanging="424"/>
        <w:spacing w:after="0" w:line="260"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reference to a person includes a reference to a body corporate (wherever resident or domiciled) and to an unincorporated body of persons;</w:t>
      </w:r>
    </w:p>
    <w:p>
      <w:pPr>
        <w:spacing w:after="0" w:line="73" w:lineRule="exact"/>
        <w:rPr>
          <w:rFonts w:ascii="Arial" w:cs="Arial" w:eastAsia="Arial" w:hAnsi="Arial"/>
          <w:sz w:val="16"/>
          <w:szCs w:val="16"/>
          <w:color w:val="auto"/>
        </w:rPr>
      </w:pPr>
    </w:p>
    <w:p>
      <w:pPr>
        <w:ind w:left="1620" w:right="920" w:hanging="424"/>
        <w:spacing w:after="0" w:line="251"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67" w:lineRule="exact"/>
        <w:rPr>
          <w:rFonts w:ascii="Arial" w:cs="Arial" w:eastAsia="Arial" w:hAnsi="Arial"/>
          <w:sz w:val="16"/>
          <w:szCs w:val="16"/>
          <w:color w:val="auto"/>
        </w:rPr>
      </w:pPr>
    </w:p>
    <w:p>
      <w:pPr>
        <w:ind w:left="1620" w:right="940" w:hanging="424"/>
        <w:spacing w:after="0" w:line="253"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79" w:lineRule="exact"/>
        <w:rPr>
          <w:rFonts w:ascii="Arial" w:cs="Arial" w:eastAsia="Arial" w:hAnsi="Arial"/>
          <w:sz w:val="16"/>
          <w:szCs w:val="16"/>
          <w:color w:val="auto"/>
        </w:rPr>
      </w:pPr>
    </w:p>
    <w:p>
      <w:pPr>
        <w:ind w:left="1620" w:right="860" w:hanging="424"/>
        <w:spacing w:after="0" w:line="253"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66" w:lineRule="exact"/>
        <w:rPr>
          <w:rFonts w:ascii="Arial" w:cs="Arial" w:eastAsia="Arial" w:hAnsi="Arial"/>
          <w:sz w:val="16"/>
          <w:szCs w:val="16"/>
          <w:color w:val="auto"/>
        </w:rPr>
      </w:pPr>
    </w:p>
    <w:p>
      <w:pPr>
        <w:ind w:left="1620" w:right="960" w:hanging="424"/>
        <w:spacing w:after="0" w:line="253"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63" w:lineRule="exact"/>
        <w:rPr>
          <w:rFonts w:ascii="Arial" w:cs="Arial" w:eastAsia="Arial" w:hAnsi="Arial"/>
          <w:sz w:val="16"/>
          <w:szCs w:val="16"/>
          <w:color w:val="auto"/>
        </w:rPr>
      </w:pPr>
    </w:p>
    <w:p>
      <w:pPr>
        <w:ind w:left="1620" w:hanging="424"/>
        <w:spacing w:after="0"/>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references to “other” and “otherwise” shall not be construed </w:t>
      </w:r>
      <w:r>
        <w:rPr>
          <w:rFonts w:ascii="Arial" w:cs="Arial" w:eastAsia="Arial" w:hAnsi="Arial"/>
          <w:sz w:val="16"/>
          <w:szCs w:val="16"/>
          <w:i w:val="1"/>
          <w:iCs w:val="1"/>
          <w:color w:val="auto"/>
        </w:rPr>
        <w:t>ejusdem generis</w:t>
      </w:r>
      <w:r>
        <w:rPr>
          <w:rFonts w:ascii="Arial" w:cs="Arial" w:eastAsia="Arial" w:hAnsi="Arial"/>
          <w:sz w:val="16"/>
          <w:szCs w:val="16"/>
          <w:color w:val="auto"/>
        </w:rPr>
        <w:t xml:space="preserve"> where a wider construction is possible;</w:t>
      </w:r>
    </w:p>
    <w:p>
      <w:pPr>
        <w:spacing w:after="0" w:line="102" w:lineRule="exact"/>
        <w:rPr>
          <w:rFonts w:ascii="Arial" w:cs="Arial" w:eastAsia="Arial" w:hAnsi="Arial"/>
          <w:sz w:val="16"/>
          <w:szCs w:val="16"/>
          <w:color w:val="auto"/>
        </w:rPr>
      </w:pPr>
    </w:p>
    <w:p>
      <w:pPr>
        <w:ind w:left="1620" w:hanging="424"/>
        <w:spacing w:after="0"/>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references to a power are to power of any kind, whether administrative, discretionary or otherwise;</w:t>
      </w:r>
    </w:p>
    <w:p>
      <w:pPr>
        <w:spacing w:after="0" w:line="99" w:lineRule="exact"/>
        <w:rPr>
          <w:rFonts w:ascii="Arial" w:cs="Arial" w:eastAsia="Arial" w:hAnsi="Arial"/>
          <w:sz w:val="16"/>
          <w:szCs w:val="16"/>
          <w:color w:val="auto"/>
        </w:rPr>
      </w:pPr>
    </w:p>
    <w:p>
      <w:pPr>
        <w:ind w:left="1620" w:right="1120" w:hanging="424"/>
        <w:spacing w:after="0" w:line="260" w:lineRule="auto"/>
        <w:tabs>
          <w:tab w:leader="none" w:pos="16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references to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are to a committee established in accordance with these Articles, whether or not comprised wholly of Directors;</w:t>
      </w:r>
    </w:p>
    <w:p>
      <w:pPr>
        <w:spacing w:after="0" w:line="60" w:lineRule="exact"/>
        <w:rPr>
          <w:rFonts w:ascii="Arial" w:cs="Arial" w:eastAsia="Arial" w:hAnsi="Arial"/>
          <w:sz w:val="16"/>
          <w:szCs w:val="16"/>
          <w:color w:val="auto"/>
        </w:rPr>
      </w:pPr>
    </w:p>
    <w:p>
      <w:pPr>
        <w:jc w:val="both"/>
        <w:ind w:left="1620" w:right="1140" w:hanging="424"/>
        <w:spacing w:after="0" w:line="293" w:lineRule="auto"/>
        <w:tabs>
          <w:tab w:leader="none" w:pos="16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A-3</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2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2" w:name="page83"/>
    <w:bookmarkEnd w:id="8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hanging="424"/>
        <w:spacing w:after="0"/>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powers of delegation shall not be restrictively construed but the widest interpretation shall be given to them;</w:t>
      </w:r>
    </w:p>
    <w:p>
      <w:pPr>
        <w:spacing w:after="0" w:line="99" w:lineRule="exact"/>
        <w:rPr>
          <w:rFonts w:ascii="Arial" w:cs="Arial" w:eastAsia="Arial" w:hAnsi="Arial"/>
          <w:sz w:val="16"/>
          <w:szCs w:val="16"/>
          <w:color w:val="auto"/>
        </w:rPr>
      </w:pPr>
    </w:p>
    <w:p>
      <w:pPr>
        <w:ind w:left="1620" w:right="399" w:hanging="424"/>
        <w:spacing w:after="0" w:line="251"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 </w:t>
      </w:r>
      <w:r>
        <w:rPr>
          <w:rFonts w:ascii="Arial" w:cs="Arial" w:eastAsia="Arial" w:hAnsi="Arial"/>
          <w:sz w:val="16"/>
          <w:szCs w:val="16"/>
          <w:u w:val="single" w:color="auto"/>
          <w:color w:val="auto"/>
        </w:rPr>
        <w:t>by the Board</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ind w:left="1620" w:right="959" w:hanging="424"/>
        <w:spacing w:after="0" w:line="260"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 power of delegation shall be limited by the existence or, except where expressly provided by the terms of delegation, the exercise of that or any other power of delegation; and</w:t>
      </w:r>
    </w:p>
    <w:p>
      <w:pPr>
        <w:spacing w:after="0" w:line="87" w:lineRule="exact"/>
        <w:rPr>
          <w:rFonts w:ascii="Arial" w:cs="Arial" w:eastAsia="Arial" w:hAnsi="Arial"/>
          <w:sz w:val="16"/>
          <w:szCs w:val="16"/>
          <w:color w:val="auto"/>
        </w:rPr>
      </w:pPr>
    </w:p>
    <w:p>
      <w:pPr>
        <w:ind w:left="1620" w:right="219" w:hanging="424"/>
        <w:spacing w:after="0" w:line="253" w:lineRule="auto"/>
        <w:tabs>
          <w:tab w:leader="none" w:pos="16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80"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The headings are inserted for convenience only and do not affect the construction of these Articles.</w:t>
      </w:r>
    </w:p>
    <w:p>
      <w:pPr>
        <w:spacing w:after="0" w:line="80" w:lineRule="exact"/>
        <w:rPr>
          <w:sz w:val="20"/>
          <w:szCs w:val="20"/>
          <w:color w:val="auto"/>
        </w:rPr>
      </w:pPr>
    </w:p>
    <w:p>
      <w:pPr>
        <w:ind w:left="1200" w:hanging="436"/>
        <w:spacing w:after="0"/>
        <w:tabs>
          <w:tab w:leader="none" w:pos="120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OF MEMBERS</w:t>
      </w:r>
    </w:p>
    <w:p>
      <w:pPr>
        <w:spacing w:after="0" w:line="106"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The liability of each member is limited to the amount, if any, unpaid on the shares held by that member.</w:t>
      </w:r>
    </w:p>
    <w:p>
      <w:pPr>
        <w:spacing w:after="0" w:line="79" w:lineRule="exact"/>
        <w:rPr>
          <w:rFonts w:ascii="Arial" w:cs="Arial" w:eastAsia="Arial" w:hAnsi="Arial"/>
          <w:sz w:val="16"/>
          <w:szCs w:val="16"/>
          <w:b w:val="1"/>
          <w:bCs w:val="1"/>
          <w:color w:val="auto"/>
        </w:rPr>
      </w:pPr>
    </w:p>
    <w:p>
      <w:pPr>
        <w:ind w:left="1200" w:hanging="436"/>
        <w:spacing w:after="0"/>
        <w:tabs>
          <w:tab w:leader="none" w:pos="120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SHARES AND SHARE CAPITAL</w:t>
      </w:r>
    </w:p>
    <w:p>
      <w:pPr>
        <w:spacing w:after="0" w:line="120" w:lineRule="exact"/>
        <w:rPr>
          <w:sz w:val="20"/>
          <w:szCs w:val="20"/>
          <w:color w:val="auto"/>
        </w:rPr>
      </w:pPr>
    </w:p>
    <w:p>
      <w:pPr>
        <w:ind w:left="1200" w:right="319" w:hanging="431"/>
        <w:spacing w:after="0" w:line="260" w:lineRule="auto"/>
        <w:tabs>
          <w:tab w:leader="none" w:pos="1180" w:val="left"/>
        </w:tabs>
        <w:rPr>
          <w:sz w:val="20"/>
          <w:szCs w:val="20"/>
          <w:color w:val="auto"/>
        </w:rPr>
      </w:pPr>
      <w:r>
        <w:rPr>
          <w:rFonts w:ascii="Arial" w:cs="Arial" w:eastAsia="Arial" w:hAnsi="Arial"/>
          <w:sz w:val="16"/>
          <w:szCs w:val="16"/>
          <w:color w:val="auto"/>
          <w:strike w:val="1"/>
        </w:rPr>
        <w:t>4.1</w:t>
      </w:r>
      <w:r>
        <w:rPr>
          <w:sz w:val="20"/>
          <w:szCs w:val="20"/>
          <w:color w:val="auto"/>
        </w:rPr>
        <w:tab/>
      </w:r>
      <w:r>
        <w:rPr>
          <w:rFonts w:ascii="Arial" w:cs="Arial" w:eastAsia="Arial" w:hAnsi="Arial"/>
          <w:sz w:val="16"/>
          <w:szCs w:val="16"/>
          <w:color w:val="auto"/>
        </w:rPr>
        <w:t xml:space="preserve">The Company may issue </w:t>
      </w:r>
      <w:r>
        <w:rPr>
          <w:rFonts w:ascii="Arial" w:cs="Arial" w:eastAsia="Arial" w:hAnsi="Arial"/>
          <w:sz w:val="16"/>
          <w:szCs w:val="16"/>
          <w:color w:val="auto"/>
          <w:strike w:val="1"/>
        </w:rPr>
        <w:t>the following shares in the capital of the Company with rights attaching to them and denominated,</w:t>
      </w:r>
      <w:r>
        <w:rPr>
          <w:rFonts w:ascii="Arial" w:cs="Arial" w:eastAsia="Arial" w:hAnsi="Arial"/>
          <w:sz w:val="16"/>
          <w:szCs w:val="16"/>
          <w:color w:val="auto"/>
        </w:rPr>
        <w:t xml:space="preserve"> </w:t>
      </w:r>
      <w:r>
        <w:rPr>
          <w:rFonts w:ascii="Arial" w:cs="Arial" w:eastAsia="Arial" w:hAnsi="Arial"/>
          <w:sz w:val="16"/>
          <w:szCs w:val="16"/>
          <w:color w:val="auto"/>
          <w:strike w:val="1"/>
        </w:rPr>
        <w:t>in each case, as follows:</w:t>
      </w:r>
    </w:p>
    <w:p>
      <w:pPr>
        <w:spacing w:after="0" w:line="74" w:lineRule="exact"/>
        <w:rPr>
          <w:sz w:val="20"/>
          <w:szCs w:val="20"/>
          <w:color w:val="auto"/>
        </w:rPr>
      </w:pPr>
    </w:p>
    <w:p>
      <w:pPr>
        <w:ind w:left="1200" w:right="259" w:hanging="431"/>
        <w:spacing w:after="0" w:line="250" w:lineRule="auto"/>
        <w:rPr>
          <w:sz w:val="20"/>
          <w:szCs w:val="20"/>
          <w:color w:val="auto"/>
        </w:rPr>
      </w:pPr>
      <w:r>
        <w:rPr>
          <w:rFonts w:ascii="Arial" w:cs="Arial" w:eastAsia="Arial" w:hAnsi="Arial"/>
          <w:sz w:val="16"/>
          <w:szCs w:val="16"/>
          <w:color w:val="auto"/>
          <w:strike w:val="1"/>
        </w:rPr>
        <w:t>(a)</w:t>
      </w:r>
      <w:r>
        <w:rPr>
          <w:rFonts w:ascii="Arial" w:cs="Arial" w:eastAsia="Arial" w:hAnsi="Arial"/>
          <w:sz w:val="16"/>
          <w:szCs w:val="16"/>
          <w:color w:val="auto"/>
        </w:rPr>
        <w:t xml:space="preserve">4.1Ordinary Shares, </w:t>
      </w:r>
      <w:r>
        <w:rPr>
          <w:rFonts w:ascii="Arial" w:cs="Arial" w:eastAsia="Arial" w:hAnsi="Arial"/>
          <w:sz w:val="16"/>
          <w:szCs w:val="16"/>
          <w:color w:val="auto"/>
          <w:strike w:val="1"/>
        </w:rPr>
        <w:t>each of</w:t>
      </w:r>
      <w:r>
        <w:rPr>
          <w:rFonts w:ascii="Arial" w:cs="Arial" w:eastAsia="Arial" w:hAnsi="Arial"/>
          <w:sz w:val="16"/>
          <w:szCs w:val="16"/>
          <w:color w:val="auto"/>
        </w:rPr>
        <w:t xml:space="preserve"> which shall be denominated in British Pounds Sterling with a nominal value of £1. Each Ordinary Share shall be issued with one vote attaching to it for voting purposes in respect of all matters on which Voting Shares </w:t>
      </w:r>
      <w:r>
        <w:rPr>
          <w:rFonts w:ascii="Arial" w:cs="Arial" w:eastAsia="Arial" w:hAnsi="Arial"/>
          <w:sz w:val="16"/>
          <w:szCs w:val="16"/>
          <w:color w:val="auto"/>
          <w:strike w:val="1"/>
        </w:rPr>
        <w:t>in the</w:t>
      </w:r>
      <w:r>
        <w:rPr>
          <w:rFonts w:ascii="Arial" w:cs="Arial" w:eastAsia="Arial" w:hAnsi="Arial"/>
          <w:sz w:val="16"/>
          <w:szCs w:val="16"/>
          <w:color w:val="auto"/>
        </w:rPr>
        <w:t xml:space="preserve"> </w:t>
      </w:r>
      <w:r>
        <w:rPr>
          <w:rFonts w:ascii="Arial" w:cs="Arial" w:eastAsia="Arial" w:hAnsi="Arial"/>
          <w:sz w:val="16"/>
          <w:szCs w:val="16"/>
          <w:color w:val="auto"/>
          <w:strike w:val="1"/>
        </w:rPr>
        <w:t>capital of the Company</w:t>
      </w:r>
      <w:r>
        <w:rPr>
          <w:rFonts w:ascii="Arial" w:cs="Arial" w:eastAsia="Arial" w:hAnsi="Arial"/>
          <w:sz w:val="16"/>
          <w:szCs w:val="16"/>
          <w:color w:val="auto"/>
        </w:rPr>
        <w:t xml:space="preserve"> have voting rights and shall form a single class with the other Voting Shares </w:t>
      </w:r>
      <w:r>
        <w:rPr>
          <w:rFonts w:ascii="Arial" w:cs="Arial" w:eastAsia="Arial" w:hAnsi="Arial"/>
          <w:sz w:val="16"/>
          <w:szCs w:val="16"/>
          <w:color w:val="auto"/>
          <w:strike w:val="1"/>
        </w:rPr>
        <w:t>in the capital of 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color w:val="auto"/>
        </w:rPr>
        <w:t xml:space="preserve"> for such purposes. The holders of Ordinary Shares shall, in respect of the Ordinary Shares held by them, be entitled to receive notice of, attend and speak at and vote at, general meetings of the Company.</w:t>
      </w:r>
    </w:p>
    <w:p>
      <w:pPr>
        <w:spacing w:after="0" w:line="95" w:lineRule="exact"/>
        <w:rPr>
          <w:sz w:val="20"/>
          <w:szCs w:val="20"/>
          <w:color w:val="auto"/>
        </w:rPr>
      </w:pPr>
    </w:p>
    <w:p>
      <w:pPr>
        <w:ind w:left="1200" w:right="399" w:hanging="431"/>
        <w:spacing w:after="0" w:line="260" w:lineRule="auto"/>
        <w:tabs>
          <w:tab w:leader="none" w:pos="1180" w:val="left"/>
        </w:tabs>
        <w:rPr>
          <w:sz w:val="20"/>
          <w:szCs w:val="20"/>
          <w:color w:val="auto"/>
        </w:rPr>
      </w:pPr>
      <w:r>
        <w:rPr>
          <w:rFonts w:ascii="Arial" w:cs="Arial" w:eastAsia="Arial" w:hAnsi="Arial"/>
          <w:sz w:val="16"/>
          <w:szCs w:val="16"/>
          <w:color w:val="auto"/>
        </w:rPr>
        <w:t>4.2</w:t>
        <w:tab/>
        <w:t>Notwithstanding Article 4.1, subject to the provisions of the Companies Act, and without prejudice to any rights attached to any existing shares or class of shares:</w:t>
      </w:r>
    </w:p>
    <w:p>
      <w:pPr>
        <w:spacing w:after="0" w:line="74" w:lineRule="exact"/>
        <w:rPr>
          <w:sz w:val="20"/>
          <w:szCs w:val="20"/>
          <w:color w:val="auto"/>
        </w:rPr>
      </w:pPr>
    </w:p>
    <w:p>
      <w:pPr>
        <w:ind w:left="1620" w:right="699" w:hanging="424"/>
        <w:spacing w:after="0" w:line="293" w:lineRule="auto"/>
        <w:tabs>
          <w:tab w:leader="none" w:pos="16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share may be issued in one or more classes with such rights or restrictions as the Company may by special resolution determine or, subject to and in default of such determination, as the Board shall determine; and</w:t>
      </w:r>
    </w:p>
    <w:p>
      <w:pPr>
        <w:spacing w:after="0" w:line="51" w:lineRule="exact"/>
        <w:rPr>
          <w:rFonts w:ascii="Arial" w:cs="Arial" w:eastAsia="Arial" w:hAnsi="Arial"/>
          <w:sz w:val="15"/>
          <w:szCs w:val="15"/>
          <w:color w:val="auto"/>
        </w:rPr>
      </w:pPr>
    </w:p>
    <w:p>
      <w:pPr>
        <w:ind w:left="1620" w:right="399" w:hanging="424"/>
        <w:spacing w:after="0" w:line="253" w:lineRule="auto"/>
        <w:tabs>
          <w:tab w:leader="none" w:pos="16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80" w:lineRule="exact"/>
        <w:rPr>
          <w:sz w:val="20"/>
          <w:szCs w:val="20"/>
          <w:color w:val="auto"/>
        </w:rPr>
      </w:pPr>
    </w:p>
    <w:p>
      <w:pPr>
        <w:ind w:left="1200" w:right="219" w:hanging="431"/>
        <w:spacing w:after="0" w:line="251" w:lineRule="auto"/>
        <w:tabs>
          <w:tab w:leader="none" w:pos="1180" w:val="left"/>
        </w:tabs>
        <w:rPr>
          <w:sz w:val="20"/>
          <w:szCs w:val="20"/>
          <w:color w:val="auto"/>
        </w:rPr>
      </w:pPr>
      <w:r>
        <w:rPr>
          <w:rFonts w:ascii="Arial" w:cs="Arial" w:eastAsia="Arial" w:hAnsi="Arial"/>
          <w:sz w:val="16"/>
          <w:szCs w:val="16"/>
          <w:color w:val="auto"/>
        </w:rPr>
        <w:t>4.3</w:t>
        <w:tab/>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81" w:lineRule="exact"/>
        <w:rPr>
          <w:sz w:val="20"/>
          <w:szCs w:val="20"/>
          <w:color w:val="auto"/>
        </w:rPr>
      </w:pPr>
    </w:p>
    <w:p>
      <w:pPr>
        <w:ind w:left="1200" w:right="199" w:hanging="431"/>
        <w:spacing w:after="0" w:line="251" w:lineRule="auto"/>
        <w:tabs>
          <w:tab w:leader="none" w:pos="1180" w:val="left"/>
        </w:tabs>
        <w:rPr>
          <w:sz w:val="20"/>
          <w:szCs w:val="20"/>
          <w:color w:val="auto"/>
        </w:rPr>
      </w:pPr>
      <w:r>
        <w:rPr>
          <w:rFonts w:ascii="Arial" w:cs="Arial" w:eastAsia="Arial" w:hAnsi="Arial"/>
          <w:sz w:val="16"/>
          <w:szCs w:val="16"/>
          <w:color w:val="auto"/>
        </w:rPr>
        <w:t>4.4</w:t>
        <w:tab/>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81" w:lineRule="exact"/>
        <w:rPr>
          <w:sz w:val="20"/>
          <w:szCs w:val="20"/>
          <w:color w:val="auto"/>
        </w:rPr>
      </w:pPr>
    </w:p>
    <w:p>
      <w:pPr>
        <w:ind w:left="1200" w:right="219" w:hanging="431"/>
        <w:spacing w:after="0" w:line="248" w:lineRule="auto"/>
        <w:tabs>
          <w:tab w:leader="none" w:pos="1180" w:val="left"/>
        </w:tabs>
        <w:rPr>
          <w:sz w:val="20"/>
          <w:szCs w:val="20"/>
          <w:color w:val="auto"/>
        </w:rPr>
      </w:pPr>
      <w:r>
        <w:rPr>
          <w:rFonts w:ascii="Arial" w:cs="Arial" w:eastAsia="Arial" w:hAnsi="Arial"/>
          <w:sz w:val="16"/>
          <w:szCs w:val="16"/>
          <w:color w:val="auto"/>
        </w:rPr>
        <w:t>4.5</w:t>
        <w:tab/>
        <w:t xml:space="preserve">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w:t>
      </w:r>
      <w:r>
        <w:rPr>
          <w:rFonts w:ascii="Arial" w:cs="Arial" w:eastAsia="Arial" w:hAnsi="Arial"/>
          <w:sz w:val="16"/>
          <w:szCs w:val="16"/>
          <w:color w:val="auto"/>
          <w:strike w:val="1"/>
        </w:rPr>
        <w:t>of a participating class</w:t>
      </w:r>
      <w:r>
        <w:rPr>
          <w:rFonts w:ascii="Arial" w:cs="Arial" w:eastAsia="Arial" w:hAnsi="Arial"/>
          <w:sz w:val="16"/>
          <w:szCs w:val="16"/>
          <w:color w:val="auto"/>
        </w:rPr>
        <w:t xml:space="preserve">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86" w:lineRule="exact"/>
        <w:rPr>
          <w:sz w:val="20"/>
          <w:szCs w:val="20"/>
          <w:color w:val="auto"/>
        </w:rPr>
      </w:pPr>
    </w:p>
    <w:p>
      <w:pPr>
        <w:ind w:left="1200" w:right="219" w:hanging="431"/>
        <w:spacing w:after="0" w:line="260" w:lineRule="auto"/>
        <w:tabs>
          <w:tab w:leader="none" w:pos="1180" w:val="left"/>
        </w:tabs>
        <w:rPr>
          <w:sz w:val="20"/>
          <w:szCs w:val="20"/>
          <w:color w:val="auto"/>
        </w:rPr>
      </w:pPr>
      <w:r>
        <w:rPr>
          <w:rFonts w:ascii="Arial" w:cs="Arial" w:eastAsia="Arial" w:hAnsi="Arial"/>
          <w:sz w:val="16"/>
          <w:szCs w:val="16"/>
          <w:color w:val="auto"/>
        </w:rPr>
        <w:t>4.6</w:t>
        <w:tab/>
        <w:t>In relation to a class of shares which is a participating class and for so long as it remains a participating class, no provision of these Articles shall apply or have effect to the extent that it is inconsistent in any respect with:</w:t>
      </w:r>
    </w:p>
    <w:p>
      <w:pPr>
        <w:spacing w:after="0" w:line="74" w:lineRule="exact"/>
        <w:rPr>
          <w:sz w:val="20"/>
          <w:szCs w:val="20"/>
          <w:color w:val="auto"/>
        </w:rPr>
      </w:pPr>
    </w:p>
    <w:p>
      <w:pPr>
        <w:ind w:left="1620" w:hanging="424"/>
        <w:spacing w:after="0"/>
        <w:tabs>
          <w:tab w:leader="none" w:pos="1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holding of shares of that class in uncertificated form;</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transfer of title to shares of that class by means of a relevant system; 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provision of the Uncertificated Securities Rules,</w:t>
      </w:r>
    </w:p>
    <w:p>
      <w:pPr>
        <w:spacing w:after="0" w:line="119"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A-4</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19545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1020"/>
        <w:spacing w:after="0" w:line="251" w:lineRule="auto"/>
        <w:rPr>
          <w:sz w:val="20"/>
          <w:szCs w:val="20"/>
          <w:color w:val="auto"/>
        </w:rPr>
      </w:pPr>
      <w:r>
        <w:rPr>
          <w:rFonts w:ascii="Arial" w:cs="Arial" w:eastAsia="Arial" w:hAnsi="Arial"/>
          <w:sz w:val="16"/>
          <w:szCs w:val="16"/>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81" w:lineRule="exact"/>
        <w:rPr>
          <w:sz w:val="20"/>
          <w:szCs w:val="20"/>
          <w:color w:val="auto"/>
        </w:rPr>
      </w:pPr>
    </w:p>
    <w:p>
      <w:pPr>
        <w:ind w:left="1200" w:right="780" w:hanging="431"/>
        <w:spacing w:after="0" w:line="293" w:lineRule="auto"/>
        <w:tabs>
          <w:tab w:leader="none" w:pos="118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38" w:lineRule="exact"/>
        <w:rPr>
          <w:sz w:val="20"/>
          <w:szCs w:val="20"/>
          <w:color w:val="auto"/>
        </w:rPr>
      </w:pPr>
    </w:p>
    <w:p>
      <w:pPr>
        <w:ind w:left="1200" w:right="1060" w:hanging="431"/>
        <w:spacing w:after="0" w:line="251" w:lineRule="auto"/>
        <w:tabs>
          <w:tab w:leader="none" w:pos="1180" w:val="left"/>
        </w:tabs>
        <w:rPr>
          <w:sz w:val="20"/>
          <w:szCs w:val="20"/>
          <w:color w:val="auto"/>
        </w:rPr>
      </w:pPr>
      <w:r>
        <w:rPr>
          <w:rFonts w:ascii="Arial" w:cs="Arial" w:eastAsia="Arial" w:hAnsi="Arial"/>
          <w:sz w:val="16"/>
          <w:szCs w:val="16"/>
          <w:color w:val="auto"/>
        </w:rPr>
        <w:t>4.8</w:t>
        <w:tab/>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67" w:lineRule="exact"/>
        <w:rPr>
          <w:sz w:val="20"/>
          <w:szCs w:val="20"/>
          <w:color w:val="auto"/>
        </w:rPr>
      </w:pPr>
    </w:p>
    <w:p>
      <w:pPr>
        <w:ind w:left="1200" w:right="1020" w:hanging="431"/>
        <w:spacing w:after="0" w:line="253" w:lineRule="auto"/>
        <w:tabs>
          <w:tab w:leader="none" w:pos="1180" w:val="left"/>
        </w:tabs>
        <w:rPr>
          <w:sz w:val="20"/>
          <w:szCs w:val="20"/>
          <w:color w:val="auto"/>
        </w:rPr>
      </w:pPr>
      <w:r>
        <w:rPr>
          <w:rFonts w:ascii="Arial" w:cs="Arial" w:eastAsia="Arial" w:hAnsi="Arial"/>
          <w:sz w:val="16"/>
          <w:szCs w:val="16"/>
          <w:color w:val="auto"/>
        </w:rPr>
        <w:t>4.9</w:t>
        <w:tab/>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80" w:lineRule="exact"/>
        <w:rPr>
          <w:sz w:val="20"/>
          <w:szCs w:val="20"/>
          <w:color w:val="auto"/>
        </w:rPr>
      </w:pPr>
    </w:p>
    <w:p>
      <w:pPr>
        <w:ind w:left="1620" w:right="980" w:hanging="424"/>
        <w:spacing w:after="0" w:line="260" w:lineRule="auto"/>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60" w:lineRule="exact"/>
        <w:rPr>
          <w:rFonts w:ascii="Arial" w:cs="Arial" w:eastAsia="Arial" w:hAnsi="Arial"/>
          <w:sz w:val="16"/>
          <w:szCs w:val="16"/>
          <w:color w:val="auto"/>
        </w:rPr>
      </w:pPr>
    </w:p>
    <w:p>
      <w:pPr>
        <w:jc w:val="both"/>
        <w:ind w:left="1620" w:right="780" w:hanging="424"/>
        <w:spacing w:after="0" w:line="253" w:lineRule="auto"/>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appoint any person to take such steps, by instruction given by means of a relevant system or otherwise, in the name of the holder of such share as may be required to effect the transfer of such share and such steps shall be as effective as if they had been taken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that share; and</w:t>
      </w:r>
    </w:p>
    <w:p>
      <w:pPr>
        <w:spacing w:after="0" w:line="79" w:lineRule="exact"/>
        <w:rPr>
          <w:rFonts w:ascii="Arial" w:cs="Arial" w:eastAsia="Arial" w:hAnsi="Arial"/>
          <w:sz w:val="16"/>
          <w:szCs w:val="16"/>
          <w:color w:val="auto"/>
        </w:rPr>
      </w:pPr>
    </w:p>
    <w:p>
      <w:pPr>
        <w:ind w:left="1620" w:right="780" w:hanging="424"/>
        <w:spacing w:after="0" w:line="260" w:lineRule="auto"/>
        <w:tabs>
          <w:tab w:leader="none" w:pos="16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take any other action that the Board considers appropriate to achieve the sale, transfer, disposal, forfeiture, reallotment or surrender of that share, or otherwise to enforce a lien in respect of that share.</w:t>
      </w:r>
    </w:p>
    <w:p>
      <w:pPr>
        <w:spacing w:after="0" w:line="60" w:lineRule="exact"/>
        <w:rPr>
          <w:sz w:val="20"/>
          <w:szCs w:val="20"/>
          <w:color w:val="auto"/>
        </w:rPr>
      </w:pPr>
    </w:p>
    <w:p>
      <w:pPr>
        <w:ind w:left="1200" w:right="920" w:hanging="431"/>
        <w:spacing w:after="0" w:line="253" w:lineRule="auto"/>
        <w:rPr>
          <w:sz w:val="20"/>
          <w:szCs w:val="20"/>
          <w:color w:val="auto"/>
        </w:rPr>
      </w:pPr>
      <w:r>
        <w:rPr>
          <w:rFonts w:ascii="Arial" w:cs="Arial" w:eastAsia="Arial" w:hAnsi="Arial"/>
          <w:sz w:val="16"/>
          <w:szCs w:val="16"/>
          <w:color w:val="auto"/>
        </w:rPr>
        <w:t>4.10 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66" w:lineRule="exact"/>
        <w:rPr>
          <w:sz w:val="20"/>
          <w:szCs w:val="20"/>
          <w:color w:val="auto"/>
        </w:rPr>
      </w:pPr>
    </w:p>
    <w:p>
      <w:pPr>
        <w:ind w:left="1200" w:right="880" w:hanging="431"/>
        <w:spacing w:after="0" w:line="248" w:lineRule="auto"/>
        <w:rPr>
          <w:sz w:val="20"/>
          <w:szCs w:val="20"/>
          <w:color w:val="auto"/>
        </w:rPr>
      </w:pPr>
      <w:r>
        <w:rPr>
          <w:rFonts w:ascii="Arial" w:cs="Arial" w:eastAsia="Arial" w:hAnsi="Arial"/>
          <w:sz w:val="16"/>
          <w:szCs w:val="16"/>
          <w:color w:val="auto"/>
        </w:rPr>
        <w:t>4.11 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67" w:lineRule="exact"/>
        <w:rPr>
          <w:sz w:val="20"/>
          <w:szCs w:val="20"/>
          <w:color w:val="auto"/>
        </w:rPr>
      </w:pPr>
    </w:p>
    <w:p>
      <w:pPr>
        <w:ind w:left="1200" w:hanging="436"/>
        <w:spacing w:after="0"/>
        <w:tabs>
          <w:tab w:leader="none" w:pos="120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AUTHORITY TO ALLOT SHARES AND DISAPPLICATION OF PRE-EMPTION RIGHTS</w:t>
      </w:r>
    </w:p>
    <w:p>
      <w:pPr>
        <w:spacing w:after="0" w:line="106" w:lineRule="exact"/>
        <w:rPr>
          <w:sz w:val="20"/>
          <w:szCs w:val="20"/>
          <w:color w:val="auto"/>
        </w:rPr>
      </w:pPr>
    </w:p>
    <w:p>
      <w:pPr>
        <w:ind w:left="1200" w:right="1440" w:hanging="431"/>
        <w:spacing w:after="0" w:line="260" w:lineRule="auto"/>
        <w:tabs>
          <w:tab w:leader="none" w:pos="1180" w:val="left"/>
        </w:tabs>
        <w:rPr>
          <w:sz w:val="20"/>
          <w:szCs w:val="20"/>
          <w:color w:val="auto"/>
        </w:rPr>
      </w:pPr>
      <w:r>
        <w:rPr>
          <w:rFonts w:ascii="Arial" w:cs="Arial" w:eastAsia="Arial" w:hAnsi="Arial"/>
          <w:sz w:val="16"/>
          <w:szCs w:val="16"/>
          <w:color w:val="auto"/>
        </w:rPr>
        <w:t>5.1</w:t>
        <w:tab/>
        <w:t>In addition to any similar authority which has not been fully utilised, the Board shall be generally and unconditionally authorised pursuant to section 551 of the Companies Act to:</w:t>
      </w:r>
    </w:p>
    <w:p>
      <w:pPr>
        <w:spacing w:after="0" w:line="74" w:lineRule="exact"/>
        <w:rPr>
          <w:sz w:val="20"/>
          <w:szCs w:val="20"/>
          <w:color w:val="auto"/>
        </w:rPr>
      </w:pPr>
    </w:p>
    <w:p>
      <w:pPr>
        <w:ind w:left="1620" w:right="840" w:hanging="424"/>
        <w:spacing w:after="0" w:line="248" w:lineRule="auto"/>
        <w:tabs>
          <w:tab w:leader="none" w:pos="16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72" w:lineRule="exact"/>
        <w:rPr>
          <w:rFonts w:ascii="Arial" w:cs="Arial" w:eastAsia="Arial" w:hAnsi="Arial"/>
          <w:sz w:val="16"/>
          <w:szCs w:val="16"/>
          <w:color w:val="auto"/>
        </w:rPr>
      </w:pPr>
    </w:p>
    <w:p>
      <w:pPr>
        <w:ind w:left="1620" w:right="780" w:hanging="424"/>
        <w:spacing w:after="0" w:line="253" w:lineRule="auto"/>
        <w:tabs>
          <w:tab w:leader="none" w:pos="16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66" w:lineRule="exact"/>
        <w:rPr>
          <w:sz w:val="20"/>
          <w:szCs w:val="20"/>
          <w:color w:val="auto"/>
        </w:rPr>
      </w:pPr>
    </w:p>
    <w:p>
      <w:pPr>
        <w:ind w:left="1200" w:right="800" w:hanging="431"/>
        <w:spacing w:after="0" w:line="278" w:lineRule="auto"/>
        <w:tabs>
          <w:tab w:leader="none" w:pos="118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color w:val="auto"/>
        </w:rPr>
        <w:t xml:space="preserve">Subject to these Articles, the Board shall be generally empowered pursuant to section 570 of the Companies Act and section 573 of the Companies Act to allot equity securities (as defined in the Companies Act) for cash, pursuant to the authority conferred by Article </w:t>
      </w:r>
      <w:r>
        <w:rPr>
          <w:rFonts w:ascii="Arial" w:cs="Arial" w:eastAsia="Arial" w:hAnsi="Arial"/>
          <w:sz w:val="15"/>
          <w:szCs w:val="15"/>
          <w:color w:val="auto"/>
          <w:strike w:val="1"/>
        </w:rPr>
        <w:t>5.1</w:t>
      </w:r>
      <w:r>
        <w:rPr>
          <w:rFonts w:ascii="Arial" w:cs="Arial" w:eastAsia="Arial" w:hAnsi="Arial"/>
          <w:sz w:val="15"/>
          <w:szCs w:val="15"/>
          <w:u w:val="single" w:color="auto"/>
          <w:color w:val="auto"/>
        </w:rPr>
        <w:t>5.1</w:t>
      </w:r>
      <w:r>
        <w:rPr>
          <w:rFonts w:ascii="Arial" w:cs="Arial" w:eastAsia="Arial" w:hAnsi="Arial"/>
          <w:sz w:val="15"/>
          <w:szCs w:val="15"/>
          <w:color w:val="auto"/>
        </w:rPr>
        <w:t xml:space="preserve"> of these Articles as if section 561(1) of the Companies Act did not apply to the allotment.</w:t>
      </w:r>
    </w:p>
    <w:p>
      <w:pPr>
        <w:spacing w:after="0" w:line="62" w:lineRule="exact"/>
        <w:rPr>
          <w:sz w:val="20"/>
          <w:szCs w:val="20"/>
          <w:color w:val="auto"/>
        </w:rPr>
      </w:pPr>
    </w:p>
    <w:p>
      <w:pPr>
        <w:ind w:left="1200" w:right="800" w:hanging="431"/>
        <w:spacing w:after="0" w:line="253" w:lineRule="auto"/>
        <w:tabs>
          <w:tab w:leader="none" w:pos="1180" w:val="left"/>
        </w:tabs>
        <w:rPr>
          <w:sz w:val="20"/>
          <w:szCs w:val="20"/>
          <w:color w:val="auto"/>
        </w:rPr>
      </w:pPr>
      <w:r>
        <w:rPr>
          <w:rFonts w:ascii="Arial" w:cs="Arial" w:eastAsia="Arial" w:hAnsi="Arial"/>
          <w:sz w:val="16"/>
          <w:szCs w:val="16"/>
          <w:color w:val="auto"/>
        </w:rPr>
        <w:t>5.3</w:t>
        <w:tab/>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66" w:lineRule="exact"/>
        <w:rPr>
          <w:sz w:val="20"/>
          <w:szCs w:val="20"/>
          <w:color w:val="auto"/>
        </w:rPr>
      </w:pPr>
    </w:p>
    <w:p>
      <w:pPr>
        <w:ind w:left="1620" w:hanging="424"/>
        <w:spacing w:after="0"/>
        <w:tabs>
          <w:tab w:leader="none" w:pos="1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shares for the time being in the capital of the Company shall be at the disposal of the Board; and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A-5</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4" w:name="page85"/>
    <w:bookmarkEnd w:id="8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639" w:hanging="424"/>
        <w:spacing w:after="0" w:line="260" w:lineRule="auto"/>
        <w:tabs>
          <w:tab w:leader="none" w:pos="1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Board may reclassify, allot (with or without conferring a right of renunciation), grant options over, or otherwise dispose of them to such persons on such terms and conditions and at such times as it thinks fit.</w:t>
      </w:r>
    </w:p>
    <w:p>
      <w:pPr>
        <w:spacing w:after="0" w:line="74" w:lineRule="exact"/>
        <w:rPr>
          <w:sz w:val="20"/>
          <w:szCs w:val="20"/>
          <w:color w:val="auto"/>
        </w:rPr>
      </w:pPr>
    </w:p>
    <w:p>
      <w:pPr>
        <w:jc w:val="both"/>
        <w:ind w:left="1200" w:right="299" w:hanging="431"/>
        <w:spacing w:after="0" w:line="251" w:lineRule="auto"/>
        <w:tabs>
          <w:tab w:leader="none" w:pos="1180" w:val="left"/>
        </w:tabs>
        <w:rPr>
          <w:sz w:val="20"/>
          <w:szCs w:val="20"/>
          <w:color w:val="auto"/>
        </w:rPr>
      </w:pPr>
      <w:r>
        <w:rPr>
          <w:rFonts w:ascii="Arial" w:cs="Arial" w:eastAsia="Arial" w:hAnsi="Arial"/>
          <w:sz w:val="16"/>
          <w:szCs w:val="16"/>
          <w:color w:val="auto"/>
        </w:rPr>
        <w:t>5.4</w:t>
        <w:tab/>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81"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5"/>
          <w:szCs w:val="15"/>
          <w:color w:val="auto"/>
        </w:rPr>
        <w:t xml:space="preserve">The Board may at any time after the allotment of a </w:t>
      </w:r>
      <w:r>
        <w:rPr>
          <w:rFonts w:ascii="Arial" w:cs="Arial" w:eastAsia="Arial" w:hAnsi="Arial"/>
          <w:sz w:val="15"/>
          <w:szCs w:val="15"/>
          <w:color w:val="auto"/>
          <w:strike w:val="1"/>
        </w:rPr>
        <w:t>Share</w:t>
      </w:r>
      <w:r>
        <w:rPr>
          <w:rFonts w:ascii="Arial" w:cs="Arial" w:eastAsia="Arial" w:hAnsi="Arial"/>
          <w:sz w:val="15"/>
          <w:szCs w:val="15"/>
          <w:u w:val="single" w:color="auto"/>
          <w:color w:val="auto"/>
        </w:rPr>
        <w:t>share</w:t>
      </w:r>
      <w:r>
        <w:rPr>
          <w:rFonts w:ascii="Arial" w:cs="Arial" w:eastAsia="Arial" w:hAnsi="Arial"/>
          <w:sz w:val="15"/>
          <w:szCs w:val="15"/>
          <w:color w:val="auto"/>
        </w:rPr>
        <w:t xml:space="preserve">, but before a </w:t>
      </w:r>
      <w:r>
        <w:rPr>
          <w:rFonts w:ascii="Arial" w:cs="Arial" w:eastAsia="Arial" w:hAnsi="Arial"/>
          <w:sz w:val="15"/>
          <w:szCs w:val="15"/>
          <w:color w:val="auto"/>
          <w:strike w:val="1"/>
        </w:rPr>
        <w:t>Person</w:t>
      </w:r>
      <w:r>
        <w:rPr>
          <w:rFonts w:ascii="Arial" w:cs="Arial" w:eastAsia="Arial" w:hAnsi="Arial"/>
          <w:sz w:val="15"/>
          <w:szCs w:val="15"/>
          <w:u w:val="single" w:color="auto"/>
          <w:color w:val="auto"/>
        </w:rPr>
        <w:t>person</w:t>
      </w:r>
      <w:r>
        <w:rPr>
          <w:rFonts w:ascii="Arial" w:cs="Arial" w:eastAsia="Arial" w:hAnsi="Arial"/>
          <w:sz w:val="15"/>
          <w:szCs w:val="15"/>
          <w:color w:val="auto"/>
        </w:rPr>
        <w:t xml:space="preserve"> has been entered in the register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as the holder of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recognise a renunciation of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by the allottee in favour of another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Person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and may grant to an allottee a right to effect a renunciation on such terms and conditions as the Board thinks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fit.</w:t>
      </w:r>
    </w:p>
    <w:p>
      <w:pPr>
        <w:spacing w:after="0" w:line="80" w:lineRule="exact"/>
        <w:rPr>
          <w:sz w:val="20"/>
          <w:szCs w:val="20"/>
          <w:color w:val="auto"/>
        </w:rPr>
      </w:pPr>
    </w:p>
    <w:p>
      <w:pPr>
        <w:ind w:left="1200" w:hanging="436"/>
        <w:spacing w:after="0"/>
        <w:tabs>
          <w:tab w:leader="none" w:pos="120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 RIGHTS</w:t>
      </w:r>
    </w:p>
    <w:p>
      <w:pPr>
        <w:spacing w:after="0" w:line="120" w:lineRule="exact"/>
        <w:rPr>
          <w:sz w:val="20"/>
          <w:szCs w:val="20"/>
          <w:color w:val="auto"/>
        </w:rPr>
      </w:pPr>
    </w:p>
    <w:p>
      <w:pPr>
        <w:jc w:val="both"/>
        <w:ind w:left="1200" w:right="379" w:hanging="431"/>
        <w:spacing w:after="0" w:line="253" w:lineRule="auto"/>
        <w:tabs>
          <w:tab w:leader="none" w:pos="1180" w:val="left"/>
        </w:tabs>
        <w:rPr>
          <w:sz w:val="20"/>
          <w:szCs w:val="20"/>
          <w:color w:val="auto"/>
        </w:rPr>
      </w:pPr>
      <w:r>
        <w:rPr>
          <w:rFonts w:ascii="Arial" w:cs="Arial" w:eastAsia="Arial" w:hAnsi="Arial"/>
          <w:sz w:val="16"/>
          <w:szCs w:val="16"/>
          <w:color w:val="auto"/>
        </w:rPr>
        <w:t>6.1</w:t>
        <w:tab/>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66" w:lineRule="exact"/>
        <w:rPr>
          <w:sz w:val="20"/>
          <w:szCs w:val="20"/>
          <w:color w:val="auto"/>
        </w:rPr>
      </w:pPr>
    </w:p>
    <w:p>
      <w:pPr>
        <w:ind w:left="1620" w:hanging="424"/>
        <w:spacing w:after="0"/>
        <w:tabs>
          <w:tab w:leader="none" w:pos="16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such manner (if any) as may be provided by those rights;</w:t>
      </w:r>
    </w:p>
    <w:p>
      <w:pPr>
        <w:spacing w:after="0" w:line="99" w:lineRule="exact"/>
        <w:rPr>
          <w:rFonts w:ascii="Arial" w:cs="Arial" w:eastAsia="Arial" w:hAnsi="Arial"/>
          <w:sz w:val="16"/>
          <w:szCs w:val="16"/>
          <w:color w:val="auto"/>
        </w:rPr>
      </w:pPr>
    </w:p>
    <w:p>
      <w:pPr>
        <w:ind w:left="1620" w:right="199" w:hanging="424"/>
        <w:spacing w:after="0" w:line="250" w:lineRule="auto"/>
        <w:tabs>
          <w:tab w:leader="none" w:pos="16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81" w:lineRule="exact"/>
        <w:rPr>
          <w:rFonts w:ascii="Arial" w:cs="Arial" w:eastAsia="Arial" w:hAnsi="Arial"/>
          <w:sz w:val="16"/>
          <w:szCs w:val="16"/>
          <w:color w:val="auto"/>
        </w:rPr>
      </w:pPr>
    </w:p>
    <w:p>
      <w:pPr>
        <w:ind w:left="1620" w:hanging="424"/>
        <w:spacing w:after="0"/>
        <w:tabs>
          <w:tab w:leader="none" w:pos="16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with the sanction of a special resolution passed at a separate meeting of the holders of the shares of that class,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but not otherwise.</w:t>
      </w:r>
    </w:p>
    <w:p>
      <w:pPr>
        <w:spacing w:after="0" w:line="86" w:lineRule="exact"/>
        <w:rPr>
          <w:sz w:val="20"/>
          <w:szCs w:val="20"/>
          <w:color w:val="auto"/>
        </w:rPr>
      </w:pPr>
    </w:p>
    <w:p>
      <w:pPr>
        <w:ind w:left="1200" w:right="379" w:hanging="431"/>
        <w:spacing w:after="0" w:line="253" w:lineRule="auto"/>
        <w:tabs>
          <w:tab w:leader="none" w:pos="1180" w:val="left"/>
        </w:tabs>
        <w:rPr>
          <w:sz w:val="20"/>
          <w:szCs w:val="20"/>
          <w:color w:val="auto"/>
        </w:rPr>
      </w:pPr>
      <w:r>
        <w:rPr>
          <w:rFonts w:ascii="Arial" w:cs="Arial" w:eastAsia="Arial" w:hAnsi="Arial"/>
          <w:sz w:val="16"/>
          <w:szCs w:val="16"/>
          <w:color w:val="auto"/>
        </w:rPr>
        <w:t>6.2</w:t>
        <w:tab/>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64" w:lineRule="exact"/>
        <w:rPr>
          <w:sz w:val="20"/>
          <w:szCs w:val="20"/>
          <w:color w:val="auto"/>
        </w:rPr>
      </w:pPr>
    </w:p>
    <w:p>
      <w:pPr>
        <w:ind w:left="1620" w:hanging="424"/>
        <w:spacing w:after="0"/>
        <w:tabs>
          <w:tab w:leader="none" w:pos="16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subsequent to, that share or class of shares;</w:t>
      </w:r>
    </w:p>
    <w:p>
      <w:pPr>
        <w:spacing w:after="0" w:line="115" w:lineRule="exact"/>
        <w:rPr>
          <w:rFonts w:ascii="Arial" w:cs="Arial" w:eastAsia="Arial" w:hAnsi="Arial"/>
          <w:sz w:val="16"/>
          <w:szCs w:val="16"/>
          <w:color w:val="auto"/>
        </w:rPr>
      </w:pPr>
    </w:p>
    <w:p>
      <w:pPr>
        <w:ind w:left="1620" w:hanging="424"/>
        <w:spacing w:after="0"/>
        <w:tabs>
          <w:tab w:leader="none" w:pos="16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purchase or redemption by the Company of any of its own shares;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exercise by the Board of any of the powers contemplated by Articles 38.7, 38.8 and </w:t>
      </w:r>
      <w:r>
        <w:rPr>
          <w:rFonts w:ascii="Arial" w:cs="Arial" w:eastAsia="Arial" w:hAnsi="Arial"/>
          <w:sz w:val="16"/>
          <w:szCs w:val="16"/>
          <w:color w:val="auto"/>
          <w:strike w:val="1"/>
        </w:rPr>
        <w:t>39.1</w:t>
      </w:r>
      <w:r>
        <w:rPr>
          <w:rFonts w:ascii="Arial" w:cs="Arial" w:eastAsia="Arial" w:hAnsi="Arial"/>
          <w:sz w:val="16"/>
          <w:szCs w:val="16"/>
          <w:color w:val="auto"/>
        </w:rPr>
        <w:t xml:space="preserve"> 39.1.</w:t>
      </w:r>
    </w:p>
    <w:p>
      <w:pPr>
        <w:spacing w:after="0" w:line="79" w:lineRule="exact"/>
        <w:rPr>
          <w:rFonts w:ascii="Arial" w:cs="Arial" w:eastAsia="Arial" w:hAnsi="Arial"/>
          <w:sz w:val="16"/>
          <w:szCs w:val="16"/>
          <w:color w:val="auto"/>
        </w:rPr>
      </w:pPr>
    </w:p>
    <w:p>
      <w:pPr>
        <w:ind w:left="1200" w:hanging="436"/>
        <w:spacing w:after="0"/>
        <w:tabs>
          <w:tab w:leader="none" w:pos="120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w:t>
      </w:r>
    </w:p>
    <w:p>
      <w:pPr>
        <w:spacing w:after="0" w:line="120" w:lineRule="exact"/>
        <w:rPr>
          <w:sz w:val="20"/>
          <w:szCs w:val="20"/>
          <w:color w:val="auto"/>
        </w:rPr>
      </w:pPr>
    </w:p>
    <w:p>
      <w:pPr>
        <w:ind w:left="1200" w:right="239" w:hanging="431"/>
        <w:spacing w:after="0" w:line="248" w:lineRule="auto"/>
        <w:tabs>
          <w:tab w:leader="none" w:pos="1180" w:val="left"/>
        </w:tabs>
        <w:rPr>
          <w:sz w:val="20"/>
          <w:szCs w:val="20"/>
          <w:color w:val="auto"/>
        </w:rPr>
      </w:pPr>
      <w:r>
        <w:rPr>
          <w:rFonts w:ascii="Arial" w:cs="Arial" w:eastAsia="Arial" w:hAnsi="Arial"/>
          <w:sz w:val="16"/>
          <w:szCs w:val="16"/>
          <w:color w:val="auto"/>
        </w:rPr>
        <w:t>7.1</w:t>
        <w:tab/>
        <w:t xml:space="preserve">On becoming the holder of any share other than a share in uncertificated form, every person (other than a </w:t>
      </w:r>
      <w:r>
        <w:rPr>
          <w:rFonts w:ascii="Arial" w:cs="Arial" w:eastAsia="Arial" w:hAnsi="Arial"/>
          <w:sz w:val="16"/>
          <w:szCs w:val="16"/>
          <w:color w:val="auto"/>
          <w:strike w:val="1"/>
        </w:rPr>
        <w:t>financial</w:t>
      </w:r>
      <w:r>
        <w:rPr>
          <w:rFonts w:ascii="Arial" w:cs="Arial" w:eastAsia="Arial" w:hAnsi="Arial"/>
          <w:sz w:val="16"/>
          <w:szCs w:val="16"/>
          <w:color w:val="auto"/>
        </w:rPr>
        <w:t xml:space="preserve"> </w:t>
      </w:r>
      <w:r>
        <w:rPr>
          <w:rFonts w:ascii="Arial" w:cs="Arial" w:eastAsia="Arial" w:hAnsi="Arial"/>
          <w:sz w:val="16"/>
          <w:szCs w:val="16"/>
          <w:color w:val="auto"/>
          <w:strike w:val="1"/>
        </w:rPr>
        <w:t>institution</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in respect of whom the Company is not required by law to complete and have ready a certificate) shall be entitled, without payment, to have issued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within two months after allotment or lodgement of a transfer (unless the terms of issue of the shares provide otherwise) one certificate for all the shares of each class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(and, upon transferring a part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holding of shares of any class, to a certificate for the balance of that holding). A holder may elect to receive one or more additional certificates for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upon payment for every certificate after the first of such reasonable sum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determine from time to time.</w:t>
      </w:r>
    </w:p>
    <w:p>
      <w:pPr>
        <w:spacing w:after="0" w:line="73"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5"/>
          <w:szCs w:val="15"/>
          <w:color w:val="auto"/>
        </w:rPr>
        <w:t>Every certificate shall:</w:t>
      </w:r>
    </w:p>
    <w:p>
      <w:pPr>
        <w:spacing w:after="0" w:line="100" w:lineRule="exact"/>
        <w:rPr>
          <w:sz w:val="20"/>
          <w:szCs w:val="20"/>
          <w:color w:val="auto"/>
        </w:rPr>
      </w:pPr>
    </w:p>
    <w:p>
      <w:pPr>
        <w:ind w:left="1620" w:right="219" w:hanging="424"/>
        <w:spacing w:after="0" w:line="253"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be </w:t>
      </w:r>
      <w:r>
        <w:rPr>
          <w:rFonts w:ascii="Arial" w:cs="Arial" w:eastAsia="Arial" w:hAnsi="Arial"/>
          <w:sz w:val="16"/>
          <w:szCs w:val="16"/>
          <w:color w:val="auto"/>
          <w:strike w:val="1"/>
        </w:rPr>
        <w:t>issued under</w:t>
      </w:r>
      <w:r>
        <w:rPr>
          <w:rFonts w:ascii="Arial" w:cs="Arial" w:eastAsia="Arial" w:hAnsi="Arial"/>
          <w:sz w:val="16"/>
          <w:szCs w:val="16"/>
          <w:u w:val="single" w:color="auto"/>
          <w:color w:val="auto"/>
        </w:rPr>
        <w:t>executed by</w:t>
      </w:r>
      <w:r>
        <w:rPr>
          <w:rFonts w:ascii="Arial" w:cs="Arial" w:eastAsia="Arial" w:hAnsi="Arial"/>
          <w:sz w:val="16"/>
          <w:szCs w:val="16"/>
          <w:color w:val="auto"/>
        </w:rPr>
        <w:t xml:space="preserve"> the </w:t>
      </w:r>
      <w:r>
        <w:rPr>
          <w:rFonts w:ascii="Arial" w:cs="Arial" w:eastAsia="Arial" w:hAnsi="Arial"/>
          <w:sz w:val="16"/>
          <w:szCs w:val="16"/>
          <w:color w:val="auto"/>
          <w:strike w:val="1"/>
        </w:rPr>
        <w:t>seal, or under</w:t>
      </w:r>
      <w:r>
        <w:rPr>
          <w:rFonts w:ascii="Arial" w:cs="Arial" w:eastAsia="Arial" w:hAnsi="Arial"/>
          <w:sz w:val="16"/>
          <w:szCs w:val="16"/>
          <w:u w:val="single" w:color="auto"/>
          <w:color w:val="auto"/>
        </w:rPr>
        <w:t>Company in</w:t>
      </w:r>
      <w:r>
        <w:rPr>
          <w:rFonts w:ascii="Arial" w:cs="Arial" w:eastAsia="Arial" w:hAnsi="Arial"/>
          <w:sz w:val="16"/>
          <w:szCs w:val="16"/>
          <w:color w:val="auto"/>
        </w:rPr>
        <w:t xml:space="preserve"> such </w:t>
      </w:r>
      <w:r>
        <w:rPr>
          <w:rFonts w:ascii="Arial" w:cs="Arial" w:eastAsia="Arial" w:hAnsi="Arial"/>
          <w:sz w:val="16"/>
          <w:szCs w:val="16"/>
          <w:color w:val="auto"/>
          <w:strike w:val="1"/>
        </w:rPr>
        <w:t>other form of authentication</w:t>
      </w:r>
      <w:r>
        <w:rPr>
          <w:rFonts w:ascii="Arial" w:cs="Arial" w:eastAsia="Arial" w:hAnsi="Arial"/>
          <w:sz w:val="16"/>
          <w:szCs w:val="16"/>
          <w:u w:val="single" w:color="auto"/>
          <w:color w:val="auto"/>
        </w:rPr>
        <w:t>manner</w:t>
      </w:r>
      <w:r>
        <w:rPr>
          <w:rFonts w:ascii="Arial" w:cs="Arial" w:eastAsia="Arial" w:hAnsi="Arial"/>
          <w:sz w:val="16"/>
          <w:szCs w:val="16"/>
          <w:color w:val="auto"/>
        </w:rPr>
        <w:t xml:space="preserve"> as the Board </w:t>
      </w:r>
      <w:r>
        <w:rPr>
          <w:rFonts w:ascii="Arial" w:cs="Arial" w:eastAsia="Arial" w:hAnsi="Arial"/>
          <w:sz w:val="16"/>
          <w:szCs w:val="16"/>
          <w:u w:val="single" w:color="auto"/>
          <w:color w:val="auto"/>
        </w:rPr>
        <w:t>(having regard to the Companies Act)</w:t>
      </w:r>
      <w:r>
        <w:rPr>
          <w:rFonts w:ascii="Arial" w:cs="Arial" w:eastAsia="Arial" w:hAnsi="Arial"/>
          <w:sz w:val="16"/>
          <w:szCs w:val="16"/>
          <w:color w:val="auto"/>
        </w:rPr>
        <w:t xml:space="preserve"> may approve </w:t>
      </w:r>
      <w:r>
        <w:rPr>
          <w:rFonts w:ascii="Arial" w:cs="Arial" w:eastAsia="Arial" w:hAnsi="Arial"/>
          <w:sz w:val="16"/>
          <w:szCs w:val="16"/>
          <w:color w:val="auto"/>
          <w:strike w:val="1"/>
        </w:rPr>
        <w:t>(which may include manual or facsimile signatures by one or more</w:t>
      </w:r>
      <w:r>
        <w:rPr>
          <w:rFonts w:ascii="Arial" w:cs="Arial" w:eastAsia="Arial" w:hAnsi="Arial"/>
          <w:sz w:val="16"/>
          <w:szCs w:val="16"/>
          <w:color w:val="auto"/>
        </w:rPr>
        <w:t xml:space="preserv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w:t>
      </w:r>
    </w:p>
    <w:p>
      <w:pPr>
        <w:spacing w:after="0" w:line="66"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shall specify the number, class and distinguishing numbers (if any) of the shares to which it relates and the amount or respective amounts paid up on the shares.</w:t>
      </w:r>
    </w:p>
    <w:p>
      <w:pPr>
        <w:spacing w:after="0" w:line="74" w:lineRule="exact"/>
        <w:rPr>
          <w:sz w:val="20"/>
          <w:szCs w:val="20"/>
          <w:color w:val="auto"/>
        </w:rPr>
      </w:pPr>
    </w:p>
    <w:p>
      <w:pPr>
        <w:jc w:val="center"/>
        <w:ind w:right="-180"/>
        <w:spacing w:after="0"/>
        <w:tabs>
          <w:tab w:leader="none" w:pos="2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5"/>
          <w:szCs w:val="15"/>
          <w:color w:val="auto"/>
        </w:rPr>
        <w:t>The Company shall not be bound to issue more than one certificate for shares held jointly by more than one person and</w:t>
      </w:r>
    </w:p>
    <w:p>
      <w:pPr>
        <w:spacing w:after="0" w:line="5" w:lineRule="exact"/>
        <w:rPr>
          <w:sz w:val="20"/>
          <w:szCs w:val="20"/>
          <w:color w:val="auto"/>
        </w:rPr>
      </w:pPr>
    </w:p>
    <w:p>
      <w:pPr>
        <w:ind w:left="1200" w:right="359"/>
        <w:spacing w:after="0" w:line="293" w:lineRule="auto"/>
        <w:rPr>
          <w:sz w:val="20"/>
          <w:szCs w:val="20"/>
          <w:color w:val="auto"/>
        </w:rPr>
      </w:pPr>
      <w:r>
        <w:rPr>
          <w:rFonts w:ascii="Arial" w:cs="Arial" w:eastAsia="Arial" w:hAnsi="Arial"/>
          <w:sz w:val="15"/>
          <w:szCs w:val="15"/>
          <w:color w:val="auto"/>
        </w:rPr>
        <w:t xml:space="preserve">delivery of a certificate to </w:t>
      </w:r>
      <w:r>
        <w:rPr>
          <w:rFonts w:ascii="Arial" w:cs="Arial" w:eastAsia="Arial" w:hAnsi="Arial"/>
          <w:sz w:val="15"/>
          <w:szCs w:val="15"/>
          <w:color w:val="auto"/>
          <w:strike w:val="1"/>
        </w:rPr>
        <w:t>one</w:t>
      </w:r>
      <w:r>
        <w:rPr>
          <w:rFonts w:ascii="Arial" w:cs="Arial" w:eastAsia="Arial" w:hAnsi="Arial"/>
          <w:sz w:val="15"/>
          <w:szCs w:val="15"/>
          <w:u w:val="single" w:color="auto"/>
          <w:color w:val="auto"/>
        </w:rPr>
        <w:t>the senior</w:t>
      </w:r>
      <w:r>
        <w:rPr>
          <w:rFonts w:ascii="Arial" w:cs="Arial" w:eastAsia="Arial" w:hAnsi="Arial"/>
          <w:sz w:val="15"/>
          <w:szCs w:val="15"/>
          <w:color w:val="auto"/>
        </w:rPr>
        <w:t xml:space="preserve"> joint holder shall be sufficient delivery to all of them, and seniority shall be determined in the manner described in Article 21.3. Shares of different classes may not be included in the same certificate.</w:t>
      </w:r>
    </w:p>
    <w:p>
      <w:pPr>
        <w:spacing w:after="0" w:line="51" w:lineRule="exact"/>
        <w:rPr>
          <w:sz w:val="20"/>
          <w:szCs w:val="20"/>
          <w:color w:val="auto"/>
        </w:rPr>
      </w:pPr>
    </w:p>
    <w:p>
      <w:pPr>
        <w:ind w:left="1200" w:right="379" w:hanging="431"/>
        <w:spacing w:after="0" w:line="250" w:lineRule="auto"/>
        <w:tabs>
          <w:tab w:leader="none" w:pos="1180" w:val="left"/>
        </w:tabs>
        <w:rPr>
          <w:sz w:val="20"/>
          <w:szCs w:val="20"/>
          <w:color w:val="auto"/>
        </w:rPr>
      </w:pPr>
      <w:r>
        <w:rPr>
          <w:rFonts w:ascii="Arial" w:cs="Arial" w:eastAsia="Arial" w:hAnsi="Arial"/>
          <w:sz w:val="16"/>
          <w:szCs w:val="16"/>
          <w:color w:val="auto"/>
        </w:rPr>
        <w:t>7.4</w:t>
        <w:tab/>
        <w:t xml:space="preserve">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determine but otherwise free of charge, and (in the case of damage, defacement or wearing out) on delivery of the old certificate to the Company.</w:t>
      </w:r>
    </w:p>
    <w:p>
      <w:pPr>
        <w:spacing w:after="0" w:line="100"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A-6</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-11430</wp:posOffset>
            </wp:positionV>
            <wp:extent cx="195453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40" w:hanging="431"/>
        <w:spacing w:after="0" w:line="248" w:lineRule="auto"/>
        <w:tabs>
          <w:tab w:leader="none" w:pos="1180" w:val="left"/>
        </w:tabs>
        <w:rPr>
          <w:sz w:val="20"/>
          <w:szCs w:val="20"/>
          <w:color w:val="auto"/>
        </w:rPr>
      </w:pPr>
      <w:r>
        <w:rPr>
          <w:rFonts w:ascii="Arial" w:cs="Arial" w:eastAsia="Arial" w:hAnsi="Arial"/>
          <w:sz w:val="16"/>
          <w:szCs w:val="16"/>
          <w:color w:val="auto"/>
        </w:rPr>
        <w:t>7.5</w:t>
        <w:tab/>
        <w:t xml:space="preserve">When a member’s holding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increases, the Company may issue such holder with a single, consolidated certificate in respect of all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which that member holds or a separate certificate in respect of only those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by which that member’s holding has increased. When a member’s holding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of a particular class is reduced, the Company must ensure that the member is issued with one or more certificates in respect of the number of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held by the member after that reduction, save that the Company need not (in the absence of a request from the member) issue any new certificate if all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which the member no longer holds as a result of the reduction and none of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which the member retains following the reduction, were, immediately before the reduction, represented by the same certificate.</w:t>
      </w:r>
    </w:p>
    <w:p>
      <w:pPr>
        <w:spacing w:after="0" w:line="66" w:lineRule="exact"/>
        <w:rPr>
          <w:sz w:val="20"/>
          <w:szCs w:val="20"/>
          <w:color w:val="auto"/>
        </w:rPr>
      </w:pPr>
    </w:p>
    <w:p>
      <w:pPr>
        <w:ind w:left="1200" w:hanging="436"/>
        <w:spacing w:after="0"/>
        <w:tabs>
          <w:tab w:leader="none" w:pos="12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LIEN</w:t>
      </w:r>
    </w:p>
    <w:p>
      <w:pPr>
        <w:spacing w:after="0" w:line="120" w:lineRule="exact"/>
        <w:rPr>
          <w:sz w:val="20"/>
          <w:szCs w:val="20"/>
          <w:color w:val="auto"/>
        </w:rPr>
      </w:pPr>
    </w:p>
    <w:p>
      <w:pPr>
        <w:ind w:left="1200" w:right="940" w:hanging="431"/>
        <w:spacing w:after="0" w:line="250" w:lineRule="auto"/>
        <w:tabs>
          <w:tab w:leader="none" w:pos="1180" w:val="left"/>
        </w:tabs>
        <w:rPr>
          <w:sz w:val="20"/>
          <w:szCs w:val="20"/>
          <w:color w:val="auto"/>
        </w:rPr>
      </w:pPr>
      <w:r>
        <w:rPr>
          <w:rFonts w:ascii="Arial" w:cs="Arial" w:eastAsia="Arial" w:hAnsi="Arial"/>
          <w:sz w:val="16"/>
          <w:szCs w:val="16"/>
          <w:color w:val="auto"/>
        </w:rPr>
        <w:t>8.1</w:t>
        <w:tab/>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81" w:lineRule="exact"/>
        <w:rPr>
          <w:sz w:val="20"/>
          <w:szCs w:val="20"/>
          <w:color w:val="auto"/>
        </w:rPr>
      </w:pPr>
    </w:p>
    <w:p>
      <w:pPr>
        <w:jc w:val="both"/>
        <w:ind w:left="1200" w:right="860" w:hanging="431"/>
        <w:spacing w:after="0" w:line="273" w:lineRule="auto"/>
        <w:tabs>
          <w:tab w:leader="none" w:pos="11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66" w:lineRule="exact"/>
        <w:rPr>
          <w:sz w:val="20"/>
          <w:szCs w:val="20"/>
          <w:color w:val="auto"/>
        </w:rPr>
      </w:pPr>
    </w:p>
    <w:p>
      <w:pPr>
        <w:ind w:left="1200" w:right="880" w:hanging="431"/>
        <w:spacing w:after="0" w:line="249" w:lineRule="auto"/>
        <w:tabs>
          <w:tab w:leader="none" w:pos="1180" w:val="left"/>
        </w:tabs>
        <w:rPr>
          <w:sz w:val="20"/>
          <w:szCs w:val="20"/>
          <w:color w:val="auto"/>
        </w:rPr>
      </w:pPr>
      <w:r>
        <w:rPr>
          <w:rFonts w:ascii="Arial" w:cs="Arial" w:eastAsia="Arial" w:hAnsi="Arial"/>
          <w:sz w:val="16"/>
          <w:szCs w:val="16"/>
          <w:color w:val="auto"/>
        </w:rPr>
        <w:t>8.3</w:t>
        <w:tab/>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70" w:lineRule="exact"/>
        <w:rPr>
          <w:sz w:val="20"/>
          <w:szCs w:val="20"/>
          <w:color w:val="auto"/>
        </w:rPr>
      </w:pPr>
    </w:p>
    <w:p>
      <w:pPr>
        <w:jc w:val="center"/>
        <w:ind w:right="40"/>
        <w:spacing w:after="0"/>
        <w:tabs>
          <w:tab w:leader="none" w:pos="20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5"/>
          <w:szCs w:val="15"/>
          <w:color w:val="auto"/>
        </w:rPr>
        <w:t>The net proceeds of the sale, after payment of the costs, shall be applied in or towards payment or satisfaction of so much of</w:t>
      </w:r>
    </w:p>
    <w:p>
      <w:pPr>
        <w:spacing w:after="0" w:line="5" w:lineRule="exact"/>
        <w:rPr>
          <w:sz w:val="20"/>
          <w:szCs w:val="20"/>
          <w:color w:val="auto"/>
        </w:rPr>
      </w:pPr>
    </w:p>
    <w:p>
      <w:pPr>
        <w:ind w:left="1200" w:right="900"/>
        <w:spacing w:after="0" w:line="251" w:lineRule="auto"/>
        <w:rPr>
          <w:sz w:val="20"/>
          <w:szCs w:val="20"/>
          <w:color w:val="auto"/>
        </w:rPr>
      </w:pPr>
      <w:r>
        <w:rPr>
          <w:rFonts w:ascii="Arial" w:cs="Arial" w:eastAsia="Arial" w:hAnsi="Arial"/>
          <w:sz w:val="16"/>
          <w:szCs w:val="16"/>
          <w:color w:val="auto"/>
        </w:rPr>
        <w:t>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61" w:lineRule="exact"/>
        <w:rPr>
          <w:sz w:val="20"/>
          <w:szCs w:val="20"/>
          <w:color w:val="auto"/>
        </w:rPr>
      </w:pPr>
    </w:p>
    <w:p>
      <w:pPr>
        <w:ind w:left="1200" w:hanging="436"/>
        <w:spacing w:after="0"/>
        <w:tabs>
          <w:tab w:leader="none" w:pos="120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w:t>
      </w:r>
    </w:p>
    <w:p>
      <w:pPr>
        <w:spacing w:after="0" w:line="120" w:lineRule="exact"/>
        <w:rPr>
          <w:sz w:val="20"/>
          <w:szCs w:val="20"/>
          <w:color w:val="auto"/>
        </w:rPr>
      </w:pPr>
    </w:p>
    <w:p>
      <w:pPr>
        <w:ind w:left="1200" w:right="800" w:hanging="431"/>
        <w:spacing w:after="0" w:line="248" w:lineRule="auto"/>
        <w:tabs>
          <w:tab w:leader="none" w:pos="1180" w:val="left"/>
        </w:tabs>
        <w:rPr>
          <w:sz w:val="20"/>
          <w:szCs w:val="20"/>
          <w:color w:val="auto"/>
        </w:rPr>
      </w:pPr>
      <w:r>
        <w:rPr>
          <w:rFonts w:ascii="Arial" w:cs="Arial" w:eastAsia="Arial" w:hAnsi="Arial"/>
          <w:sz w:val="16"/>
          <w:szCs w:val="16"/>
          <w:color w:val="auto"/>
        </w:rPr>
        <w:t>9.1</w:t>
        <w:tab/>
        <w:t xml:space="preserve">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notwithstanding the subsequent transfer of the shares in respect of which the call was made.</w:t>
      </w:r>
    </w:p>
    <w:p>
      <w:pPr>
        <w:spacing w:after="0" w:line="8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5"/>
          <w:szCs w:val="15"/>
          <w:color w:val="auto"/>
        </w:rPr>
        <w:t>A call shall be deemed to have been made at the time when the resolution of the Board authorising the call was passed.</w:t>
      </w:r>
    </w:p>
    <w:p>
      <w:pPr>
        <w:spacing w:after="0" w:line="86"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5"/>
          <w:szCs w:val="15"/>
          <w:color w:val="auto"/>
        </w:rPr>
        <w:t>The joint holders of a share shall be jointly and severally liable to pay all calls in respect of it.</w:t>
      </w:r>
    </w:p>
    <w:p>
      <w:pPr>
        <w:spacing w:after="0" w:line="100" w:lineRule="exact"/>
        <w:rPr>
          <w:sz w:val="20"/>
          <w:szCs w:val="20"/>
          <w:color w:val="auto"/>
        </w:rPr>
      </w:pPr>
    </w:p>
    <w:p>
      <w:pPr>
        <w:ind w:left="1200" w:right="860" w:hanging="431"/>
        <w:spacing w:after="0" w:line="249" w:lineRule="auto"/>
        <w:tabs>
          <w:tab w:leader="none" w:pos="1180" w:val="left"/>
        </w:tabs>
        <w:rPr>
          <w:sz w:val="20"/>
          <w:szCs w:val="20"/>
          <w:color w:val="auto"/>
        </w:rPr>
      </w:pPr>
      <w:r>
        <w:rPr>
          <w:rFonts w:ascii="Arial" w:cs="Arial" w:eastAsia="Arial" w:hAnsi="Arial"/>
          <w:sz w:val="16"/>
          <w:szCs w:val="16"/>
          <w:color w:val="auto"/>
        </w:rPr>
        <w:t>9.4</w:t>
        <w:tab/>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83" w:lineRule="exact"/>
        <w:rPr>
          <w:sz w:val="20"/>
          <w:szCs w:val="20"/>
          <w:color w:val="auto"/>
        </w:rPr>
      </w:pPr>
    </w:p>
    <w:p>
      <w:pPr>
        <w:ind w:left="1200" w:right="980" w:hanging="431"/>
        <w:spacing w:after="0" w:line="250" w:lineRule="auto"/>
        <w:tabs>
          <w:tab w:leader="none" w:pos="1180" w:val="left"/>
        </w:tabs>
        <w:rPr>
          <w:sz w:val="20"/>
          <w:szCs w:val="20"/>
          <w:color w:val="auto"/>
        </w:rPr>
      </w:pPr>
      <w:r>
        <w:rPr>
          <w:rFonts w:ascii="Arial" w:cs="Arial" w:eastAsia="Arial" w:hAnsi="Arial"/>
          <w:sz w:val="16"/>
          <w:szCs w:val="16"/>
          <w:color w:val="auto"/>
        </w:rPr>
        <w:t>9.5</w:t>
        <w:tab/>
        <w:t xml:space="preserve">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at the appropriate rate (as defined by the Companies Act), but the Board may in respect of any individual member waive payment of interest wholly or in part.</w:t>
      </w:r>
    </w:p>
    <w:p>
      <w:pPr>
        <w:spacing w:after="0" w:line="81" w:lineRule="exact"/>
        <w:rPr>
          <w:sz w:val="20"/>
          <w:szCs w:val="20"/>
          <w:color w:val="auto"/>
        </w:rPr>
      </w:pPr>
    </w:p>
    <w:p>
      <w:pPr>
        <w:ind w:left="1200" w:right="960" w:hanging="431"/>
        <w:spacing w:after="0" w:line="260" w:lineRule="auto"/>
        <w:tabs>
          <w:tab w:leader="none" w:pos="1180" w:val="left"/>
        </w:tabs>
        <w:rPr>
          <w:sz w:val="20"/>
          <w:szCs w:val="20"/>
          <w:color w:val="auto"/>
        </w:rPr>
      </w:pPr>
      <w:r>
        <w:rPr>
          <w:rFonts w:ascii="Arial" w:cs="Arial" w:eastAsia="Arial" w:hAnsi="Arial"/>
          <w:sz w:val="16"/>
          <w:szCs w:val="16"/>
          <w:color w:val="auto"/>
        </w:rPr>
        <w:t>9.6</w:t>
        <w:tab/>
        <w:t>An amount payable in respect of a share on allotment or at any fixed date, whether in respect of nominal value or premium or as an instalment of a call, shall be deemed to be a call duly made and notified and payable on the date so</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20" w:type="dxa"/>
            <w:vAlign w:val="bottom"/>
            <w:vMerge w:val="restart"/>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A-7</w:t>
            </w:r>
          </w:p>
        </w:tc>
        <w:tc>
          <w:tcPr>
            <w:tcW w:w="0" w:type="dxa"/>
            <w:vAlign w:val="bottom"/>
          </w:tcPr>
          <w:p>
            <w:pPr>
              <w:spacing w:after="0"/>
              <w:rPr>
                <w:sz w:val="1"/>
                <w:szCs w:val="1"/>
                <w:color w:val="auto"/>
              </w:rPr>
            </w:pPr>
          </w:p>
        </w:tc>
      </w:tr>
      <w:tr>
        <w:trPr>
          <w:trHeight w:val="63"/>
        </w:trPr>
        <w:tc>
          <w:tcPr>
            <w:tcW w:w="82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6" w:name="page87"/>
    <w:bookmarkEnd w:id="8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499"/>
        <w:spacing w:after="0" w:line="260" w:lineRule="auto"/>
        <w:rPr>
          <w:sz w:val="20"/>
          <w:szCs w:val="20"/>
          <w:color w:val="auto"/>
        </w:rPr>
      </w:pPr>
      <w:r>
        <w:rPr>
          <w:rFonts w:ascii="Arial" w:cs="Arial" w:eastAsia="Arial" w:hAnsi="Arial"/>
          <w:sz w:val="16"/>
          <w:szCs w:val="16"/>
          <w:color w:val="auto"/>
        </w:rPr>
        <w:t>fixed or in accordance with the terms of the allotment. If it is not paid these Articles shall apply as if that sum had become due and payable by virtue of a call duly made and notified.</w:t>
      </w:r>
    </w:p>
    <w:p>
      <w:pPr>
        <w:spacing w:after="0" w:line="74" w:lineRule="exact"/>
        <w:rPr>
          <w:sz w:val="20"/>
          <w:szCs w:val="20"/>
          <w:color w:val="auto"/>
        </w:rPr>
      </w:pPr>
    </w:p>
    <w:p>
      <w:pPr>
        <w:ind w:left="1200" w:right="739" w:hanging="431"/>
        <w:spacing w:after="0" w:line="260" w:lineRule="auto"/>
        <w:tabs>
          <w:tab w:leader="none" w:pos="1180" w:val="left"/>
        </w:tabs>
        <w:rPr>
          <w:sz w:val="20"/>
          <w:szCs w:val="20"/>
          <w:color w:val="auto"/>
        </w:rPr>
      </w:pPr>
      <w:r>
        <w:rPr>
          <w:rFonts w:ascii="Arial" w:cs="Arial" w:eastAsia="Arial" w:hAnsi="Arial"/>
          <w:sz w:val="16"/>
          <w:szCs w:val="16"/>
          <w:color w:val="auto"/>
        </w:rPr>
        <w:t>9.7</w:t>
        <w:tab/>
        <w:t xml:space="preserve">Subject to the terms of allotment,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on the issue of shares differentiate between the allottees or holders in the amounts and times of payment of calls on their shares.</w:t>
      </w:r>
    </w:p>
    <w:p>
      <w:pPr>
        <w:spacing w:after="0" w:line="74" w:lineRule="exact"/>
        <w:rPr>
          <w:sz w:val="20"/>
          <w:szCs w:val="20"/>
          <w:color w:val="auto"/>
        </w:rPr>
      </w:pPr>
    </w:p>
    <w:p>
      <w:pPr>
        <w:ind w:left="1200" w:right="239" w:hanging="431"/>
        <w:spacing w:after="0" w:line="248" w:lineRule="auto"/>
        <w:tabs>
          <w:tab w:leader="none" w:pos="1180" w:val="left"/>
        </w:tabs>
        <w:rPr>
          <w:sz w:val="20"/>
          <w:szCs w:val="20"/>
          <w:color w:val="auto"/>
        </w:rPr>
      </w:pPr>
      <w:r>
        <w:rPr>
          <w:rFonts w:ascii="Arial" w:cs="Arial" w:eastAsia="Arial" w:hAnsi="Arial"/>
          <w:sz w:val="16"/>
          <w:szCs w:val="16"/>
          <w:color w:val="auto"/>
        </w:rPr>
        <w:t>9.8</w:t>
        <w:tab/>
        <w:t xml:space="preserve">The Board may, if it thinks fit, receive from any member willing to advance it all or any part of the amount unpaid on any shares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the appropriate rate (as defined in the Companies Act).</w:t>
      </w:r>
    </w:p>
    <w:p>
      <w:pPr>
        <w:spacing w:after="0" w:line="53" w:lineRule="exact"/>
        <w:rPr>
          <w:sz w:val="20"/>
          <w:szCs w:val="20"/>
          <w:color w:val="auto"/>
        </w:rPr>
      </w:pPr>
    </w:p>
    <w:p>
      <w:pPr>
        <w:ind w:left="1200" w:hanging="436"/>
        <w:spacing w:after="0"/>
        <w:tabs>
          <w:tab w:leader="none" w:pos="120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FORFEITURE AND SURRENDER</w:t>
      </w:r>
    </w:p>
    <w:p>
      <w:pPr>
        <w:spacing w:after="0" w:line="120" w:lineRule="exact"/>
        <w:rPr>
          <w:sz w:val="20"/>
          <w:szCs w:val="20"/>
          <w:color w:val="auto"/>
        </w:rPr>
      </w:pPr>
    </w:p>
    <w:p>
      <w:pPr>
        <w:ind w:left="1200" w:right="259" w:hanging="431"/>
        <w:spacing w:after="0" w:line="250" w:lineRule="auto"/>
        <w:rPr>
          <w:sz w:val="20"/>
          <w:szCs w:val="20"/>
          <w:color w:val="auto"/>
        </w:rPr>
      </w:pPr>
      <w:r>
        <w:rPr>
          <w:rFonts w:ascii="Arial" w:cs="Arial" w:eastAsia="Arial" w:hAnsi="Arial"/>
          <w:sz w:val="16"/>
          <w:szCs w:val="16"/>
          <w:color w:val="auto"/>
        </w:rPr>
        <w:t>10.1 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81"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10.2  If the notice is not complied with, any share in respect of which it was given may, at any time before the payment required by</w:t>
      </w:r>
    </w:p>
    <w:p>
      <w:pPr>
        <w:spacing w:after="0" w:line="17" w:lineRule="exact"/>
        <w:rPr>
          <w:sz w:val="20"/>
          <w:szCs w:val="20"/>
          <w:color w:val="auto"/>
        </w:rPr>
      </w:pPr>
    </w:p>
    <w:p>
      <w:pPr>
        <w:ind w:left="1200" w:right="239"/>
        <w:spacing w:after="0" w:line="249" w:lineRule="auto"/>
        <w:rPr>
          <w:sz w:val="20"/>
          <w:szCs w:val="20"/>
          <w:color w:val="auto"/>
        </w:rPr>
      </w:pPr>
      <w:r>
        <w:rPr>
          <w:rFonts w:ascii="Arial" w:cs="Arial" w:eastAsia="Arial" w:hAnsi="Arial"/>
          <w:sz w:val="16"/>
          <w:szCs w:val="16"/>
          <w:color w:val="auto"/>
        </w:rPr>
        <w:t>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70" w:lineRule="exact"/>
        <w:rPr>
          <w:sz w:val="20"/>
          <w:szCs w:val="20"/>
          <w:color w:val="auto"/>
        </w:rPr>
      </w:pPr>
    </w:p>
    <w:p>
      <w:pPr>
        <w:ind w:left="1200" w:right="239" w:hanging="431"/>
        <w:spacing w:after="0" w:line="248" w:lineRule="auto"/>
        <w:rPr>
          <w:sz w:val="20"/>
          <w:szCs w:val="20"/>
          <w:color w:val="auto"/>
        </w:rPr>
      </w:pPr>
      <w:r>
        <w:rPr>
          <w:rFonts w:ascii="Arial" w:cs="Arial" w:eastAsia="Arial" w:hAnsi="Arial"/>
          <w:sz w:val="16"/>
          <w:szCs w:val="16"/>
          <w:color w:val="auto"/>
        </w:rPr>
        <w:t>10.3 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4.9. The Company may receive the consideration given for the share on its disposal and register the transferee as the holder of the share.</w:t>
      </w:r>
    </w:p>
    <w:p>
      <w:pPr>
        <w:spacing w:after="0" w:line="86" w:lineRule="exact"/>
        <w:rPr>
          <w:sz w:val="20"/>
          <w:szCs w:val="20"/>
          <w:color w:val="auto"/>
        </w:rPr>
      </w:pPr>
    </w:p>
    <w:p>
      <w:pPr>
        <w:ind w:left="1200" w:right="279" w:hanging="431"/>
        <w:spacing w:after="0" w:line="248" w:lineRule="auto"/>
        <w:rPr>
          <w:sz w:val="20"/>
          <w:szCs w:val="20"/>
          <w:color w:val="auto"/>
        </w:rPr>
      </w:pPr>
      <w:r>
        <w:rPr>
          <w:rFonts w:ascii="Arial" w:cs="Arial" w:eastAsia="Arial" w:hAnsi="Arial"/>
          <w:sz w:val="16"/>
          <w:szCs w:val="16"/>
          <w:color w:val="auto"/>
        </w:rPr>
        <w:t xml:space="preserve">10.4 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the Company in respect of that share plus interest at the rate at which interest was payable on those amounts before the forfeiture or, if no interest was so payable, at the rate determined by the Board, not exceeding </w:t>
      </w:r>
      <w:r>
        <w:rPr>
          <w:rFonts w:ascii="Arial" w:cs="Arial" w:eastAsia="Arial" w:hAnsi="Arial"/>
          <w:sz w:val="16"/>
          <w:szCs w:val="16"/>
          <w:color w:val="auto"/>
          <w:strike w:val="1"/>
        </w:rPr>
        <w:t>20</w:t>
      </w:r>
      <w:r>
        <w:rPr>
          <w:rFonts w:ascii="Arial" w:cs="Arial" w:eastAsia="Arial" w:hAnsi="Arial"/>
          <w:sz w:val="16"/>
          <w:szCs w:val="16"/>
          <w:u w:val="single" w:color="auto"/>
          <w:color w:val="auto"/>
        </w:rPr>
        <w:t>15</w:t>
      </w:r>
      <w:r>
        <w:rPr>
          <w:rFonts w:ascii="Arial" w:cs="Arial" w:eastAsia="Arial" w:hAnsi="Arial"/>
          <w:sz w:val="16"/>
          <w:szCs w:val="16"/>
          <w:color w:val="auto"/>
        </w:rPr>
        <w:t xml:space="preserve">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86" w:lineRule="exact"/>
        <w:rPr>
          <w:sz w:val="20"/>
          <w:szCs w:val="20"/>
          <w:color w:val="auto"/>
        </w:rPr>
      </w:pPr>
    </w:p>
    <w:p>
      <w:pPr>
        <w:ind w:left="1200" w:right="379" w:hanging="431"/>
        <w:spacing w:after="0" w:line="293" w:lineRule="auto"/>
        <w:rPr>
          <w:sz w:val="20"/>
          <w:szCs w:val="20"/>
          <w:color w:val="auto"/>
        </w:rPr>
      </w:pPr>
      <w:r>
        <w:rPr>
          <w:rFonts w:ascii="Arial" w:cs="Arial" w:eastAsia="Arial" w:hAnsi="Arial"/>
          <w:sz w:val="15"/>
          <w:szCs w:val="15"/>
          <w:color w:val="auto"/>
        </w:rPr>
        <w:t>10.5 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38" w:lineRule="exact"/>
        <w:rPr>
          <w:sz w:val="20"/>
          <w:szCs w:val="20"/>
          <w:color w:val="auto"/>
        </w:rPr>
      </w:pPr>
    </w:p>
    <w:p>
      <w:pPr>
        <w:ind w:left="1200" w:right="299" w:hanging="431"/>
        <w:spacing w:after="0" w:line="251" w:lineRule="auto"/>
        <w:rPr>
          <w:sz w:val="20"/>
          <w:szCs w:val="20"/>
          <w:color w:val="auto"/>
        </w:rPr>
      </w:pPr>
      <w:r>
        <w:rPr>
          <w:rFonts w:ascii="Arial" w:cs="Arial" w:eastAsia="Arial" w:hAnsi="Arial"/>
          <w:sz w:val="16"/>
          <w:szCs w:val="16"/>
          <w:color w:val="auto"/>
        </w:rPr>
        <w:t>10.6 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81" w:lineRule="exact"/>
        <w:rPr>
          <w:sz w:val="20"/>
          <w:szCs w:val="20"/>
          <w:color w:val="auto"/>
        </w:rPr>
      </w:pPr>
    </w:p>
    <w:p>
      <w:pPr>
        <w:ind w:left="1200" w:right="359" w:hanging="431"/>
        <w:spacing w:after="0" w:line="249" w:lineRule="auto"/>
        <w:rPr>
          <w:sz w:val="20"/>
          <w:szCs w:val="20"/>
          <w:color w:val="auto"/>
        </w:rPr>
      </w:pPr>
      <w:r>
        <w:rPr>
          <w:rFonts w:ascii="Arial" w:cs="Arial" w:eastAsia="Arial" w:hAnsi="Arial"/>
          <w:sz w:val="16"/>
          <w:szCs w:val="16"/>
          <w:color w:val="auto"/>
        </w:rPr>
        <w:t xml:space="preserve">10.7 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 be affected by any irregularity in or invalidity of the proceedings relating to the forfeiture or disposal of the share.</w:t>
      </w:r>
    </w:p>
    <w:p>
      <w:pPr>
        <w:spacing w:after="0" w:line="102" w:lineRule="exact"/>
        <w:rPr>
          <w:sz w:val="20"/>
          <w:szCs w:val="20"/>
          <w:color w:val="auto"/>
        </w:rPr>
      </w:pPr>
    </w:p>
    <w:p>
      <w:pPr>
        <w:ind w:left="480"/>
        <w:spacing w:after="0"/>
        <w:tabs>
          <w:tab w:leader="none" w:pos="4400" w:val="left"/>
          <w:tab w:leader="none" w:pos="8760" w:val="left"/>
        </w:tabs>
        <w:rPr>
          <w:sz w:val="20"/>
          <w:szCs w:val="20"/>
          <w:color w:val="auto"/>
        </w:rPr>
      </w:pPr>
      <w:r>
        <w:rPr>
          <w:rFonts w:ascii="Arial" w:cs="Arial" w:eastAsia="Arial" w:hAnsi="Arial"/>
          <w:sz w:val="28"/>
          <w:szCs w:val="28"/>
          <w:b w:val="1"/>
          <w:bCs w:val="1"/>
          <w:color w:val="000000"/>
          <w:vertAlign w:val="subscript"/>
        </w:rPr>
        <w:t>A-8</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-2540</wp:posOffset>
            </wp:positionV>
            <wp:extent cx="19545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TRANSFER OF SHARES</w:t>
      </w:r>
    </w:p>
    <w:p>
      <w:pPr>
        <w:spacing w:after="0" w:line="120" w:lineRule="exact"/>
        <w:rPr>
          <w:sz w:val="20"/>
          <w:szCs w:val="20"/>
          <w:color w:val="auto"/>
        </w:rPr>
      </w:pPr>
    </w:p>
    <w:p>
      <w:pPr>
        <w:jc w:val="both"/>
        <w:ind w:left="1200" w:right="960" w:hanging="431"/>
        <w:spacing w:after="0" w:line="273" w:lineRule="auto"/>
        <w:rPr>
          <w:sz w:val="20"/>
          <w:szCs w:val="20"/>
          <w:color w:val="auto"/>
        </w:rPr>
      </w:pPr>
      <w:r>
        <w:rPr>
          <w:rFonts w:ascii="Arial" w:cs="Arial" w:eastAsia="Arial" w:hAnsi="Arial"/>
          <w:sz w:val="15"/>
          <w:szCs w:val="15"/>
          <w:color w:val="auto"/>
        </w:rPr>
        <w:t>11.1 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66" w:lineRule="exact"/>
        <w:rPr>
          <w:sz w:val="20"/>
          <w:szCs w:val="20"/>
          <w:color w:val="auto"/>
        </w:rPr>
      </w:pPr>
    </w:p>
    <w:p>
      <w:pPr>
        <w:ind w:left="1200" w:right="800" w:hanging="431"/>
        <w:spacing w:after="0" w:line="251" w:lineRule="auto"/>
        <w:rPr>
          <w:sz w:val="20"/>
          <w:szCs w:val="20"/>
          <w:color w:val="auto"/>
        </w:rPr>
      </w:pPr>
      <w:r>
        <w:rPr>
          <w:rFonts w:ascii="Arial" w:cs="Arial" w:eastAsia="Arial" w:hAnsi="Arial"/>
          <w:sz w:val="16"/>
          <w:szCs w:val="16"/>
          <w:color w:val="auto"/>
        </w:rPr>
        <w:t xml:space="preserve">11.2 Each member may transfer all 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81" w:lineRule="exact"/>
        <w:rPr>
          <w:sz w:val="20"/>
          <w:szCs w:val="20"/>
          <w:color w:val="auto"/>
        </w:rPr>
      </w:pPr>
    </w:p>
    <w:p>
      <w:pPr>
        <w:jc w:val="both"/>
        <w:ind w:left="1200" w:right="1140" w:hanging="431"/>
        <w:spacing w:after="0" w:line="253" w:lineRule="auto"/>
        <w:rPr>
          <w:sz w:val="20"/>
          <w:szCs w:val="20"/>
          <w:color w:val="auto"/>
        </w:rPr>
      </w:pPr>
      <w:r>
        <w:rPr>
          <w:rFonts w:ascii="Arial" w:cs="Arial" w:eastAsia="Arial" w:hAnsi="Arial"/>
          <w:sz w:val="16"/>
          <w:szCs w:val="16"/>
          <w:color w:val="auto"/>
        </w:rPr>
        <w:t xml:space="preserve">11.3 The Board may, in its absolute discretion, refuse to register the transfer of a share in certificated form if it is not fully paid </w:t>
      </w:r>
      <w:r>
        <w:rPr>
          <w:rFonts w:ascii="Arial" w:cs="Arial" w:eastAsia="Arial" w:hAnsi="Arial"/>
          <w:sz w:val="16"/>
          <w:szCs w:val="16"/>
          <w:color w:val="auto"/>
          <w:strike w:val="1"/>
        </w:rPr>
        <w:t>provided that the refusal does not prevent dealings in shares in the Company from taking place on an open and proper basis.</w:t>
      </w:r>
      <w:r>
        <w:rPr>
          <w:rFonts w:ascii="Arial" w:cs="Arial" w:eastAsia="Arial" w:hAnsi="Arial"/>
          <w:sz w:val="16"/>
          <w:szCs w:val="16"/>
          <w:u w:val="single" w:color="auto"/>
          <w:color w:val="auto"/>
          <w:strike w:val="1"/>
        </w:rPr>
        <w:t>.</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11.4  The Board may, in its absolute discretion, also refuse to register the transfer of a share in certificated form:</w:t>
      </w:r>
    </w:p>
    <w:p>
      <w:pPr>
        <w:spacing w:after="0" w:line="100" w:lineRule="exact"/>
        <w:rPr>
          <w:sz w:val="20"/>
          <w:szCs w:val="20"/>
          <w:color w:val="auto"/>
        </w:rPr>
      </w:pPr>
    </w:p>
    <w:p>
      <w:pPr>
        <w:ind w:left="1620" w:hanging="424"/>
        <w:spacing w:after="0"/>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unless the instrument of transfer:</w:t>
      </w:r>
    </w:p>
    <w:p>
      <w:pPr>
        <w:spacing w:after="0" w:line="99" w:lineRule="exact"/>
        <w:rPr>
          <w:rFonts w:ascii="Arial" w:cs="Arial" w:eastAsia="Arial" w:hAnsi="Arial"/>
          <w:sz w:val="16"/>
          <w:szCs w:val="16"/>
          <w:color w:val="auto"/>
        </w:rPr>
      </w:pPr>
    </w:p>
    <w:p>
      <w:pPr>
        <w:ind w:left="2060" w:right="820" w:hanging="432"/>
        <w:spacing w:after="0" w:line="251" w:lineRule="auto"/>
        <w:tabs>
          <w:tab w:leader="none" w:pos="20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is lodged, duly stamped, at the Office or such other place as the Board has appointed, accompanied by the certificate for the share to which it relates, or such other evidence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reasonably require to show the transferor’s right to make the transfer, or evidence of the right of someone other than the transferor to make the transfer on the transferor’s behalf;</w:t>
      </w:r>
    </w:p>
    <w:p>
      <w:pPr>
        <w:spacing w:after="0" w:line="67" w:lineRule="exact"/>
        <w:rPr>
          <w:rFonts w:ascii="Arial" w:cs="Arial" w:eastAsia="Arial" w:hAnsi="Arial"/>
          <w:sz w:val="16"/>
          <w:szCs w:val="16"/>
          <w:color w:val="auto"/>
        </w:rPr>
      </w:pPr>
    </w:p>
    <w:p>
      <w:pPr>
        <w:ind w:left="2060" w:hanging="432"/>
        <w:spacing w:after="0"/>
        <w:tabs>
          <w:tab w:leader="none" w:pos="20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is in respect of only one class of shares; and</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is in favour of not more than four transferees; or</w:t>
      </w:r>
    </w:p>
    <w:p>
      <w:pPr>
        <w:spacing w:after="0" w:line="99" w:lineRule="exact"/>
        <w:rPr>
          <w:rFonts w:ascii="Arial" w:cs="Arial" w:eastAsia="Arial" w:hAnsi="Arial"/>
          <w:sz w:val="16"/>
          <w:szCs w:val="16"/>
          <w:color w:val="auto"/>
        </w:rPr>
      </w:pPr>
    </w:p>
    <w:p>
      <w:pPr>
        <w:ind w:left="1620" w:right="1000" w:hanging="424"/>
        <w:spacing w:after="0" w:line="253" w:lineRule="auto"/>
        <w:tabs>
          <w:tab w:leader="none" w:pos="16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66" w:lineRule="exact"/>
        <w:rPr>
          <w:sz w:val="20"/>
          <w:szCs w:val="20"/>
          <w:color w:val="auto"/>
        </w:rPr>
      </w:pPr>
    </w:p>
    <w:p>
      <w:pPr>
        <w:ind w:left="1200" w:right="780" w:hanging="431"/>
        <w:spacing w:after="0" w:line="260" w:lineRule="auto"/>
        <w:rPr>
          <w:sz w:val="20"/>
          <w:szCs w:val="20"/>
          <w:color w:val="auto"/>
        </w:rPr>
      </w:pPr>
      <w:r>
        <w:rPr>
          <w:rFonts w:ascii="Arial" w:cs="Arial" w:eastAsia="Arial" w:hAnsi="Arial"/>
          <w:sz w:val="16"/>
          <w:szCs w:val="16"/>
          <w:color w:val="auto"/>
        </w:rPr>
        <w:t>11.5 The Board may also refuse to register a transfer of uncertificated shares in any circumstances that are allowed or required by the Uncertificated Securities Rules and the relevant system.</w:t>
      </w:r>
    </w:p>
    <w:p>
      <w:pPr>
        <w:spacing w:after="0" w:line="74" w:lineRule="exact"/>
        <w:rPr>
          <w:sz w:val="20"/>
          <w:szCs w:val="20"/>
          <w:color w:val="auto"/>
        </w:rPr>
      </w:pPr>
    </w:p>
    <w:p>
      <w:pPr>
        <w:ind w:left="1200" w:right="920" w:hanging="431"/>
        <w:spacing w:after="0" w:line="250" w:lineRule="auto"/>
        <w:rPr>
          <w:sz w:val="20"/>
          <w:szCs w:val="20"/>
          <w:color w:val="auto"/>
        </w:rPr>
      </w:pPr>
      <w:r>
        <w:rPr>
          <w:rFonts w:ascii="Arial" w:cs="Arial" w:eastAsia="Arial" w:hAnsi="Arial"/>
          <w:sz w:val="16"/>
          <w:szCs w:val="16"/>
          <w:color w:val="auto"/>
        </w:rPr>
        <w:t xml:space="preserve">11.6 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w:t>
      </w:r>
      <w:r>
        <w:rPr>
          <w:rFonts w:ascii="Arial" w:cs="Arial" w:eastAsia="Arial" w:hAnsi="Arial"/>
          <w:sz w:val="16"/>
          <w:szCs w:val="16"/>
          <w:u w:val="single" w:color="auto"/>
          <w:color w:val="auto"/>
        </w:rPr>
        <w:t>were</w:t>
      </w:r>
      <w:r>
        <w:rPr>
          <w:rFonts w:ascii="Arial" w:cs="Arial" w:eastAsia="Arial" w:hAnsi="Arial"/>
          <w:sz w:val="16"/>
          <w:szCs w:val="16"/>
          <w:color w:val="auto"/>
        </w:rPr>
        <w:t xml:space="preserve"> received. The Board shall send to the transferee such further information about the reasons for the refusal as the transferee may reasonably request.</w:t>
      </w:r>
    </w:p>
    <w:p>
      <w:pPr>
        <w:spacing w:after="0" w:line="81" w:lineRule="exact"/>
        <w:rPr>
          <w:sz w:val="20"/>
          <w:szCs w:val="20"/>
          <w:color w:val="auto"/>
        </w:rPr>
      </w:pPr>
    </w:p>
    <w:p>
      <w:pPr>
        <w:ind w:left="1200" w:right="1320" w:hanging="431"/>
        <w:spacing w:after="0" w:line="260" w:lineRule="auto"/>
        <w:rPr>
          <w:sz w:val="20"/>
          <w:szCs w:val="20"/>
          <w:color w:val="auto"/>
        </w:rPr>
      </w:pPr>
      <w:r>
        <w:rPr>
          <w:rFonts w:ascii="Arial" w:cs="Arial" w:eastAsia="Arial" w:hAnsi="Arial"/>
          <w:sz w:val="16"/>
          <w:szCs w:val="16"/>
          <w:color w:val="auto"/>
        </w:rPr>
        <w:t>11.7 No fee shall be charged for the registration of any instrument of transfer or other document or instruction relating to or affecting the title to any share.</w:t>
      </w:r>
    </w:p>
    <w:p>
      <w:pPr>
        <w:spacing w:after="0" w:line="60" w:lineRule="exact"/>
        <w:rPr>
          <w:sz w:val="20"/>
          <w:szCs w:val="20"/>
          <w:color w:val="auto"/>
        </w:rPr>
      </w:pPr>
    </w:p>
    <w:p>
      <w:pPr>
        <w:ind w:left="1200" w:right="800" w:hanging="431"/>
        <w:spacing w:after="0" w:line="253" w:lineRule="auto"/>
        <w:rPr>
          <w:sz w:val="20"/>
          <w:szCs w:val="20"/>
          <w:color w:val="auto"/>
        </w:rPr>
      </w:pPr>
      <w:r>
        <w:rPr>
          <w:rFonts w:ascii="Arial" w:cs="Arial" w:eastAsia="Arial" w:hAnsi="Arial"/>
          <w:sz w:val="16"/>
          <w:szCs w:val="16"/>
          <w:color w:val="auto"/>
        </w:rPr>
        <w:t>11.8 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80" w:lineRule="exact"/>
        <w:rPr>
          <w:sz w:val="20"/>
          <w:szCs w:val="20"/>
          <w:color w:val="auto"/>
        </w:rPr>
      </w:pPr>
    </w:p>
    <w:p>
      <w:pPr>
        <w:ind w:left="1200" w:right="1300" w:hanging="431"/>
        <w:spacing w:after="0" w:line="260" w:lineRule="auto"/>
        <w:rPr>
          <w:sz w:val="20"/>
          <w:szCs w:val="20"/>
          <w:color w:val="auto"/>
        </w:rPr>
      </w:pPr>
      <w:r>
        <w:rPr>
          <w:rFonts w:ascii="Arial" w:cs="Arial" w:eastAsia="Arial" w:hAnsi="Arial"/>
          <w:sz w:val="16"/>
          <w:szCs w:val="16"/>
          <w:color w:val="auto"/>
        </w:rPr>
        <w:t>11.9 Nothing in these Articles shall preclude the Board from recognising a renunciation of the allotment of any share by the allottee in favour of some other person.</w:t>
      </w:r>
    </w:p>
    <w:p>
      <w:pPr>
        <w:spacing w:after="0" w:line="54" w:lineRule="exact"/>
        <w:rPr>
          <w:sz w:val="20"/>
          <w:szCs w:val="20"/>
          <w:color w:val="auto"/>
        </w:rPr>
      </w:pPr>
    </w:p>
    <w:p>
      <w:pPr>
        <w:ind w:left="1200" w:hanging="436"/>
        <w:spacing w:after="0"/>
        <w:tabs>
          <w:tab w:leader="none" w:pos="1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w:t>
      </w:r>
    </w:p>
    <w:p>
      <w:pPr>
        <w:spacing w:after="0" w:line="106"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12.1 If a member dies, the survivor or survivors where </w:t>
      </w:r>
      <w:r>
        <w:rPr>
          <w:rFonts w:ascii="Arial" w:cs="Arial" w:eastAsia="Arial" w:hAnsi="Arial"/>
          <w:sz w:val="16"/>
          <w:szCs w:val="16"/>
          <w:color w:val="auto"/>
          <w:strike w:val="1"/>
        </w:rPr>
        <w:t>he was</w:t>
      </w:r>
      <w:r>
        <w:rPr>
          <w:rFonts w:ascii="Arial" w:cs="Arial" w:eastAsia="Arial" w:hAnsi="Arial"/>
          <w:sz w:val="16"/>
          <w:szCs w:val="16"/>
          <w:u w:val="single" w:color="auto"/>
          <w:color w:val="auto"/>
        </w:rPr>
        <w:t>they were</w:t>
      </w:r>
      <w:r>
        <w:rPr>
          <w:rFonts w:ascii="Arial" w:cs="Arial" w:eastAsia="Arial" w:hAnsi="Arial"/>
          <w:sz w:val="16"/>
          <w:szCs w:val="16"/>
          <w:color w:val="auto"/>
        </w:rPr>
        <w:t xml:space="preserve"> a joint holder,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personal representatives where </w:t>
      </w:r>
      <w:r>
        <w:rPr>
          <w:rFonts w:ascii="Arial" w:cs="Arial" w:eastAsia="Arial" w:hAnsi="Arial"/>
          <w:sz w:val="16"/>
          <w:szCs w:val="16"/>
          <w:color w:val="auto"/>
          <w:strike w:val="1"/>
        </w:rPr>
        <w:t>he was</w:t>
      </w:r>
      <w:r>
        <w:rPr>
          <w:rFonts w:ascii="Arial" w:cs="Arial" w:eastAsia="Arial" w:hAnsi="Arial"/>
          <w:sz w:val="16"/>
          <w:szCs w:val="16"/>
          <w:u w:val="single" w:color="auto"/>
          <w:color w:val="auto"/>
        </w:rPr>
        <w:t>they were</w:t>
      </w:r>
      <w:r>
        <w:rPr>
          <w:rFonts w:ascii="Arial" w:cs="Arial" w:eastAsia="Arial" w:hAnsi="Arial"/>
          <w:sz w:val="16"/>
          <w:szCs w:val="16"/>
          <w:color w:val="auto"/>
        </w:rPr>
        <w:t xml:space="preserve"> a sole holder or the only survivor of joint holders, shall be the only persons recognised by the Company as having any title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but nothing in this Article 12.1 shall release the estate of a deceased member from any liability in respect of any share which had been solely or jointly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81" w:lineRule="exact"/>
        <w:rPr>
          <w:sz w:val="20"/>
          <w:szCs w:val="20"/>
          <w:color w:val="auto"/>
        </w:rPr>
      </w:pPr>
    </w:p>
    <w:p>
      <w:pPr>
        <w:ind w:left="1200" w:right="840" w:hanging="431"/>
        <w:spacing w:after="0" w:line="248" w:lineRule="auto"/>
        <w:rPr>
          <w:sz w:val="20"/>
          <w:szCs w:val="20"/>
          <w:color w:val="auto"/>
        </w:rPr>
      </w:pPr>
      <w:r>
        <w:rPr>
          <w:rFonts w:ascii="Arial" w:cs="Arial" w:eastAsia="Arial" w:hAnsi="Arial"/>
          <w:sz w:val="16"/>
          <w:szCs w:val="16"/>
          <w:color w:val="auto"/>
        </w:rPr>
        <w:t xml:space="preserve">12.2 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registered as the transferee.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 elect</w:t>
      </w:r>
      <w:r>
        <w:rPr>
          <w:rFonts w:ascii="Arial" w:cs="Arial" w:eastAsia="Arial" w:hAnsi="Arial"/>
          <w:sz w:val="16"/>
          <w:szCs w:val="16"/>
          <w:color w:val="auto"/>
        </w:rPr>
        <w:t xml:space="preserve"> to become the holder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give notice to the Company to that effect.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 elect</w:t>
      </w:r>
      <w:r>
        <w:rPr>
          <w:rFonts w:ascii="Arial" w:cs="Arial" w:eastAsia="Arial" w:hAnsi="Arial"/>
          <w:sz w:val="16"/>
          <w:szCs w:val="16"/>
          <w:color w:val="auto"/>
        </w:rPr>
        <w:t xml:space="preserve"> to have another person registered, and the share is a certificated share,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execute an instrument of transfer of the share to that person. If </w:t>
      </w:r>
      <w:r>
        <w:rPr>
          <w:rFonts w:ascii="Arial" w:cs="Arial" w:eastAsia="Arial" w:hAnsi="Arial"/>
          <w:sz w:val="16"/>
          <w:szCs w:val="16"/>
          <w:color w:val="auto"/>
          <w:strike w:val="1"/>
        </w:rPr>
        <w:t>he elects</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w:t>
      </w:r>
      <w:r>
        <w:rPr>
          <w:rFonts w:ascii="Arial" w:cs="Arial" w:eastAsia="Arial" w:hAnsi="Arial"/>
          <w:sz w:val="16"/>
          <w:szCs w:val="16"/>
          <w:color w:val="auto"/>
        </w:rPr>
        <w:t xml:space="preserve"> to have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another person registered and the share is an uncertificated share,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take any action the Board may require (including without limitation the execution of any document) to enable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that person to be registered as the holder of the share. All the provisions of these Articles relating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vMerge w:val="restart"/>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760" w:type="dxa"/>
            <w:vAlign w:val="bottom"/>
            <w:vMerge w:val="restart"/>
          </w:tcPr>
          <w:p>
            <w:pPr>
              <w:ind w:left="40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A-9</w:t>
            </w:r>
          </w:p>
        </w:tc>
        <w:tc>
          <w:tcPr>
            <w:tcW w:w="0" w:type="dxa"/>
            <w:vAlign w:val="bottom"/>
          </w:tcPr>
          <w:p>
            <w:pPr>
              <w:spacing w:after="0"/>
              <w:rPr>
                <w:sz w:val="1"/>
                <w:szCs w:val="1"/>
                <w:color w:val="auto"/>
              </w:rPr>
            </w:pPr>
          </w:p>
        </w:tc>
      </w:tr>
      <w:tr>
        <w:trPr>
          <w:trHeight w:val="49"/>
        </w:trPr>
        <w:tc>
          <w:tcPr>
            <w:tcW w:w="82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276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2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276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88" w:name="page89"/>
    <w:bookmarkEnd w:id="8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59"/>
        <w:spacing w:after="0" w:line="260" w:lineRule="auto"/>
        <w:rPr>
          <w:sz w:val="20"/>
          <w:szCs w:val="20"/>
          <w:color w:val="auto"/>
        </w:rPr>
      </w:pPr>
      <w:r>
        <w:rPr>
          <w:rFonts w:ascii="Arial" w:cs="Arial" w:eastAsia="Arial" w:hAnsi="Arial"/>
          <w:sz w:val="16"/>
          <w:szCs w:val="16"/>
          <w:color w:val="auto"/>
        </w:rPr>
        <w:t>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74" w:lineRule="exact"/>
        <w:rPr>
          <w:sz w:val="20"/>
          <w:szCs w:val="20"/>
          <w:color w:val="auto"/>
        </w:rPr>
      </w:pPr>
    </w:p>
    <w:p>
      <w:pPr>
        <w:ind w:left="1200" w:right="519" w:hanging="431"/>
        <w:spacing w:after="0" w:line="260" w:lineRule="auto"/>
        <w:rPr>
          <w:sz w:val="20"/>
          <w:szCs w:val="20"/>
          <w:color w:val="auto"/>
        </w:rPr>
      </w:pPr>
      <w:r>
        <w:rPr>
          <w:rFonts w:ascii="Arial" w:cs="Arial" w:eastAsia="Arial" w:hAnsi="Arial"/>
          <w:sz w:val="16"/>
          <w:szCs w:val="16"/>
          <w:color w:val="auto"/>
        </w:rPr>
        <w:t>12.3 A person entitled by transmission to a share in uncertificated form who elects to have some other person registered shall either:</w:t>
      </w:r>
    </w:p>
    <w:p>
      <w:pPr>
        <w:spacing w:after="0" w:line="60" w:lineRule="exact"/>
        <w:rPr>
          <w:sz w:val="20"/>
          <w:szCs w:val="20"/>
          <w:color w:val="auto"/>
        </w:rPr>
      </w:pPr>
    </w:p>
    <w:p>
      <w:pPr>
        <w:ind w:left="1620" w:right="459" w:hanging="424"/>
        <w:spacing w:after="0" w:line="260" w:lineRule="auto"/>
        <w:tabs>
          <w:tab w:leader="none" w:pos="1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procure that instructions are given by means of the relevant system to effect transfer of such uncertificated share to that person;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change the uncertificated share to </w:t>
      </w:r>
      <w:r>
        <w:rPr>
          <w:rFonts w:ascii="Arial" w:cs="Arial" w:eastAsia="Arial" w:hAnsi="Arial"/>
          <w:sz w:val="16"/>
          <w:szCs w:val="16"/>
          <w:color w:val="auto"/>
          <w:strike w:val="1"/>
        </w:rPr>
        <w:t>certified</w:t>
      </w:r>
      <w:r>
        <w:rPr>
          <w:rFonts w:ascii="Arial" w:cs="Arial" w:eastAsia="Arial" w:hAnsi="Arial"/>
          <w:sz w:val="16"/>
          <w:szCs w:val="16"/>
          <w:u w:val="single" w:color="auto"/>
          <w:color w:val="auto"/>
        </w:rPr>
        <w:t>certificated</w:t>
      </w:r>
      <w:r>
        <w:rPr>
          <w:rFonts w:ascii="Arial" w:cs="Arial" w:eastAsia="Arial" w:hAnsi="Arial"/>
          <w:sz w:val="16"/>
          <w:szCs w:val="16"/>
          <w:color w:val="auto"/>
        </w:rPr>
        <w:t xml:space="preserve"> form and execute an instrument of transfer to that person.</w:t>
      </w:r>
    </w:p>
    <w:p>
      <w:pPr>
        <w:spacing w:after="0" w:line="86" w:lineRule="exact"/>
        <w:rPr>
          <w:sz w:val="20"/>
          <w:szCs w:val="20"/>
          <w:color w:val="auto"/>
        </w:rPr>
      </w:pPr>
    </w:p>
    <w:p>
      <w:pPr>
        <w:ind w:left="1200" w:right="239" w:hanging="431"/>
        <w:spacing w:after="0" w:line="251" w:lineRule="auto"/>
        <w:rPr>
          <w:sz w:val="20"/>
          <w:szCs w:val="20"/>
          <w:color w:val="auto"/>
        </w:rPr>
      </w:pPr>
      <w:r>
        <w:rPr>
          <w:rFonts w:ascii="Arial" w:cs="Arial" w:eastAsia="Arial" w:hAnsi="Arial"/>
          <w:sz w:val="16"/>
          <w:szCs w:val="16"/>
          <w:color w:val="auto"/>
        </w:rPr>
        <w:t xml:space="preserve">12.4 The Board may at any time send a notice requiring any such person referred to in Article 12.2 to elect either to be registered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81" w:lineRule="exact"/>
        <w:rPr>
          <w:sz w:val="20"/>
          <w:szCs w:val="20"/>
          <w:color w:val="auto"/>
        </w:rPr>
      </w:pPr>
    </w:p>
    <w:p>
      <w:pPr>
        <w:ind w:left="1200" w:right="199" w:hanging="431"/>
        <w:spacing w:after="0" w:line="248" w:lineRule="auto"/>
        <w:rPr>
          <w:sz w:val="20"/>
          <w:szCs w:val="20"/>
          <w:color w:val="auto"/>
        </w:rPr>
      </w:pPr>
      <w:r>
        <w:rPr>
          <w:rFonts w:ascii="Arial" w:cs="Arial" w:eastAsia="Arial" w:hAnsi="Arial"/>
          <w:sz w:val="16"/>
          <w:szCs w:val="16"/>
          <w:color w:val="auto"/>
        </w:rPr>
        <w:t xml:space="preserve">12.5 A person becoming entitled to a share by reason of the death or bankruptcy of a member or otherwise by operation of law shall, upon such evidence being produced as the Board may reasonably require as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entitlement and subject otherwise to Article 12.2, have the same rights in relation to the share to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would be entitled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the holder of the share, and may give a discharge for all dividends and other moneys payable in respect of the share, except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53" w:lineRule="exact"/>
        <w:rPr>
          <w:sz w:val="20"/>
          <w:szCs w:val="20"/>
          <w:color w:val="auto"/>
        </w:rPr>
      </w:pPr>
    </w:p>
    <w:p>
      <w:pPr>
        <w:ind w:left="1200" w:hanging="436"/>
        <w:spacing w:after="0"/>
        <w:tabs>
          <w:tab w:leader="none" w:pos="1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SHARE WARRANTS</w:t>
      </w:r>
    </w:p>
    <w:p>
      <w:pPr>
        <w:spacing w:after="0" w:line="119"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 xml:space="preserve">In accordance with </w:t>
      </w:r>
      <w:r>
        <w:rPr>
          <w:rFonts w:ascii="Arial" w:cs="Arial" w:eastAsia="Arial" w:hAnsi="Arial"/>
          <w:sz w:val="16"/>
          <w:szCs w:val="16"/>
          <w:color w:val="auto"/>
          <w:strike w:val="1"/>
        </w:rPr>
        <w:t>Law</w:t>
      </w:r>
      <w:r>
        <w:rPr>
          <w:rFonts w:ascii="Arial" w:cs="Arial" w:eastAsia="Arial" w:hAnsi="Arial"/>
          <w:sz w:val="16"/>
          <w:szCs w:val="16"/>
          <w:u w:val="single" w:color="auto"/>
          <w:color w:val="auto"/>
        </w:rPr>
        <w:t>applicable law</w:t>
      </w:r>
      <w:r>
        <w:rPr>
          <w:rFonts w:ascii="Arial" w:cs="Arial" w:eastAsia="Arial" w:hAnsi="Arial"/>
          <w:sz w:val="16"/>
          <w:szCs w:val="16"/>
          <w:color w:val="auto"/>
        </w:rPr>
        <w:t>, the Company shall not issue share warrants to bearer.</w:t>
      </w:r>
    </w:p>
    <w:p>
      <w:pPr>
        <w:spacing w:after="0" w:line="66" w:lineRule="exact"/>
        <w:rPr>
          <w:rFonts w:ascii="Arial" w:cs="Arial" w:eastAsia="Arial" w:hAnsi="Arial"/>
          <w:sz w:val="16"/>
          <w:szCs w:val="16"/>
          <w:b w:val="1"/>
          <w:bCs w:val="1"/>
          <w:color w:val="auto"/>
        </w:rPr>
      </w:pPr>
    </w:p>
    <w:p>
      <w:pPr>
        <w:ind w:left="1200" w:hanging="436"/>
        <w:spacing w:after="0"/>
        <w:tabs>
          <w:tab w:leader="none" w:pos="1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UNTRACED MEMBERS</w:t>
      </w:r>
    </w:p>
    <w:p>
      <w:pPr>
        <w:spacing w:after="0" w:line="106" w:lineRule="exact"/>
        <w:rPr>
          <w:sz w:val="20"/>
          <w:szCs w:val="20"/>
          <w:color w:val="auto"/>
        </w:rPr>
      </w:pPr>
    </w:p>
    <w:p>
      <w:pPr>
        <w:ind w:left="1200" w:right="1119" w:hanging="431"/>
        <w:spacing w:after="0" w:line="260" w:lineRule="auto"/>
        <w:rPr>
          <w:sz w:val="20"/>
          <w:szCs w:val="20"/>
          <w:color w:val="auto"/>
        </w:rPr>
      </w:pPr>
      <w:r>
        <w:rPr>
          <w:rFonts w:ascii="Arial" w:cs="Arial" w:eastAsia="Arial" w:hAnsi="Arial"/>
          <w:sz w:val="16"/>
          <w:szCs w:val="16"/>
          <w:color w:val="auto"/>
        </w:rPr>
        <w:t>14.1 The Company shall be entitled to sell any share held by a member, or any share to which a person is entitled by transmission, if:</w:t>
      </w:r>
    </w:p>
    <w:p>
      <w:pPr>
        <w:spacing w:after="0" w:line="60" w:lineRule="exact"/>
        <w:rPr>
          <w:sz w:val="20"/>
          <w:szCs w:val="20"/>
          <w:color w:val="auto"/>
        </w:rPr>
      </w:pPr>
    </w:p>
    <w:p>
      <w:pPr>
        <w:ind w:left="1620" w:hanging="424"/>
        <w:spacing w:after="0"/>
        <w:tabs>
          <w:tab w:leader="none" w:pos="1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during the period of 12 years before the date of the </w:t>
      </w:r>
      <w:r>
        <w:rPr>
          <w:rFonts w:ascii="Arial" w:cs="Arial" w:eastAsia="Arial" w:hAnsi="Arial"/>
          <w:sz w:val="16"/>
          <w:szCs w:val="16"/>
          <w:color w:val="auto"/>
          <w:strike w:val="1"/>
        </w:rPr>
        <w:t>publication of the advertisements</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referred to in paragraph</w:t>
      </w:r>
    </w:p>
    <w:p>
      <w:pPr>
        <w:spacing w:after="0" w:line="5" w:lineRule="exact"/>
        <w:rPr>
          <w:rFonts w:ascii="Arial" w:cs="Arial" w:eastAsia="Arial" w:hAnsi="Arial"/>
          <w:sz w:val="16"/>
          <w:szCs w:val="16"/>
          <w:color w:val="auto"/>
        </w:rPr>
      </w:pPr>
    </w:p>
    <w:p>
      <w:pPr>
        <w:ind w:left="1620" w:right="239"/>
        <w:spacing w:after="0" w:line="251" w:lineRule="auto"/>
        <w:rPr>
          <w:rFonts w:ascii="Arial" w:cs="Arial" w:eastAsia="Arial" w:hAnsi="Arial"/>
          <w:sz w:val="16"/>
          <w:szCs w:val="16"/>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(b) of this Article 14.1 </w:t>
      </w:r>
      <w:r>
        <w:rPr>
          <w:rFonts w:ascii="Arial" w:cs="Arial" w:eastAsia="Arial" w:hAnsi="Arial"/>
          <w:sz w:val="16"/>
          <w:szCs w:val="16"/>
          <w:color w:val="auto"/>
          <w:strike w:val="1"/>
        </w:rPr>
        <w:t>(or, if published on different dates, the first date)</w:t>
      </w:r>
      <w:r>
        <w:rPr>
          <w:rFonts w:ascii="Arial" w:cs="Arial" w:eastAsia="Arial" w:hAnsi="Arial"/>
          <w:sz w:val="16"/>
          <w:szCs w:val="16"/>
          <w:color w:val="auto"/>
        </w:rPr>
        <w:t xml:space="preserve"> (the “</w:t>
      </w:r>
      <w:r>
        <w:rPr>
          <w:rFonts w:ascii="Arial" w:cs="Arial" w:eastAsia="Arial" w:hAnsi="Arial"/>
          <w:sz w:val="16"/>
          <w:szCs w:val="16"/>
          <w:b w:val="1"/>
          <w:bCs w:val="1"/>
          <w:color w:val="auto"/>
        </w:rPr>
        <w:t>relevant period”</w:t>
      </w:r>
      <w:r>
        <w:rPr>
          <w:rFonts w:ascii="Arial" w:cs="Arial" w:eastAsia="Arial" w:hAnsi="Arial"/>
          <w:sz w:val="16"/>
          <w:szCs w:val="16"/>
          <w:color w:val="auto"/>
        </w:rPr>
        <w:t xml:space="preserve">) at least three dividends in respect of the share have been declared and all dividend warrants, cheques or other method of payment for amounts payable in respect of the share which have been sent and were payable in a manner authorised by these Articles have remained uncashed; </w:t>
      </w:r>
      <w:r>
        <w:rPr>
          <w:rFonts w:ascii="Arial" w:cs="Arial" w:eastAsia="Arial" w:hAnsi="Arial"/>
          <w:sz w:val="16"/>
          <w:szCs w:val="16"/>
          <w:u w:val="single" w:color="auto"/>
          <w:color w:val="auto"/>
        </w:rPr>
        <w:t>and</w:t>
      </w:r>
    </w:p>
    <w:p>
      <w:pPr>
        <w:spacing w:after="0" w:line="80" w:lineRule="exact"/>
        <w:rPr>
          <w:rFonts w:ascii="Arial" w:cs="Arial" w:eastAsia="Arial" w:hAnsi="Arial"/>
          <w:sz w:val="16"/>
          <w:szCs w:val="16"/>
          <w:color w:val="auto"/>
        </w:rPr>
      </w:pPr>
    </w:p>
    <w:p>
      <w:pPr>
        <w:ind w:left="1620" w:right="219" w:hanging="424"/>
        <w:spacing w:after="0" w:line="251" w:lineRule="auto"/>
        <w:tabs>
          <w:tab w:leader="none" w:pos="1620" w:val="left"/>
        </w:tabs>
        <w:numPr>
          <w:ilvl w:val="0"/>
          <w:numId w:val="115"/>
        </w:numPr>
        <w:rPr>
          <w:rFonts w:ascii="Arial" w:cs="Arial" w:eastAsia="Arial" w:hAnsi="Arial"/>
          <w:sz w:val="16"/>
          <w:szCs w:val="16"/>
          <w:u w:val="single" w:color="auto"/>
          <w:color w:val="auto"/>
        </w:rPr>
      </w:pPr>
      <w:r>
        <w:rPr>
          <w:rFonts w:ascii="Arial" w:cs="Arial" w:eastAsia="Arial" w:hAnsi="Arial"/>
          <w:sz w:val="16"/>
          <w:szCs w:val="16"/>
          <w:color w:val="auto"/>
        </w:rPr>
        <w:t xml:space="preserve">the Company has, </w:t>
      </w:r>
      <w:r>
        <w:rPr>
          <w:rFonts w:ascii="Arial" w:cs="Arial" w:eastAsia="Arial" w:hAnsi="Arial"/>
          <w:sz w:val="16"/>
          <w:szCs w:val="16"/>
          <w:color w:val="auto"/>
          <w:strike w:val="1"/>
        </w:rPr>
        <w:t>as soon as practicable</w:t>
      </w:r>
      <w:r>
        <w:rPr>
          <w:rFonts w:ascii="Arial" w:cs="Arial" w:eastAsia="Arial" w:hAnsi="Arial"/>
          <w:sz w:val="16"/>
          <w:szCs w:val="16"/>
          <w:color w:val="auto"/>
        </w:rPr>
        <w:t xml:space="preserve"> after the expiration of the relevant period, </w:t>
      </w:r>
      <w:r>
        <w:rPr>
          <w:rFonts w:ascii="Arial" w:cs="Arial" w:eastAsia="Arial" w:hAnsi="Arial"/>
          <w:sz w:val="16"/>
          <w:szCs w:val="16"/>
          <w:color w:val="auto"/>
          <w:strike w:val="1"/>
        </w:rPr>
        <w:t>inserted an advertisement in</w:t>
      </w:r>
      <w:r>
        <w:rPr>
          <w:rFonts w:ascii="Arial" w:cs="Arial" w:eastAsia="Arial" w:hAnsi="Arial"/>
          <w:sz w:val="16"/>
          <w:szCs w:val="16"/>
          <w:u w:val="single" w:color="auto"/>
          <w:color w:val="auto"/>
        </w:rPr>
        <w:t>sent</w:t>
      </w:r>
      <w:r>
        <w:rPr>
          <w:rFonts w:ascii="Arial" w:cs="Arial" w:eastAsia="Arial" w:hAnsi="Arial"/>
          <w:sz w:val="16"/>
          <w:szCs w:val="16"/>
          <w:color w:val="auto"/>
        </w:rPr>
        <w:t xml:space="preserve"> a </w:t>
      </w:r>
      <w:r>
        <w:rPr>
          <w:rFonts w:ascii="Arial" w:cs="Arial" w:eastAsia="Arial" w:hAnsi="Arial"/>
          <w:sz w:val="16"/>
          <w:szCs w:val="16"/>
          <w:color w:val="auto"/>
          <w:strike w:val="1"/>
        </w:rPr>
        <w:t xml:space="preserve">leading national daily newspaper published in the United Kingdom and in a newspaper circulating in the area of the registered address or </w:t>
      </w:r>
      <w:r>
        <w:rPr>
          <w:rFonts w:ascii="Arial" w:cs="Arial" w:eastAsia="Arial" w:hAnsi="Arial"/>
          <w:sz w:val="16"/>
          <w:szCs w:val="16"/>
          <w:u w:val="single" w:color="auto"/>
          <w:color w:val="auto"/>
          <w:strike w:val="1"/>
        </w:rPr>
        <w:t>notice to the</w:t>
      </w:r>
      <w:r>
        <w:rPr>
          <w:rFonts w:ascii="Arial" w:cs="Arial" w:eastAsia="Arial" w:hAnsi="Arial"/>
          <w:sz w:val="16"/>
          <w:szCs w:val="16"/>
          <w:color w:val="auto"/>
          <w:strike w:val="1"/>
        </w:rPr>
        <w:t xml:space="preserve"> last known address of</w:t>
      </w:r>
      <w:r>
        <w:rPr>
          <w:rFonts w:ascii="Arial" w:cs="Arial" w:eastAsia="Arial" w:hAnsi="Arial"/>
          <w:sz w:val="16"/>
          <w:szCs w:val="16"/>
          <w:u w:val="single" w:color="auto"/>
          <w:color w:val="auto"/>
          <w:strike w:val="1"/>
        </w:rPr>
        <w:t>that</w:t>
      </w:r>
      <w:r>
        <w:rPr>
          <w:rFonts w:ascii="Arial" w:cs="Arial" w:eastAsia="Arial" w:hAnsi="Arial"/>
          <w:sz w:val="16"/>
          <w:szCs w:val="16"/>
          <w:color w:val="auto"/>
          <w:strike w:val="1"/>
        </w:rPr>
        <w:t xml:space="preserve"> the </w:t>
      </w:r>
      <w:r>
        <w:rPr>
          <w:rFonts w:ascii="Arial" w:cs="Arial" w:eastAsia="Arial" w:hAnsi="Arial"/>
          <w:sz w:val="16"/>
          <w:szCs w:val="16"/>
          <w:u w:val="single" w:color="auto"/>
          <w:color w:val="auto"/>
          <w:strike w:val="1"/>
        </w:rPr>
        <w:t>Company has for the relevant</w:t>
      </w:r>
      <w:r>
        <w:rPr>
          <w:rFonts w:ascii="Arial" w:cs="Arial" w:eastAsia="Arial" w:hAnsi="Arial"/>
          <w:sz w:val="16"/>
          <w:szCs w:val="16"/>
          <w:color w:val="auto"/>
          <w:strike w:val="1"/>
        </w:rPr>
        <w:t xml:space="preserve"> member or person concerned, giving notice of its intention to sell such share (</w:t>
      </w:r>
      <w:r>
        <w:rPr>
          <w:rFonts w:ascii="Arial" w:cs="Arial" w:eastAsia="Arial" w:hAnsi="Arial"/>
          <w:sz w:val="16"/>
          <w:szCs w:val="16"/>
          <w:u w:val="single" w:color="auto"/>
          <w:color w:val="auto"/>
          <w:strike w:val="1"/>
        </w:rPr>
        <w:t>;</w:t>
      </w:r>
    </w:p>
    <w:p>
      <w:pPr>
        <w:spacing w:after="0" w:line="67" w:lineRule="exact"/>
        <w:rPr>
          <w:rFonts w:ascii="Arial" w:cs="Arial" w:eastAsia="Arial" w:hAnsi="Arial"/>
          <w:sz w:val="16"/>
          <w:szCs w:val="16"/>
          <w:u w:val="single" w:color="auto"/>
          <w:color w:val="auto"/>
        </w:rPr>
      </w:pPr>
    </w:p>
    <w:p>
      <w:pPr>
        <w:ind w:left="1620" w:right="219" w:hanging="424"/>
        <w:spacing w:after="0" w:line="251" w:lineRule="auto"/>
        <w:tabs>
          <w:tab w:leader="none" w:pos="1620"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before sending the notice referred to in paragraph (b) of this Article</w:t>
      </w:r>
      <w:r>
        <w:rPr>
          <w:rFonts w:ascii="Arial" w:cs="Arial" w:eastAsia="Arial" w:hAnsi="Arial"/>
          <w:sz w:val="16"/>
          <w:szCs w:val="16"/>
          <w:color w:val="auto"/>
        </w:rPr>
        <w:t xml:space="preserve"> 14.1</w:t>
      </w:r>
      <w:r>
        <w:rPr>
          <w:rFonts w:ascii="Arial" w:cs="Arial" w:eastAsia="Arial" w:hAnsi="Arial"/>
          <w:sz w:val="16"/>
          <w:szCs w:val="16"/>
          <w:u w:val="single" w:color="auto"/>
          <w:color w:val="auto"/>
        </w:rPr>
        <w:t>, the Company has made tracing enquiries for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purposes of contacting the member or person entitled by transmission which the Board considers to be reasonable and appropriate in the circumstances;</w:t>
      </w:r>
      <w:r>
        <w:rPr>
          <w:rFonts w:ascii="Arial" w:cs="Arial" w:eastAsia="Arial" w:hAnsi="Arial"/>
          <w:sz w:val="16"/>
          <w:szCs w:val="16"/>
          <w:color w:val="auto"/>
        </w:rPr>
        <w:t xml:space="preserve"> and </w:t>
      </w:r>
      <w:r>
        <w:rPr>
          <w:rFonts w:ascii="Arial" w:cs="Arial" w:eastAsia="Arial" w:hAnsi="Arial"/>
          <w:sz w:val="16"/>
          <w:szCs w:val="16"/>
          <w:color w:val="auto"/>
          <w:strike w:val="1"/>
        </w:rPr>
        <w:t>the said advertisements, if not published on the same day, shall have been</w:t>
      </w:r>
      <w:r>
        <w:rPr>
          <w:rFonts w:ascii="Arial" w:cs="Arial" w:eastAsia="Arial" w:hAnsi="Arial"/>
          <w:sz w:val="16"/>
          <w:szCs w:val="16"/>
          <w:color w:val="auto"/>
        </w:rPr>
        <w:t xml:space="preserve"> </w:t>
      </w:r>
      <w:r>
        <w:rPr>
          <w:rFonts w:ascii="Arial" w:cs="Arial" w:eastAsia="Arial" w:hAnsi="Arial"/>
          <w:sz w:val="16"/>
          <w:szCs w:val="16"/>
          <w:color w:val="auto"/>
          <w:strike w:val="1"/>
        </w:rPr>
        <w:t>published within 30 days of each other);</w:t>
      </w:r>
    </w:p>
    <w:p>
      <w:pPr>
        <w:spacing w:after="0" w:line="67" w:lineRule="exact"/>
        <w:rPr>
          <w:rFonts w:ascii="Arial" w:cs="Arial" w:eastAsia="Arial" w:hAnsi="Arial"/>
          <w:sz w:val="16"/>
          <w:szCs w:val="16"/>
          <w:color w:val="auto"/>
        </w:rPr>
      </w:pPr>
    </w:p>
    <w:p>
      <w:pPr>
        <w:ind w:left="1620" w:right="299" w:hanging="424"/>
        <w:spacing w:after="0" w:line="253" w:lineRule="auto"/>
        <w:tabs>
          <w:tab w:leader="none" w:pos="1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during the relevant period and the further period of three months after the </w:t>
      </w:r>
      <w:r>
        <w:rPr>
          <w:rFonts w:ascii="Arial" w:cs="Arial" w:eastAsia="Arial" w:hAnsi="Arial"/>
          <w:sz w:val="16"/>
          <w:szCs w:val="16"/>
          <w:color w:val="auto"/>
          <w:strike w:val="1"/>
        </w:rPr>
        <w:t>publication</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of the </w:t>
      </w:r>
      <w:r>
        <w:rPr>
          <w:rFonts w:ascii="Arial" w:cs="Arial" w:eastAsia="Arial" w:hAnsi="Arial"/>
          <w:sz w:val="16"/>
          <w:szCs w:val="16"/>
          <w:color w:val="auto"/>
          <w:strike w:val="1"/>
        </w:rPr>
        <w:t>advertisements</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referred to in paragraph </w:t>
      </w:r>
      <w:r>
        <w:rPr>
          <w:rFonts w:ascii="Arial" w:cs="Arial" w:eastAsia="Arial" w:hAnsi="Arial"/>
          <w:sz w:val="16"/>
          <w:szCs w:val="16"/>
          <w:u w:val="single" w:color="auto"/>
          <w:color w:val="auto"/>
        </w:rPr>
        <w:t>((</w:t>
      </w:r>
      <w:r>
        <w:rPr>
          <w:rFonts w:ascii="Arial" w:cs="Arial" w:eastAsia="Arial" w:hAnsi="Arial"/>
          <w:sz w:val="16"/>
          <w:szCs w:val="16"/>
          <w:color w:val="auto"/>
        </w:rPr>
        <w:t xml:space="preserve">b) of this Article 14.1 </w:t>
      </w:r>
      <w:r>
        <w:rPr>
          <w:rFonts w:ascii="Arial" w:cs="Arial" w:eastAsia="Arial" w:hAnsi="Arial"/>
          <w:sz w:val="16"/>
          <w:szCs w:val="16"/>
          <w:color w:val="auto"/>
          <w:strike w:val="1"/>
        </w:rPr>
        <w:t>(or, if published on different dates, the later date)</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Company has received no communication from, or on behalf of, such member or person concerned</w:t>
      </w:r>
      <w:r>
        <w:rPr>
          <w:rFonts w:ascii="Arial" w:cs="Arial" w:eastAsia="Arial" w:hAnsi="Arial"/>
          <w:sz w:val="16"/>
          <w:szCs w:val="16"/>
          <w:color w:val="auto"/>
          <w:strike w:val="1"/>
        </w:rPr>
        <w:t>; and</w:t>
      </w:r>
      <w:r>
        <w:rPr>
          <w:rFonts w:ascii="Arial" w:cs="Arial" w:eastAsia="Arial" w:hAnsi="Arial"/>
          <w:sz w:val="16"/>
          <w:szCs w:val="16"/>
          <w:u w:val="single" w:color="auto"/>
          <w:color w:val="auto"/>
        </w:rPr>
        <w:t>.</w:t>
      </w:r>
    </w:p>
    <w:p>
      <w:pPr>
        <w:spacing w:after="0" w:line="66" w:lineRule="exact"/>
        <w:rPr>
          <w:sz w:val="20"/>
          <w:szCs w:val="20"/>
          <w:color w:val="auto"/>
        </w:rPr>
      </w:pPr>
    </w:p>
    <w:p>
      <w:pPr>
        <w:ind w:left="1620" w:right="559" w:hanging="424"/>
        <w:spacing w:after="0" w:line="260" w:lineRule="auto"/>
        <w:tabs>
          <w:tab w:leader="none" w:pos="1620" w:val="left"/>
        </w:tabs>
        <w:numPr>
          <w:ilvl w:val="0"/>
          <w:numId w:val="116"/>
        </w:numPr>
        <w:rPr>
          <w:rFonts w:ascii="Arial" w:cs="Arial" w:eastAsia="Arial" w:hAnsi="Arial"/>
          <w:sz w:val="16"/>
          <w:szCs w:val="16"/>
          <w:color w:val="auto"/>
          <w:strike w:val="1"/>
        </w:rPr>
      </w:pPr>
      <w:r>
        <w:rPr>
          <w:rFonts w:ascii="Arial" w:cs="Arial" w:eastAsia="Arial" w:hAnsi="Arial"/>
          <w:sz w:val="16"/>
          <w:szCs w:val="16"/>
          <w:color w:val="auto"/>
          <w:strike w:val="1"/>
        </w:rPr>
        <w:t>the Company has given notice to the UKLA of its intention to make such sale, if shares of the class concerned are listed on the Official List or dealt on the London Stock Exchange.</w:t>
      </w:r>
    </w:p>
    <w:p>
      <w:pPr>
        <w:spacing w:after="0" w:line="74" w:lineRule="exact"/>
        <w:rPr>
          <w:sz w:val="20"/>
          <w:szCs w:val="20"/>
          <w:color w:val="auto"/>
        </w:rPr>
      </w:pPr>
    </w:p>
    <w:p>
      <w:pPr>
        <w:ind w:left="1200" w:right="359" w:hanging="431"/>
        <w:spacing w:after="0" w:line="251" w:lineRule="auto"/>
        <w:rPr>
          <w:sz w:val="20"/>
          <w:szCs w:val="20"/>
          <w:color w:val="auto"/>
        </w:rPr>
      </w:pPr>
      <w:r>
        <w:rPr>
          <w:rFonts w:ascii="Arial" w:cs="Arial" w:eastAsia="Arial" w:hAnsi="Arial"/>
          <w:sz w:val="16"/>
          <w:szCs w:val="16"/>
          <w:color w:val="auto"/>
        </w:rPr>
        <w:t xml:space="preserve">14.2 The Company shall also be entitled to sell any additional share issued during the relevant period </w:t>
      </w:r>
      <w:r>
        <w:rPr>
          <w:rFonts w:ascii="Arial" w:cs="Arial" w:eastAsia="Arial" w:hAnsi="Arial"/>
          <w:sz w:val="16"/>
          <w:szCs w:val="16"/>
          <w:color w:val="auto"/>
          <w:strike w:val="1"/>
        </w:rPr>
        <w:t>of 12 years</w:t>
      </w:r>
      <w:r>
        <w:rPr>
          <w:rFonts w:ascii="Arial" w:cs="Arial" w:eastAsia="Arial" w:hAnsi="Arial"/>
          <w:sz w:val="16"/>
          <w:szCs w:val="16"/>
          <w:color w:val="auto"/>
        </w:rPr>
        <w:t xml:space="preserve"> in right of any share to which Article 14.1 applies (or in right of any share so issued), if the criteria in Article 14.1 are satisfied in relation to the additional share (but as if the words “during the period of 12 years” were omitted from paragraph </w:t>
      </w:r>
      <w:r>
        <w:rPr>
          <w:rFonts w:ascii="Arial" w:cs="Arial" w:eastAsia="Arial" w:hAnsi="Arial"/>
          <w:sz w:val="16"/>
          <w:szCs w:val="16"/>
          <w:u w:val="single" w:color="auto"/>
          <w:color w:val="auto"/>
        </w:rPr>
        <w:t>((</w:t>
      </w:r>
      <w:r>
        <w:rPr>
          <w:rFonts w:ascii="Arial" w:cs="Arial" w:eastAsia="Arial" w:hAnsi="Arial"/>
          <w:sz w:val="16"/>
          <w:szCs w:val="16"/>
          <w:color w:val="auto"/>
        </w:rPr>
        <w:t xml:space="preserve">a) and the words “, after the expiration of the relevant period,” were omitted from paragraph </w:t>
      </w:r>
      <w:r>
        <w:rPr>
          <w:rFonts w:ascii="Arial" w:cs="Arial" w:eastAsia="Arial" w:hAnsi="Arial"/>
          <w:sz w:val="16"/>
          <w:szCs w:val="16"/>
          <w:u w:val="single" w:color="auto"/>
          <w:color w:val="auto"/>
        </w:rPr>
        <w:t>((</w:t>
      </w:r>
      <w:r>
        <w:rPr>
          <w:rFonts w:ascii="Arial" w:cs="Arial" w:eastAsia="Arial" w:hAnsi="Arial"/>
          <w:sz w:val="16"/>
          <w:szCs w:val="16"/>
          <w:color w:val="auto"/>
        </w:rPr>
        <w:t>b)).</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14.3  To give effect to the sale of any share pursuant to this Article 14 the Company may:</w:t>
      </w:r>
    </w:p>
    <w:p>
      <w:pPr>
        <w:spacing w:after="0" w:line="86" w:lineRule="exact"/>
        <w:rPr>
          <w:sz w:val="20"/>
          <w:szCs w:val="20"/>
          <w:color w:val="auto"/>
        </w:rPr>
      </w:pPr>
    </w:p>
    <w:p>
      <w:pPr>
        <w:ind w:left="1620" w:right="199" w:hanging="424"/>
        <w:spacing w:after="0" w:line="253" w:lineRule="auto"/>
        <w:tabs>
          <w:tab w:leader="none" w:pos="16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 the case of a share in certificated form, appoint any person to execute an instrument of transfer of the share, and the instrument shall be as effective as if it had been executed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or person entitled by transmission to, the share; and</w:t>
      </w:r>
    </w:p>
    <w:p>
      <w:pPr>
        <w:spacing w:after="0" w:line="79" w:lineRule="exact"/>
        <w:rPr>
          <w:rFonts w:ascii="Arial" w:cs="Arial" w:eastAsia="Arial" w:hAnsi="Arial"/>
          <w:sz w:val="16"/>
          <w:szCs w:val="16"/>
          <w:color w:val="auto"/>
        </w:rPr>
      </w:pPr>
    </w:p>
    <w:p>
      <w:pPr>
        <w:ind w:left="1620" w:right="499" w:hanging="424"/>
        <w:spacing w:after="0" w:line="253" w:lineRule="auto"/>
        <w:tabs>
          <w:tab w:leader="none" w:pos="16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 the case of a share in uncertificated form, in accordance with the Uncertificated Securities Rules, the Board may issue a written notification to the Operator </w:t>
      </w:r>
      <w:r>
        <w:rPr>
          <w:rFonts w:ascii="Arial" w:cs="Arial" w:eastAsia="Arial" w:hAnsi="Arial"/>
          <w:sz w:val="16"/>
          <w:szCs w:val="16"/>
          <w:u w:val="single" w:color="auto"/>
          <w:color w:val="auto"/>
        </w:rPr>
        <w:t>or any Depositary of such shares</w:t>
      </w:r>
      <w:r>
        <w:rPr>
          <w:rFonts w:ascii="Arial" w:cs="Arial" w:eastAsia="Arial" w:hAnsi="Arial"/>
          <w:sz w:val="16"/>
          <w:szCs w:val="16"/>
          <w:color w:val="auto"/>
        </w:rPr>
        <w:t xml:space="preserve"> requiring the conversion of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to certificated form.</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A-10</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hanging="431"/>
        <w:spacing w:after="0" w:line="248" w:lineRule="auto"/>
        <w:rPr>
          <w:sz w:val="20"/>
          <w:szCs w:val="20"/>
          <w:color w:val="auto"/>
        </w:rPr>
      </w:pPr>
      <w:r>
        <w:rPr>
          <w:rFonts w:ascii="Arial" w:cs="Arial" w:eastAsia="Arial" w:hAnsi="Arial"/>
          <w:sz w:val="16"/>
          <w:szCs w:val="16"/>
          <w:color w:val="auto"/>
        </w:rPr>
        <w:t xml:space="preserve">14.4 An instrument of transfer executed by that person </w:t>
      </w:r>
      <w:r>
        <w:rPr>
          <w:rFonts w:ascii="Arial" w:cs="Arial" w:eastAsia="Arial" w:hAnsi="Arial"/>
          <w:sz w:val="16"/>
          <w:szCs w:val="16"/>
          <w:u w:val="single" w:color="auto"/>
          <w:color w:val="auto"/>
        </w:rPr>
        <w:t>appointed</w:t>
      </w:r>
      <w:r>
        <w:rPr>
          <w:rFonts w:ascii="Arial" w:cs="Arial" w:eastAsia="Arial" w:hAnsi="Arial"/>
          <w:sz w:val="16"/>
          <w:szCs w:val="16"/>
          <w:color w:val="auto"/>
        </w:rPr>
        <w:t xml:space="preserve"> in accordance with Article 14.3(a) shall be as effective as if it had been executed by the holder of, or person entitled by transmission to,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An exercise by the Company of its powers in accordance with Article 14.3(b) shall be as effective as if exercised by the </w:t>
      </w:r>
      <w:r>
        <w:rPr>
          <w:rFonts w:ascii="Arial" w:cs="Arial" w:eastAsia="Arial" w:hAnsi="Arial"/>
          <w:sz w:val="16"/>
          <w:szCs w:val="16"/>
          <w:color w:val="auto"/>
          <w:strike w:val="1"/>
        </w:rPr>
        <w:t>registered</w:t>
      </w:r>
      <w:r>
        <w:rPr>
          <w:rFonts w:ascii="Arial" w:cs="Arial" w:eastAsia="Arial" w:hAnsi="Arial"/>
          <w:sz w:val="16"/>
          <w:szCs w:val="16"/>
          <w:color w:val="auto"/>
        </w:rPr>
        <w:t xml:space="preserve"> holder of or person entitled by transmission to the </w:t>
      </w:r>
      <w:r>
        <w:rPr>
          <w:rFonts w:ascii="Arial" w:cs="Arial" w:eastAsia="Arial" w:hAnsi="Arial"/>
          <w:sz w:val="16"/>
          <w:szCs w:val="16"/>
          <w:color w:val="auto"/>
          <w:strike w:val="1"/>
        </w:rPr>
        <w:t>shares</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The purchaser shall not be bound to see to the application of the proceeds of sale,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63" w:lineRule="exact"/>
        <w:rPr>
          <w:sz w:val="20"/>
          <w:szCs w:val="20"/>
          <w:color w:val="auto"/>
        </w:rPr>
      </w:pPr>
    </w:p>
    <w:p>
      <w:pPr>
        <w:ind w:left="1200" w:hanging="436"/>
        <w:spacing w:after="0"/>
        <w:tabs>
          <w:tab w:leader="none" w:pos="120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ALTERATION OF CAPITAL</w:t>
      </w:r>
    </w:p>
    <w:p>
      <w:pPr>
        <w:spacing w:after="0" w:line="106" w:lineRule="exact"/>
        <w:rPr>
          <w:sz w:val="20"/>
          <w:szCs w:val="20"/>
          <w:color w:val="auto"/>
        </w:rPr>
      </w:pPr>
    </w:p>
    <w:p>
      <w:pPr>
        <w:ind w:left="1200" w:right="1300" w:hanging="431"/>
        <w:spacing w:after="0" w:line="260" w:lineRule="auto"/>
        <w:rPr>
          <w:sz w:val="20"/>
          <w:szCs w:val="20"/>
          <w:color w:val="auto"/>
        </w:rPr>
      </w:pPr>
      <w:r>
        <w:rPr>
          <w:rFonts w:ascii="Arial" w:cs="Arial" w:eastAsia="Arial" w:hAnsi="Arial"/>
          <w:sz w:val="16"/>
          <w:szCs w:val="16"/>
          <w:color w:val="auto"/>
        </w:rPr>
        <w:t>15.1 Subject to the Companies Act and the provisions of these Articles, and without prejudice to any relevant special rights attached to any class of shares, the Company may from time to time:</w:t>
      </w:r>
    </w:p>
    <w:p>
      <w:pPr>
        <w:spacing w:after="0" w:line="74" w:lineRule="exact"/>
        <w:rPr>
          <w:sz w:val="20"/>
          <w:szCs w:val="20"/>
          <w:color w:val="auto"/>
        </w:rPr>
      </w:pPr>
    </w:p>
    <w:p>
      <w:pPr>
        <w:ind w:left="1620" w:hanging="424"/>
        <w:spacing w:after="0"/>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increase its share capital by allotting new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larger amount than its existing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sub-divide its shares, or any of them, into shares of smaller amount than its existing shares;</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redeem and/ or cancel any of its shares;</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redenominate its share capital or any class of share capital; and</w:t>
      </w:r>
    </w:p>
    <w:p>
      <w:pPr>
        <w:spacing w:after="0" w:line="86" w:lineRule="exact"/>
        <w:rPr>
          <w:rFonts w:ascii="Arial" w:cs="Arial" w:eastAsia="Arial" w:hAnsi="Arial"/>
          <w:sz w:val="16"/>
          <w:szCs w:val="16"/>
          <w:color w:val="auto"/>
        </w:rPr>
      </w:pPr>
    </w:p>
    <w:p>
      <w:pPr>
        <w:ind w:left="1620" w:right="1060" w:hanging="424"/>
        <w:spacing w:after="0" w:line="260" w:lineRule="auto"/>
        <w:tabs>
          <w:tab w:leader="none" w:pos="16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determine that, as between the shares resulting from such a sub-division, any of them may have any preference or advantage as compared with the others,</w:t>
      </w:r>
    </w:p>
    <w:p>
      <w:pPr>
        <w:spacing w:after="0" w:line="74" w:lineRule="exact"/>
        <w:rPr>
          <w:sz w:val="20"/>
          <w:szCs w:val="20"/>
          <w:color w:val="auto"/>
        </w:rPr>
      </w:pPr>
    </w:p>
    <w:p>
      <w:pPr>
        <w:ind w:left="1420" w:right="960"/>
        <w:spacing w:after="0" w:line="260" w:lineRule="auto"/>
        <w:rPr>
          <w:sz w:val="20"/>
          <w:szCs w:val="20"/>
          <w:color w:val="auto"/>
        </w:rPr>
      </w:pPr>
      <w:r>
        <w:rPr>
          <w:rFonts w:ascii="Arial" w:cs="Arial" w:eastAsia="Arial" w:hAnsi="Arial"/>
          <w:sz w:val="16"/>
          <w:szCs w:val="16"/>
          <w:color w:val="auto"/>
        </w:rPr>
        <w:t xml:space="preserve">and where any difficulty arises in regard to any consolidation or division,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settle such difficulty as they see fit.</w:t>
      </w:r>
    </w:p>
    <w:p>
      <w:pPr>
        <w:spacing w:after="0" w:line="74" w:lineRule="exact"/>
        <w:rPr>
          <w:sz w:val="20"/>
          <w:szCs w:val="20"/>
          <w:color w:val="auto"/>
        </w:rPr>
      </w:pPr>
    </w:p>
    <w:p>
      <w:pPr>
        <w:ind w:left="1200" w:right="800" w:hanging="431"/>
        <w:spacing w:after="0" w:line="247" w:lineRule="auto"/>
        <w:rPr>
          <w:sz w:val="20"/>
          <w:szCs w:val="20"/>
          <w:color w:val="auto"/>
        </w:rPr>
      </w:pPr>
      <w:r>
        <w:rPr>
          <w:rFonts w:ascii="Arial" w:cs="Arial" w:eastAsia="Arial" w:hAnsi="Arial"/>
          <w:sz w:val="16"/>
          <w:szCs w:val="16"/>
          <w:color w:val="auto"/>
        </w:rPr>
        <w:t xml:space="preserve">15.2 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w:t>
      </w:r>
      <w:r>
        <w:rPr>
          <w:rFonts w:ascii="Arial" w:cs="Arial" w:eastAsia="Arial" w:hAnsi="Arial"/>
          <w:sz w:val="16"/>
          <w:szCs w:val="16"/>
          <w:color w:val="auto"/>
          <w:strike w:val="1"/>
        </w:rPr>
        <w:t>share</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title to the shares be affected by any irregularity in or invalidity of the proceedings in reference to the sale.</w:t>
      </w:r>
    </w:p>
    <w:p>
      <w:pPr>
        <w:spacing w:after="0" w:line="77"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15.3 All shares created by an increase of the Company’s share capital (unless otherwise provided by the terms of allotment of the shares of that class), by consolidation, division or sub-division of its share capital </w:t>
      </w:r>
      <w:r>
        <w:rPr>
          <w:rFonts w:ascii="Arial" w:cs="Arial" w:eastAsia="Arial" w:hAnsi="Arial"/>
          <w:sz w:val="16"/>
          <w:szCs w:val="16"/>
          <w:color w:val="auto"/>
          <w:strike w:val="1"/>
        </w:rPr>
        <w:t>or the conversion of stock into paid-up</w:t>
      </w:r>
      <w:r>
        <w:rPr>
          <w:rFonts w:ascii="Arial" w:cs="Arial" w:eastAsia="Arial" w:hAnsi="Arial"/>
          <w:sz w:val="16"/>
          <w:szCs w:val="16"/>
          <w:color w:val="auto"/>
        </w:rPr>
        <w:t xml:space="preserve"> </w:t>
      </w:r>
      <w:r>
        <w:rPr>
          <w:rFonts w:ascii="Arial" w:cs="Arial" w:eastAsia="Arial" w:hAnsi="Arial"/>
          <w:sz w:val="16"/>
          <w:szCs w:val="16"/>
          <w:color w:val="auto"/>
          <w:strike w:val="1"/>
        </w:rPr>
        <w:t>shares</w:t>
      </w:r>
      <w:r>
        <w:rPr>
          <w:rFonts w:ascii="Arial" w:cs="Arial" w:eastAsia="Arial" w:hAnsi="Arial"/>
          <w:sz w:val="16"/>
          <w:szCs w:val="16"/>
          <w:color w:val="auto"/>
        </w:rPr>
        <w:t xml:space="preserve"> shall be subject to all the provisions of these Articles, including without limitation provisions relating to the payment of calls, lien, forfeiture, transfer and transmission.</w:t>
      </w:r>
    </w:p>
    <w:p>
      <w:pPr>
        <w:spacing w:after="0" w:line="67" w:lineRule="exact"/>
        <w:rPr>
          <w:sz w:val="20"/>
          <w:szCs w:val="20"/>
          <w:color w:val="auto"/>
        </w:rPr>
      </w:pPr>
    </w:p>
    <w:p>
      <w:pPr>
        <w:ind w:left="1200" w:right="1180" w:hanging="431"/>
        <w:spacing w:after="0" w:line="253" w:lineRule="auto"/>
        <w:rPr>
          <w:sz w:val="20"/>
          <w:szCs w:val="20"/>
          <w:color w:val="auto"/>
        </w:rPr>
      </w:pPr>
      <w:r>
        <w:rPr>
          <w:rFonts w:ascii="Arial" w:cs="Arial" w:eastAsia="Arial" w:hAnsi="Arial"/>
          <w:sz w:val="16"/>
          <w:szCs w:val="16"/>
          <w:color w:val="auto"/>
          <w:strike w:val="1"/>
        </w:rPr>
        <w:t>15.4 The Company shall not consolidate, divide, sub-divide or redenominate any one or more Ordinary Shares without consolidating, dividing, sub-dividing or redenominating (as the case may be) all of the Ordinary Shares, on an equal per share basis.</w:t>
      </w:r>
    </w:p>
    <w:p>
      <w:pPr>
        <w:spacing w:after="0" w:line="60" w:lineRule="exact"/>
        <w:rPr>
          <w:sz w:val="20"/>
          <w:szCs w:val="20"/>
          <w:color w:val="auto"/>
        </w:rPr>
      </w:pPr>
    </w:p>
    <w:p>
      <w:pPr>
        <w:ind w:left="1200" w:hanging="436"/>
        <w:spacing w:after="0"/>
        <w:tabs>
          <w:tab w:leader="none" w:pos="120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GENERAL MEETINGS</w:t>
      </w:r>
    </w:p>
    <w:p>
      <w:pPr>
        <w:spacing w:after="0" w:line="106" w:lineRule="exact"/>
        <w:rPr>
          <w:sz w:val="20"/>
          <w:szCs w:val="20"/>
          <w:color w:val="auto"/>
        </w:rPr>
      </w:pPr>
    </w:p>
    <w:p>
      <w:pPr>
        <w:ind w:left="1200" w:right="880" w:hanging="431"/>
        <w:spacing w:after="0" w:line="260" w:lineRule="auto"/>
        <w:rPr>
          <w:sz w:val="20"/>
          <w:szCs w:val="20"/>
          <w:color w:val="auto"/>
        </w:rPr>
      </w:pPr>
      <w:r>
        <w:rPr>
          <w:rFonts w:ascii="Arial" w:cs="Arial" w:eastAsia="Arial" w:hAnsi="Arial"/>
          <w:sz w:val="16"/>
          <w:szCs w:val="16"/>
          <w:color w:val="auto"/>
        </w:rPr>
        <w:t>16.1 The Board shall convene and the Company shall hold general meetings as annual general meetings in accordance with the Companies Act.</w:t>
      </w:r>
    </w:p>
    <w:p>
      <w:pPr>
        <w:spacing w:after="0" w:line="44" w:lineRule="exact"/>
        <w:rPr>
          <w:sz w:val="20"/>
          <w:szCs w:val="20"/>
          <w:color w:val="auto"/>
        </w:rPr>
      </w:pPr>
    </w:p>
    <w:p>
      <w:pPr>
        <w:ind w:left="1200" w:right="880" w:hanging="431"/>
        <w:spacing w:after="0" w:line="281" w:lineRule="auto"/>
        <w:rPr>
          <w:sz w:val="20"/>
          <w:szCs w:val="20"/>
          <w:color w:val="auto"/>
        </w:rPr>
      </w:pPr>
      <w:r>
        <w:rPr>
          <w:rFonts w:ascii="Arial" w:cs="Arial" w:eastAsia="Arial" w:hAnsi="Arial"/>
          <w:sz w:val="16"/>
          <w:szCs w:val="16"/>
          <w:color w:val="auto"/>
        </w:rPr>
        <w:t xml:space="preserve">16.2 All provisions of these Articles relating to general meetings of the Company shall, </w:t>
      </w:r>
      <w:r>
        <w:rPr>
          <w:rFonts w:ascii="Arial" w:cs="Arial" w:eastAsia="Arial" w:hAnsi="Arial"/>
          <w:sz w:val="16"/>
          <w:szCs w:val="16"/>
          <w:i w:val="1"/>
          <w:iCs w:val="1"/>
          <w:color w:val="auto"/>
        </w:rPr>
        <w:t>mutatis mutandis</w:t>
      </w:r>
      <w:r>
        <w:rPr>
          <w:rFonts w:ascii="Arial" w:cs="Arial" w:eastAsia="Arial" w:hAnsi="Arial"/>
          <w:sz w:val="16"/>
          <w:szCs w:val="16"/>
          <w:color w:val="auto"/>
        </w:rPr>
        <w:t>, apply to every separate general meeting of the holders of any class of shares in the capital of the Company, except that:</w:t>
      </w:r>
    </w:p>
    <w:p>
      <w:pPr>
        <w:spacing w:after="0" w:line="58" w:lineRule="exact"/>
        <w:rPr>
          <w:sz w:val="20"/>
          <w:szCs w:val="20"/>
          <w:color w:val="auto"/>
        </w:rPr>
      </w:pPr>
    </w:p>
    <w:p>
      <w:pPr>
        <w:ind w:left="1620" w:right="1020" w:hanging="424"/>
        <w:spacing w:after="0" w:line="251" w:lineRule="auto"/>
        <w:tabs>
          <w:tab w:leader="none" w:pos="16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necessary quorum at any such meeting (or adjournment thereof) shall be members of that class </w:t>
      </w:r>
      <w:r>
        <w:rPr>
          <w:rFonts w:ascii="Arial" w:cs="Arial" w:eastAsia="Arial" w:hAnsi="Arial"/>
          <w:sz w:val="16"/>
          <w:szCs w:val="16"/>
          <w:u w:val="single" w:color="auto"/>
          <w:color w:val="auto"/>
        </w:rPr>
        <w:t>, present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 or by proxy,</w:t>
      </w:r>
      <w:r>
        <w:rPr>
          <w:rFonts w:ascii="Arial" w:cs="Arial" w:eastAsia="Arial" w:hAnsi="Arial"/>
          <w:sz w:val="16"/>
          <w:szCs w:val="16"/>
          <w:color w:val="auto"/>
        </w:rPr>
        <w:t xml:space="preserve"> who together represent at least </w:t>
      </w:r>
      <w:r>
        <w:rPr>
          <w:rFonts w:ascii="Arial" w:cs="Arial" w:eastAsia="Arial" w:hAnsi="Arial"/>
          <w:sz w:val="16"/>
          <w:szCs w:val="16"/>
          <w:color w:val="auto"/>
          <w:strike w:val="1"/>
        </w:rPr>
        <w:t>the</w:t>
      </w:r>
      <w:r>
        <w:rPr>
          <w:rFonts w:ascii="Arial" w:cs="Arial" w:eastAsia="Arial" w:hAnsi="Arial"/>
          <w:sz w:val="16"/>
          <w:szCs w:val="16"/>
          <w:u w:val="single" w:color="auto"/>
          <w:color w:val="auto"/>
        </w:rPr>
        <w:t>a</w:t>
      </w:r>
      <w:r>
        <w:rPr>
          <w:rFonts w:ascii="Arial" w:cs="Arial" w:eastAsia="Arial" w:hAnsi="Arial"/>
          <w:sz w:val="16"/>
          <w:szCs w:val="16"/>
          <w:color w:val="auto"/>
        </w:rPr>
        <w:t xml:space="preserve"> majority of the voting rights </w:t>
      </w:r>
      <w:r>
        <w:rPr>
          <w:rFonts w:ascii="Arial" w:cs="Arial" w:eastAsia="Arial" w:hAnsi="Arial"/>
          <w:sz w:val="16"/>
          <w:szCs w:val="16"/>
          <w:color w:val="auto"/>
          <w:strike w:val="1"/>
        </w:rPr>
        <w:t>of all members of that</w:t>
      </w:r>
      <w:r>
        <w:rPr>
          <w:rFonts w:ascii="Arial" w:cs="Arial" w:eastAsia="Arial" w:hAnsi="Arial"/>
          <w:sz w:val="16"/>
          <w:szCs w:val="16"/>
          <w:color w:val="auto"/>
        </w:rPr>
        <w:t xml:space="preserve"> </w:t>
      </w:r>
      <w:r>
        <w:rPr>
          <w:rFonts w:ascii="Arial" w:cs="Arial" w:eastAsia="Arial" w:hAnsi="Arial"/>
          <w:sz w:val="16"/>
          <w:szCs w:val="16"/>
          <w:color w:val="auto"/>
          <w:strike w:val="1"/>
        </w:rPr>
        <w:t>class</w:t>
      </w:r>
      <w:r>
        <w:rPr>
          <w:rFonts w:ascii="Arial" w:cs="Arial" w:eastAsia="Arial" w:hAnsi="Arial"/>
          <w:sz w:val="16"/>
          <w:szCs w:val="16"/>
          <w:u w:val="single" w:color="auto"/>
          <w:color w:val="auto"/>
        </w:rPr>
        <w:t>attaching to the shares (excluding any shares held as treasury shares)</w:t>
      </w:r>
      <w:r>
        <w:rPr>
          <w:rFonts w:ascii="Arial" w:cs="Arial" w:eastAsia="Arial" w:hAnsi="Arial"/>
          <w:sz w:val="16"/>
          <w:szCs w:val="16"/>
          <w:color w:val="auto"/>
        </w:rPr>
        <w:t xml:space="preserve"> entitled to vote</w:t>
      </w:r>
      <w:r>
        <w:rPr>
          <w:rFonts w:ascii="Arial" w:cs="Arial" w:eastAsia="Arial" w:hAnsi="Arial"/>
          <w:sz w:val="16"/>
          <w:szCs w:val="16"/>
          <w:color w:val="auto"/>
          <w:strike w:val="1"/>
        </w:rPr>
        <w:t>, present in person or by</w:t>
      </w:r>
      <w:r>
        <w:rPr>
          <w:rFonts w:ascii="Arial" w:cs="Arial" w:eastAsia="Arial" w:hAnsi="Arial"/>
          <w:sz w:val="16"/>
          <w:szCs w:val="16"/>
          <w:color w:val="auto"/>
        </w:rPr>
        <w:t xml:space="preserve"> </w:t>
      </w:r>
      <w:r>
        <w:rPr>
          <w:rFonts w:ascii="Arial" w:cs="Arial" w:eastAsia="Arial" w:hAnsi="Arial"/>
          <w:sz w:val="16"/>
          <w:szCs w:val="16"/>
          <w:color w:val="auto"/>
          <w:strike w:val="1"/>
        </w:rPr>
        <w:t>proxy, at</w:t>
      </w:r>
      <w:r>
        <w:rPr>
          <w:rFonts w:ascii="Arial" w:cs="Arial" w:eastAsia="Arial" w:hAnsi="Arial"/>
          <w:sz w:val="16"/>
          <w:szCs w:val="16"/>
          <w:color w:val="auto"/>
        </w:rPr>
        <w:t xml:space="preserve"> </w:t>
      </w:r>
      <w:r>
        <w:rPr>
          <w:rFonts w:ascii="Arial" w:cs="Arial" w:eastAsia="Arial" w:hAnsi="Arial"/>
          <w:sz w:val="16"/>
          <w:szCs w:val="16"/>
          <w:u w:val="single" w:color="auto"/>
          <w:color w:val="auto"/>
        </w:rPr>
        <w:t>on</w:t>
      </w:r>
      <w:r>
        <w:rPr>
          <w:rFonts w:ascii="Arial" w:cs="Arial" w:eastAsia="Arial" w:hAnsi="Arial"/>
          <w:sz w:val="16"/>
          <w:szCs w:val="16"/>
          <w:color w:val="auto"/>
        </w:rPr>
        <w:t xml:space="preserve"> the </w:t>
      </w:r>
      <w:r>
        <w:rPr>
          <w:rFonts w:ascii="Arial" w:cs="Arial" w:eastAsia="Arial" w:hAnsi="Arial"/>
          <w:sz w:val="16"/>
          <w:szCs w:val="16"/>
          <w:color w:val="auto"/>
          <w:strike w:val="1"/>
        </w:rPr>
        <w:t>relevant meeting; and</w:t>
      </w:r>
      <w:r>
        <w:rPr>
          <w:rFonts w:ascii="Arial" w:cs="Arial" w:eastAsia="Arial" w:hAnsi="Arial"/>
          <w:sz w:val="16"/>
          <w:szCs w:val="16"/>
          <w:u w:val="single" w:color="auto"/>
          <w:color w:val="auto"/>
        </w:rPr>
        <w:t>business to be transacted.</w:t>
      </w:r>
    </w:p>
    <w:p>
      <w:pPr>
        <w:spacing w:after="0" w:line="67" w:lineRule="exact"/>
        <w:rPr>
          <w:rFonts w:ascii="Arial" w:cs="Arial" w:eastAsia="Arial" w:hAnsi="Arial"/>
          <w:sz w:val="16"/>
          <w:szCs w:val="16"/>
          <w:color w:val="auto"/>
        </w:rPr>
      </w:pPr>
    </w:p>
    <w:p>
      <w:pPr>
        <w:ind w:left="1620" w:right="1420" w:hanging="424"/>
        <w:spacing w:after="0" w:line="260" w:lineRule="auto"/>
        <w:tabs>
          <w:tab w:leader="none" w:pos="16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holder of shares of the class shall, on a poll, have one vote in respect of every share of the class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A-11</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00" w:type="dxa"/>
            <w:vAlign w:val="bottom"/>
            <w:tcBorders>
              <w:bottom w:val="single" w:sz="8" w:color="9A9A9A"/>
            </w:tcBorders>
          </w:tcPr>
          <w:p>
            <w:pPr>
              <w:spacing w:after="0"/>
              <w:rPr>
                <w:sz w:val="13"/>
                <w:szCs w:val="13"/>
                <w:color w:val="auto"/>
              </w:rPr>
            </w:pPr>
          </w:p>
        </w:tc>
        <w:tc>
          <w:tcPr>
            <w:tcW w:w="3060" w:type="dxa"/>
            <w:vAlign w:val="bottom"/>
            <w:tcBorders>
              <w:bottom w:val="single" w:sz="8" w:color="9A9A9A"/>
            </w:tcBorders>
          </w:tcPr>
          <w:p>
            <w:pPr>
              <w:spacing w:after="0"/>
              <w:rPr>
                <w:sz w:val="13"/>
                <w:szCs w:val="13"/>
                <w:color w:val="auto"/>
              </w:rPr>
            </w:pPr>
          </w:p>
        </w:tc>
        <w:tc>
          <w:tcPr>
            <w:tcW w:w="274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0" w:name="page91"/>
    <w:bookmarkEnd w:id="9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420" w:right="299"/>
        <w:spacing w:after="0" w:line="253" w:lineRule="auto"/>
        <w:rPr>
          <w:sz w:val="20"/>
          <w:szCs w:val="20"/>
          <w:color w:val="auto"/>
        </w:rPr>
      </w:pPr>
      <w:r>
        <w:rPr>
          <w:rFonts w:ascii="Arial" w:cs="Arial" w:eastAsia="Arial" w:hAnsi="Arial"/>
          <w:sz w:val="16"/>
          <w:szCs w:val="16"/>
          <w:color w:val="auto"/>
        </w:rPr>
        <w:t xml:space="preserve">For the purposes of this Article 16.2, where a person is present by proxy or proxies,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treated only as holding the shares in respect of which those proxies are authorised to exercise voting rights with respect to any matter proposed at the meeting.</w:t>
      </w:r>
    </w:p>
    <w:p>
      <w:pPr>
        <w:spacing w:after="0" w:line="80" w:lineRule="exact"/>
        <w:rPr>
          <w:sz w:val="20"/>
          <w:szCs w:val="20"/>
          <w:color w:val="auto"/>
        </w:rPr>
      </w:pPr>
    </w:p>
    <w:p>
      <w:pPr>
        <w:ind w:left="1200" w:right="319" w:hanging="431"/>
        <w:spacing w:after="0" w:line="249" w:lineRule="auto"/>
        <w:rPr>
          <w:sz w:val="20"/>
          <w:szCs w:val="20"/>
          <w:color w:val="auto"/>
        </w:rPr>
      </w:pPr>
      <w:r>
        <w:rPr>
          <w:rFonts w:ascii="Arial" w:cs="Arial" w:eastAsia="Arial" w:hAnsi="Arial"/>
          <w:sz w:val="16"/>
          <w:szCs w:val="16"/>
          <w:color w:val="auto"/>
        </w:rPr>
        <w:t>16.3 The Board shall determine whether a general meeting is to be held as a physical general meeting or an electronic general meeting. The Board may call general meetings whenever and at such times and places (including electronic platforms)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83" w:lineRule="exact"/>
        <w:rPr>
          <w:sz w:val="20"/>
          <w:szCs w:val="20"/>
          <w:color w:val="auto"/>
        </w:rPr>
      </w:pPr>
    </w:p>
    <w:p>
      <w:pPr>
        <w:ind w:left="1200" w:right="259" w:hanging="431"/>
        <w:spacing w:after="0" w:line="251" w:lineRule="auto"/>
        <w:rPr>
          <w:sz w:val="20"/>
          <w:szCs w:val="20"/>
          <w:color w:val="auto"/>
        </w:rPr>
      </w:pPr>
      <w:r>
        <w:rPr>
          <w:rFonts w:ascii="Arial" w:cs="Arial" w:eastAsia="Arial" w:hAnsi="Arial"/>
          <w:sz w:val="16"/>
          <w:szCs w:val="16"/>
          <w:color w:val="auto"/>
        </w:rPr>
        <w:t xml:space="preserve">16.4 A general meeting may also be called under this Article 16 if the Company has fewer than two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and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(if any) is unable or unwilling to appoint sufficient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to make up a quorum or to call a general meeting to do so. In such case, two or more members may call a general meeting (or instruct the secretary to do so) for the purpose of appointing one or more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w:t>
      </w:r>
    </w:p>
    <w:p>
      <w:pPr>
        <w:spacing w:after="0" w:line="61" w:lineRule="exact"/>
        <w:rPr>
          <w:sz w:val="20"/>
          <w:szCs w:val="20"/>
          <w:color w:val="auto"/>
        </w:rPr>
      </w:pPr>
    </w:p>
    <w:p>
      <w:pPr>
        <w:ind w:left="1200" w:hanging="436"/>
        <w:spacing w:after="0"/>
        <w:tabs>
          <w:tab w:leader="none" w:pos="120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NOTICE OF GENERAL MEETINGS</w:t>
      </w:r>
    </w:p>
    <w:p>
      <w:pPr>
        <w:spacing w:after="0" w:line="120" w:lineRule="exact"/>
        <w:rPr>
          <w:sz w:val="20"/>
          <w:szCs w:val="20"/>
          <w:color w:val="auto"/>
        </w:rPr>
      </w:pPr>
    </w:p>
    <w:p>
      <w:pPr>
        <w:jc w:val="both"/>
        <w:ind w:left="1200" w:right="319" w:hanging="431"/>
        <w:spacing w:after="0" w:line="250" w:lineRule="auto"/>
        <w:rPr>
          <w:sz w:val="20"/>
          <w:szCs w:val="20"/>
          <w:color w:val="auto"/>
        </w:rPr>
      </w:pPr>
      <w:r>
        <w:rPr>
          <w:rFonts w:ascii="Arial" w:cs="Arial" w:eastAsia="Arial" w:hAnsi="Arial"/>
          <w:sz w:val="16"/>
          <w:szCs w:val="16"/>
          <w:color w:val="auto"/>
        </w:rPr>
        <w:t xml:space="preserve">17.1 At least 21 clear days’ notice must be given to call an annual general meeting. Subject to the provisions of the Companies Act, at least 14 clear days’ notice must be given to call all other general meetings. A general meeting </w:t>
      </w:r>
      <w:r>
        <w:rPr>
          <w:rFonts w:ascii="Arial" w:cs="Arial" w:eastAsia="Arial" w:hAnsi="Arial"/>
          <w:sz w:val="16"/>
          <w:szCs w:val="16"/>
          <w:u w:val="single" w:color="auto"/>
          <w:color w:val="auto"/>
        </w:rPr>
        <w:t>(other than an annual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 meeting)</w:t>
      </w:r>
      <w:r>
        <w:rPr>
          <w:rFonts w:ascii="Arial" w:cs="Arial" w:eastAsia="Arial" w:hAnsi="Arial"/>
          <w:sz w:val="16"/>
          <w:szCs w:val="16"/>
          <w:color w:val="auto"/>
        </w:rPr>
        <w:t xml:space="preserve">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81" w:lineRule="exact"/>
        <w:rPr>
          <w:sz w:val="20"/>
          <w:szCs w:val="20"/>
          <w:color w:val="auto"/>
        </w:rPr>
      </w:pPr>
    </w:p>
    <w:p>
      <w:pPr>
        <w:ind w:left="1200" w:right="239" w:hanging="431"/>
        <w:spacing w:after="0" w:line="251" w:lineRule="auto"/>
        <w:rPr>
          <w:sz w:val="20"/>
          <w:szCs w:val="20"/>
          <w:color w:val="auto"/>
        </w:rPr>
      </w:pPr>
      <w:r>
        <w:rPr>
          <w:rFonts w:ascii="Arial" w:cs="Arial" w:eastAsia="Arial" w:hAnsi="Arial"/>
          <w:sz w:val="16"/>
          <w:szCs w:val="16"/>
          <w:color w:val="auto"/>
        </w:rPr>
        <w:t xml:space="preserve">17.2 Subject to the provisions of the Companies Act and any relevant special rights or restrictions attached to any shares, notices shall be given to every member as of the record date for such meeting and to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17.3  Subject to the provisions of the Companies Act, the notice shall specify:</w:t>
      </w:r>
    </w:p>
    <w:p>
      <w:pPr>
        <w:spacing w:after="0" w:line="100" w:lineRule="exact"/>
        <w:rPr>
          <w:sz w:val="20"/>
          <w:szCs w:val="20"/>
          <w:color w:val="auto"/>
        </w:rPr>
      </w:pPr>
    </w:p>
    <w:p>
      <w:pPr>
        <w:ind w:left="1620" w:right="799" w:hanging="424"/>
        <w:spacing w:after="0" w:line="260" w:lineRule="auto"/>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whether the meeting shall be a physical or electronic general meeting</w:t>
      </w:r>
      <w:r>
        <w:rPr>
          <w:rFonts w:ascii="Arial" w:cs="Arial" w:eastAsia="Arial" w:hAnsi="Arial"/>
          <w:sz w:val="16"/>
          <w:szCs w:val="16"/>
          <w:u w:val="single" w:color="auto"/>
          <w:color w:val="auto"/>
        </w:rPr>
        <w:t>, or a meeting which is both physical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electronic</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620" w:right="319" w:hanging="424"/>
        <w:spacing w:after="0" w:line="253" w:lineRule="auto"/>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physical general meetings</w:t>
      </w:r>
      <w:r>
        <w:rPr>
          <w:rFonts w:ascii="Arial" w:cs="Arial" w:eastAsia="Arial" w:hAnsi="Arial"/>
          <w:sz w:val="16"/>
          <w:szCs w:val="16"/>
          <w:u w:val="single" w:color="auto"/>
          <w:color w:val="auto"/>
        </w:rPr>
        <w:t>, or meetings which are both physical and electronic</w:t>
      </w:r>
      <w:r>
        <w:rPr>
          <w:rFonts w:ascii="Arial" w:cs="Arial" w:eastAsia="Arial" w:hAnsi="Arial"/>
          <w:sz w:val="16"/>
          <w:szCs w:val="16"/>
          <w:color w:val="auto"/>
        </w:rPr>
        <w:t>, the place (including without limitation any satellite meeting place arranged for the purposes of Article 18.9, which shall be identified as such in the notice), the date and the time of meeting;</w:t>
      </w:r>
    </w:p>
    <w:p>
      <w:pPr>
        <w:spacing w:after="0" w:line="79" w:lineRule="exact"/>
        <w:rPr>
          <w:rFonts w:ascii="Arial" w:cs="Arial" w:eastAsia="Arial" w:hAnsi="Arial"/>
          <w:sz w:val="16"/>
          <w:szCs w:val="16"/>
          <w:color w:val="auto"/>
        </w:rPr>
      </w:pPr>
    </w:p>
    <w:p>
      <w:pPr>
        <w:ind w:left="1620" w:right="559" w:hanging="424"/>
        <w:spacing w:after="0" w:line="253" w:lineRule="auto"/>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electronic general meetings</w:t>
      </w:r>
      <w:r>
        <w:rPr>
          <w:rFonts w:ascii="Arial" w:cs="Arial" w:eastAsia="Arial" w:hAnsi="Arial"/>
          <w:sz w:val="16"/>
          <w:szCs w:val="16"/>
          <w:u w:val="single" w:color="auto"/>
          <w:color w:val="auto"/>
        </w:rPr>
        <w:t>, or meetings which are both physical and electronic</w:t>
      </w:r>
      <w:r>
        <w:rPr>
          <w:rFonts w:ascii="Arial" w:cs="Arial" w:eastAsia="Arial" w:hAnsi="Arial"/>
          <w:sz w:val="16"/>
          <w:szCs w:val="16"/>
          <w:color w:val="auto"/>
        </w:rPr>
        <w:t>, the time, date and electronic platform for the meeting, which electronic platform may vary from time to time and from meeting to meeting as the Board, in its sole discretion, sees fit;</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general nature of the business to be transacted;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case of an annual general meeting, shall specify the meeting as such.</w:t>
      </w:r>
    </w:p>
    <w:p>
      <w:pPr>
        <w:spacing w:after="0" w:line="100" w:lineRule="exact"/>
        <w:rPr>
          <w:sz w:val="20"/>
          <w:szCs w:val="20"/>
          <w:color w:val="auto"/>
        </w:rPr>
      </w:pPr>
    </w:p>
    <w:p>
      <w:pPr>
        <w:ind w:left="1200" w:right="579"/>
        <w:spacing w:after="0" w:line="260" w:lineRule="auto"/>
        <w:rPr>
          <w:sz w:val="20"/>
          <w:szCs w:val="20"/>
          <w:color w:val="auto"/>
        </w:rPr>
      </w:pPr>
      <w:r>
        <w:rPr>
          <w:rFonts w:ascii="Arial" w:cs="Arial" w:eastAsia="Arial" w:hAnsi="Arial"/>
          <w:sz w:val="16"/>
          <w:szCs w:val="16"/>
          <w:color w:val="auto"/>
        </w:rPr>
        <w:t>In the case of a meeting to pass a special resolution, the notice shall specify the intention to propose the resolution as a special resolution.</w:t>
      </w:r>
    </w:p>
    <w:p>
      <w:pPr>
        <w:spacing w:after="0" w:line="74" w:lineRule="exact"/>
        <w:rPr>
          <w:sz w:val="20"/>
          <w:szCs w:val="20"/>
          <w:color w:val="auto"/>
        </w:rPr>
      </w:pPr>
    </w:p>
    <w:p>
      <w:pPr>
        <w:ind w:left="1200" w:right="659" w:hanging="431"/>
        <w:spacing w:after="0" w:line="253" w:lineRule="auto"/>
        <w:rPr>
          <w:sz w:val="20"/>
          <w:szCs w:val="20"/>
          <w:color w:val="auto"/>
        </w:rPr>
      </w:pPr>
      <w:r>
        <w:rPr>
          <w:rFonts w:ascii="Arial" w:cs="Arial" w:eastAsia="Arial" w:hAnsi="Arial"/>
          <w:sz w:val="16"/>
          <w:szCs w:val="16"/>
          <w:color w:val="auto"/>
        </w:rPr>
        <w:t>17.4 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80" w:lineRule="exact"/>
        <w:rPr>
          <w:sz w:val="20"/>
          <w:szCs w:val="20"/>
          <w:color w:val="auto"/>
        </w:rPr>
      </w:pPr>
    </w:p>
    <w:p>
      <w:pPr>
        <w:ind w:left="1200" w:right="279" w:hanging="431"/>
        <w:spacing w:after="0" w:line="250" w:lineRule="auto"/>
        <w:rPr>
          <w:sz w:val="20"/>
          <w:szCs w:val="20"/>
          <w:color w:val="auto"/>
        </w:rPr>
      </w:pPr>
      <w:r>
        <w:rPr>
          <w:rFonts w:ascii="Arial" w:cs="Arial" w:eastAsia="Arial" w:hAnsi="Arial"/>
          <w:sz w:val="16"/>
          <w:szCs w:val="16"/>
          <w:color w:val="auto"/>
        </w:rPr>
        <w:t>17.5 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48" w:lineRule="exact"/>
        <w:rPr>
          <w:sz w:val="20"/>
          <w:szCs w:val="20"/>
          <w:color w:val="auto"/>
        </w:rPr>
      </w:pPr>
    </w:p>
    <w:p>
      <w:pPr>
        <w:ind w:left="1200" w:hanging="436"/>
        <w:spacing w:after="0"/>
        <w:tabs>
          <w:tab w:leader="none" w:pos="120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AT GENERAL MEETINGS</w:t>
      </w:r>
    </w:p>
    <w:p>
      <w:pPr>
        <w:spacing w:after="0" w:line="120" w:lineRule="exact"/>
        <w:rPr>
          <w:sz w:val="20"/>
          <w:szCs w:val="20"/>
          <w:color w:val="auto"/>
        </w:rPr>
      </w:pPr>
    </w:p>
    <w:p>
      <w:pPr>
        <w:ind w:left="1200" w:right="219" w:hanging="431"/>
        <w:spacing w:after="0" w:line="250" w:lineRule="auto"/>
        <w:rPr>
          <w:sz w:val="20"/>
          <w:szCs w:val="20"/>
          <w:color w:val="auto"/>
        </w:rPr>
      </w:pPr>
      <w:r>
        <w:rPr>
          <w:rFonts w:ascii="Arial" w:cs="Arial" w:eastAsia="Arial" w:hAnsi="Arial"/>
          <w:sz w:val="16"/>
          <w:szCs w:val="16"/>
          <w:color w:val="auto"/>
        </w:rPr>
        <w:t xml:space="preserve">18.1 No business shall be transacted at a meeting unless a quorum is present but the absence of a quorum shall not preclude the choice or appointment of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t>
      </w:r>
      <w:r>
        <w:rPr>
          <w:rFonts w:ascii="Arial" w:cs="Arial" w:eastAsia="Arial" w:hAnsi="Arial"/>
          <w:sz w:val="16"/>
          <w:szCs w:val="16"/>
          <w:u w:val="single" w:color="auto"/>
          <w:color w:val="auto"/>
        </w:rPr>
        <w:t>present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 person or by proxy</w:t>
      </w:r>
      <w:r>
        <w:rPr>
          <w:rFonts w:ascii="Arial" w:cs="Arial" w:eastAsia="Arial" w:hAnsi="Arial"/>
          <w:sz w:val="16"/>
          <w:szCs w:val="16"/>
          <w:color w:val="auto"/>
        </w:rPr>
        <w:t xml:space="preserve"> who together represent at least </w:t>
      </w:r>
      <w:r>
        <w:rPr>
          <w:rFonts w:ascii="Arial" w:cs="Arial" w:eastAsia="Arial" w:hAnsi="Arial"/>
          <w:sz w:val="16"/>
          <w:szCs w:val="16"/>
          <w:color w:val="auto"/>
          <w:strike w:val="1"/>
        </w:rPr>
        <w:t>the</w:t>
      </w:r>
      <w:r>
        <w:rPr>
          <w:rFonts w:ascii="Arial" w:cs="Arial" w:eastAsia="Arial" w:hAnsi="Arial"/>
          <w:sz w:val="16"/>
          <w:szCs w:val="16"/>
          <w:u w:val="single" w:color="auto"/>
          <w:color w:val="auto"/>
        </w:rPr>
        <w:t>a</w:t>
      </w:r>
      <w:r>
        <w:rPr>
          <w:rFonts w:ascii="Arial" w:cs="Arial" w:eastAsia="Arial" w:hAnsi="Arial"/>
          <w:sz w:val="16"/>
          <w:szCs w:val="16"/>
          <w:color w:val="auto"/>
        </w:rPr>
        <w:t xml:space="preserve"> majority of the voting rights </w:t>
      </w:r>
      <w:r>
        <w:rPr>
          <w:rFonts w:ascii="Arial" w:cs="Arial" w:eastAsia="Arial" w:hAnsi="Arial"/>
          <w:sz w:val="16"/>
          <w:szCs w:val="16"/>
          <w:color w:val="auto"/>
          <w:strike w:val="1"/>
        </w:rPr>
        <w:t>of all the members</w:t>
      </w:r>
      <w:r>
        <w:rPr>
          <w:rFonts w:ascii="Arial" w:cs="Arial" w:eastAsia="Arial" w:hAnsi="Arial"/>
          <w:sz w:val="16"/>
          <w:szCs w:val="16"/>
          <w:u w:val="single" w:color="auto"/>
          <w:color w:val="auto"/>
        </w:rPr>
        <w:t>attaching</w:t>
      </w:r>
    </w:p>
    <w:p>
      <w:pPr>
        <w:spacing w:after="0" w:line="10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A-12</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1000"/>
        <w:spacing w:after="0" w:line="260" w:lineRule="auto"/>
        <w:rPr>
          <w:sz w:val="20"/>
          <w:szCs w:val="20"/>
          <w:color w:val="auto"/>
        </w:rPr>
      </w:pPr>
      <w:r>
        <w:rPr>
          <w:rFonts w:ascii="Arial" w:cs="Arial" w:eastAsia="Arial" w:hAnsi="Arial"/>
          <w:sz w:val="16"/>
          <w:szCs w:val="16"/>
          <w:u w:val="single" w:color="auto"/>
          <w:color w:val="auto"/>
        </w:rPr>
        <w:t>to the shares (excluding any shares held as treasury shares)</w:t>
      </w:r>
      <w:r>
        <w:rPr>
          <w:rFonts w:ascii="Arial" w:cs="Arial" w:eastAsia="Arial" w:hAnsi="Arial"/>
          <w:sz w:val="16"/>
          <w:szCs w:val="16"/>
          <w:color w:val="auto"/>
        </w:rPr>
        <w:t xml:space="preserve"> entitled to vote</w:t>
      </w:r>
      <w:r>
        <w:rPr>
          <w:rFonts w:ascii="Arial" w:cs="Arial" w:eastAsia="Arial" w:hAnsi="Arial"/>
          <w:sz w:val="16"/>
          <w:szCs w:val="16"/>
          <w:color w:val="auto"/>
          <w:strike w:val="1"/>
        </w:rPr>
        <w:t>, present in person or by proxy, at the relevant</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meeting. </w:t>
      </w:r>
      <w:r>
        <w:rPr>
          <w:rFonts w:ascii="Arial" w:cs="Arial" w:eastAsia="Arial" w:hAnsi="Arial"/>
          <w:sz w:val="16"/>
          <w:szCs w:val="16"/>
          <w:u w:val="single" w:color="auto"/>
          <w:color w:val="auto"/>
          <w:strike w:val="1"/>
        </w:rPr>
        <w:t>on the business to be transacted.</w:t>
      </w:r>
    </w:p>
    <w:p>
      <w:pPr>
        <w:spacing w:after="0" w:line="74"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18.2 If a quorum is not present within half an hour after the time appointed for holding the meeting (or such additional time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w:t>
      </w:r>
      <w:r>
        <w:rPr>
          <w:rFonts w:ascii="Arial" w:cs="Arial" w:eastAsia="Arial" w:hAnsi="Arial"/>
          <w:sz w:val="16"/>
          <w:szCs w:val="16"/>
          <w:color w:val="auto"/>
          <w:strike w:val="1"/>
        </w:rPr>
        <w:t>either:</w:t>
      </w:r>
    </w:p>
    <w:p>
      <w:pPr>
        <w:spacing w:after="0" w:line="67" w:lineRule="exact"/>
        <w:rPr>
          <w:sz w:val="20"/>
          <w:szCs w:val="20"/>
          <w:color w:val="auto"/>
        </w:rPr>
      </w:pPr>
    </w:p>
    <w:p>
      <w:pPr>
        <w:ind w:left="1620" w:right="1160" w:hanging="424"/>
        <w:spacing w:after="0" w:line="260" w:lineRule="auto"/>
        <w:tabs>
          <w:tab w:leader="none" w:pos="1620" w:val="left"/>
        </w:tabs>
        <w:numPr>
          <w:ilvl w:val="0"/>
          <w:numId w:val="125"/>
        </w:numPr>
        <w:rPr>
          <w:rFonts w:ascii="Arial" w:cs="Arial" w:eastAsia="Arial" w:hAnsi="Arial"/>
          <w:sz w:val="16"/>
          <w:szCs w:val="16"/>
          <w:color w:val="auto"/>
          <w:strike w:val="1"/>
        </w:rPr>
      </w:pPr>
      <w:r>
        <w:rPr>
          <w:rFonts w:ascii="Arial" w:cs="Arial" w:eastAsia="Arial" w:hAnsi="Arial"/>
          <w:sz w:val="16"/>
          <w:szCs w:val="16"/>
          <w:color w:val="auto"/>
          <w:strike w:val="1"/>
        </w:rPr>
        <w:t>on a day that is not less than 14 days but not more than 28 days after it was adjourned and at a time and/or place specified for the purpose in the notice calling the meeting; or</w:t>
      </w:r>
    </w:p>
    <w:p>
      <w:pPr>
        <w:spacing w:after="0" w:line="73" w:lineRule="exact"/>
        <w:rPr>
          <w:rFonts w:ascii="Arial" w:cs="Arial" w:eastAsia="Arial" w:hAnsi="Arial"/>
          <w:sz w:val="16"/>
          <w:szCs w:val="16"/>
          <w:color w:val="auto"/>
          <w:strike w:val="1"/>
        </w:rPr>
      </w:pPr>
    </w:p>
    <w:p>
      <w:pPr>
        <w:ind w:left="1200" w:right="840" w:hanging="4"/>
        <w:spacing w:after="0" w:line="251" w:lineRule="auto"/>
        <w:tabs>
          <w:tab w:leader="none" w:pos="1437" w:val="left"/>
        </w:tabs>
        <w:numPr>
          <w:ilvl w:val="0"/>
          <w:numId w:val="125"/>
        </w:numPr>
        <w:rPr>
          <w:rFonts w:ascii="Arial" w:cs="Arial" w:eastAsia="Arial" w:hAnsi="Arial"/>
          <w:sz w:val="16"/>
          <w:szCs w:val="16"/>
          <w:color w:val="auto"/>
          <w:strike w:val="1"/>
        </w:rPr>
      </w:pPr>
      <w:r>
        <w:rPr>
          <w:rFonts w:ascii="Arial" w:cs="Arial" w:eastAsia="Arial" w:hAnsi="Arial"/>
          <w:sz w:val="16"/>
          <w:szCs w:val="16"/>
          <w:color w:val="auto"/>
          <w:strike w:val="1"/>
        </w:rPr>
        <w:t>where no such arrangements have been specified,</w:t>
      </w:r>
      <w:r>
        <w:rPr>
          <w:rFonts w:ascii="Arial" w:cs="Arial" w:eastAsia="Arial" w:hAnsi="Arial"/>
          <w:sz w:val="16"/>
          <w:szCs w:val="16"/>
          <w:color w:val="auto"/>
        </w:rPr>
        <w:t xml:space="preserve"> on a day that is not less than 14 days but not more than 28 days after it was adjourned and at such time and/or place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decides (or, in default, the </w:t>
      </w:r>
      <w:r>
        <w:rPr>
          <w:rFonts w:ascii="Arial" w:cs="Arial" w:eastAsia="Arial" w:hAnsi="Arial"/>
          <w:sz w:val="16"/>
          <w:szCs w:val="16"/>
          <w:color w:val="auto"/>
          <w:strike w:val="1"/>
        </w:rPr>
        <w:t xml:space="preserve">directors decide). </w:t>
      </w:r>
      <w:r>
        <w:rPr>
          <w:rFonts w:ascii="Arial" w:cs="Arial" w:eastAsia="Arial" w:hAnsi="Arial"/>
          <w:sz w:val="16"/>
          <w:szCs w:val="16"/>
          <w:u w:val="single" w:color="auto"/>
          <w:color w:val="auto"/>
          <w:strike w:val="1"/>
        </w:rPr>
        <w:t>Board decides). In the case of a general meeting to take place in accordance with this Article 18.2,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Company must give not less than seven clear days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notice of any adjourned meeting.</w:t>
      </w:r>
    </w:p>
    <w:p>
      <w:pPr>
        <w:spacing w:after="0" w:line="67" w:lineRule="exact"/>
        <w:rPr>
          <w:sz w:val="20"/>
          <w:szCs w:val="20"/>
          <w:color w:val="auto"/>
        </w:rPr>
      </w:pPr>
    </w:p>
    <w:p>
      <w:pPr>
        <w:ind w:left="1200" w:right="1240"/>
        <w:spacing w:after="0" w:line="260" w:lineRule="auto"/>
        <w:rPr>
          <w:sz w:val="20"/>
          <w:szCs w:val="20"/>
          <w:color w:val="auto"/>
        </w:rPr>
      </w:pPr>
      <w:r>
        <w:rPr>
          <w:rFonts w:ascii="Arial" w:cs="Arial" w:eastAsia="Arial" w:hAnsi="Arial"/>
          <w:sz w:val="16"/>
          <w:szCs w:val="16"/>
          <w:color w:val="auto"/>
          <w:strike w:val="1"/>
        </w:rPr>
        <w:t>In the case of a general meeting to take place in accordance with Article 18.2(b), the Company must give not less than seven clear days’ notice of any adjourned meeting and the notice must state the quorum requirement.</w:t>
      </w:r>
    </w:p>
    <w:p>
      <w:pPr>
        <w:spacing w:after="0" w:line="74"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18.3 At an adjourned meeting the quorum is </w:t>
      </w:r>
      <w:r>
        <w:rPr>
          <w:rFonts w:ascii="Arial" w:cs="Arial" w:eastAsia="Arial" w:hAnsi="Arial"/>
          <w:sz w:val="16"/>
          <w:szCs w:val="16"/>
          <w:color w:val="auto"/>
          <w:strike w:val="1"/>
        </w:rPr>
        <w:t>one qualifying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w:t>
      </w:r>
      <w:r>
        <w:rPr>
          <w:rFonts w:ascii="Arial" w:cs="Arial" w:eastAsia="Arial" w:hAnsi="Arial"/>
          <w:sz w:val="16"/>
          <w:szCs w:val="16"/>
          <w:color w:val="auto"/>
        </w:rPr>
        <w:t xml:space="preserve"> present </w:t>
      </w:r>
      <w:r>
        <w:rPr>
          <w:rFonts w:ascii="Arial" w:cs="Arial" w:eastAsia="Arial" w:hAnsi="Arial"/>
          <w:sz w:val="16"/>
          <w:szCs w:val="16"/>
          <w:color w:val="auto"/>
          <w:strike w:val="1"/>
        </w:rPr>
        <w:t>and</w:t>
      </w:r>
      <w:r>
        <w:rPr>
          <w:rFonts w:ascii="Arial" w:cs="Arial" w:eastAsia="Arial" w:hAnsi="Arial"/>
          <w:sz w:val="16"/>
          <w:szCs w:val="16"/>
          <w:u w:val="single" w:color="auto"/>
          <w:color w:val="auto"/>
        </w:rPr>
        <w:t>in person or by proxy who together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represent at least a majority of the voting rights attaching to the shares (excluding any shares held as treasury shares) </w:t>
      </w:r>
      <w:r>
        <w:rPr>
          <w:rFonts w:ascii="Arial" w:cs="Arial" w:eastAsia="Arial" w:hAnsi="Arial"/>
          <w:sz w:val="16"/>
          <w:szCs w:val="16"/>
          <w:color w:val="auto"/>
        </w:rPr>
        <w:t>entitled to vote</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the business to be transacted.</w:t>
      </w:r>
      <w:r>
        <w:rPr>
          <w:rFonts w:ascii="Arial" w:cs="Arial" w:eastAsia="Arial" w:hAnsi="Arial"/>
          <w:sz w:val="16"/>
          <w:szCs w:val="16"/>
          <w:color w:val="auto"/>
        </w:rPr>
        <w:t xml:space="preserve"> If at the adjourned meeting a quorum is not present within 15 minutes after the time appointed for holding the meeting, the meeting shall be dissolved.</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18.4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(if any) of the Board, or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absence the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of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Board, or in the absence of both of them some other Director nominated prior to the meeting by the Board, shall preside as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If none of the </w:t>
      </w:r>
      <w:r>
        <w:rPr>
          <w:rFonts w:ascii="Arial" w:cs="Arial" w:eastAsia="Arial" w:hAnsi="Arial"/>
          <w:sz w:val="16"/>
          <w:szCs w:val="16"/>
          <w:color w:val="auto"/>
          <w:strike w:val="1"/>
        </w:rPr>
        <w:t>chairman, deputy chairman</w:t>
      </w:r>
      <w:r>
        <w:rPr>
          <w:rFonts w:ascii="Arial" w:cs="Arial" w:eastAsia="Arial" w:hAnsi="Arial"/>
          <w:sz w:val="16"/>
          <w:szCs w:val="16"/>
          <w:u w:val="single" w:color="auto"/>
          <w:color w:val="auto"/>
        </w:rPr>
        <w:t>chairperson, senior independent director</w:t>
      </w:r>
      <w:r>
        <w:rPr>
          <w:rFonts w:ascii="Arial" w:cs="Arial" w:eastAsia="Arial" w:hAnsi="Arial"/>
          <w:sz w:val="16"/>
          <w:szCs w:val="16"/>
          <w:color w:val="auto"/>
        </w:rPr>
        <w:t xml:space="preserve"> or</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such other Director (if any) is present within 15 minutes after the time appointed for holding the meeting or is not willing to act</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the Directors present shall elect one of their number present and willing to act to be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and if there is only one Director present, </w:t>
      </w:r>
      <w:r>
        <w:rPr>
          <w:rFonts w:ascii="Arial" w:cs="Arial" w:eastAsia="Arial" w:hAnsi="Arial"/>
          <w:sz w:val="16"/>
          <w:szCs w:val="16"/>
          <w:color w:val="auto"/>
          <w:strike w:val="1"/>
        </w:rPr>
        <w:t>he</w:t>
      </w:r>
      <w:r>
        <w:rPr>
          <w:rFonts w:ascii="Arial" w:cs="Arial" w:eastAsia="Arial" w:hAnsi="Arial"/>
          <w:sz w:val="16"/>
          <w:szCs w:val="16"/>
          <w:u w:val="single" w:color="auto"/>
          <w:color w:val="auto"/>
        </w:rPr>
        <w:t>that Director</w:t>
      </w:r>
      <w:r>
        <w:rPr>
          <w:rFonts w:ascii="Arial" w:cs="Arial" w:eastAsia="Arial" w:hAnsi="Arial"/>
          <w:sz w:val="16"/>
          <w:szCs w:val="16"/>
          <w:color w:val="auto"/>
        </w:rPr>
        <w:t xml:space="preserve"> shall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of the meeting.</w:t>
      </w:r>
    </w:p>
    <w:p>
      <w:pPr>
        <w:spacing w:after="0" w:line="100"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rPr>
        <w:t xml:space="preserve">18.5 If no Director is willing to act 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w:t>
      </w:r>
    </w:p>
    <w:p>
      <w:pPr>
        <w:spacing w:after="0" w:line="67" w:lineRule="exact"/>
        <w:rPr>
          <w:sz w:val="20"/>
          <w:szCs w:val="20"/>
          <w:color w:val="auto"/>
        </w:rPr>
      </w:pPr>
    </w:p>
    <w:p>
      <w:pPr>
        <w:ind w:left="1200" w:right="820" w:hanging="431"/>
        <w:spacing w:after="0" w:line="248"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color w:val="auto"/>
          <w:strike w:val="1"/>
        </w:rPr>
        <w:t>The Board and at</w:t>
      </w:r>
      <w:r>
        <w:rPr>
          <w:rFonts w:ascii="Arial" w:cs="Arial" w:eastAsia="Arial" w:hAnsi="Arial"/>
          <w:sz w:val="16"/>
          <w:szCs w:val="16"/>
          <w:u w:val="single" w:color="auto"/>
          <w:color w:val="auto"/>
        </w:rPr>
        <w:t>At</w:t>
      </w:r>
      <w:r>
        <w:rPr>
          <w:rFonts w:ascii="Arial" w:cs="Arial" w:eastAsia="Arial" w:hAnsi="Arial"/>
          <w:sz w:val="16"/>
          <w:szCs w:val="16"/>
          <w:color w:val="auto"/>
        </w:rPr>
        <w:t xml:space="preserve"> any physical general meeting </w:t>
      </w:r>
      <w:r>
        <w:rPr>
          <w:rFonts w:ascii="Arial" w:cs="Arial" w:eastAsia="Arial" w:hAnsi="Arial"/>
          <w:sz w:val="16"/>
          <w:szCs w:val="16"/>
          <w:u w:val="single" w:color="auto"/>
          <w:color w:val="auto"/>
        </w:rPr>
        <w:t>or meeting which is both physical and electronic</w:t>
      </w:r>
      <w:r>
        <w:rPr>
          <w:rFonts w:ascii="Arial" w:cs="Arial" w:eastAsia="Arial" w:hAnsi="Arial"/>
          <w:sz w:val="16"/>
          <w:szCs w:val="16"/>
          <w:color w:val="auto"/>
        </w:rPr>
        <w:t xml:space="preserve">,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and/or the chairperson</w:t>
      </w:r>
      <w:r>
        <w:rPr>
          <w:rFonts w:ascii="Arial" w:cs="Arial" w:eastAsia="Arial" w:hAnsi="Arial"/>
          <w:sz w:val="16"/>
          <w:szCs w:val="16"/>
          <w:color w:val="auto"/>
        </w:rPr>
        <w:t xml:space="preserve">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w:t>
      </w:r>
      <w:r>
        <w:rPr>
          <w:rFonts w:ascii="Arial" w:cs="Arial" w:eastAsia="Arial" w:hAnsi="Arial"/>
          <w:sz w:val="16"/>
          <w:szCs w:val="16"/>
          <w:color w:val="auto"/>
          <w:strike w:val="1"/>
        </w:rPr>
        <w:t>or he</w:t>
      </w:r>
      <w:r>
        <w:rPr>
          <w:rFonts w:ascii="Arial" w:cs="Arial" w:eastAsia="Arial" w:hAnsi="Arial"/>
          <w:sz w:val="16"/>
          <w:szCs w:val="16"/>
          <w:color w:val="auto"/>
        </w:rPr>
        <w:t xml:space="preserve"> consider appropriate under the circumstances.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in their </w:t>
      </w:r>
      <w:r>
        <w:rPr>
          <w:rFonts w:ascii="Arial" w:cs="Arial" w:eastAsia="Arial" w:hAnsi="Arial"/>
          <w:sz w:val="16"/>
          <w:szCs w:val="16"/>
          <w:color w:val="auto"/>
          <w:strike w:val="1"/>
        </w:rPr>
        <w:t>or his</w:t>
      </w:r>
      <w:r>
        <w:rPr>
          <w:rFonts w:ascii="Arial" w:cs="Arial" w:eastAsia="Arial" w:hAnsi="Arial"/>
          <w:sz w:val="16"/>
          <w:szCs w:val="16"/>
          <w:color w:val="auto"/>
        </w:rPr>
        <w:t xml:space="preserve"> absolute discretion refuse entry to, or eject from, any general meeting any person who refuses to submit to a search or otherwise comply with such security arrangements or restrictions.</w:t>
      </w:r>
    </w:p>
    <w:p>
      <w:pPr>
        <w:spacing w:after="0" w:line="86" w:lineRule="exact"/>
        <w:rPr>
          <w:sz w:val="20"/>
          <w:szCs w:val="20"/>
          <w:color w:val="auto"/>
        </w:rPr>
      </w:pPr>
    </w:p>
    <w:p>
      <w:pPr>
        <w:ind w:left="1200" w:right="1040" w:hanging="431"/>
        <w:spacing w:after="0" w:line="250" w:lineRule="auto"/>
        <w:rPr>
          <w:sz w:val="20"/>
          <w:szCs w:val="20"/>
          <w:color w:val="auto"/>
        </w:rPr>
      </w:pPr>
      <w:r>
        <w:rPr>
          <w:rFonts w:ascii="Arial" w:cs="Arial" w:eastAsia="Arial" w:hAnsi="Arial"/>
          <w:sz w:val="16"/>
          <w:szCs w:val="16"/>
          <w:color w:val="auto"/>
        </w:rPr>
        <w:t xml:space="preserve">18.7 The Board or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take such action, give such direction or put in place such arrangements as they </w:t>
      </w:r>
      <w:r>
        <w:rPr>
          <w:rFonts w:ascii="Arial" w:cs="Arial" w:eastAsia="Arial" w:hAnsi="Arial"/>
          <w:sz w:val="16"/>
          <w:szCs w:val="16"/>
          <w:color w:val="auto"/>
          <w:strike w:val="1"/>
        </w:rPr>
        <w:t>or he</w:t>
      </w:r>
      <w:r>
        <w:rPr>
          <w:rFonts w:ascii="Arial" w:cs="Arial" w:eastAsia="Arial" w:hAnsi="Arial"/>
          <w:sz w:val="16"/>
          <w:szCs w:val="16"/>
          <w:color w:val="auto"/>
        </w:rPr>
        <w:t xml:space="preserve"> consider appropriate to secure the safety of the people attending the meeting and to promote the orderly conduct of the business of the meeting. Any decision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on matters of procedure or matters arising incidentally from the business of the meeting, and any determination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as to whether a matter is of such a nature, shall be final.</w:t>
      </w:r>
    </w:p>
    <w:p>
      <w:pPr>
        <w:spacing w:after="0" w:line="68" w:lineRule="exact"/>
        <w:rPr>
          <w:sz w:val="20"/>
          <w:szCs w:val="20"/>
          <w:color w:val="auto"/>
        </w:rPr>
      </w:pPr>
    </w:p>
    <w:p>
      <w:pPr>
        <w:ind w:left="1200" w:right="1080"/>
        <w:spacing w:after="0" w:line="262" w:lineRule="auto"/>
        <w:rPr>
          <w:sz w:val="20"/>
          <w:szCs w:val="20"/>
          <w:color w:val="auto"/>
        </w:rPr>
      </w:pPr>
      <w:r>
        <w:rPr>
          <w:rFonts w:ascii="Arial" w:cs="Arial" w:eastAsia="Arial" w:hAnsi="Arial"/>
          <w:sz w:val="15"/>
          <w:szCs w:val="15"/>
          <w:color w:val="auto"/>
          <w:strike w:val="1"/>
        </w:rPr>
        <w:t>The Board and, at</w:t>
      </w:r>
      <w:r>
        <w:rPr>
          <w:rFonts w:ascii="Arial" w:cs="Arial" w:eastAsia="Arial" w:hAnsi="Arial"/>
          <w:sz w:val="15"/>
          <w:szCs w:val="15"/>
          <w:u w:val="single" w:color="auto"/>
          <w:color w:val="auto"/>
        </w:rPr>
        <w:t>At</w:t>
      </w:r>
      <w:r>
        <w:rPr>
          <w:rFonts w:ascii="Arial" w:cs="Arial" w:eastAsia="Arial" w:hAnsi="Arial"/>
          <w:sz w:val="15"/>
          <w:szCs w:val="15"/>
          <w:color w:val="auto"/>
        </w:rPr>
        <w:t xml:space="preserve"> any electronic general meeting </w:t>
      </w:r>
      <w:r>
        <w:rPr>
          <w:rFonts w:ascii="Arial" w:cs="Arial" w:eastAsia="Arial" w:hAnsi="Arial"/>
          <w:sz w:val="15"/>
          <w:szCs w:val="15"/>
          <w:u w:val="single" w:color="auto"/>
          <w:color w:val="auto"/>
        </w:rPr>
        <w:t>or meeting which is both physical and electronic</w:t>
      </w:r>
      <w:r>
        <w:rPr>
          <w:rFonts w:ascii="Arial" w:cs="Arial" w:eastAsia="Arial" w:hAnsi="Arial"/>
          <w:sz w:val="15"/>
          <w:szCs w:val="15"/>
          <w:color w:val="auto"/>
        </w:rPr>
        <w:t xml:space="preserve">,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w:t>
      </w:r>
      <w:r>
        <w:rPr>
          <w:rFonts w:ascii="Arial" w:cs="Arial" w:eastAsia="Arial" w:hAnsi="Arial"/>
          <w:sz w:val="15"/>
          <w:szCs w:val="15"/>
          <w:u w:val="single" w:color="auto"/>
          <w:color w:val="auto"/>
        </w:rPr>
        <w:t>and/or the chairperson</w:t>
      </w:r>
      <w:r>
        <w:rPr>
          <w:rFonts w:ascii="Arial" w:cs="Arial" w:eastAsia="Arial" w:hAnsi="Arial"/>
          <w:sz w:val="15"/>
          <w:szCs w:val="15"/>
          <w:color w:val="auto"/>
        </w:rPr>
        <w:t xml:space="preserve"> of the meeting may make any arrangement and impose any requirement or restrictions as is:</w:t>
      </w:r>
    </w:p>
    <w:p>
      <w:pPr>
        <w:spacing w:after="0" w:line="1" w:lineRule="exact"/>
        <w:rPr>
          <w:sz w:val="20"/>
          <w:szCs w:val="20"/>
          <w:color w:val="auto"/>
        </w:rPr>
      </w:pPr>
    </w:p>
    <w:p>
      <w:pPr>
        <w:ind w:left="1440" w:hanging="244"/>
        <w:spacing w:after="0"/>
        <w:tabs>
          <w:tab w:leader="none" w:pos="1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necessary to ensure the identification of those taking part and the security of the electronic communication, and</w:t>
      </w:r>
    </w:p>
    <w:p>
      <w:pPr>
        <w:spacing w:after="0" w:line="5" w:lineRule="exact"/>
        <w:rPr>
          <w:rFonts w:ascii="Arial" w:cs="Arial" w:eastAsia="Arial" w:hAnsi="Arial"/>
          <w:sz w:val="16"/>
          <w:szCs w:val="16"/>
          <w:color w:val="auto"/>
        </w:rPr>
      </w:pPr>
    </w:p>
    <w:p>
      <w:pPr>
        <w:ind w:left="1200" w:right="1180" w:hanging="4"/>
        <w:spacing w:after="0" w:line="260" w:lineRule="auto"/>
        <w:tabs>
          <w:tab w:leader="none" w:pos="143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proportionate to those objectives. In this respect, the Company is able to authorise any voting application, system or facility for electronic general meetings as it sees fit.</w:t>
      </w:r>
    </w:p>
    <w:p>
      <w:pPr>
        <w:spacing w:after="0" w:line="74" w:lineRule="exact"/>
        <w:rPr>
          <w:sz w:val="20"/>
          <w:szCs w:val="20"/>
          <w:color w:val="auto"/>
        </w:rPr>
      </w:pPr>
    </w:p>
    <w:p>
      <w:pPr>
        <w:ind w:left="1200" w:right="840" w:hanging="431"/>
        <w:spacing w:after="0" w:line="251" w:lineRule="auto"/>
        <w:rPr>
          <w:sz w:val="20"/>
          <w:szCs w:val="20"/>
          <w:color w:val="auto"/>
        </w:rPr>
      </w:pPr>
      <w:r>
        <w:rPr>
          <w:rFonts w:ascii="Arial" w:cs="Arial" w:eastAsia="Arial" w:hAnsi="Arial"/>
          <w:sz w:val="16"/>
          <w:szCs w:val="16"/>
          <w:color w:val="auto"/>
        </w:rPr>
        <w:t xml:space="preserve">18.8 Directors may attend and speak at general meetings and at any separate meeting of the holders of any class of shares, whether or not they are members.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permit other persons who are not members of the Company or otherwise entitled to exercise the rights of members in relation to general meetings to attend and, at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meeting’s discretion, speak at a general meeting or at any separate class meeting.</w:t>
      </w:r>
    </w:p>
    <w:p>
      <w:pPr>
        <w:spacing w:after="0" w:line="67" w:lineRule="exact"/>
        <w:rPr>
          <w:sz w:val="20"/>
          <w:szCs w:val="20"/>
          <w:color w:val="auto"/>
        </w:rPr>
      </w:pPr>
    </w:p>
    <w:p>
      <w:pPr>
        <w:ind w:left="1200" w:right="780" w:hanging="431"/>
        <w:spacing w:after="0" w:line="253" w:lineRule="auto"/>
        <w:rPr>
          <w:sz w:val="20"/>
          <w:szCs w:val="20"/>
          <w:color w:val="auto"/>
        </w:rPr>
      </w:pPr>
      <w:r>
        <w:rPr>
          <w:rFonts w:ascii="Arial" w:cs="Arial" w:eastAsia="Arial" w:hAnsi="Arial"/>
          <w:sz w:val="16"/>
          <w:szCs w:val="16"/>
          <w:color w:val="auto"/>
        </w:rPr>
        <w:t xml:space="preserve">18.9 Without prejudice to Article 18.10, in the case of any general meeting, the Board may, notwithstanding the specification in the notice convening the general meeting of the place at which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shall preside (the “</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00" w:type="dxa"/>
            <w:vAlign w:val="bottom"/>
            <w:tcBorders>
              <w:bottom w:val="single" w:sz="8" w:color="9A9A9A"/>
            </w:tcBorders>
          </w:tcPr>
          <w:p>
            <w:pPr>
              <w:spacing w:after="0"/>
              <w:rPr>
                <w:sz w:val="13"/>
                <w:szCs w:val="13"/>
                <w:color w:val="auto"/>
              </w:rPr>
            </w:pPr>
          </w:p>
        </w:tc>
        <w:tc>
          <w:tcPr>
            <w:tcW w:w="3060" w:type="dxa"/>
            <w:vAlign w:val="bottom"/>
            <w:tcBorders>
              <w:bottom w:val="single" w:sz="8" w:color="9A9A9A"/>
            </w:tcBorders>
          </w:tcPr>
          <w:p>
            <w:pPr>
              <w:spacing w:after="0"/>
              <w:rPr>
                <w:sz w:val="13"/>
                <w:szCs w:val="13"/>
                <w:color w:val="auto"/>
              </w:rPr>
            </w:pPr>
          </w:p>
        </w:tc>
        <w:tc>
          <w:tcPr>
            <w:tcW w:w="274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2" w:name="page93"/>
    <w:bookmarkEnd w:id="9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59"/>
        <w:spacing w:after="0" w:line="248" w:lineRule="auto"/>
        <w:rPr>
          <w:sz w:val="20"/>
          <w:szCs w:val="20"/>
          <w:color w:val="auto"/>
        </w:rPr>
      </w:pPr>
      <w:r>
        <w:rPr>
          <w:rFonts w:ascii="Arial" w:cs="Arial" w:eastAsia="Arial" w:hAnsi="Arial"/>
          <w:sz w:val="16"/>
          <w:szCs w:val="16"/>
          <w:color w:val="auto"/>
        </w:rPr>
        <w:t xml:space="preserve">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83" w:lineRule="exact"/>
        <w:rPr>
          <w:sz w:val="20"/>
          <w:szCs w:val="20"/>
          <w:color w:val="auto"/>
        </w:rPr>
      </w:pPr>
    </w:p>
    <w:p>
      <w:pPr>
        <w:ind w:left="1620" w:hanging="424"/>
        <w:spacing w:after="0"/>
        <w:tabs>
          <w:tab w:leader="none" w:pos="1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participate in the business for which the meeting has been convened;</w:t>
      </w:r>
    </w:p>
    <w:p>
      <w:pPr>
        <w:spacing w:after="0" w:line="86" w:lineRule="exact"/>
        <w:rPr>
          <w:rFonts w:ascii="Arial" w:cs="Arial" w:eastAsia="Arial" w:hAnsi="Arial"/>
          <w:sz w:val="16"/>
          <w:szCs w:val="16"/>
          <w:color w:val="auto"/>
        </w:rPr>
      </w:pPr>
    </w:p>
    <w:p>
      <w:pPr>
        <w:ind w:left="1620" w:right="1039" w:hanging="424"/>
        <w:spacing w:after="0" w:line="260" w:lineRule="auto"/>
        <w:tabs>
          <w:tab w:leader="none" w:pos="1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see and hear all persons who speak (whether through the use of microphones, loud speakers, audio-visual communication equipment or otherwise) in the principal place and any other such place; and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be heard and seen by all other persons so present in the same way.</w:t>
      </w:r>
    </w:p>
    <w:p>
      <w:pPr>
        <w:spacing w:after="0" w:line="86" w:lineRule="exact"/>
        <w:rPr>
          <w:sz w:val="20"/>
          <w:szCs w:val="20"/>
          <w:color w:val="auto"/>
        </w:rPr>
      </w:pPr>
    </w:p>
    <w:p>
      <w:pPr>
        <w:ind w:left="1200" w:right="339"/>
        <w:spacing w:after="0" w:line="26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general meeting shall be present at, and the meeting shall be deemed to take place at, the principal place.</w:t>
      </w:r>
    </w:p>
    <w:p>
      <w:pPr>
        <w:spacing w:after="0" w:line="74" w:lineRule="exact"/>
        <w:rPr>
          <w:sz w:val="20"/>
          <w:szCs w:val="20"/>
          <w:color w:val="auto"/>
        </w:rPr>
      </w:pPr>
    </w:p>
    <w:p>
      <w:pPr>
        <w:ind w:left="1200" w:right="239" w:hanging="431"/>
        <w:spacing w:after="0" w:line="268" w:lineRule="auto"/>
        <w:rPr>
          <w:sz w:val="20"/>
          <w:szCs w:val="20"/>
          <w:color w:val="auto"/>
        </w:rPr>
      </w:pPr>
      <w:r>
        <w:rPr>
          <w:rFonts w:ascii="Arial" w:cs="Arial" w:eastAsia="Arial" w:hAnsi="Arial"/>
          <w:sz w:val="15"/>
          <w:szCs w:val="15"/>
          <w:color w:val="auto"/>
        </w:rPr>
        <w:t>18.10 Without prejudice to Article 18.9, the Board may resolve to enable persons entitled to attend a general meeting hosted on an electronic platform (such meeting being an “</w:t>
      </w:r>
      <w:r>
        <w:rPr>
          <w:rFonts w:ascii="Arial" w:cs="Arial" w:eastAsia="Arial" w:hAnsi="Arial"/>
          <w:sz w:val="15"/>
          <w:szCs w:val="15"/>
          <w:b w:val="1"/>
          <w:bCs w:val="1"/>
          <w:color w:val="auto"/>
        </w:rPr>
        <w:t>electronic general meeting</w:t>
      </w:r>
      <w:r>
        <w:rPr>
          <w:rFonts w:ascii="Arial" w:cs="Arial" w:eastAsia="Arial" w:hAnsi="Arial"/>
          <w:sz w:val="15"/>
          <w:szCs w:val="15"/>
          <w:color w:val="auto"/>
        </w:rPr>
        <w:t xml:space="preserve">”) to do so by simultaneous attendance by electronic means with no member necessarily in physical attendance at the electronic general meeting. The members or their proxies present shall be counted in the quorum for, and entitled to vote at, the general meeting in question, and that meeting shall be duly constituted and its proceedings valid if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Nothing in these Articles prevents a general meeting being held both physically and electronically.</w:t>
      </w:r>
    </w:p>
    <w:p>
      <w:pPr>
        <w:spacing w:after="0" w:line="100" w:lineRule="exact"/>
        <w:rPr>
          <w:sz w:val="20"/>
          <w:szCs w:val="20"/>
          <w:color w:val="auto"/>
        </w:rPr>
      </w:pPr>
    </w:p>
    <w:p>
      <w:pPr>
        <w:ind w:left="1200" w:right="299" w:hanging="431"/>
        <w:spacing w:after="0" w:line="250" w:lineRule="auto"/>
        <w:rPr>
          <w:sz w:val="20"/>
          <w:szCs w:val="20"/>
          <w:color w:val="auto"/>
        </w:rPr>
      </w:pPr>
      <w:r>
        <w:rPr>
          <w:rFonts w:ascii="Arial" w:cs="Arial" w:eastAsia="Arial" w:hAnsi="Arial"/>
          <w:sz w:val="16"/>
          <w:szCs w:val="16"/>
          <w:color w:val="auto"/>
        </w:rPr>
        <w:t xml:space="preserve">18.11 If it appears to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that the facilities at the principal place or any satellite meeting place, or the electronic platform, facilities or security at the electronic general meeting, have become inadequate for the purposes set out in Articles 18.9 or 18.10, then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without the consent of the meeting, interrupt or adjourn the general meeting. All business conducted at the general meeting up to the point of the adjournment shall be valid. The provisions of Article 18.17 shall apply to that adjournment.</w:t>
      </w:r>
    </w:p>
    <w:p>
      <w:pPr>
        <w:spacing w:after="0" w:line="68" w:lineRule="exact"/>
        <w:rPr>
          <w:sz w:val="20"/>
          <w:szCs w:val="20"/>
          <w:color w:val="auto"/>
        </w:rPr>
      </w:pPr>
    </w:p>
    <w:p>
      <w:pPr>
        <w:ind w:left="1200" w:right="259" w:hanging="431"/>
        <w:spacing w:after="0" w:line="248" w:lineRule="auto"/>
        <w:rPr>
          <w:sz w:val="20"/>
          <w:szCs w:val="20"/>
          <w:color w:val="auto"/>
        </w:rPr>
      </w:pPr>
      <w:r>
        <w:rPr>
          <w:rFonts w:ascii="Arial" w:cs="Arial" w:eastAsia="Arial" w:hAnsi="Arial"/>
          <w:sz w:val="16"/>
          <w:szCs w:val="16"/>
          <w:color w:val="auto"/>
        </w:rPr>
        <w:t>18.12 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86" w:lineRule="exact"/>
        <w:rPr>
          <w:sz w:val="20"/>
          <w:szCs w:val="20"/>
          <w:color w:val="auto"/>
        </w:rPr>
      </w:pPr>
    </w:p>
    <w:p>
      <w:pPr>
        <w:ind w:left="1200" w:right="279" w:hanging="431"/>
        <w:spacing w:after="0" w:line="268" w:lineRule="auto"/>
        <w:rPr>
          <w:sz w:val="20"/>
          <w:szCs w:val="20"/>
          <w:color w:val="auto"/>
        </w:rPr>
      </w:pPr>
      <w:r>
        <w:rPr>
          <w:rFonts w:ascii="Arial" w:cs="Arial" w:eastAsia="Arial" w:hAnsi="Arial"/>
          <w:sz w:val="15"/>
          <w:szCs w:val="15"/>
          <w:color w:val="auto"/>
        </w:rPr>
        <w:t xml:space="preserve">18.13 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w:t>
      </w:r>
      <w:r>
        <w:rPr>
          <w:rFonts w:ascii="Arial" w:cs="Arial" w:eastAsia="Arial" w:hAnsi="Arial"/>
          <w:sz w:val="15"/>
          <w:szCs w:val="15"/>
          <w:color w:val="auto"/>
          <w:strike w:val="1"/>
        </w:rPr>
        <w:t>he</w:t>
      </w:r>
      <w:r>
        <w:rPr>
          <w:rFonts w:ascii="Arial" w:cs="Arial" w:eastAsia="Arial" w:hAnsi="Arial"/>
          <w:sz w:val="15"/>
          <w:szCs w:val="15"/>
          <w:u w:val="single" w:color="auto"/>
          <w:color w:val="auto"/>
        </w:rPr>
        <w:t>they</w:t>
      </w:r>
      <w:r>
        <w:rPr>
          <w:rFonts w:ascii="Arial" w:cs="Arial" w:eastAsia="Arial" w:hAnsi="Arial"/>
          <w:sz w:val="15"/>
          <w:szCs w:val="15"/>
          <w:color w:val="auto"/>
        </w:rPr>
        <w:t xml:space="preserve"> shall be entitled to attend in person or by proxy at any other venue for which arrangements have been made pursuant to Article 18.12. The entitlement of any member to be present at such venue in person or by proxy shall be subject to any arrangement then in force and stated by the notice of meeting or adjourned meeting to apply to the meeting.</w:t>
      </w:r>
    </w:p>
    <w:p>
      <w:pPr>
        <w:spacing w:after="0" w:line="56" w:lineRule="exact"/>
        <w:rPr>
          <w:sz w:val="20"/>
          <w:szCs w:val="20"/>
          <w:color w:val="auto"/>
        </w:rPr>
      </w:pPr>
    </w:p>
    <w:p>
      <w:pPr>
        <w:ind w:left="1200" w:right="299" w:hanging="431"/>
        <w:spacing w:after="0" w:line="248" w:lineRule="auto"/>
        <w:rPr>
          <w:sz w:val="20"/>
          <w:szCs w:val="20"/>
          <w:color w:val="auto"/>
        </w:rPr>
      </w:pPr>
      <w:r>
        <w:rPr>
          <w:rFonts w:ascii="Arial" w:cs="Arial" w:eastAsia="Arial" w:hAnsi="Arial"/>
          <w:sz w:val="16"/>
          <w:szCs w:val="16"/>
          <w:color w:val="auto"/>
        </w:rPr>
        <w:t xml:space="preserve">18.14 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(i) the physical general meeting at the declared place (or any of the declared places, in the case of a meeting to which Article 18.9 applies) or (ii) the electronic general meeting on the electronic platform specified in the notice, </w:t>
      </w:r>
      <w:r>
        <w:rPr>
          <w:rFonts w:ascii="Arial" w:cs="Arial" w:eastAsia="Arial" w:hAnsi="Arial"/>
          <w:sz w:val="16"/>
          <w:szCs w:val="16"/>
          <w:color w:val="auto"/>
          <w:strike w:val="1"/>
        </w:rPr>
        <w:t>and/or time,</w:t>
      </w:r>
      <w:r>
        <w:rPr>
          <w:rFonts w:ascii="Arial" w:cs="Arial" w:eastAsia="Arial" w:hAnsi="Arial"/>
          <w:sz w:val="16"/>
          <w:szCs w:val="16"/>
          <w:color w:val="auto"/>
        </w:rPr>
        <w:t xml:space="preserve"> it may change the place (or any of the declared places, in the case of a meeting to which Article 18.9 applies) or electronic platform and/or postpone the time at which the meeting is to be held. If such a decision is made, the Board may then change the place (or any of the declared places, in the case of a meeting to which Article 18.9 applies) or electronic platform and/or postpone the time again if it decides that it is reasonable to do so. In either case:</w:t>
      </w:r>
    </w:p>
    <w:p>
      <w:pPr>
        <w:spacing w:after="0" w:line="103"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A-14</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860" w:hanging="424"/>
        <w:spacing w:after="0" w:line="251" w:lineRule="auto"/>
        <w:tabs>
          <w:tab w:leader="none" w:pos="1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 new notice of the meeting need be sent, but the Board shall, if practicable, advertise the date, time and place of, or electronic platform for, the meeting by public announcement and in two newspapers with national circulation in the United Kingdom and shall make arrangements for notices of the change of place or electronic platform and/or postponement to appear at the original place and/or at the original time; and</w:t>
      </w:r>
    </w:p>
    <w:p>
      <w:pPr>
        <w:spacing w:after="0" w:line="80" w:lineRule="exact"/>
        <w:rPr>
          <w:rFonts w:ascii="Arial" w:cs="Arial" w:eastAsia="Arial" w:hAnsi="Arial"/>
          <w:sz w:val="16"/>
          <w:szCs w:val="16"/>
          <w:color w:val="auto"/>
        </w:rPr>
      </w:pPr>
    </w:p>
    <w:p>
      <w:pPr>
        <w:ind w:left="1620" w:right="920" w:hanging="424"/>
        <w:spacing w:after="0" w:line="251" w:lineRule="auto"/>
        <w:tabs>
          <w:tab w:leader="none" w:pos="16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81"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18.15 For the purposes of Articles 18.9, 18.11, 18.12, 18.13 and 18.14, in relation to physical general meetings </w:t>
      </w:r>
      <w:r>
        <w:rPr>
          <w:rFonts w:ascii="Arial" w:cs="Arial" w:eastAsia="Arial" w:hAnsi="Arial"/>
          <w:sz w:val="16"/>
          <w:szCs w:val="16"/>
          <w:u w:val="single" w:color="auto"/>
          <w:color w:val="auto"/>
        </w:rPr>
        <w:t>and 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 which are both physical and electronic</w:t>
      </w:r>
      <w:r>
        <w:rPr>
          <w:rFonts w:ascii="Arial" w:cs="Arial" w:eastAsia="Arial" w:hAnsi="Arial"/>
          <w:sz w:val="16"/>
          <w:szCs w:val="16"/>
          <w:color w:val="auto"/>
        </w:rPr>
        <w:t>,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67" w:lineRule="exact"/>
        <w:rPr>
          <w:sz w:val="20"/>
          <w:szCs w:val="20"/>
          <w:color w:val="auto"/>
        </w:rPr>
      </w:pPr>
    </w:p>
    <w:p>
      <w:pPr>
        <w:ind w:left="1200" w:right="860" w:hanging="431"/>
        <w:spacing w:after="0" w:line="250" w:lineRule="auto"/>
        <w:rPr>
          <w:sz w:val="20"/>
          <w:szCs w:val="20"/>
          <w:color w:val="auto"/>
        </w:rPr>
      </w:pPr>
      <w:r>
        <w:rPr>
          <w:rFonts w:ascii="Arial" w:cs="Arial" w:eastAsia="Arial" w:hAnsi="Arial"/>
          <w:sz w:val="16"/>
          <w:szCs w:val="16"/>
          <w:color w:val="auto"/>
        </w:rPr>
        <w:t xml:space="preserve">18.16 For the purposes of Articles 18.10, 18.11, 18.12, 18.13 and 18.14, in relation to electronic general meetings </w:t>
      </w:r>
      <w:r>
        <w:rPr>
          <w:rFonts w:ascii="Arial" w:cs="Arial" w:eastAsia="Arial" w:hAnsi="Arial"/>
          <w:sz w:val="16"/>
          <w:szCs w:val="16"/>
          <w:u w:val="single" w:color="auto"/>
          <w:color w:val="auto"/>
        </w:rPr>
        <w:t>and general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meetings which are both physical and electronic</w:t>
      </w:r>
      <w:r>
        <w:rPr>
          <w:rFonts w:ascii="Arial" w:cs="Arial" w:eastAsia="Arial" w:hAnsi="Arial"/>
          <w:sz w:val="16"/>
          <w:szCs w:val="16"/>
          <w:color w:val="auto"/>
        </w:rPr>
        <w:t>, the right of a member to participate in the business of any general meeting shall include, without limitation the right to speak, vote on a poll, be represented by a proxy and have access (including electronic access) to all documents which are required by the Companies Act or these Articles to be made available at the meeting.</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18.17 Without prejudice to any other power of adjournment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have under these Articles or at common law:</w:t>
      </w:r>
    </w:p>
    <w:p>
      <w:pPr>
        <w:spacing w:after="0" w:line="100" w:lineRule="exact"/>
        <w:rPr>
          <w:sz w:val="20"/>
          <w:szCs w:val="20"/>
          <w:color w:val="auto"/>
        </w:rPr>
      </w:pPr>
    </w:p>
    <w:p>
      <w:pPr>
        <w:jc w:val="both"/>
        <w:ind w:left="1620" w:right="900" w:hanging="424"/>
        <w:spacing w:after="0" w:line="253" w:lineRule="auto"/>
        <w:tabs>
          <w:tab w:leader="none" w:pos="1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 the consent of a meeting at which a quorum is present (and shall if so directed by the meeting), adjourn the meeting from time to time and from place to place or for an indefinite period; and</w:t>
      </w:r>
    </w:p>
    <w:p>
      <w:pPr>
        <w:spacing w:after="0" w:line="66" w:lineRule="exact"/>
        <w:rPr>
          <w:rFonts w:ascii="Arial" w:cs="Arial" w:eastAsia="Arial" w:hAnsi="Arial"/>
          <w:sz w:val="16"/>
          <w:szCs w:val="16"/>
          <w:color w:val="auto"/>
        </w:rPr>
      </w:pPr>
    </w:p>
    <w:p>
      <w:pPr>
        <w:ind w:left="1620" w:right="820" w:hanging="424"/>
        <w:spacing w:after="0" w:line="253" w:lineRule="auto"/>
        <w:tabs>
          <w:tab w:leader="none" w:pos="16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without the consent of the meeting, adjourn the meeting before or after it has commenced, to another date, time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or place which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may decide,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considers that:</w:t>
      </w:r>
    </w:p>
    <w:p>
      <w:pPr>
        <w:spacing w:after="0" w:line="79" w:lineRule="exact"/>
        <w:rPr>
          <w:rFonts w:ascii="Arial" w:cs="Arial" w:eastAsia="Arial" w:hAnsi="Arial"/>
          <w:sz w:val="16"/>
          <w:szCs w:val="16"/>
          <w:color w:val="auto"/>
        </w:rPr>
      </w:pPr>
    </w:p>
    <w:p>
      <w:pPr>
        <w:ind w:left="2060" w:hanging="432"/>
        <w:spacing w:after="0"/>
        <w:tabs>
          <w:tab w:leader="none" w:pos="20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there is not enough room for the number of members and proxies who wish to attend the meeting;</w:t>
      </w:r>
    </w:p>
    <w:p>
      <w:pPr>
        <w:spacing w:after="0" w:line="99" w:lineRule="exact"/>
        <w:rPr>
          <w:rFonts w:ascii="Arial" w:cs="Arial" w:eastAsia="Arial" w:hAnsi="Arial"/>
          <w:sz w:val="16"/>
          <w:szCs w:val="16"/>
          <w:color w:val="auto"/>
        </w:rPr>
      </w:pPr>
    </w:p>
    <w:p>
      <w:pPr>
        <w:ind w:left="2060" w:right="1220" w:hanging="432"/>
        <w:spacing w:after="0" w:line="260" w:lineRule="auto"/>
        <w:tabs>
          <w:tab w:leader="none" w:pos="20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behaviour of anyone present prevents, or is likely to prevent, the orderly conduct of the business of the meeting;</w:t>
      </w:r>
    </w:p>
    <w:p>
      <w:pPr>
        <w:spacing w:after="0" w:line="60" w:lineRule="exact"/>
        <w:rPr>
          <w:rFonts w:ascii="Arial" w:cs="Arial" w:eastAsia="Arial" w:hAnsi="Arial"/>
          <w:sz w:val="16"/>
          <w:szCs w:val="16"/>
          <w:color w:val="auto"/>
        </w:rPr>
      </w:pPr>
    </w:p>
    <w:p>
      <w:pPr>
        <w:ind w:left="2060" w:hanging="432"/>
        <w:spacing w:after="0"/>
        <w:tabs>
          <w:tab w:leader="none" w:pos="20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an adjournment is necessary to protect the safety of any person attending the meeting; </w:t>
      </w:r>
      <w:r>
        <w:rPr>
          <w:rFonts w:ascii="Arial" w:cs="Arial" w:eastAsia="Arial" w:hAnsi="Arial"/>
          <w:sz w:val="16"/>
          <w:szCs w:val="16"/>
          <w:color w:val="auto"/>
          <w:strike w:val="1"/>
        </w:rPr>
        <w:t>or</w:t>
      </w:r>
    </w:p>
    <w:p>
      <w:pPr>
        <w:spacing w:after="0" w:line="99" w:lineRule="exact"/>
        <w:rPr>
          <w:rFonts w:ascii="Arial" w:cs="Arial" w:eastAsia="Arial" w:hAnsi="Arial"/>
          <w:sz w:val="16"/>
          <w:szCs w:val="16"/>
          <w:color w:val="auto"/>
        </w:rPr>
      </w:pPr>
    </w:p>
    <w:p>
      <w:pPr>
        <w:ind w:left="2060" w:right="1200" w:hanging="432"/>
        <w:spacing w:after="0" w:line="260" w:lineRule="auto"/>
        <w:tabs>
          <w:tab w:leader="none" w:pos="20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 adjournment is necessary to give all persons entitled to do so a reasonable opportunity of speaking and voting at the meeting; or</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 adjournment is otherwise necessary in order for the business of the meeting to be properly carried out.</w:t>
      </w:r>
    </w:p>
    <w:p>
      <w:pPr>
        <w:spacing w:after="0" w:line="86" w:lineRule="exact"/>
        <w:rPr>
          <w:sz w:val="20"/>
          <w:szCs w:val="20"/>
          <w:color w:val="auto"/>
        </w:rPr>
      </w:pPr>
    </w:p>
    <w:p>
      <w:pPr>
        <w:ind w:left="1200" w:right="820" w:hanging="431"/>
        <w:spacing w:after="0" w:line="265" w:lineRule="auto"/>
        <w:rPr>
          <w:sz w:val="20"/>
          <w:szCs w:val="20"/>
          <w:color w:val="auto"/>
        </w:rPr>
      </w:pPr>
      <w:r>
        <w:rPr>
          <w:rFonts w:ascii="Arial" w:cs="Arial" w:eastAsia="Arial" w:hAnsi="Arial"/>
          <w:sz w:val="15"/>
          <w:szCs w:val="15"/>
          <w:u w:val="single" w:color="auto"/>
          <w:color w:val="auto"/>
        </w:rPr>
        <w:t>18.18</w:t>
      </w:r>
      <w:r>
        <w:rPr>
          <w:rFonts w:ascii="Arial" w:cs="Arial" w:eastAsia="Arial" w:hAnsi="Arial"/>
          <w:sz w:val="15"/>
          <w:szCs w:val="15"/>
          <w:color w:val="auto"/>
        </w:rPr>
        <w:t xml:space="preserve"> Save in accordance with Article 18.2 an adjournment may, subject to the provisions of the Companies Act, be for such time and to such other place (or, in the case of a meeting held at a principal place and a satellite meeting place, such other places) as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may, in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18.19</w:t>
      </w:r>
      <w:r>
        <w:rPr>
          <w:rFonts w:ascii="Arial" w:cs="Arial" w:eastAsia="Arial" w:hAnsi="Arial"/>
          <w:sz w:val="16"/>
          <w:szCs w:val="16"/>
          <w:color w:val="auto"/>
        </w:rPr>
        <w:t xml:space="preserve"> A resolution put to the vote of a general meeting must be decided on a poll.</w:t>
      </w:r>
    </w:p>
    <w:p>
      <w:pPr>
        <w:spacing w:after="0" w:line="100" w:lineRule="exact"/>
        <w:rPr>
          <w:sz w:val="20"/>
          <w:szCs w:val="20"/>
          <w:color w:val="auto"/>
        </w:rPr>
      </w:pPr>
    </w:p>
    <w:p>
      <w:pPr>
        <w:ind w:left="1200" w:right="880" w:hanging="431"/>
        <w:spacing w:after="0" w:line="253" w:lineRule="auto"/>
        <w:rPr>
          <w:sz w:val="20"/>
          <w:szCs w:val="20"/>
          <w:color w:val="auto"/>
        </w:rPr>
      </w:pPr>
      <w:r>
        <w:rPr>
          <w:rFonts w:ascii="Arial" w:cs="Arial" w:eastAsia="Arial" w:hAnsi="Arial"/>
          <w:sz w:val="16"/>
          <w:szCs w:val="16"/>
          <w:u w:val="single" w:color="auto"/>
          <w:color w:val="auto"/>
        </w:rPr>
        <w:t>18.20</w:t>
      </w:r>
      <w:r>
        <w:rPr>
          <w:rFonts w:ascii="Arial" w:cs="Arial" w:eastAsia="Arial" w:hAnsi="Arial"/>
          <w:sz w:val="16"/>
          <w:szCs w:val="16"/>
          <w:color w:val="auto"/>
        </w:rPr>
        <w:t xml:space="preserve"> Subject to Article </w:t>
      </w:r>
      <w:r>
        <w:rPr>
          <w:rFonts w:ascii="Arial" w:cs="Arial" w:eastAsia="Arial" w:hAnsi="Arial"/>
          <w:sz w:val="16"/>
          <w:szCs w:val="16"/>
          <w:u w:val="single" w:color="auto"/>
          <w:color w:val="auto"/>
        </w:rPr>
        <w:t>18.21</w:t>
      </w:r>
      <w:r>
        <w:rPr>
          <w:rFonts w:ascii="Arial" w:cs="Arial" w:eastAsia="Arial" w:hAnsi="Arial"/>
          <w:sz w:val="16"/>
          <w:szCs w:val="16"/>
          <w:color w:val="auto"/>
          <w:strike w:val="1"/>
        </w:rPr>
        <w:t>20</w:t>
      </w:r>
      <w:r>
        <w:rPr>
          <w:rFonts w:ascii="Arial" w:cs="Arial" w:eastAsia="Arial" w:hAnsi="Arial"/>
          <w:sz w:val="16"/>
          <w:szCs w:val="16"/>
          <w:color w:val="auto"/>
        </w:rPr>
        <w:t xml:space="preserve">, a poll shall be taken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directs and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66" w:lineRule="exact"/>
        <w:rPr>
          <w:sz w:val="20"/>
          <w:szCs w:val="20"/>
          <w:color w:val="auto"/>
        </w:rPr>
      </w:pPr>
    </w:p>
    <w:p>
      <w:pPr>
        <w:ind w:left="1200" w:right="1040" w:hanging="431"/>
        <w:spacing w:after="0" w:line="253" w:lineRule="auto"/>
        <w:rPr>
          <w:sz w:val="20"/>
          <w:szCs w:val="20"/>
          <w:color w:val="auto"/>
        </w:rPr>
      </w:pPr>
      <w:r>
        <w:rPr>
          <w:rFonts w:ascii="Arial" w:cs="Arial" w:eastAsia="Arial" w:hAnsi="Arial"/>
          <w:sz w:val="16"/>
          <w:szCs w:val="16"/>
          <w:u w:val="single" w:color="auto"/>
          <w:color w:val="auto"/>
        </w:rPr>
        <w:t>18.21</w:t>
      </w:r>
      <w:r>
        <w:rPr>
          <w:rFonts w:ascii="Arial" w:cs="Arial" w:eastAsia="Arial" w:hAnsi="Arial"/>
          <w:sz w:val="16"/>
          <w:szCs w:val="16"/>
          <w:color w:val="auto"/>
        </w:rPr>
        <w:t xml:space="preserve"> A poll on the election of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on a question of adjournment shall be taken immediately. A poll on any other question shall be taken at either the meeting or such time and place as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directs not being more than 30 days after the meeting.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A-15</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4" w:name="page95"/>
    <w:bookmarkEnd w:id="9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TO RESOLUTIONS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19.1  A special resolution to be proposed at a general meeting may be amended by ordinary resolution if:</w:t>
      </w:r>
    </w:p>
    <w:p>
      <w:pPr>
        <w:spacing w:after="0" w:line="86" w:lineRule="exact"/>
        <w:rPr>
          <w:sz w:val="20"/>
          <w:szCs w:val="20"/>
          <w:color w:val="auto"/>
        </w:rPr>
      </w:pPr>
    </w:p>
    <w:p>
      <w:pPr>
        <w:ind w:left="1620" w:right="299" w:hanging="424"/>
        <w:spacing w:after="0" w:line="260" w:lineRule="auto"/>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proposes the amendment at the general meeting at which the resolution is to be proposed; and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amendment does not go beyond what is necessary to correct a clear error in the resolution.</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19.2  An ordinary resolution to be proposed at a general meeting may be amended by ordinary resolution if:</w:t>
      </w:r>
    </w:p>
    <w:p>
      <w:pPr>
        <w:spacing w:after="0" w:line="86" w:lineRule="exact"/>
        <w:rPr>
          <w:sz w:val="20"/>
          <w:szCs w:val="20"/>
          <w:color w:val="auto"/>
        </w:rPr>
      </w:pPr>
    </w:p>
    <w:p>
      <w:pPr>
        <w:ind w:left="1620" w:right="319" w:hanging="424"/>
        <w:spacing w:after="0" w:line="268" w:lineRule="auto"/>
        <w:tabs>
          <w:tab w:leader="none" w:pos="16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 xml:space="preserve">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w:t>
      </w:r>
      <w:r>
        <w:rPr>
          <w:rFonts w:ascii="Arial" w:cs="Arial" w:eastAsia="Arial" w:hAnsi="Arial"/>
          <w:sz w:val="15"/>
          <w:szCs w:val="15"/>
          <w:color w:val="auto"/>
          <w:strike w:val="1"/>
        </w:rPr>
        <w:t>chairman</w:t>
      </w:r>
      <w:r>
        <w:rPr>
          <w:rFonts w:ascii="Arial" w:cs="Arial" w:eastAsia="Arial" w:hAnsi="Arial"/>
          <w:sz w:val="15"/>
          <w:szCs w:val="15"/>
          <w:u w:val="single" w:color="auto"/>
          <w:color w:val="auto"/>
        </w:rPr>
        <w:t>chairperson</w:t>
      </w:r>
      <w:r>
        <w:rPr>
          <w:rFonts w:ascii="Arial" w:cs="Arial" w:eastAsia="Arial" w:hAnsi="Arial"/>
          <w:sz w:val="15"/>
          <w:szCs w:val="15"/>
          <w:color w:val="auto"/>
        </w:rPr>
        <w:t xml:space="preserve"> of the meeting, materially alter the substance of the resolution; or</w:t>
      </w:r>
    </w:p>
    <w:p>
      <w:pPr>
        <w:spacing w:after="0" w:line="69" w:lineRule="exact"/>
        <w:rPr>
          <w:rFonts w:ascii="Arial" w:cs="Arial" w:eastAsia="Arial" w:hAnsi="Arial"/>
          <w:sz w:val="15"/>
          <w:szCs w:val="15"/>
          <w:color w:val="auto"/>
        </w:rPr>
      </w:pPr>
    </w:p>
    <w:p>
      <w:pPr>
        <w:ind w:left="1620" w:right="239" w:hanging="424"/>
        <w:spacing w:after="0" w:line="260" w:lineRule="auto"/>
        <w:tabs>
          <w:tab w:leader="none" w:pos="16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absolute discretion, decides that the proposed amendment may be considered or voted on.</w:t>
      </w:r>
    </w:p>
    <w:p>
      <w:pPr>
        <w:spacing w:after="0" w:line="60" w:lineRule="exact"/>
        <w:rPr>
          <w:sz w:val="20"/>
          <w:szCs w:val="20"/>
          <w:color w:val="auto"/>
        </w:rPr>
      </w:pPr>
    </w:p>
    <w:p>
      <w:pPr>
        <w:ind w:left="1200" w:right="299" w:hanging="431"/>
        <w:spacing w:after="0" w:line="253" w:lineRule="auto"/>
        <w:rPr>
          <w:sz w:val="20"/>
          <w:szCs w:val="20"/>
          <w:color w:val="auto"/>
        </w:rPr>
      </w:pPr>
      <w:r>
        <w:rPr>
          <w:rFonts w:ascii="Arial" w:cs="Arial" w:eastAsia="Arial" w:hAnsi="Arial"/>
          <w:sz w:val="16"/>
          <w:szCs w:val="16"/>
          <w:color w:val="auto"/>
        </w:rPr>
        <w:t xml:space="preserve">19.3 With the consent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an amendment may be withdrawn by its proposer before it is voted on. If an amendment proposed to any resolution under consideration is ruled out of order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the proceedings on the resolution shall not be invalidated by any error in the ruling.</w:t>
      </w:r>
    </w:p>
    <w:p>
      <w:pPr>
        <w:spacing w:after="0" w:line="46" w:lineRule="exact"/>
        <w:rPr>
          <w:sz w:val="20"/>
          <w:szCs w:val="20"/>
          <w:color w:val="auto"/>
        </w:rPr>
      </w:pPr>
    </w:p>
    <w:p>
      <w:pPr>
        <w:ind w:left="1200" w:hanging="436"/>
        <w:spacing w:after="0"/>
        <w:tabs>
          <w:tab w:leader="none" w:pos="120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PROPOSED MEMBER RESOLUTIONS</w:t>
      </w:r>
    </w:p>
    <w:p>
      <w:pPr>
        <w:spacing w:after="0" w:line="120" w:lineRule="exact"/>
        <w:rPr>
          <w:sz w:val="20"/>
          <w:szCs w:val="20"/>
          <w:color w:val="auto"/>
        </w:rPr>
      </w:pPr>
    </w:p>
    <w:p>
      <w:pPr>
        <w:ind w:left="1200" w:right="219" w:hanging="431"/>
        <w:spacing w:after="0" w:line="250" w:lineRule="auto"/>
        <w:rPr>
          <w:sz w:val="20"/>
          <w:szCs w:val="20"/>
          <w:color w:val="auto"/>
        </w:rPr>
      </w:pPr>
      <w:r>
        <w:rPr>
          <w:rFonts w:ascii="Arial" w:cs="Arial" w:eastAsia="Arial" w:hAnsi="Arial"/>
          <w:sz w:val="16"/>
          <w:szCs w:val="16"/>
          <w:color w:val="auto"/>
        </w:rPr>
        <w:t xml:space="preserve">20.1 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w:t>
      </w:r>
      <w:r>
        <w:rPr>
          <w:rFonts w:ascii="Arial" w:cs="Arial" w:eastAsia="Arial" w:hAnsi="Arial"/>
          <w:sz w:val="16"/>
          <w:szCs w:val="16"/>
          <w:color w:val="auto"/>
          <w:strike w:val="1"/>
        </w:rPr>
        <w:t>(and, to the extent that the request relates to the nomination of a director, the content requirements of</w:t>
      </w:r>
      <w:r>
        <w:rPr>
          <w:rFonts w:ascii="Arial" w:cs="Arial" w:eastAsia="Arial" w:hAnsi="Arial"/>
          <w:sz w:val="16"/>
          <w:szCs w:val="16"/>
          <w:color w:val="auto"/>
        </w:rPr>
        <w:t xml:space="preserve"> </w:t>
      </w:r>
      <w:r>
        <w:rPr>
          <w:rFonts w:ascii="Arial" w:cs="Arial" w:eastAsia="Arial" w:hAnsi="Arial"/>
          <w:sz w:val="16"/>
          <w:szCs w:val="16"/>
          <w:color w:val="auto"/>
          <w:strike w:val="1"/>
        </w:rPr>
        <w:t>Article 24.3(b) also apply):</w:t>
      </w:r>
      <w:r>
        <w:rPr>
          <w:rFonts w:ascii="Arial" w:cs="Arial" w:eastAsia="Arial" w:hAnsi="Arial"/>
          <w:sz w:val="16"/>
          <w:szCs w:val="16"/>
          <w:u w:val="single" w:color="auto"/>
          <w:color w:val="auto"/>
          <w:strike w:val="1"/>
        </w:rPr>
        <w:t>:</w:t>
      </w:r>
    </w:p>
    <w:p>
      <w:pPr>
        <w:spacing w:after="0" w:line="68" w:lineRule="exact"/>
        <w:rPr>
          <w:sz w:val="20"/>
          <w:szCs w:val="20"/>
          <w:color w:val="auto"/>
        </w:rPr>
      </w:pPr>
    </w:p>
    <w:p>
      <w:pPr>
        <w:ind w:left="1620" w:right="339" w:hanging="424"/>
        <w:spacing w:after="0" w:line="249" w:lineRule="auto"/>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to the extent that the request relates to the nomination of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as to each person whom the member(s) propose(s) to nominate for election or re-election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all information relating to such person that is required to be disclosed in a proxy statement or other filings required to be made in connection with solicitations of proxies for election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or is otherwise required, in each case pursuant to Regulation 14A under the Exchange Act including such person’s written consent to being named in the proxy statement as a nominee and to serving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if elected (or re-elected);</w:t>
      </w:r>
    </w:p>
    <w:p>
      <w:pPr>
        <w:spacing w:after="0" w:line="83" w:lineRule="exact"/>
        <w:rPr>
          <w:rFonts w:ascii="Arial" w:cs="Arial" w:eastAsia="Arial" w:hAnsi="Arial"/>
          <w:sz w:val="16"/>
          <w:szCs w:val="16"/>
          <w:color w:val="auto"/>
        </w:rPr>
      </w:pPr>
    </w:p>
    <w:p>
      <w:pPr>
        <w:ind w:left="1620" w:right="359" w:hanging="424"/>
        <w:spacing w:after="0" w:line="248" w:lineRule="auto"/>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73" w:lineRule="exact"/>
        <w:rPr>
          <w:rFonts w:ascii="Arial" w:cs="Arial" w:eastAsia="Arial" w:hAnsi="Arial"/>
          <w:sz w:val="16"/>
          <w:szCs w:val="16"/>
          <w:color w:val="auto"/>
        </w:rPr>
      </w:pPr>
    </w:p>
    <w:p>
      <w:pPr>
        <w:ind w:left="1620" w:right="379" w:hanging="424"/>
        <w:spacing w:after="0" w:line="260" w:lineRule="auto"/>
        <w:tabs>
          <w:tab w:leader="none" w:pos="16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to the member(s) giving the notice and the Member Associated Person, if any, on whose behalf the nomination or proposal is made:</w:t>
      </w:r>
    </w:p>
    <w:p>
      <w:pPr>
        <w:spacing w:after="0" w:line="60" w:lineRule="exact"/>
        <w:rPr>
          <w:rFonts w:ascii="Arial" w:cs="Arial" w:eastAsia="Arial" w:hAnsi="Arial"/>
          <w:sz w:val="16"/>
          <w:szCs w:val="16"/>
          <w:color w:val="auto"/>
        </w:rPr>
      </w:pPr>
    </w:p>
    <w:p>
      <w:pPr>
        <w:ind w:left="2060" w:right="679" w:hanging="432"/>
        <w:spacing w:after="0" w:line="260" w:lineRule="auto"/>
        <w:tabs>
          <w:tab w:leader="none" w:pos="2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name and address of such member(s), as they appear on the Company’s books, and of such Member Associated Persons, if any;</w:t>
      </w:r>
    </w:p>
    <w:p>
      <w:pPr>
        <w:spacing w:after="0" w:line="73" w:lineRule="exact"/>
        <w:rPr>
          <w:rFonts w:ascii="Arial" w:cs="Arial" w:eastAsia="Arial" w:hAnsi="Arial"/>
          <w:sz w:val="16"/>
          <w:szCs w:val="16"/>
          <w:color w:val="auto"/>
        </w:rPr>
      </w:pPr>
    </w:p>
    <w:p>
      <w:pPr>
        <w:ind w:left="2060" w:right="299" w:hanging="432"/>
        <w:spacing w:after="0" w:line="260" w:lineRule="auto"/>
        <w:tabs>
          <w:tab w:leader="none" w:pos="2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class and number of shares of the Company held by such member(s) which are owned beneficially by such member(s) and such Member Associated Persons, if any;</w:t>
      </w:r>
    </w:p>
    <w:p>
      <w:pPr>
        <w:spacing w:after="0" w:line="60" w:lineRule="exact"/>
        <w:rPr>
          <w:rFonts w:ascii="Arial" w:cs="Arial" w:eastAsia="Arial" w:hAnsi="Arial"/>
          <w:sz w:val="16"/>
          <w:szCs w:val="16"/>
          <w:color w:val="auto"/>
        </w:rPr>
      </w:pPr>
    </w:p>
    <w:p>
      <w:pPr>
        <w:ind w:left="2060" w:right="219" w:hanging="432"/>
        <w:spacing w:after="0" w:line="251" w:lineRule="auto"/>
        <w:tabs>
          <w:tab w:leader="none" w:pos="2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80" w:lineRule="exact"/>
        <w:rPr>
          <w:rFonts w:ascii="Arial" w:cs="Arial" w:eastAsia="Arial" w:hAnsi="Arial"/>
          <w:sz w:val="16"/>
          <w:szCs w:val="16"/>
          <w:color w:val="auto"/>
        </w:rPr>
      </w:pPr>
    </w:p>
    <w:p>
      <w:pPr>
        <w:ind w:left="2060" w:right="559" w:hanging="432"/>
        <w:spacing w:after="0" w:line="253" w:lineRule="auto"/>
        <w:tabs>
          <w:tab w:leader="none" w:pos="2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66" w:lineRule="exact"/>
        <w:rPr>
          <w:rFonts w:ascii="Arial" w:cs="Arial" w:eastAsia="Arial" w:hAnsi="Arial"/>
          <w:sz w:val="16"/>
          <w:szCs w:val="16"/>
          <w:color w:val="auto"/>
        </w:rPr>
      </w:pPr>
    </w:p>
    <w:p>
      <w:pPr>
        <w:ind w:left="2060" w:hanging="432"/>
        <w:spacing w:after="0"/>
        <w:tabs>
          <w:tab w:leader="none" w:pos="20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to the extent known by the Member Associated Person or the member(s) giving the notice, the name and</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A-16</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920"/>
        <w:spacing w:after="0" w:line="260" w:lineRule="auto"/>
        <w:rPr>
          <w:sz w:val="20"/>
          <w:szCs w:val="20"/>
          <w:color w:val="auto"/>
        </w:rPr>
      </w:pPr>
      <w:r>
        <w:rPr>
          <w:rFonts w:ascii="Arial" w:cs="Arial" w:eastAsia="Arial" w:hAnsi="Arial"/>
          <w:sz w:val="16"/>
          <w:szCs w:val="16"/>
          <w:color w:val="auto"/>
        </w:rPr>
        <w:t>address of any other member or Member Associated Person supporting the nominee for election or re-election as a Director or the proposal of other business on the date of such request.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20.2  For the purposes of Article 20, a </w:t>
      </w:r>
      <w:r>
        <w:rPr>
          <w:rFonts w:ascii="Arial" w:cs="Arial" w:eastAsia="Arial" w:hAnsi="Arial"/>
          <w:sz w:val="16"/>
          <w:szCs w:val="16"/>
          <w:u w:val="single" w:color="auto"/>
          <w:color w:val="auto"/>
        </w:rPr>
        <w:t>“</w:t>
      </w:r>
      <w:r>
        <w:rPr>
          <w:rFonts w:ascii="Arial" w:cs="Arial" w:eastAsia="Arial" w:hAnsi="Arial"/>
          <w:sz w:val="16"/>
          <w:szCs w:val="16"/>
          <w:b w:val="1"/>
          <w:bCs w:val="1"/>
          <w:color w:val="auto"/>
        </w:rPr>
        <w:t>Member Associated Person</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any member shall mean:</w:t>
      </w:r>
    </w:p>
    <w:p>
      <w:pPr>
        <w:spacing w:after="0" w:line="106" w:lineRule="exact"/>
        <w:rPr>
          <w:sz w:val="20"/>
          <w:szCs w:val="20"/>
          <w:color w:val="auto"/>
        </w:rPr>
      </w:pPr>
    </w:p>
    <w:p>
      <w:pPr>
        <w:ind w:left="1620" w:hanging="424"/>
        <w:spacing w:after="0"/>
        <w:tabs>
          <w:tab w:leader="none" w:pos="1620" w:val="left"/>
        </w:tabs>
        <w:numPr>
          <w:ilvl w:val="0"/>
          <w:numId w:val="135"/>
        </w:numPr>
        <w:rPr>
          <w:rFonts w:ascii="Arial" w:cs="Arial" w:eastAsia="Arial" w:hAnsi="Arial"/>
          <w:sz w:val="16"/>
          <w:szCs w:val="16"/>
          <w:u w:val="single" w:color="auto"/>
          <w:color w:val="auto"/>
        </w:rPr>
      </w:pPr>
      <w:r>
        <w:rPr>
          <w:rFonts w:ascii="Arial" w:cs="Arial" w:eastAsia="Arial" w:hAnsi="Arial"/>
          <w:sz w:val="16"/>
          <w:szCs w:val="16"/>
          <w:color w:val="auto"/>
        </w:rPr>
        <w:t xml:space="preserve">any person controlling, directly or indirectly, or acting </w:t>
      </w:r>
      <w:r>
        <w:rPr>
          <w:rFonts w:ascii="Arial" w:cs="Arial" w:eastAsia="Arial" w:hAnsi="Arial"/>
          <w:sz w:val="16"/>
          <w:szCs w:val="16"/>
          <w:color w:val="auto"/>
          <w:strike w:val="1"/>
        </w:rPr>
        <w:t>in concert</w:t>
      </w:r>
      <w:r>
        <w:rPr>
          <w:rFonts w:ascii="Arial" w:cs="Arial" w:eastAsia="Arial" w:hAnsi="Arial"/>
          <w:sz w:val="16"/>
          <w:szCs w:val="16"/>
          <w:u w:val="single" w:color="auto"/>
          <w:color w:val="auto"/>
        </w:rPr>
        <w:t>as a group</w:t>
      </w:r>
      <w:r>
        <w:rPr>
          <w:rFonts w:ascii="Arial" w:cs="Arial" w:eastAsia="Arial" w:hAnsi="Arial"/>
          <w:sz w:val="16"/>
          <w:szCs w:val="16"/>
          <w:color w:val="auto"/>
        </w:rPr>
        <w:t xml:space="preserve"> with, such member;</w:t>
      </w:r>
    </w:p>
    <w:p>
      <w:pPr>
        <w:spacing w:after="0" w:line="99"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35"/>
        </w:numPr>
        <w:rPr>
          <w:rFonts w:ascii="Arial" w:cs="Arial" w:eastAsia="Arial" w:hAnsi="Arial"/>
          <w:sz w:val="16"/>
          <w:szCs w:val="16"/>
          <w:u w:val="single" w:color="auto"/>
          <w:color w:val="auto"/>
        </w:rPr>
      </w:pPr>
      <w:r>
        <w:rPr>
          <w:rFonts w:ascii="Arial" w:cs="Arial" w:eastAsia="Arial" w:hAnsi="Arial"/>
          <w:sz w:val="16"/>
          <w:szCs w:val="16"/>
          <w:color w:val="auto"/>
        </w:rPr>
        <w:t>any beneficial owner of shares in the capital of the Company owned of record or beneficially by such member; and</w:t>
      </w:r>
    </w:p>
    <w:p>
      <w:pPr>
        <w:spacing w:after="0" w:line="86"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35"/>
        </w:numPr>
        <w:rPr>
          <w:rFonts w:ascii="Arial" w:cs="Arial" w:eastAsia="Arial" w:hAnsi="Arial"/>
          <w:sz w:val="16"/>
          <w:szCs w:val="16"/>
          <w:u w:val="single" w:color="auto"/>
          <w:color w:val="auto"/>
        </w:rPr>
      </w:pPr>
      <w:r>
        <w:rPr>
          <w:rFonts w:ascii="Arial" w:cs="Arial" w:eastAsia="Arial" w:hAnsi="Arial"/>
          <w:sz w:val="16"/>
          <w:szCs w:val="16"/>
          <w:color w:val="auto"/>
        </w:rPr>
        <w:t>any person controlling, controlled by or under common control with such Member Associated Person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80" w:lineRule="exact"/>
        <w:rPr>
          <w:sz w:val="20"/>
          <w:szCs w:val="20"/>
          <w:color w:val="auto"/>
        </w:rPr>
      </w:pPr>
    </w:p>
    <w:p>
      <w:pPr>
        <w:ind w:left="1200" w:right="980"/>
        <w:spacing w:after="0" w:line="266" w:lineRule="auto"/>
        <w:rPr>
          <w:sz w:val="20"/>
          <w:szCs w:val="20"/>
          <w:color w:val="auto"/>
        </w:rPr>
      </w:pPr>
      <w:r>
        <w:rPr>
          <w:rFonts w:ascii="Arial" w:cs="Arial" w:eastAsia="Arial" w:hAnsi="Arial"/>
          <w:sz w:val="16"/>
          <w:szCs w:val="16"/>
          <w:u w:val="single" w:color="auto"/>
          <w:color w:val="auto"/>
        </w:rPr>
        <w:t>with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these purposes being the possession, directly or indirectly of the power to direct or cause the direction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 xml:space="preserve">the management and policies of the relevant person, whether through the ownership of shares or otherwise, and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controlled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having a correlative meaning.</w:t>
      </w:r>
    </w:p>
    <w:p>
      <w:pPr>
        <w:spacing w:after="0" w:line="56" w:lineRule="exact"/>
        <w:rPr>
          <w:sz w:val="20"/>
          <w:szCs w:val="20"/>
          <w:color w:val="auto"/>
        </w:rPr>
      </w:pPr>
    </w:p>
    <w:p>
      <w:pPr>
        <w:ind w:left="1200" w:right="780" w:hanging="431"/>
        <w:spacing w:after="0" w:line="248" w:lineRule="auto"/>
        <w:rPr>
          <w:sz w:val="20"/>
          <w:szCs w:val="20"/>
          <w:color w:val="auto"/>
        </w:rPr>
      </w:pPr>
      <w:r>
        <w:rPr>
          <w:rFonts w:ascii="Arial" w:cs="Arial" w:eastAsia="Arial" w:hAnsi="Arial"/>
          <w:sz w:val="16"/>
          <w:szCs w:val="16"/>
          <w:color w:val="auto"/>
        </w:rPr>
        <w:t>20.3 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6"/>
          <w:szCs w:val="16"/>
          <w:b w:val="1"/>
          <w:bCs w:val="1"/>
          <w:color w:val="auto"/>
        </w:rPr>
        <w:t>member default shares</w:t>
      </w:r>
      <w:r>
        <w:rPr>
          <w:rFonts w:ascii="Arial" w:cs="Arial" w:eastAsia="Arial" w:hAnsi="Arial"/>
          <w:sz w:val="16"/>
          <w:szCs w:val="16"/>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87" w:lineRule="exact"/>
        <w:rPr>
          <w:sz w:val="20"/>
          <w:szCs w:val="20"/>
          <w:color w:val="auto"/>
        </w:rPr>
      </w:pPr>
    </w:p>
    <w:p>
      <w:pPr>
        <w:ind w:left="1200" w:right="840" w:hanging="431"/>
        <w:spacing w:after="0" w:line="221" w:lineRule="auto"/>
        <w:rPr>
          <w:sz w:val="20"/>
          <w:szCs w:val="20"/>
          <w:color w:val="auto"/>
        </w:rPr>
      </w:pPr>
      <w:r>
        <w:rPr>
          <w:rFonts w:ascii="Arial" w:cs="Arial" w:eastAsia="Arial" w:hAnsi="Arial"/>
          <w:sz w:val="16"/>
          <w:szCs w:val="16"/>
          <w:color w:val="auto"/>
        </w:rPr>
        <w:t>20.4 Without prejudice to the rights of any member under the Companies Act, a member who makes a request to which Article 20.1 relates, must deliver any such request in writing to the secretary at the Office not earlier than the close of business on the one hundred and twentieth (</w:t>
      </w:r>
      <w:r>
        <w:rPr>
          <w:rFonts w:ascii="Arial" w:cs="Arial" w:eastAsia="Arial" w:hAnsi="Arial"/>
          <w:sz w:val="16"/>
          <w:szCs w:val="16"/>
          <w:color w:val="auto"/>
          <w:strike w:val="1"/>
        </w:rPr>
        <w:t>120</w:t>
      </w:r>
      <w:r>
        <w:rPr>
          <w:rFonts w:ascii="Arial" w:cs="Arial" w:eastAsia="Arial" w:hAnsi="Arial"/>
          <w:sz w:val="16"/>
          <w:szCs w:val="16"/>
          <w:u w:val="single" w:color="auto"/>
          <w:color w:val="auto"/>
        </w:rPr>
        <w:t>120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nor later than the close of business on the ninetieth (</w:t>
      </w:r>
      <w:r>
        <w:rPr>
          <w:rFonts w:ascii="Arial" w:cs="Arial" w:eastAsia="Arial" w:hAnsi="Arial"/>
          <w:sz w:val="16"/>
          <w:szCs w:val="16"/>
          <w:color w:val="auto"/>
          <w:strike w:val="1"/>
        </w:rPr>
        <w:t>90</w:t>
      </w:r>
      <w:r>
        <w:rPr>
          <w:rFonts w:ascii="Arial" w:cs="Arial" w:eastAsia="Arial" w:hAnsi="Arial"/>
          <w:sz w:val="16"/>
          <w:szCs w:val="16"/>
          <w:u w:val="single" w:color="auto"/>
          <w:color w:val="auto"/>
        </w:rPr>
        <w:t>90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w:t>
      </w:r>
      <w:r>
        <w:rPr>
          <w:rFonts w:ascii="Arial" w:cs="Arial" w:eastAsia="Arial" w:hAnsi="Arial"/>
          <w:sz w:val="16"/>
          <w:szCs w:val="16"/>
          <w:color w:val="auto"/>
          <w:strike w:val="1"/>
        </w:rPr>
        <w:t>120</w:t>
      </w:r>
      <w:r>
        <w:rPr>
          <w:rFonts w:ascii="Arial" w:cs="Arial" w:eastAsia="Arial" w:hAnsi="Arial"/>
          <w:sz w:val="16"/>
          <w:szCs w:val="16"/>
          <w:u w:val="single" w:color="auto"/>
          <w:color w:val="auto"/>
        </w:rPr>
        <w:t>120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prior to such annual general meeting and not later than the close of business on the later of (i) the ninetieth (</w:t>
      </w:r>
      <w:r>
        <w:rPr>
          <w:rFonts w:ascii="Arial" w:cs="Arial" w:eastAsia="Arial" w:hAnsi="Arial"/>
          <w:sz w:val="16"/>
          <w:szCs w:val="16"/>
          <w:color w:val="auto"/>
          <w:strike w:val="1"/>
        </w:rPr>
        <w:t>90</w:t>
      </w:r>
      <w:r>
        <w:rPr>
          <w:rFonts w:ascii="Arial" w:cs="Arial" w:eastAsia="Arial" w:hAnsi="Arial"/>
          <w:sz w:val="16"/>
          <w:szCs w:val="16"/>
          <w:u w:val="single" w:color="auto"/>
          <w:color w:val="auto"/>
        </w:rPr>
        <w:t>90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xml:space="preserve">) calendar day prior to such annual general meeting and (ii) the </w:t>
      </w:r>
      <w:r>
        <w:rPr>
          <w:rFonts w:ascii="Arial" w:cs="Arial" w:eastAsia="Arial" w:hAnsi="Arial"/>
          <w:sz w:val="16"/>
          <w:szCs w:val="16"/>
          <w:color w:val="auto"/>
          <w:strike w:val="1"/>
        </w:rPr>
        <w:t>10</w:t>
      </w:r>
      <w:r>
        <w:rPr>
          <w:rFonts w:ascii="Arial" w:cs="Arial" w:eastAsia="Arial" w:hAnsi="Arial"/>
          <w:sz w:val="16"/>
          <w:szCs w:val="16"/>
          <w:u w:val="single" w:color="auto"/>
          <w:color w:val="auto"/>
        </w:rPr>
        <w:t>tenth (10</w:t>
      </w:r>
      <w:r>
        <w:rPr>
          <w:rFonts w:ascii="Arial" w:cs="Arial" w:eastAsia="Arial" w:hAnsi="Arial"/>
          <w:sz w:val="25"/>
          <w:szCs w:val="25"/>
          <w:u w:val="single" w:color="auto"/>
          <w:color w:val="auto"/>
          <w:vertAlign w:val="superscript"/>
        </w:rPr>
        <w:t>th</w:t>
      </w:r>
      <w:r>
        <w:rPr>
          <w:rFonts w:ascii="Arial" w:cs="Arial" w:eastAsia="Arial" w:hAnsi="Arial"/>
          <w:sz w:val="16"/>
          <w:szCs w:val="16"/>
          <w:u w:val="single" w:color="auto"/>
          <w:color w:val="auto"/>
        </w:rPr>
        <w:t>)</w:t>
      </w:r>
      <w:r>
        <w:rPr>
          <w:rFonts w:ascii="Arial" w:cs="Arial" w:eastAsia="Arial" w:hAnsi="Arial"/>
          <w:sz w:val="16"/>
          <w:szCs w:val="16"/>
          <w:color w:val="auto"/>
        </w:rPr>
        <w:t xml:space="preserve">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84" w:lineRule="exact"/>
        <w:rPr>
          <w:sz w:val="20"/>
          <w:szCs w:val="20"/>
          <w:color w:val="auto"/>
        </w:rPr>
      </w:pPr>
    </w:p>
    <w:p>
      <w:pPr>
        <w:ind w:left="1200" w:right="840"/>
        <w:spacing w:after="0" w:line="254" w:lineRule="auto"/>
        <w:rPr>
          <w:sz w:val="20"/>
          <w:szCs w:val="20"/>
          <w:color w:val="auto"/>
        </w:rPr>
      </w:pPr>
      <w:r>
        <w:rPr>
          <w:rFonts w:ascii="Arial" w:cs="Arial" w:eastAsia="Arial" w:hAnsi="Arial"/>
          <w:sz w:val="15"/>
          <w:szCs w:val="15"/>
          <w:color w:val="auto"/>
        </w:rPr>
        <w:t xml:space="preserve">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w:t>
      </w:r>
      <w:r>
        <w:rPr>
          <w:rFonts w:ascii="Arial" w:cs="Arial" w:eastAsia="Arial" w:hAnsi="Arial"/>
          <w:sz w:val="15"/>
          <w:szCs w:val="15"/>
          <w:color w:val="auto"/>
          <w:strike w:val="1"/>
        </w:rPr>
        <w:t>or</w:t>
      </w:r>
      <w:r>
        <w:rPr>
          <w:rFonts w:ascii="Arial" w:cs="Arial" w:eastAsia="Arial" w:hAnsi="Arial"/>
          <w:sz w:val="15"/>
          <w:szCs w:val="15"/>
          <w:color w:val="auto"/>
        </w:rPr>
        <w:t>,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w:t>
      </w:r>
    </w:p>
    <w:p>
      <w:pPr>
        <w:spacing w:after="0" w:line="4" w:lineRule="exact"/>
        <w:rPr>
          <w:sz w:val="20"/>
          <w:szCs w:val="20"/>
          <w:color w:val="auto"/>
        </w:rPr>
      </w:pPr>
    </w:p>
    <w:p>
      <w:pPr>
        <w:ind w:left="1200" w:right="820"/>
        <w:spacing w:after="0" w:line="219" w:lineRule="auto"/>
        <w:rPr>
          <w:sz w:val="20"/>
          <w:szCs w:val="20"/>
          <w:color w:val="auto"/>
        </w:rPr>
      </w:pPr>
      <w:r>
        <w:rPr>
          <w:rFonts w:ascii="Arial" w:cs="Arial" w:eastAsia="Arial" w:hAnsi="Arial"/>
          <w:sz w:val="16"/>
          <w:szCs w:val="16"/>
          <w:color w:val="auto"/>
        </w:rPr>
        <w:t>5.00 pm, local time, on the tenth (</w:t>
      </w:r>
      <w:r>
        <w:rPr>
          <w:rFonts w:ascii="Arial" w:cs="Arial" w:eastAsia="Arial" w:hAnsi="Arial"/>
          <w:sz w:val="16"/>
          <w:szCs w:val="16"/>
          <w:color w:val="auto"/>
          <w:strike w:val="1"/>
        </w:rPr>
        <w:t>10</w:t>
      </w:r>
      <w:r>
        <w:rPr>
          <w:rFonts w:ascii="Arial" w:cs="Arial" w:eastAsia="Arial" w:hAnsi="Arial"/>
          <w:sz w:val="16"/>
          <w:szCs w:val="16"/>
          <w:u w:val="single" w:color="auto"/>
          <w:color w:val="auto"/>
        </w:rPr>
        <w:t>10</w:t>
      </w:r>
      <w:r>
        <w:rPr>
          <w:rFonts w:ascii="Arial" w:cs="Arial" w:eastAsia="Arial" w:hAnsi="Arial"/>
          <w:sz w:val="25"/>
          <w:szCs w:val="25"/>
          <w:u w:val="single" w:color="auto"/>
          <w:color w:val="auto"/>
          <w:vertAlign w:val="superscript"/>
        </w:rPr>
        <w:t>th</w:t>
      </w:r>
      <w:r>
        <w:rPr>
          <w:rFonts w:ascii="Arial" w:cs="Arial" w:eastAsia="Arial" w:hAnsi="Arial"/>
          <w:sz w:val="16"/>
          <w:szCs w:val="16"/>
          <w:color w:val="auto"/>
        </w:rPr>
        <w:t>) calendar day after the day on which such public announcement is first made by the Company.</w:t>
      </w:r>
    </w:p>
    <w:p>
      <w:pPr>
        <w:spacing w:after="0" w:line="91" w:lineRule="exact"/>
        <w:rPr>
          <w:sz w:val="20"/>
          <w:szCs w:val="20"/>
          <w:color w:val="auto"/>
        </w:rPr>
      </w:pPr>
    </w:p>
    <w:p>
      <w:pPr>
        <w:ind w:left="1200" w:right="920"/>
        <w:spacing w:after="0" w:line="249" w:lineRule="auto"/>
        <w:rPr>
          <w:sz w:val="20"/>
          <w:szCs w:val="20"/>
          <w:color w:val="auto"/>
        </w:rPr>
      </w:pPr>
      <w:r>
        <w:rPr>
          <w:rFonts w:ascii="Arial" w:cs="Arial" w:eastAsia="Arial" w:hAnsi="Arial"/>
          <w:sz w:val="16"/>
          <w:szCs w:val="16"/>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50" w:lineRule="exact"/>
        <w:rPr>
          <w:sz w:val="20"/>
          <w:szCs w:val="20"/>
          <w:color w:val="auto"/>
        </w:rPr>
      </w:pPr>
    </w:p>
    <w:p>
      <w:pPr>
        <w:ind w:left="1200" w:hanging="436"/>
        <w:spacing w:after="0"/>
        <w:tabs>
          <w:tab w:leader="none" w:pos="120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VOTES OF MEMBERS</w:t>
      </w:r>
    </w:p>
    <w:p>
      <w:pPr>
        <w:spacing w:after="0" w:line="120" w:lineRule="exact"/>
        <w:rPr>
          <w:sz w:val="20"/>
          <w:szCs w:val="20"/>
          <w:color w:val="auto"/>
        </w:rPr>
      </w:pPr>
    </w:p>
    <w:p>
      <w:pPr>
        <w:ind w:left="1200" w:right="940" w:hanging="431"/>
        <w:spacing w:after="0" w:line="260" w:lineRule="auto"/>
        <w:rPr>
          <w:sz w:val="20"/>
          <w:szCs w:val="20"/>
          <w:color w:val="auto"/>
        </w:rPr>
      </w:pPr>
      <w:r>
        <w:rPr>
          <w:rFonts w:ascii="Arial" w:cs="Arial" w:eastAsia="Arial" w:hAnsi="Arial"/>
          <w:sz w:val="16"/>
          <w:szCs w:val="16"/>
          <w:color w:val="auto"/>
        </w:rPr>
        <w:t>21.1 A resolution put to the vote of a general meeting must be taken on a poll. This Article 21.1 may only be removed, amended or varied by resolution of the members passed unanimously at a general meeting of the Company.</w:t>
      </w:r>
    </w:p>
    <w:p>
      <w:pPr>
        <w:spacing w:after="0" w:line="74" w:lineRule="exact"/>
        <w:rPr>
          <w:sz w:val="20"/>
          <w:szCs w:val="20"/>
          <w:color w:val="auto"/>
        </w:rPr>
      </w:pPr>
    </w:p>
    <w:p>
      <w:pPr>
        <w:ind w:left="1200" w:right="820" w:hanging="431"/>
        <w:spacing w:after="0" w:line="253" w:lineRule="auto"/>
        <w:rPr>
          <w:sz w:val="20"/>
          <w:szCs w:val="20"/>
          <w:color w:val="auto"/>
        </w:rPr>
      </w:pPr>
      <w:r>
        <w:rPr>
          <w:rFonts w:ascii="Arial" w:cs="Arial" w:eastAsia="Arial" w:hAnsi="Arial"/>
          <w:sz w:val="16"/>
          <w:szCs w:val="16"/>
          <w:color w:val="auto"/>
        </w:rPr>
        <w:t xml:space="preserve">21.2 Subject to any relevant special rights or restrictions attached to any shares (including, for the avoidance of doubt, such rights and restrictions set out in Article </w:t>
      </w:r>
      <w:r>
        <w:rPr>
          <w:rFonts w:ascii="Arial" w:cs="Arial" w:eastAsia="Arial" w:hAnsi="Arial"/>
          <w:sz w:val="16"/>
          <w:szCs w:val="16"/>
          <w:color w:val="auto"/>
          <w:strike w:val="1"/>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above), on a poll taken at a meeting, every </w:t>
      </w:r>
      <w:r>
        <w:rPr>
          <w:rFonts w:ascii="Arial" w:cs="Arial" w:eastAsia="Arial" w:hAnsi="Arial"/>
          <w:sz w:val="16"/>
          <w:szCs w:val="16"/>
          <w:color w:val="auto"/>
          <w:strike w:val="1"/>
        </w:rPr>
        <w:t>qualifying</w:t>
      </w:r>
      <w:r>
        <w:rPr>
          <w:rFonts w:ascii="Arial" w:cs="Arial" w:eastAsia="Arial" w:hAnsi="Arial"/>
          <w:sz w:val="16"/>
          <w:szCs w:val="16"/>
          <w:color w:val="auto"/>
        </w:rPr>
        <w:t xml:space="preserve"> member present and entitled to vote on the resolution has one vote in respect of each Ordinary Share.</w:t>
      </w:r>
    </w:p>
    <w:p>
      <w:pPr>
        <w:spacing w:after="0" w:line="66" w:lineRule="exact"/>
        <w:rPr>
          <w:sz w:val="20"/>
          <w:szCs w:val="20"/>
          <w:color w:val="auto"/>
        </w:rPr>
      </w:pPr>
    </w:p>
    <w:p>
      <w:pPr>
        <w:ind w:left="1200" w:right="960" w:hanging="431"/>
        <w:spacing w:after="0" w:line="253" w:lineRule="auto"/>
        <w:rPr>
          <w:sz w:val="20"/>
          <w:szCs w:val="20"/>
          <w:color w:val="auto"/>
        </w:rPr>
      </w:pPr>
      <w:r>
        <w:rPr>
          <w:rFonts w:ascii="Arial" w:cs="Arial" w:eastAsia="Arial" w:hAnsi="Arial"/>
          <w:sz w:val="16"/>
          <w:szCs w:val="16"/>
          <w:color w:val="auto"/>
        </w:rPr>
        <w:t xml:space="preserve">21.3 In the case of joint holders the vote of the senior who tenders a vote shall be accepted to the exclusion of the votes of the other joint holders, and seniority shall be determined by the order in which the names of the holders stand in the register </w:t>
      </w:r>
      <w:r>
        <w:rPr>
          <w:rFonts w:ascii="Arial" w:cs="Arial" w:eastAsia="Arial" w:hAnsi="Arial"/>
          <w:sz w:val="16"/>
          <w:szCs w:val="16"/>
          <w:color w:val="auto"/>
          <w:strike w:val="1"/>
        </w:rPr>
        <w:t>of</w:t>
      </w:r>
      <w:r>
        <w:rPr>
          <w:rFonts w:ascii="Arial" w:cs="Arial" w:eastAsia="Arial" w:hAnsi="Arial"/>
          <w:sz w:val="16"/>
          <w:szCs w:val="16"/>
          <w:color w:val="auto"/>
        </w:rPr>
        <w:t xml:space="preserve"> </w:t>
      </w:r>
      <w:r>
        <w:rPr>
          <w:rFonts w:ascii="Arial" w:cs="Arial" w:eastAsia="Arial" w:hAnsi="Arial"/>
          <w:sz w:val="16"/>
          <w:szCs w:val="16"/>
          <w:color w:val="auto"/>
          <w:strike w:val="1"/>
        </w:rPr>
        <w:t>members</w:t>
      </w:r>
      <w:r>
        <w:rPr>
          <w:rFonts w:ascii="Arial" w:cs="Arial" w:eastAsia="Arial" w:hAnsi="Arial"/>
          <w:sz w:val="16"/>
          <w:szCs w:val="16"/>
          <w:color w:val="auto"/>
        </w:rPr>
        <w:t>.</w:t>
      </w:r>
    </w:p>
    <w:p>
      <w:pPr>
        <w:spacing w:after="0" w:line="80" w:lineRule="exact"/>
        <w:rPr>
          <w:sz w:val="20"/>
          <w:szCs w:val="20"/>
          <w:color w:val="auto"/>
        </w:rPr>
      </w:pPr>
    </w:p>
    <w:p>
      <w:pPr>
        <w:ind w:left="1200" w:right="980" w:hanging="431"/>
        <w:spacing w:after="0" w:line="293" w:lineRule="auto"/>
        <w:rPr>
          <w:sz w:val="20"/>
          <w:szCs w:val="20"/>
          <w:color w:val="auto"/>
        </w:rPr>
      </w:pPr>
      <w:r>
        <w:rPr>
          <w:rFonts w:ascii="Arial" w:cs="Arial" w:eastAsia="Arial" w:hAnsi="Arial"/>
          <w:sz w:val="15"/>
          <w:szCs w:val="15"/>
          <w:color w:val="auto"/>
        </w:rPr>
        <w:t xml:space="preserve">21.4 A member in respect of whom an order has been made by any court or official having jurisdiction (whether in the United Kingdom or elsewhere) in matters concerning mental disorder may vote by any person authorised </w:t>
      </w:r>
      <w:r>
        <w:rPr>
          <w:rFonts w:ascii="Arial" w:cs="Arial" w:eastAsia="Arial" w:hAnsi="Arial"/>
          <w:sz w:val="15"/>
          <w:szCs w:val="15"/>
          <w:color w:val="auto"/>
          <w:strike w:val="1"/>
        </w:rPr>
        <w:t>in</w:t>
      </w:r>
      <w:r>
        <w:rPr>
          <w:rFonts w:ascii="Arial" w:cs="Arial" w:eastAsia="Arial" w:hAnsi="Arial"/>
          <w:sz w:val="15"/>
          <w:szCs w:val="15"/>
          <w:u w:val="single" w:color="auto"/>
          <w:color w:val="auto"/>
        </w:rPr>
        <w:t>for</w:t>
      </w:r>
      <w:r>
        <w:rPr>
          <w:rFonts w:ascii="Arial" w:cs="Arial" w:eastAsia="Arial" w:hAnsi="Arial"/>
          <w:sz w:val="15"/>
          <w:szCs w:val="15"/>
          <w:color w:val="auto"/>
        </w:rPr>
        <w:t xml:space="preserve"> that </w:t>
      </w:r>
      <w:r>
        <w:rPr>
          <w:rFonts w:ascii="Arial" w:cs="Arial" w:eastAsia="Arial" w:hAnsi="Arial"/>
          <w:sz w:val="15"/>
          <w:szCs w:val="15"/>
          <w:color w:val="auto"/>
          <w:strike w:val="1"/>
        </w:rPr>
        <w:t>behalf</w:t>
      </w:r>
      <w:r>
        <w:rPr>
          <w:rFonts w:ascii="Arial" w:cs="Arial" w:eastAsia="Arial" w:hAnsi="Arial"/>
          <w:sz w:val="15"/>
          <w:szCs w:val="15"/>
          <w:u w:val="single" w:color="auto"/>
          <w:color w:val="auto"/>
        </w:rPr>
        <w:t>purpose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A-17</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6" w:name="page97"/>
    <w:bookmarkEnd w:id="9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79"/>
        <w:spacing w:after="0" w:line="249" w:lineRule="auto"/>
        <w:rPr>
          <w:sz w:val="20"/>
          <w:szCs w:val="20"/>
          <w:color w:val="auto"/>
        </w:rPr>
      </w:pPr>
      <w:r>
        <w:rPr>
          <w:rFonts w:ascii="Arial" w:cs="Arial" w:eastAsia="Arial" w:hAnsi="Arial"/>
          <w:sz w:val="16"/>
          <w:szCs w:val="16"/>
          <w:color w:val="auto"/>
        </w:rPr>
        <w:t>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21.5  In the case of an equality of votes,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shall not be entitled to a casting vote.</w:t>
      </w:r>
    </w:p>
    <w:p>
      <w:pPr>
        <w:spacing w:after="0" w:line="100" w:lineRule="exact"/>
        <w:rPr>
          <w:sz w:val="20"/>
          <w:szCs w:val="20"/>
          <w:color w:val="auto"/>
        </w:rPr>
      </w:pPr>
    </w:p>
    <w:p>
      <w:pPr>
        <w:ind w:left="1200" w:right="299" w:hanging="431"/>
        <w:spacing w:after="0" w:line="253" w:lineRule="auto"/>
        <w:rPr>
          <w:sz w:val="20"/>
          <w:szCs w:val="20"/>
          <w:color w:val="auto"/>
        </w:rPr>
      </w:pPr>
      <w:r>
        <w:rPr>
          <w:rFonts w:ascii="Arial" w:cs="Arial" w:eastAsia="Arial" w:hAnsi="Arial"/>
          <w:sz w:val="16"/>
          <w:szCs w:val="16"/>
          <w:color w:val="auto"/>
        </w:rPr>
        <w:t xml:space="preserve">21.6 No member shall have the right to vote at any general meeting or at any separate meeting of the holders of any class of shares, either in person or by representative or proxy, in respect of any share held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unless all amounts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in respect of that share have been paid.</w:t>
      </w:r>
    </w:p>
    <w:p>
      <w:pPr>
        <w:spacing w:after="0" w:line="80" w:lineRule="exact"/>
        <w:rPr>
          <w:sz w:val="20"/>
          <w:szCs w:val="20"/>
          <w:color w:val="auto"/>
        </w:rPr>
      </w:pPr>
    </w:p>
    <w:p>
      <w:pPr>
        <w:ind w:left="1200" w:right="339" w:hanging="431"/>
        <w:spacing w:after="0" w:line="250" w:lineRule="auto"/>
        <w:rPr>
          <w:sz w:val="20"/>
          <w:szCs w:val="20"/>
          <w:color w:val="auto"/>
        </w:rPr>
      </w:pPr>
      <w:r>
        <w:rPr>
          <w:rFonts w:ascii="Arial" w:cs="Arial" w:eastAsia="Arial" w:hAnsi="Arial"/>
          <w:sz w:val="16"/>
          <w:szCs w:val="16"/>
          <w:color w:val="auto"/>
        </w:rPr>
        <w:t>21.7 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6"/>
          <w:szCs w:val="16"/>
          <w:b w:val="1"/>
          <w:bCs w:val="1"/>
          <w:color w:val="auto"/>
        </w:rPr>
        <w:t>section 793 notice</w:t>
      </w:r>
      <w:r>
        <w:rPr>
          <w:rFonts w:ascii="Arial" w:cs="Arial" w:eastAsia="Arial" w:hAnsi="Arial"/>
          <w:sz w:val="16"/>
          <w:szCs w:val="16"/>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61" w:lineRule="exact"/>
        <w:rPr>
          <w:sz w:val="20"/>
          <w:szCs w:val="20"/>
          <w:color w:val="auto"/>
        </w:rPr>
      </w:pPr>
    </w:p>
    <w:p>
      <w:pPr>
        <w:ind w:left="1620" w:right="199" w:hanging="424"/>
        <w:spacing w:after="0" w:line="259" w:lineRule="auto"/>
        <w:tabs>
          <w:tab w:leader="none" w:pos="16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respect of the shares in relation to which the default occurred (the “</w:t>
      </w:r>
      <w:r>
        <w:rPr>
          <w:rFonts w:ascii="Arial" w:cs="Arial" w:eastAsia="Arial" w:hAnsi="Arial"/>
          <w:sz w:val="16"/>
          <w:szCs w:val="16"/>
          <w:b w:val="1"/>
          <w:bCs w:val="1"/>
          <w:color w:val="auto"/>
        </w:rPr>
        <w:t>default shares</w:t>
      </w:r>
      <w:r>
        <w:rPr>
          <w:rFonts w:ascii="Arial" w:cs="Arial" w:eastAsia="Arial" w:hAnsi="Arial"/>
          <w:sz w:val="16"/>
          <w:szCs w:val="16"/>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76" w:lineRule="exact"/>
        <w:rPr>
          <w:rFonts w:ascii="Arial" w:cs="Arial" w:eastAsia="Arial" w:hAnsi="Arial"/>
          <w:sz w:val="16"/>
          <w:szCs w:val="16"/>
          <w:color w:val="auto"/>
        </w:rPr>
      </w:pPr>
    </w:p>
    <w:p>
      <w:pPr>
        <w:ind w:left="1620" w:right="919" w:hanging="424"/>
        <w:spacing w:after="0" w:line="260" w:lineRule="auto"/>
        <w:tabs>
          <w:tab w:leader="none" w:pos="16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where the default shares represent at least 0.25 per cent. in nominal value of the issued shares of their class (calculated exclusive of any shares held in treasury), in respect of the default shares:</w:t>
      </w:r>
    </w:p>
    <w:p>
      <w:pPr>
        <w:spacing w:after="0" w:line="73" w:lineRule="exact"/>
        <w:rPr>
          <w:rFonts w:ascii="Arial" w:cs="Arial" w:eastAsia="Arial" w:hAnsi="Arial"/>
          <w:sz w:val="16"/>
          <w:szCs w:val="16"/>
          <w:color w:val="auto"/>
        </w:rPr>
      </w:pPr>
    </w:p>
    <w:p>
      <w:pPr>
        <w:ind w:left="2060" w:right="399" w:hanging="432"/>
        <w:spacing w:after="0" w:line="260" w:lineRule="auto"/>
        <w:tabs>
          <w:tab w:leader="none" w:pos="20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no payment shall be made by way of dividend and no share shall be allotted or distributed pursuant to Articles 39.1, 40.1, and 40.2; and</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no transfer of any default share shall be registered unless:</w:t>
      </w:r>
    </w:p>
    <w:p>
      <w:pPr>
        <w:spacing w:after="0" w:line="99" w:lineRule="exact"/>
        <w:rPr>
          <w:rFonts w:ascii="Arial" w:cs="Arial" w:eastAsia="Arial" w:hAnsi="Arial"/>
          <w:sz w:val="16"/>
          <w:szCs w:val="16"/>
          <w:color w:val="auto"/>
        </w:rPr>
      </w:pPr>
    </w:p>
    <w:p>
      <w:pPr>
        <w:ind w:left="2500" w:right="399" w:hanging="440"/>
        <w:spacing w:after="0" w:line="253" w:lineRule="auto"/>
        <w:tabs>
          <w:tab w:leader="none" w:pos="250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 xml:space="preserve">the member is not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79" w:lineRule="exact"/>
        <w:rPr>
          <w:rFonts w:ascii="Arial" w:cs="Arial" w:eastAsia="Arial" w:hAnsi="Arial"/>
          <w:sz w:val="16"/>
          <w:szCs w:val="16"/>
          <w:color w:val="auto"/>
        </w:rPr>
      </w:pPr>
    </w:p>
    <w:p>
      <w:pPr>
        <w:ind w:left="2500" w:hanging="440"/>
        <w:spacing w:after="0"/>
        <w:tabs>
          <w:tab w:leader="none" w:pos="250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the transfer is an approved transfer.</w:t>
      </w:r>
    </w:p>
    <w:p>
      <w:pPr>
        <w:spacing w:after="0" w:line="86" w:lineRule="exact"/>
        <w:rPr>
          <w:sz w:val="20"/>
          <w:szCs w:val="20"/>
          <w:color w:val="auto"/>
        </w:rPr>
      </w:pPr>
    </w:p>
    <w:p>
      <w:pPr>
        <w:jc w:val="both"/>
        <w:ind w:left="1620" w:right="399"/>
        <w:spacing w:after="0" w:line="278" w:lineRule="auto"/>
        <w:rPr>
          <w:sz w:val="20"/>
          <w:szCs w:val="20"/>
          <w:color w:val="auto"/>
        </w:rPr>
      </w:pPr>
      <w:r>
        <w:rPr>
          <w:rFonts w:ascii="Arial" w:cs="Arial" w:eastAsia="Arial" w:hAnsi="Arial"/>
          <w:sz w:val="15"/>
          <w:szCs w:val="15"/>
          <w:color w:val="auto"/>
        </w:rPr>
        <w:t xml:space="preserve">For the purposes of ensuring this Article 21.7(b)(ii) can apply to all shares held by the member, the Company may in accordance with the Uncertificated Securities Rules, issue a written notification to the Operator </w:t>
      </w:r>
      <w:r>
        <w:rPr>
          <w:rFonts w:ascii="Arial" w:cs="Arial" w:eastAsia="Arial" w:hAnsi="Arial"/>
          <w:sz w:val="15"/>
          <w:szCs w:val="15"/>
          <w:u w:val="single" w:color="auto"/>
          <w:color w:val="auto"/>
        </w:rPr>
        <w:t>or any Depositary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the shares</w:t>
      </w:r>
      <w:r>
        <w:rPr>
          <w:rFonts w:ascii="Arial" w:cs="Arial" w:eastAsia="Arial" w:hAnsi="Arial"/>
          <w:sz w:val="15"/>
          <w:szCs w:val="15"/>
          <w:color w:val="auto"/>
        </w:rPr>
        <w:t xml:space="preserve"> requiring conversion into certificated form of any share held by the member in uncertificated form.</w:t>
      </w:r>
    </w:p>
    <w:p>
      <w:pPr>
        <w:spacing w:after="0" w:line="62"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rPr>
        <w:t>21.8 The Company shall send the direction notice to each other person appearing to be interested in the default shares, but the failure or omission by the Company to do so shall not invalidate such notice.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21.9  Any direction notice shall cease to have effect not more than seven days after the earlier of receipt by the Company of:</w:t>
      </w:r>
    </w:p>
    <w:p>
      <w:pPr>
        <w:spacing w:after="0" w:line="100" w:lineRule="exact"/>
        <w:rPr>
          <w:sz w:val="20"/>
          <w:szCs w:val="20"/>
          <w:color w:val="auto"/>
        </w:rPr>
      </w:pPr>
    </w:p>
    <w:p>
      <w:pPr>
        <w:ind w:left="1620" w:hanging="424"/>
        <w:spacing w:after="0"/>
        <w:tabs>
          <w:tab w:leader="none" w:pos="16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notice of an approved transfer, but only in relation to the shares transferred; or</w:t>
      </w:r>
    </w:p>
    <w:p>
      <w:pPr>
        <w:spacing w:after="0" w:line="99" w:lineRule="exact"/>
        <w:rPr>
          <w:rFonts w:ascii="Arial" w:cs="Arial" w:eastAsia="Arial" w:hAnsi="Arial"/>
          <w:sz w:val="16"/>
          <w:szCs w:val="16"/>
          <w:color w:val="auto"/>
        </w:rPr>
      </w:pPr>
    </w:p>
    <w:p>
      <w:pPr>
        <w:ind w:left="760" w:right="1739" w:firstLine="436"/>
        <w:spacing w:after="0" w:line="369" w:lineRule="auto"/>
        <w:tabs>
          <w:tab w:leader="none" w:pos="16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the information required by the relevant section 793 notice, in a form satisfactory to the Board. 21.10 The Board may at any time send a notice cancelling a direction notice.</w:t>
      </w:r>
    </w:p>
    <w:p>
      <w:pPr>
        <w:spacing w:after="0" w:line="1" w:lineRule="exact"/>
        <w:rPr>
          <w:sz w:val="20"/>
          <w:szCs w:val="20"/>
          <w:color w:val="auto"/>
        </w:rPr>
      </w:pPr>
    </w:p>
    <w:p>
      <w:pPr>
        <w:ind w:left="1200" w:right="419" w:hanging="431"/>
        <w:spacing w:after="0" w:line="260" w:lineRule="auto"/>
        <w:rPr>
          <w:sz w:val="20"/>
          <w:szCs w:val="20"/>
          <w:color w:val="auto"/>
        </w:rPr>
      </w:pPr>
      <w:r>
        <w:rPr>
          <w:rFonts w:ascii="Arial" w:cs="Arial" w:eastAsia="Arial" w:hAnsi="Arial"/>
          <w:sz w:val="16"/>
          <w:szCs w:val="16"/>
          <w:color w:val="auto"/>
        </w:rPr>
        <w:t>21.11 The Company may exercise any of its powers under Article 4.9 in respect of any default share that is held in uncertificated form.</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21.12 For the purposes of this Article 21.12 and Articles 21.7, 21.8, 21.9, 21.10 and 21.11:</w:t>
      </w:r>
    </w:p>
    <w:p>
      <w:pPr>
        <w:spacing w:after="0" w:line="100" w:lineRule="exact"/>
        <w:rPr>
          <w:sz w:val="20"/>
          <w:szCs w:val="20"/>
          <w:color w:val="auto"/>
        </w:rPr>
      </w:pPr>
    </w:p>
    <w:p>
      <w:pPr>
        <w:ind w:left="1620" w:right="399" w:hanging="424"/>
        <w:spacing w:after="0" w:line="260" w:lineRule="auto"/>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person shall be treated as appearing to be interested in any shares if the member holding such shares has sent to the Company a notification under section 793 of the Companies Act which either:</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names such person as being so interested; or</w:t>
      </w:r>
    </w:p>
    <w:p>
      <w:pPr>
        <w:spacing w:after="0" w:line="86" w:lineRule="exact"/>
        <w:rPr>
          <w:rFonts w:ascii="Arial" w:cs="Arial" w:eastAsia="Arial" w:hAnsi="Arial"/>
          <w:sz w:val="16"/>
          <w:szCs w:val="16"/>
          <w:color w:val="auto"/>
        </w:rPr>
      </w:pPr>
    </w:p>
    <w:p>
      <w:pPr>
        <w:ind w:left="2060" w:right="559" w:hanging="432"/>
        <w:spacing w:after="0" w:line="253" w:lineRule="auto"/>
        <w:tabs>
          <w:tab w:leader="none" w:pos="20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prescribed period is 14 days from the date of service of the section 793 notice; and</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 transfer of shares </w:t>
      </w:r>
      <w:r>
        <w:rPr>
          <w:rFonts w:ascii="Arial" w:cs="Arial" w:eastAsia="Arial" w:hAnsi="Arial"/>
          <w:sz w:val="16"/>
          <w:szCs w:val="16"/>
          <w:u w:val="single" w:color="auto"/>
          <w:color w:val="auto"/>
        </w:rPr>
        <w:t>(or depositary interests representing such shares)</w:t>
      </w:r>
      <w:r>
        <w:rPr>
          <w:rFonts w:ascii="Arial" w:cs="Arial" w:eastAsia="Arial" w:hAnsi="Arial"/>
          <w:sz w:val="16"/>
          <w:szCs w:val="16"/>
          <w:color w:val="auto"/>
        </w:rPr>
        <w:t xml:space="preserve"> is an approved transfer if:</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A-18</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1260" w:hanging="432"/>
        <w:spacing w:after="0" w:line="260" w:lineRule="auto"/>
        <w:tabs>
          <w:tab w:leader="none" w:pos="20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it is a transfer of shares </w:t>
      </w:r>
      <w:r>
        <w:rPr>
          <w:rFonts w:ascii="Arial" w:cs="Arial" w:eastAsia="Arial" w:hAnsi="Arial"/>
          <w:sz w:val="16"/>
          <w:szCs w:val="16"/>
          <w:u w:val="single" w:color="auto"/>
          <w:color w:val="auto"/>
        </w:rPr>
        <w:t>(or depositary interests representing such shares)</w:t>
      </w:r>
      <w:r>
        <w:rPr>
          <w:rFonts w:ascii="Arial" w:cs="Arial" w:eastAsia="Arial" w:hAnsi="Arial"/>
          <w:sz w:val="16"/>
          <w:szCs w:val="16"/>
          <w:color w:val="auto"/>
        </w:rPr>
        <w:t xml:space="preserve"> pursuant to an acceptance of a takeover offer (within the meaning of section 974 of the Companies Act);</w:t>
      </w:r>
    </w:p>
    <w:p>
      <w:pPr>
        <w:spacing w:after="0" w:line="73" w:lineRule="exact"/>
        <w:rPr>
          <w:rFonts w:ascii="Arial" w:cs="Arial" w:eastAsia="Arial" w:hAnsi="Arial"/>
          <w:sz w:val="16"/>
          <w:szCs w:val="16"/>
          <w:color w:val="auto"/>
        </w:rPr>
      </w:pPr>
    </w:p>
    <w:p>
      <w:pPr>
        <w:jc w:val="both"/>
        <w:ind w:left="2060" w:right="860" w:hanging="432"/>
        <w:spacing w:after="0" w:line="253" w:lineRule="auto"/>
        <w:tabs>
          <w:tab w:leader="none" w:pos="20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66" w:lineRule="exact"/>
        <w:rPr>
          <w:rFonts w:ascii="Arial" w:cs="Arial" w:eastAsia="Arial" w:hAnsi="Arial"/>
          <w:sz w:val="16"/>
          <w:szCs w:val="16"/>
          <w:color w:val="auto"/>
        </w:rPr>
      </w:pPr>
    </w:p>
    <w:p>
      <w:pPr>
        <w:ind w:left="2060" w:right="820" w:hanging="432"/>
        <w:spacing w:after="0" w:line="253" w:lineRule="auto"/>
        <w:tabs>
          <w:tab w:leader="none" w:pos="20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transfer results from a sale made through </w:t>
      </w:r>
      <w:r>
        <w:rPr>
          <w:rFonts w:ascii="Arial" w:cs="Arial" w:eastAsia="Arial" w:hAnsi="Arial"/>
          <w:sz w:val="16"/>
          <w:szCs w:val="16"/>
          <w:color w:val="auto"/>
          <w:strike w:val="1"/>
        </w:rPr>
        <w:t>a recognised investment exchange as defined in the FSMA or</w:t>
      </w:r>
      <w:r>
        <w:rPr>
          <w:rFonts w:ascii="Arial" w:cs="Arial" w:eastAsia="Arial" w:hAnsi="Arial"/>
          <w:sz w:val="16"/>
          <w:szCs w:val="16"/>
          <w:color w:val="auto"/>
        </w:rPr>
        <w:t xml:space="preserve"> any </w:t>
      </w:r>
      <w:r>
        <w:rPr>
          <w:rFonts w:ascii="Arial" w:cs="Arial" w:eastAsia="Arial" w:hAnsi="Arial"/>
          <w:sz w:val="16"/>
          <w:szCs w:val="16"/>
          <w:color w:val="auto"/>
          <w:strike w:val="1"/>
        </w:rPr>
        <w:t>other stock exchange outside the United Kingdom</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on which the Company’s shares </w:t>
      </w:r>
      <w:r>
        <w:rPr>
          <w:rFonts w:ascii="Arial" w:cs="Arial" w:eastAsia="Arial" w:hAnsi="Arial"/>
          <w:sz w:val="16"/>
          <w:szCs w:val="16"/>
          <w:u w:val="single" w:color="auto"/>
          <w:color w:val="auto"/>
        </w:rPr>
        <w:t>(or depositary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interests representing such shares)</w:t>
      </w:r>
      <w:r>
        <w:rPr>
          <w:rFonts w:ascii="Arial" w:cs="Arial" w:eastAsia="Arial" w:hAnsi="Arial"/>
          <w:sz w:val="16"/>
          <w:szCs w:val="16"/>
          <w:color w:val="auto"/>
        </w:rPr>
        <w:t xml:space="preserve"> are normally traded.</w:t>
      </w:r>
    </w:p>
    <w:p>
      <w:pPr>
        <w:spacing w:after="0" w:line="80" w:lineRule="exact"/>
        <w:rPr>
          <w:sz w:val="20"/>
          <w:szCs w:val="20"/>
          <w:color w:val="auto"/>
        </w:rPr>
      </w:pPr>
    </w:p>
    <w:p>
      <w:pPr>
        <w:ind w:left="1200" w:right="1160" w:hanging="431"/>
        <w:spacing w:after="0" w:line="260" w:lineRule="auto"/>
        <w:rPr>
          <w:sz w:val="20"/>
          <w:szCs w:val="20"/>
          <w:color w:val="auto"/>
        </w:rPr>
      </w:pPr>
      <w:r>
        <w:rPr>
          <w:rFonts w:ascii="Arial" w:cs="Arial" w:eastAsia="Arial" w:hAnsi="Arial"/>
          <w:sz w:val="16"/>
          <w:szCs w:val="16"/>
          <w:color w:val="auto"/>
        </w:rPr>
        <w:t>21.13 Nothing contained in Article 21.7, 21.8, 21.9, 21.10 and 21.11 limits the power of the Company under section 794 of the Companies Act.</w:t>
      </w:r>
    </w:p>
    <w:p>
      <w:pPr>
        <w:spacing w:after="0" w:line="60" w:lineRule="exact"/>
        <w:rPr>
          <w:sz w:val="20"/>
          <w:szCs w:val="20"/>
          <w:color w:val="auto"/>
        </w:rPr>
      </w:pPr>
    </w:p>
    <w:p>
      <w:pPr>
        <w:ind w:left="1200" w:right="860" w:hanging="431"/>
        <w:spacing w:after="0" w:line="249" w:lineRule="auto"/>
        <w:rPr>
          <w:sz w:val="20"/>
          <w:szCs w:val="20"/>
          <w:color w:val="auto"/>
        </w:rPr>
      </w:pPr>
      <w:r>
        <w:rPr>
          <w:rFonts w:ascii="Arial" w:cs="Arial" w:eastAsia="Arial" w:hAnsi="Arial"/>
          <w:sz w:val="16"/>
          <w:szCs w:val="16"/>
          <w:color w:val="auto"/>
        </w:rPr>
        <w:t xml:space="preserve">21.14 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whose decision shall be final and conclusive. If a vote is not disallowed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it is valid for all purposes.</w:t>
      </w:r>
    </w:p>
    <w:p>
      <w:pPr>
        <w:spacing w:after="0" w:line="70" w:lineRule="exact"/>
        <w:rPr>
          <w:sz w:val="20"/>
          <w:szCs w:val="20"/>
          <w:color w:val="auto"/>
        </w:rPr>
      </w:pPr>
    </w:p>
    <w:p>
      <w:pPr>
        <w:ind w:left="1200" w:right="1120"/>
        <w:spacing w:after="0" w:line="251" w:lineRule="auto"/>
        <w:rPr>
          <w:sz w:val="20"/>
          <w:szCs w:val="20"/>
          <w:color w:val="auto"/>
        </w:rPr>
      </w:pPr>
      <w:r>
        <w:rPr>
          <w:rFonts w:ascii="Arial" w:cs="Arial" w:eastAsia="Arial" w:hAnsi="Arial"/>
          <w:sz w:val="16"/>
          <w:szCs w:val="16"/>
          <w:color w:val="auto"/>
          <w:strike w:val="1"/>
        </w:rPr>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81" w:lineRule="exact"/>
        <w:rPr>
          <w:sz w:val="20"/>
          <w:szCs w:val="20"/>
          <w:color w:val="auto"/>
        </w:rPr>
      </w:pPr>
    </w:p>
    <w:p>
      <w:pPr>
        <w:ind w:left="1200" w:right="820" w:hanging="431"/>
        <w:spacing w:after="0" w:line="253" w:lineRule="auto"/>
        <w:rPr>
          <w:sz w:val="20"/>
          <w:szCs w:val="20"/>
          <w:color w:val="auto"/>
        </w:rPr>
      </w:pPr>
      <w:r>
        <w:rPr>
          <w:rFonts w:ascii="Arial" w:cs="Arial" w:eastAsia="Arial" w:hAnsi="Arial"/>
          <w:sz w:val="16"/>
          <w:szCs w:val="16"/>
          <w:color w:val="auto"/>
        </w:rPr>
        <w:t xml:space="preserve">21.15 If any votes are counted which ought not to have been counted, or might have been rejected, the error shall not vitiate the result of the voting unless it is pointed out at the same meeting, or any adjournment of the meeting, and, in the opinion of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it is of sufficient magnitude to vitiate the result of the voting.</w:t>
      </w:r>
    </w:p>
    <w:p>
      <w:pPr>
        <w:spacing w:after="0" w:line="46" w:lineRule="exact"/>
        <w:rPr>
          <w:sz w:val="20"/>
          <w:szCs w:val="20"/>
          <w:color w:val="auto"/>
        </w:rPr>
      </w:pPr>
    </w:p>
    <w:p>
      <w:pPr>
        <w:ind w:left="1200" w:hanging="436"/>
        <w:spacing w:after="0"/>
        <w:tabs>
          <w:tab w:leader="none" w:pos="120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PROXIES AND CORPORATE REPRESENTATIVES</w:t>
      </w:r>
    </w:p>
    <w:p>
      <w:pPr>
        <w:spacing w:after="0" w:line="106"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22.1 A member is entitled to appoint another person as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proxy to exercise all or any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22.2  The appointment of a proxy shall be:</w:t>
      </w:r>
    </w:p>
    <w:p>
      <w:pPr>
        <w:spacing w:after="0" w:line="86" w:lineRule="exact"/>
        <w:rPr>
          <w:sz w:val="20"/>
          <w:szCs w:val="20"/>
          <w:color w:val="auto"/>
        </w:rPr>
      </w:pPr>
    </w:p>
    <w:p>
      <w:pPr>
        <w:ind w:left="1620" w:right="880" w:hanging="424"/>
        <w:spacing w:after="0" w:line="251" w:lineRule="auto"/>
        <w:tabs>
          <w:tab w:leader="none" w:pos="16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80" w:lineRule="exact"/>
        <w:rPr>
          <w:rFonts w:ascii="Arial" w:cs="Arial" w:eastAsia="Arial" w:hAnsi="Arial"/>
          <w:sz w:val="16"/>
          <w:szCs w:val="16"/>
          <w:color w:val="auto"/>
        </w:rPr>
      </w:pPr>
    </w:p>
    <w:p>
      <w:pPr>
        <w:ind w:left="2060" w:hanging="432"/>
        <w:spacing w:after="0"/>
        <w:tabs>
          <w:tab w:leader="none" w:pos="20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hard copy form; or</w:t>
      </w:r>
    </w:p>
    <w:p>
      <w:pPr>
        <w:spacing w:after="0" w:line="86" w:lineRule="exact"/>
        <w:rPr>
          <w:rFonts w:ascii="Arial" w:cs="Arial" w:eastAsia="Arial" w:hAnsi="Arial"/>
          <w:sz w:val="16"/>
          <w:szCs w:val="16"/>
          <w:color w:val="auto"/>
        </w:rPr>
      </w:pPr>
    </w:p>
    <w:p>
      <w:pPr>
        <w:ind w:left="2060" w:hanging="432"/>
        <w:spacing w:after="0"/>
        <w:tabs>
          <w:tab w:leader="none" w:pos="20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electronic form, to the electronic address provided by the Company for this purpose; or</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the case of a proxy relating to the shares to which Article 22.2(a) does not apply:</w:t>
      </w:r>
    </w:p>
    <w:p>
      <w:pPr>
        <w:spacing w:after="0" w:line="99" w:lineRule="exact"/>
        <w:rPr>
          <w:rFonts w:ascii="Arial" w:cs="Arial" w:eastAsia="Arial" w:hAnsi="Arial"/>
          <w:sz w:val="16"/>
          <w:szCs w:val="16"/>
          <w:color w:val="auto"/>
        </w:rPr>
      </w:pPr>
    </w:p>
    <w:p>
      <w:pPr>
        <w:ind w:left="2060" w:right="1220" w:hanging="432"/>
        <w:spacing w:after="0" w:line="260" w:lineRule="auto"/>
        <w:tabs>
          <w:tab w:leader="none" w:pos="20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any usual form or in any other form or manner of communication which the Board may approve. Subject thereto, the appointment of a proxy may be:</w:t>
      </w:r>
    </w:p>
    <w:p>
      <w:pPr>
        <w:spacing w:after="0" w:line="60" w:lineRule="exact"/>
        <w:rPr>
          <w:rFonts w:ascii="Arial" w:cs="Arial" w:eastAsia="Arial" w:hAnsi="Arial"/>
          <w:sz w:val="16"/>
          <w:szCs w:val="16"/>
          <w:color w:val="auto"/>
        </w:rPr>
      </w:pPr>
    </w:p>
    <w:p>
      <w:pPr>
        <w:ind w:left="2500" w:hanging="440"/>
        <w:spacing w:after="0"/>
        <w:tabs>
          <w:tab w:leader="none" w:pos="250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in hard copy form; or</w:t>
      </w:r>
    </w:p>
    <w:p>
      <w:pPr>
        <w:spacing w:after="0" w:line="99" w:lineRule="exact"/>
        <w:rPr>
          <w:rFonts w:ascii="Arial" w:cs="Arial" w:eastAsia="Arial" w:hAnsi="Arial"/>
          <w:sz w:val="16"/>
          <w:szCs w:val="16"/>
          <w:color w:val="auto"/>
        </w:rPr>
      </w:pPr>
    </w:p>
    <w:p>
      <w:pPr>
        <w:ind w:left="2500" w:hanging="440"/>
        <w:spacing w:after="0"/>
        <w:tabs>
          <w:tab w:leader="none" w:pos="250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in electronic form, to the electronic address provided by the Company for this purpose;</w:t>
      </w:r>
    </w:p>
    <w:p>
      <w:pPr>
        <w:spacing w:after="0" w:line="86" w:lineRule="exact"/>
        <w:rPr>
          <w:sz w:val="20"/>
          <w:szCs w:val="20"/>
          <w:color w:val="auto"/>
        </w:rPr>
      </w:pPr>
    </w:p>
    <w:p>
      <w:pPr>
        <w:ind w:left="1200" w:right="940" w:hanging="431"/>
        <w:spacing w:after="0" w:line="251" w:lineRule="auto"/>
        <w:rPr>
          <w:sz w:val="20"/>
          <w:szCs w:val="20"/>
          <w:color w:val="auto"/>
        </w:rPr>
      </w:pPr>
      <w:r>
        <w:rPr>
          <w:rFonts w:ascii="Arial" w:cs="Arial" w:eastAsia="Arial" w:hAnsi="Arial"/>
          <w:sz w:val="16"/>
          <w:szCs w:val="16"/>
          <w:color w:val="auto"/>
        </w:rPr>
        <w:t xml:space="preserve">22.3 The appointment of a proxy, whether made in hard copy form or in electronic form, shall be executed by or on behalf of the appointor in such manner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approve, which in the case of a corporation may be either under its common seal or under the hand of a duly authorised officer or other person duly authorised for that purpose or in any other manner authorised by its constitution.</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22.4  Without limiting these Articles, the Board may in relation to uncertificated shares:</w:t>
      </w:r>
    </w:p>
    <w:p>
      <w:pPr>
        <w:spacing w:after="0" w:line="86" w:lineRule="exact"/>
        <w:rPr>
          <w:sz w:val="20"/>
          <w:szCs w:val="20"/>
          <w:color w:val="auto"/>
        </w:rPr>
      </w:pPr>
    </w:p>
    <w:p>
      <w:pPr>
        <w:ind w:left="1620" w:right="900" w:hanging="424"/>
        <w:spacing w:after="0" w:line="249" w:lineRule="auto"/>
        <w:tabs>
          <w:tab w:leader="none" w:pos="16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approve the appointment of a proxy by means of an electronic communication in the form of an “uncertificated proxy instruction” (a properly </w:t>
      </w:r>
      <w:r>
        <w:rPr>
          <w:rFonts w:ascii="Arial" w:cs="Arial" w:eastAsia="Arial" w:hAnsi="Arial"/>
          <w:sz w:val="16"/>
          <w:szCs w:val="16"/>
          <w:color w:val="auto"/>
          <w:strike w:val="1"/>
        </w:rPr>
        <w:t>authorised</w:t>
      </w:r>
      <w:r>
        <w:rPr>
          <w:rFonts w:ascii="Arial" w:cs="Arial" w:eastAsia="Arial" w:hAnsi="Arial"/>
          <w:sz w:val="16"/>
          <w:szCs w:val="16"/>
          <w:u w:val="single" w:color="auto"/>
          <w:color w:val="auto"/>
        </w:rPr>
        <w:t>authenticated</w:t>
      </w:r>
      <w:r>
        <w:rPr>
          <w:rFonts w:ascii="Arial" w:cs="Arial" w:eastAsia="Arial" w:hAnsi="Arial"/>
          <w:sz w:val="16"/>
          <w:szCs w:val="16"/>
          <w:color w:val="auto"/>
        </w:rPr>
        <w:t xml:space="preserve"> dematerialised instruction </w:t>
      </w:r>
      <w:r>
        <w:rPr>
          <w:rFonts w:ascii="Arial" w:cs="Arial" w:eastAsia="Arial" w:hAnsi="Arial"/>
          <w:sz w:val="16"/>
          <w:szCs w:val="16"/>
          <w:u w:val="single" w:color="auto"/>
          <w:color w:val="auto"/>
        </w:rPr>
        <w:t>determined in accordance with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Uncertificated Securities Rules</w:t>
      </w:r>
      <w:r>
        <w:rPr>
          <w:rFonts w:ascii="Arial" w:cs="Arial" w:eastAsia="Arial" w:hAnsi="Arial"/>
          <w:sz w:val="16"/>
          <w:szCs w:val="16"/>
          <w:color w:val="auto"/>
        </w:rPr>
        <w:t xml:space="preserve"> and/or other instruction or notification, which is 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A-19</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8" w:name="page99"/>
    <w:bookmarkEnd w:id="9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599" w:hanging="424"/>
        <w:spacing w:after="0" w:line="260" w:lineRule="auto"/>
        <w:tabs>
          <w:tab w:leader="none" w:pos="1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approve supplements to, or amendments or revocations of, any such uncertificated proxy instruction by the same means; and</w:t>
      </w:r>
    </w:p>
    <w:p>
      <w:pPr>
        <w:spacing w:after="0" w:line="73" w:lineRule="exact"/>
        <w:rPr>
          <w:rFonts w:ascii="Arial" w:cs="Arial" w:eastAsia="Arial" w:hAnsi="Arial"/>
          <w:sz w:val="16"/>
          <w:szCs w:val="16"/>
          <w:color w:val="auto"/>
        </w:rPr>
      </w:pPr>
    </w:p>
    <w:p>
      <w:pPr>
        <w:ind w:left="1620" w:right="259" w:hanging="424"/>
        <w:spacing w:after="0" w:line="251" w:lineRule="auto"/>
        <w:tabs>
          <w:tab w:leader="none" w:pos="16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61" w:lineRule="exact"/>
        <w:rPr>
          <w:sz w:val="20"/>
          <w:szCs w:val="20"/>
          <w:color w:val="auto"/>
        </w:rPr>
      </w:pPr>
    </w:p>
    <w:p>
      <w:pPr>
        <w:ind w:left="1200" w:right="899"/>
        <w:spacing w:after="0" w:line="286" w:lineRule="auto"/>
        <w:rPr>
          <w:sz w:val="20"/>
          <w:szCs w:val="20"/>
          <w:color w:val="auto"/>
        </w:rPr>
      </w:pPr>
      <w:r>
        <w:rPr>
          <w:rFonts w:ascii="Arial" w:cs="Arial" w:eastAsia="Arial" w:hAnsi="Arial"/>
          <w:sz w:val="16"/>
          <w:szCs w:val="16"/>
          <w:color w:val="auto"/>
          <w:strike w:val="1"/>
        </w:rPr>
        <w:t>The term</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properly authenticated dematerialised instruction</w:t>
      </w:r>
      <w:r>
        <w:rPr>
          <w:rFonts w:ascii="Arial" w:cs="Arial" w:eastAsia="Arial" w:hAnsi="Arial"/>
          <w:sz w:val="16"/>
          <w:szCs w:val="16"/>
          <w:color w:val="auto"/>
        </w:rPr>
        <w:t xml:space="preserve">” </w:t>
      </w:r>
      <w:r>
        <w:rPr>
          <w:rFonts w:ascii="Arial" w:cs="Arial" w:eastAsia="Arial" w:hAnsi="Arial"/>
          <w:sz w:val="16"/>
          <w:szCs w:val="16"/>
          <w:color w:val="auto"/>
          <w:strike w:val="1"/>
        </w:rPr>
        <w:t>shall have the meaning given in the Uncertificated</w:t>
      </w:r>
      <w:r>
        <w:rPr>
          <w:rFonts w:ascii="Arial" w:cs="Arial" w:eastAsia="Arial" w:hAnsi="Arial"/>
          <w:sz w:val="16"/>
          <w:szCs w:val="16"/>
          <w:color w:val="auto"/>
        </w:rPr>
        <w:t xml:space="preserve"> </w:t>
      </w:r>
      <w:r>
        <w:rPr>
          <w:rFonts w:ascii="Arial" w:cs="Arial" w:eastAsia="Arial" w:hAnsi="Arial"/>
          <w:sz w:val="16"/>
          <w:szCs w:val="16"/>
          <w:color w:val="auto"/>
          <w:strike w:val="1"/>
        </w:rPr>
        <w:t>Securities Rules.</w:t>
      </w:r>
    </w:p>
    <w:p>
      <w:pPr>
        <w:spacing w:after="0" w:line="41"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22.5 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84" w:lineRule="exact"/>
        <w:rPr>
          <w:sz w:val="20"/>
          <w:szCs w:val="20"/>
          <w:color w:val="auto"/>
        </w:rPr>
      </w:pPr>
    </w:p>
    <w:p>
      <w:pPr>
        <w:ind w:left="1200" w:right="319" w:hanging="431"/>
        <w:spacing w:after="0" w:line="251" w:lineRule="auto"/>
        <w:rPr>
          <w:sz w:val="20"/>
          <w:szCs w:val="20"/>
          <w:color w:val="auto"/>
        </w:rPr>
      </w:pPr>
      <w:r>
        <w:rPr>
          <w:rFonts w:ascii="Arial" w:cs="Arial" w:eastAsia="Arial" w:hAnsi="Arial"/>
          <w:sz w:val="16"/>
          <w:szCs w:val="16"/>
          <w:color w:val="auto"/>
        </w:rPr>
        <w:t>22.6 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22.7  Without prejudice to Article 18.14(b) or the second sentence of Article 18.18, the appointment of a proxy shall:</w:t>
      </w:r>
    </w:p>
    <w:p>
      <w:pPr>
        <w:spacing w:after="0" w:line="100" w:lineRule="exact"/>
        <w:rPr>
          <w:sz w:val="20"/>
          <w:szCs w:val="20"/>
          <w:color w:val="auto"/>
        </w:rPr>
      </w:pPr>
    </w:p>
    <w:p>
      <w:pPr>
        <w:ind w:left="1620" w:right="479" w:hanging="424"/>
        <w:spacing w:after="0" w:line="260" w:lineRule="auto"/>
        <w:tabs>
          <w:tab w:leader="none" w:pos="16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in hard copy form, be delivered by hand or by post to the Office or such other place within the United Kingdom as may be specified by or on behalf of the Company for that purpose:</w:t>
      </w:r>
    </w:p>
    <w:p>
      <w:pPr>
        <w:spacing w:after="0" w:line="60" w:lineRule="exact"/>
        <w:rPr>
          <w:rFonts w:ascii="Arial" w:cs="Arial" w:eastAsia="Arial" w:hAnsi="Arial"/>
          <w:sz w:val="16"/>
          <w:szCs w:val="16"/>
          <w:color w:val="auto"/>
        </w:rPr>
      </w:pPr>
    </w:p>
    <w:p>
      <w:pPr>
        <w:ind w:left="2060" w:hanging="432"/>
        <w:spacing w:after="0"/>
        <w:tabs>
          <w:tab w:leader="none" w:pos="20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 the notice convening the meeting;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 any form of proxy sent by or on behalf of the Company in relation to the meeting,</w:t>
      </w:r>
    </w:p>
    <w:p>
      <w:pPr>
        <w:spacing w:after="0" w:line="86" w:lineRule="exact"/>
        <w:rPr>
          <w:sz w:val="20"/>
          <w:szCs w:val="20"/>
          <w:color w:val="auto"/>
        </w:rPr>
      </w:pPr>
    </w:p>
    <w:p>
      <w:pPr>
        <w:ind w:left="1840" w:right="979"/>
        <w:spacing w:after="0" w:line="260" w:lineRule="auto"/>
        <w:rPr>
          <w:sz w:val="20"/>
          <w:szCs w:val="20"/>
          <w:color w:val="auto"/>
        </w:rPr>
      </w:pPr>
      <w:r>
        <w:rPr>
          <w:rFonts w:ascii="Arial" w:cs="Arial" w:eastAsia="Arial" w:hAnsi="Arial"/>
          <w:sz w:val="16"/>
          <w:szCs w:val="16"/>
          <w:color w:val="auto"/>
        </w:rPr>
        <w:t>by the time specified by the Board (as the Board may determine, in compliance with the provisions of the Companies Act) in any such notice or form of proxy; and</w:t>
      </w:r>
    </w:p>
    <w:p>
      <w:pPr>
        <w:spacing w:after="0" w:line="74" w:lineRule="exact"/>
        <w:rPr>
          <w:sz w:val="20"/>
          <w:szCs w:val="20"/>
          <w:color w:val="auto"/>
        </w:rPr>
      </w:pPr>
    </w:p>
    <w:p>
      <w:pPr>
        <w:ind w:left="1200" w:right="439" w:hanging="436"/>
        <w:spacing w:after="0" w:line="253" w:lineRule="auto"/>
        <w:tabs>
          <w:tab w:leader="none" w:pos="12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79" w:lineRule="exact"/>
        <w:rPr>
          <w:rFonts w:ascii="Arial" w:cs="Arial" w:eastAsia="Arial" w:hAnsi="Arial"/>
          <w:sz w:val="16"/>
          <w:szCs w:val="16"/>
          <w:color w:val="auto"/>
        </w:rPr>
      </w:pPr>
    </w:p>
    <w:p>
      <w:pPr>
        <w:ind w:left="2060" w:hanging="432"/>
        <w:spacing w:after="0"/>
        <w:tabs>
          <w:tab w:leader="none" w:pos="2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the notice convening the meeting;</w:t>
      </w:r>
    </w:p>
    <w:p>
      <w:pPr>
        <w:spacing w:after="0" w:line="86" w:lineRule="exact"/>
        <w:rPr>
          <w:rFonts w:ascii="Arial" w:cs="Arial" w:eastAsia="Arial" w:hAnsi="Arial"/>
          <w:sz w:val="16"/>
          <w:szCs w:val="16"/>
          <w:color w:val="auto"/>
        </w:rPr>
      </w:pPr>
    </w:p>
    <w:p>
      <w:pPr>
        <w:ind w:left="2060" w:hanging="432"/>
        <w:spacing w:after="0"/>
        <w:tabs>
          <w:tab w:leader="none" w:pos="2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any form of proxy sent by or on behalf of the Company in relation to the meeting;</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any invitation to appoint a proxy issued by the Company in relation to the meeting;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on a website that is maintained by or on behalf of the Company and identifies the Company,</w:t>
      </w:r>
    </w:p>
    <w:p>
      <w:pPr>
        <w:spacing w:after="0" w:line="86" w:lineRule="exact"/>
        <w:rPr>
          <w:sz w:val="20"/>
          <w:szCs w:val="20"/>
          <w:color w:val="auto"/>
        </w:rPr>
      </w:pPr>
    </w:p>
    <w:p>
      <w:pPr>
        <w:ind w:left="1620" w:right="339"/>
        <w:spacing w:after="0" w:line="260" w:lineRule="auto"/>
        <w:rPr>
          <w:sz w:val="20"/>
          <w:szCs w:val="20"/>
          <w:color w:val="auto"/>
        </w:rPr>
      </w:pPr>
      <w:r>
        <w:rPr>
          <w:rFonts w:ascii="Arial" w:cs="Arial" w:eastAsia="Arial" w:hAnsi="Arial"/>
          <w:sz w:val="16"/>
          <w:szCs w:val="16"/>
          <w:color w:val="auto"/>
        </w:rPr>
        <w:t>by the time specified by the Board (as the Board may determine, in compliance with the provisions of the Companies Act) in any such method of notification.</w:t>
      </w:r>
    </w:p>
    <w:p>
      <w:pPr>
        <w:spacing w:after="0" w:line="74" w:lineRule="exact"/>
        <w:rPr>
          <w:sz w:val="20"/>
          <w:szCs w:val="20"/>
          <w:color w:val="auto"/>
        </w:rPr>
      </w:pPr>
    </w:p>
    <w:p>
      <w:pPr>
        <w:ind w:left="1620" w:right="239"/>
        <w:spacing w:after="0" w:line="260" w:lineRule="auto"/>
        <w:rPr>
          <w:sz w:val="20"/>
          <w:szCs w:val="20"/>
          <w:color w:val="auto"/>
        </w:rPr>
      </w:pPr>
      <w:r>
        <w:rPr>
          <w:rFonts w:ascii="Arial" w:cs="Arial" w:eastAsia="Arial" w:hAnsi="Arial"/>
          <w:sz w:val="16"/>
          <w:szCs w:val="16"/>
          <w:color w:val="auto"/>
        </w:rPr>
        <w:t>The Board may specify, when determining the dates by which proxies are to be lodged, that no account need be taken of any part of a day that is not a working day.</w:t>
      </w:r>
    </w:p>
    <w:p>
      <w:pPr>
        <w:spacing w:after="0" w:line="60" w:lineRule="exact"/>
        <w:rPr>
          <w:sz w:val="20"/>
          <w:szCs w:val="20"/>
          <w:color w:val="auto"/>
        </w:rPr>
      </w:pPr>
    </w:p>
    <w:p>
      <w:pPr>
        <w:ind w:left="1200" w:right="339" w:hanging="431"/>
        <w:spacing w:after="0" w:line="260" w:lineRule="auto"/>
        <w:rPr>
          <w:sz w:val="20"/>
          <w:szCs w:val="20"/>
          <w:color w:val="auto"/>
        </w:rPr>
      </w:pPr>
      <w:r>
        <w:rPr>
          <w:rFonts w:ascii="Arial" w:cs="Arial" w:eastAsia="Arial" w:hAnsi="Arial"/>
          <w:sz w:val="16"/>
          <w:szCs w:val="16"/>
          <w:color w:val="auto"/>
        </w:rPr>
        <w:t>22.8 Subject to the provisions of the Companies Act, where the appointment of a proxy is expressed to have been or purports to have been sent or supplied by a person on behalf of a holder:</w:t>
      </w:r>
    </w:p>
    <w:p>
      <w:pPr>
        <w:spacing w:after="0" w:line="74" w:lineRule="exact"/>
        <w:rPr>
          <w:sz w:val="20"/>
          <w:szCs w:val="20"/>
          <w:color w:val="auto"/>
        </w:rPr>
      </w:pPr>
    </w:p>
    <w:p>
      <w:pPr>
        <w:ind w:left="1620" w:right="219" w:hanging="424"/>
        <w:spacing w:after="0" w:line="260" w:lineRule="auto"/>
        <w:tabs>
          <w:tab w:leader="none" w:pos="1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may treat the appointment as sufficient evidence of that person’s authority to execute the appointment of proxy on behalf of that member; and</w:t>
      </w:r>
    </w:p>
    <w:p>
      <w:pPr>
        <w:spacing w:after="0" w:line="73" w:lineRule="exact"/>
        <w:rPr>
          <w:rFonts w:ascii="Arial" w:cs="Arial" w:eastAsia="Arial" w:hAnsi="Arial"/>
          <w:sz w:val="16"/>
          <w:szCs w:val="16"/>
          <w:color w:val="auto"/>
        </w:rPr>
      </w:pPr>
    </w:p>
    <w:p>
      <w:pPr>
        <w:ind w:left="1620" w:right="279" w:hanging="424"/>
        <w:spacing w:after="0" w:line="250" w:lineRule="auto"/>
        <w:tabs>
          <w:tab w:leader="none" w:pos="16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68" w:lineRule="exact"/>
        <w:rPr>
          <w:sz w:val="20"/>
          <w:szCs w:val="20"/>
          <w:color w:val="auto"/>
        </w:rPr>
      </w:pPr>
    </w:p>
    <w:p>
      <w:pPr>
        <w:ind w:left="1200" w:right="539" w:hanging="431"/>
        <w:spacing w:after="0" w:line="293" w:lineRule="auto"/>
        <w:rPr>
          <w:sz w:val="20"/>
          <w:szCs w:val="20"/>
          <w:color w:val="auto"/>
        </w:rPr>
      </w:pPr>
      <w:r>
        <w:rPr>
          <w:rFonts w:ascii="Arial" w:cs="Arial" w:eastAsia="Arial" w:hAnsi="Arial"/>
          <w:sz w:val="15"/>
          <w:szCs w:val="15"/>
          <w:color w:val="auto"/>
        </w:rPr>
        <w:t>22.9 Subject to Article 22.8, a proxy appointment which is not delivered or received in accordance with Article 22.7 shall be invalid. Where two or more valid appointments of proxy are delivered or received in respect of the same share in relation</w:t>
      </w:r>
    </w:p>
    <w:p>
      <w:pPr>
        <w:spacing w:after="0" w:line="7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A-20</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spacing w:after="0" w:line="249" w:lineRule="auto"/>
        <w:rPr>
          <w:sz w:val="20"/>
          <w:szCs w:val="20"/>
          <w:color w:val="auto"/>
        </w:rPr>
      </w:pPr>
      <w:r>
        <w:rPr>
          <w:rFonts w:ascii="Arial" w:cs="Arial" w:eastAsia="Arial" w:hAnsi="Arial"/>
          <w:sz w:val="16"/>
          <w:szCs w:val="16"/>
          <w:color w:val="auto"/>
        </w:rPr>
        <w:t xml:space="preserve">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w:t>
      </w:r>
      <w:r>
        <w:rPr>
          <w:rFonts w:ascii="Arial" w:cs="Arial" w:eastAsia="Arial" w:hAnsi="Arial"/>
          <w:sz w:val="16"/>
          <w:szCs w:val="16"/>
          <w:u w:val="single" w:color="auto"/>
          <w:color w:val="auto"/>
        </w:rPr>
        <w:t>to</w:t>
      </w:r>
      <w:r>
        <w:rPr>
          <w:rFonts w:ascii="Arial" w:cs="Arial" w:eastAsia="Arial" w:hAnsi="Arial"/>
          <w:sz w:val="16"/>
          <w:szCs w:val="16"/>
          <w:color w:val="auto"/>
        </w:rPr>
        <w:t xml:space="preserve">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83" w:lineRule="exact"/>
        <w:rPr>
          <w:sz w:val="20"/>
          <w:szCs w:val="20"/>
          <w:color w:val="auto"/>
        </w:rPr>
      </w:pPr>
    </w:p>
    <w:p>
      <w:pPr>
        <w:ind w:left="1200" w:right="780" w:hanging="431"/>
        <w:spacing w:after="0" w:line="250" w:lineRule="auto"/>
        <w:rPr>
          <w:sz w:val="20"/>
          <w:szCs w:val="20"/>
          <w:color w:val="auto"/>
        </w:rPr>
      </w:pPr>
      <w:r>
        <w:rPr>
          <w:rFonts w:ascii="Arial" w:cs="Arial" w:eastAsia="Arial" w:hAnsi="Arial"/>
          <w:sz w:val="16"/>
          <w:szCs w:val="16"/>
          <w:color w:val="auto"/>
        </w:rPr>
        <w:t xml:space="preserve">22.10 The Company shall not be </w:t>
      </w:r>
      <w:r>
        <w:rPr>
          <w:rFonts w:ascii="Arial" w:cs="Arial" w:eastAsia="Arial" w:hAnsi="Arial"/>
          <w:sz w:val="16"/>
          <w:szCs w:val="16"/>
          <w:color w:val="auto"/>
          <w:strike w:val="1"/>
        </w:rPr>
        <w:t>required</w:t>
      </w:r>
      <w:r>
        <w:rPr>
          <w:rFonts w:ascii="Arial" w:cs="Arial" w:eastAsia="Arial" w:hAnsi="Arial"/>
          <w:sz w:val="16"/>
          <w:szCs w:val="16"/>
          <w:u w:val="single" w:color="auto"/>
          <w:color w:val="auto"/>
        </w:rPr>
        <w:t>bound</w:t>
      </w:r>
      <w:r>
        <w:rPr>
          <w:rFonts w:ascii="Arial" w:cs="Arial" w:eastAsia="Arial" w:hAnsi="Arial"/>
          <w:sz w:val="16"/>
          <w:szCs w:val="16"/>
          <w:color w:val="auto"/>
        </w:rPr>
        <w:t xml:space="preserve"> to </w:t>
      </w:r>
      <w:r>
        <w:rPr>
          <w:rFonts w:ascii="Arial" w:cs="Arial" w:eastAsia="Arial" w:hAnsi="Arial"/>
          <w:sz w:val="16"/>
          <w:szCs w:val="16"/>
          <w:color w:val="auto"/>
          <w:strike w:val="1"/>
        </w:rPr>
        <w:t>check that</w:t>
      </w:r>
      <w:r>
        <w:rPr>
          <w:rFonts w:ascii="Arial" w:cs="Arial" w:eastAsia="Arial" w:hAnsi="Arial"/>
          <w:sz w:val="16"/>
          <w:szCs w:val="16"/>
          <w:u w:val="single" w:color="auto"/>
          <w:color w:val="auto"/>
        </w:rPr>
        <w:t>enquire whether any proxy or corporate representative votes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the instructions given to them by the member they represent and if</w:t>
      </w:r>
      <w:r>
        <w:rPr>
          <w:rFonts w:ascii="Arial" w:cs="Arial" w:eastAsia="Arial" w:hAnsi="Arial"/>
          <w:sz w:val="16"/>
          <w:szCs w:val="16"/>
          <w:color w:val="auto"/>
        </w:rPr>
        <w:t xml:space="preserve"> a proxy or corporate representative </w:t>
      </w:r>
      <w:r>
        <w:rPr>
          <w:rFonts w:ascii="Arial" w:cs="Arial" w:eastAsia="Arial" w:hAnsi="Arial"/>
          <w:sz w:val="16"/>
          <w:szCs w:val="16"/>
          <w:color w:val="auto"/>
          <w:strike w:val="1"/>
        </w:rPr>
        <w:t>votes</w:t>
      </w:r>
      <w:r>
        <w:rPr>
          <w:rFonts w:ascii="Arial" w:cs="Arial" w:eastAsia="Arial" w:hAnsi="Arial"/>
          <w:sz w:val="16"/>
          <w:szCs w:val="16"/>
          <w:u w:val="single" w:color="auto"/>
          <w:color w:val="auto"/>
        </w:rPr>
        <w:t>does not vote</w:t>
      </w:r>
      <w:r>
        <w:rPr>
          <w:rFonts w:ascii="Arial" w:cs="Arial" w:eastAsia="Arial" w:hAnsi="Arial"/>
          <w:sz w:val="16"/>
          <w:szCs w:val="16"/>
          <w:color w:val="auto"/>
        </w:rPr>
        <w:t xml:space="preserve"> in accordance with any instructions given by the member by whom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appointed</w:t>
      </w:r>
      <w:r>
        <w:rPr>
          <w:rFonts w:ascii="Arial" w:cs="Arial" w:eastAsia="Arial" w:hAnsi="Arial"/>
          <w:sz w:val="16"/>
          <w:szCs w:val="16"/>
          <w:color w:val="auto"/>
          <w:strike w:val="1"/>
        </w:rPr>
        <w:t>. Any failure to</w:t>
      </w:r>
      <w:r>
        <w:rPr>
          <w:rFonts w:ascii="Arial" w:cs="Arial" w:eastAsia="Arial" w:hAnsi="Arial"/>
          <w:sz w:val="16"/>
          <w:szCs w:val="16"/>
          <w:color w:val="auto"/>
        </w:rPr>
        <w:t xml:space="preserve"> </w:t>
      </w:r>
      <w:r>
        <w:rPr>
          <w:rFonts w:ascii="Arial" w:cs="Arial" w:eastAsia="Arial" w:hAnsi="Arial"/>
          <w:sz w:val="16"/>
          <w:szCs w:val="16"/>
          <w:color w:val="auto"/>
          <w:strike w:val="1"/>
        </w:rPr>
        <w:t>vote as instructed</w:t>
      </w:r>
      <w:r>
        <w:rPr>
          <w:rFonts w:ascii="Arial" w:cs="Arial" w:eastAsia="Arial" w:hAnsi="Arial"/>
          <w:sz w:val="16"/>
          <w:szCs w:val="16"/>
          <w:u w:val="single" w:color="auto"/>
          <w:color w:val="auto"/>
        </w:rPr>
        <w:t>, this</w:t>
      </w:r>
      <w:r>
        <w:rPr>
          <w:rFonts w:ascii="Arial" w:cs="Arial" w:eastAsia="Arial" w:hAnsi="Arial"/>
          <w:sz w:val="16"/>
          <w:szCs w:val="16"/>
          <w:color w:val="auto"/>
        </w:rPr>
        <w:t xml:space="preserve"> shall not invalidate the proceedings on the resolution </w:t>
      </w:r>
      <w:r>
        <w:rPr>
          <w:rFonts w:ascii="Arial" w:cs="Arial" w:eastAsia="Arial" w:hAnsi="Arial"/>
          <w:sz w:val="16"/>
          <w:szCs w:val="16"/>
          <w:u w:val="single" w:color="auto"/>
          <w:color w:val="auto"/>
        </w:rPr>
        <w:t>and the vote or votes cast shall nevertheless be</w:t>
      </w:r>
      <w:r>
        <w:rPr>
          <w:rFonts w:ascii="Arial" w:cs="Arial" w:eastAsia="Arial" w:hAnsi="Arial"/>
          <w:sz w:val="16"/>
          <w:szCs w:val="16"/>
          <w:color w:val="auto"/>
        </w:rPr>
        <w:t xml:space="preserve"> </w:t>
      </w:r>
      <w:r>
        <w:rPr>
          <w:rFonts w:ascii="Arial" w:cs="Arial" w:eastAsia="Arial" w:hAnsi="Arial"/>
          <w:sz w:val="16"/>
          <w:szCs w:val="16"/>
          <w:u w:val="single" w:color="auto"/>
          <w:color w:val="auto"/>
        </w:rPr>
        <w:t>valid for all purposes</w:t>
      </w:r>
      <w:r>
        <w:rPr>
          <w:rFonts w:ascii="Arial" w:cs="Arial" w:eastAsia="Arial" w:hAnsi="Arial"/>
          <w:sz w:val="16"/>
          <w:szCs w:val="16"/>
          <w:color w:val="auto"/>
        </w:rPr>
        <w:t>.</w:t>
      </w:r>
    </w:p>
    <w:p>
      <w:pPr>
        <w:spacing w:after="0" w:line="48" w:lineRule="exact"/>
        <w:rPr>
          <w:sz w:val="20"/>
          <w:szCs w:val="20"/>
          <w:color w:val="auto"/>
        </w:rPr>
      </w:pPr>
    </w:p>
    <w:p>
      <w:pPr>
        <w:ind w:left="1200" w:right="840" w:hanging="431"/>
        <w:spacing w:after="0" w:line="252" w:lineRule="auto"/>
        <w:rPr>
          <w:sz w:val="20"/>
          <w:szCs w:val="20"/>
          <w:color w:val="auto"/>
        </w:rPr>
      </w:pPr>
      <w:r>
        <w:rPr>
          <w:rFonts w:ascii="Arial" w:cs="Arial" w:eastAsia="Arial" w:hAnsi="Arial"/>
          <w:sz w:val="16"/>
          <w:szCs w:val="16"/>
          <w:color w:val="auto"/>
        </w:rPr>
        <w:t>22.11 Any corporation which is a member of the Company (the “</w:t>
      </w:r>
      <w:r>
        <w:rPr>
          <w:rFonts w:ascii="Arial" w:cs="Arial" w:eastAsia="Arial" w:hAnsi="Arial"/>
          <w:sz w:val="16"/>
          <w:szCs w:val="16"/>
          <w:b w:val="1"/>
          <w:bCs w:val="1"/>
          <w:color w:val="auto"/>
        </w:rPr>
        <w:t>grantor</w:t>
      </w:r>
      <w:r>
        <w:rPr>
          <w:rFonts w:ascii="Arial" w:cs="Arial" w:eastAsia="Arial" w:hAnsi="Arial"/>
          <w:sz w:val="16"/>
          <w:szCs w:val="16"/>
          <w:color w:val="auto"/>
        </w:rPr>
        <w:t xml:space="preserve">”)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exercise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81" w:lineRule="exact"/>
        <w:rPr>
          <w:sz w:val="20"/>
          <w:szCs w:val="20"/>
          <w:color w:val="auto"/>
        </w:rPr>
      </w:pPr>
    </w:p>
    <w:p>
      <w:pPr>
        <w:ind w:left="1620" w:hanging="424"/>
        <w:spacing w:after="0"/>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they purport to exercise the power in the same way as each other, the power is treated as exercised in that way; and</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they do not purport to exercise the power in the same way as each other, the power is treated as not exercised.</w:t>
      </w:r>
    </w:p>
    <w:p>
      <w:pPr>
        <w:spacing w:after="0" w:line="100" w:lineRule="exact"/>
        <w:rPr>
          <w:sz w:val="20"/>
          <w:szCs w:val="20"/>
          <w:color w:val="auto"/>
        </w:rPr>
      </w:pPr>
    </w:p>
    <w:p>
      <w:pPr>
        <w:ind w:left="1200" w:right="1140" w:hanging="431"/>
        <w:spacing w:after="0" w:line="260" w:lineRule="auto"/>
        <w:rPr>
          <w:sz w:val="20"/>
          <w:szCs w:val="20"/>
          <w:color w:val="auto"/>
        </w:rPr>
      </w:pPr>
      <w:r>
        <w:rPr>
          <w:rFonts w:ascii="Arial" w:cs="Arial" w:eastAsia="Arial" w:hAnsi="Arial"/>
          <w:sz w:val="16"/>
          <w:szCs w:val="16"/>
          <w:color w:val="auto"/>
        </w:rPr>
        <w:t>22.12 The termination of the authority of a person to act as a proxy or duly authorised representative of a corporation does not affect:</w:t>
      </w:r>
    </w:p>
    <w:p>
      <w:pPr>
        <w:spacing w:after="0" w:line="74" w:lineRule="exact"/>
        <w:rPr>
          <w:sz w:val="20"/>
          <w:szCs w:val="20"/>
          <w:color w:val="auto"/>
        </w:rPr>
      </w:pPr>
    </w:p>
    <w:p>
      <w:pPr>
        <w:ind w:left="1620" w:hanging="424"/>
        <w:spacing w:after="0"/>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whether </w:t>
      </w:r>
      <w:r>
        <w:rPr>
          <w:rFonts w:ascii="Arial" w:cs="Arial" w:eastAsia="Arial" w:hAnsi="Arial"/>
          <w:sz w:val="16"/>
          <w:szCs w:val="16"/>
          <w:color w:val="auto"/>
          <w:strike w:val="1"/>
        </w:rPr>
        <w:t>he counts</w:t>
      </w:r>
      <w:r>
        <w:rPr>
          <w:rFonts w:ascii="Arial" w:cs="Arial" w:eastAsia="Arial" w:hAnsi="Arial"/>
          <w:sz w:val="16"/>
          <w:szCs w:val="16"/>
          <w:u w:val="single" w:color="auto"/>
          <w:color w:val="auto"/>
        </w:rPr>
        <w:t>they count</w:t>
      </w:r>
      <w:r>
        <w:rPr>
          <w:rFonts w:ascii="Arial" w:cs="Arial" w:eastAsia="Arial" w:hAnsi="Arial"/>
          <w:sz w:val="16"/>
          <w:szCs w:val="16"/>
          <w:color w:val="auto"/>
        </w:rPr>
        <w:t xml:space="preserve"> in deciding whether there is a quorum at a meeting;</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validity of anything </w:t>
      </w:r>
      <w:r>
        <w:rPr>
          <w:rFonts w:ascii="Arial" w:cs="Arial" w:eastAsia="Arial" w:hAnsi="Arial"/>
          <w:sz w:val="16"/>
          <w:szCs w:val="16"/>
          <w:color w:val="auto"/>
          <w:strike w:val="1"/>
        </w:rPr>
        <w:t>he does</w:t>
      </w:r>
      <w:r>
        <w:rPr>
          <w:rFonts w:ascii="Arial" w:cs="Arial" w:eastAsia="Arial" w:hAnsi="Arial"/>
          <w:sz w:val="16"/>
          <w:szCs w:val="16"/>
          <w:u w:val="single" w:color="auto"/>
          <w:color w:val="auto"/>
        </w:rPr>
        <w:t>they do</w:t>
      </w:r>
      <w:r>
        <w:rPr>
          <w:rFonts w:ascii="Arial" w:cs="Arial" w:eastAsia="Arial" w:hAnsi="Arial"/>
          <w:sz w:val="16"/>
          <w:szCs w:val="16"/>
          <w:color w:val="auto"/>
        </w:rPr>
        <w:t xml:space="preserve"> as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a meeting;</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validity of a poll demanded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a meeting; or</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validity of a vote given by that person,</w:t>
      </w:r>
    </w:p>
    <w:p>
      <w:pPr>
        <w:spacing w:after="0" w:line="100" w:lineRule="exact"/>
        <w:rPr>
          <w:sz w:val="20"/>
          <w:szCs w:val="20"/>
          <w:color w:val="auto"/>
        </w:rPr>
      </w:pPr>
    </w:p>
    <w:p>
      <w:pPr>
        <w:ind w:left="1200" w:right="900"/>
        <w:spacing w:after="0" w:line="248" w:lineRule="auto"/>
        <w:rPr>
          <w:sz w:val="20"/>
          <w:szCs w:val="20"/>
          <w:color w:val="auto"/>
        </w:rPr>
      </w:pPr>
      <w:r>
        <w:rPr>
          <w:rFonts w:ascii="Arial" w:cs="Arial" w:eastAsia="Arial" w:hAnsi="Arial"/>
          <w:sz w:val="16"/>
          <w:szCs w:val="16"/>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73" w:lineRule="exact"/>
        <w:rPr>
          <w:sz w:val="20"/>
          <w:szCs w:val="20"/>
          <w:color w:val="auto"/>
        </w:rPr>
      </w:pPr>
    </w:p>
    <w:p>
      <w:pPr>
        <w:ind w:left="1200" w:right="1120" w:hanging="431"/>
        <w:spacing w:after="0" w:line="253" w:lineRule="auto"/>
        <w:rPr>
          <w:sz w:val="20"/>
          <w:szCs w:val="20"/>
          <w:color w:val="auto"/>
        </w:rPr>
      </w:pPr>
      <w:r>
        <w:rPr>
          <w:rFonts w:ascii="Arial" w:cs="Arial" w:eastAsia="Arial" w:hAnsi="Arial"/>
          <w:sz w:val="16"/>
          <w:szCs w:val="16"/>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60" w:lineRule="exact"/>
        <w:rPr>
          <w:sz w:val="20"/>
          <w:szCs w:val="20"/>
          <w:color w:val="auto"/>
        </w:rPr>
      </w:pPr>
    </w:p>
    <w:p>
      <w:pPr>
        <w:ind w:left="1200" w:hanging="436"/>
        <w:spacing w:after="0"/>
        <w:tabs>
          <w:tab w:leader="none" w:pos="120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w:t>
      </w:r>
      <w:r>
        <w:rPr>
          <w:rFonts w:ascii="Arial" w:cs="Arial" w:eastAsia="Arial" w:hAnsi="Arial"/>
          <w:sz w:val="16"/>
          <w:szCs w:val="16"/>
          <w:b w:val="1"/>
          <w:bCs w:val="1"/>
          <w:color w:val="auto"/>
          <w:strike w:val="1"/>
        </w:rPr>
        <w:t>AND CLASSIFICATION</w:t>
      </w:r>
      <w:r>
        <w:rPr>
          <w:rFonts w:ascii="Arial" w:cs="Arial" w:eastAsia="Arial" w:hAnsi="Arial"/>
          <w:sz w:val="16"/>
          <w:szCs w:val="16"/>
          <w:b w:val="1"/>
          <w:bCs w:val="1"/>
          <w:color w:val="auto"/>
        </w:rPr>
        <w:t xml:space="preserve"> OF DIRECTORS </w:t>
      </w:r>
      <w:r>
        <w:rPr>
          <w:rFonts w:ascii="Arial" w:cs="Arial" w:eastAsia="Arial" w:hAnsi="Arial"/>
          <w:sz w:val="16"/>
          <w:szCs w:val="16"/>
          <w:b w:val="1"/>
          <w:bCs w:val="1"/>
          <w:u w:val="single" w:color="auto"/>
          <w:color w:val="auto"/>
        </w:rPr>
        <w:t>AND COMPOSITION OF THE BOARD</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620" w:type="dxa"/>
            <w:vAlign w:val="bottom"/>
            <w:gridSpan w:val="2"/>
          </w:tcPr>
          <w:p>
            <w:pPr>
              <w:jc w:val="right"/>
              <w:ind w:right="219"/>
              <w:spacing w:after="0"/>
              <w:rPr>
                <w:sz w:val="20"/>
                <w:szCs w:val="20"/>
                <w:color w:val="auto"/>
              </w:rPr>
            </w:pPr>
            <w:r>
              <w:rPr>
                <w:rFonts w:ascii="Arial" w:cs="Arial" w:eastAsia="Arial" w:hAnsi="Arial"/>
                <w:sz w:val="16"/>
                <w:szCs w:val="16"/>
                <w:color w:val="auto"/>
                <w:w w:val="96"/>
              </w:rPr>
              <w:t>23.1</w:t>
            </w:r>
          </w:p>
        </w:tc>
        <w:tc>
          <w:tcPr>
            <w:tcW w:w="240" w:type="dxa"/>
            <w:vAlign w:val="bottom"/>
          </w:tcPr>
          <w:p>
            <w:pPr>
              <w:spacing w:after="0"/>
              <w:rPr>
                <w:sz w:val="16"/>
                <w:szCs w:val="16"/>
                <w:color w:val="auto"/>
              </w:rPr>
            </w:pPr>
          </w:p>
        </w:tc>
        <w:tc>
          <w:tcPr>
            <w:tcW w:w="2800" w:type="dxa"/>
            <w:vAlign w:val="bottom"/>
            <w:gridSpan w:val="7"/>
          </w:tcPr>
          <w:p>
            <w:pPr>
              <w:spacing w:after="0"/>
              <w:rPr>
                <w:sz w:val="20"/>
                <w:szCs w:val="20"/>
                <w:color w:val="auto"/>
              </w:rPr>
            </w:pPr>
            <w:r>
              <w:rPr>
                <w:rFonts w:ascii="Arial" w:cs="Arial" w:eastAsia="Arial" w:hAnsi="Arial"/>
                <w:sz w:val="16"/>
                <w:szCs w:val="16"/>
                <w:color w:val="auto"/>
              </w:rPr>
              <w:t>Unless otherwise decided by the Board</w:t>
            </w:r>
          </w:p>
        </w:tc>
        <w:tc>
          <w:tcPr>
            <w:tcW w:w="5520" w:type="dxa"/>
            <w:vAlign w:val="bottom"/>
            <w:gridSpan w:val="12"/>
          </w:tcPr>
          <w:p>
            <w:pPr>
              <w:spacing w:after="0"/>
              <w:rPr>
                <w:sz w:val="20"/>
                <w:szCs w:val="20"/>
                <w:color w:val="auto"/>
              </w:rPr>
            </w:pPr>
            <w:r>
              <w:rPr>
                <w:rFonts w:ascii="Arial" w:cs="Arial" w:eastAsia="Arial" w:hAnsi="Arial"/>
                <w:sz w:val="16"/>
                <w:szCs w:val="16"/>
                <w:color w:val="auto"/>
                <w:strike w:val="1"/>
              </w:rPr>
              <w:t>(where, for the period beginning on the date of the unconditional adoption of</w:t>
            </w:r>
          </w:p>
        </w:tc>
      </w:tr>
      <w:tr>
        <w:trPr>
          <w:trHeight w:val="189"/>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rPr>
              <w:t>these Articles and ending at the first annual meeting of members of the Company following the completion of the</w:t>
            </w:r>
          </w:p>
        </w:tc>
      </w:tr>
      <w:tr>
        <w:trPr>
          <w:trHeight w:val="160"/>
        </w:trPr>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90" w:type="dxa"/>
            <w:vAlign w:val="bottom"/>
            <w:gridSpan w:val="5"/>
          </w:tcPr>
          <w:p>
            <w:pPr>
              <w:spacing w:after="0" w:line="160" w:lineRule="exact"/>
              <w:rPr>
                <w:sz w:val="20"/>
                <w:szCs w:val="20"/>
                <w:color w:val="auto"/>
              </w:rPr>
            </w:pPr>
            <w:r>
              <w:rPr>
                <w:rFonts w:ascii="Arial" w:cs="Arial" w:eastAsia="Arial" w:hAnsi="Arial"/>
                <w:sz w:val="16"/>
                <w:szCs w:val="16"/>
                <w:color w:val="auto"/>
                <w:strike w:val="1"/>
                <w:w w:val="99"/>
              </w:rPr>
              <w:t>Company</w:t>
            </w:r>
          </w:p>
        </w:tc>
        <w:tc>
          <w:tcPr>
            <w:tcW w:w="30" w:type="dxa"/>
            <w:vAlign w:val="bottom"/>
          </w:tcPr>
          <w:p>
            <w:pPr>
              <w:ind w:left="10"/>
              <w:spacing w:after="0"/>
              <w:rPr>
                <w:sz w:val="20"/>
                <w:szCs w:val="20"/>
                <w:color w:val="auto"/>
              </w:rPr>
            </w:pPr>
            <w:r>
              <w:rPr>
                <w:rFonts w:ascii="Arial" w:cs="Arial" w:eastAsia="Arial" w:hAnsi="Arial"/>
                <w:sz w:val="1"/>
                <w:szCs w:val="1"/>
                <w:color w:val="auto"/>
                <w:w w:val="4294967274"/>
              </w:rPr>
              <w:t>’</w:t>
            </w:r>
          </w:p>
        </w:tc>
        <w:tc>
          <w:tcPr>
            <w:tcW w:w="4740" w:type="dxa"/>
            <w:vAlign w:val="bottom"/>
            <w:gridSpan w:val="7"/>
          </w:tcPr>
          <w:p>
            <w:pPr>
              <w:spacing w:after="0" w:line="160" w:lineRule="exact"/>
              <w:rPr>
                <w:sz w:val="20"/>
                <w:szCs w:val="20"/>
                <w:color w:val="auto"/>
              </w:rPr>
            </w:pPr>
            <w:r>
              <w:rPr>
                <w:rFonts w:ascii="Arial" w:cs="Arial" w:eastAsia="Arial" w:hAnsi="Arial"/>
                <w:sz w:val="16"/>
                <w:szCs w:val="16"/>
                <w:color w:val="auto"/>
                <w:strike w:val="1"/>
                <w:w w:val="98"/>
              </w:rPr>
              <w:t>s second full fiscal year, such decision must be taken unanimously),</w:t>
            </w:r>
          </w:p>
        </w:tc>
        <w:tc>
          <w:tcPr>
            <w:tcW w:w="1120" w:type="dxa"/>
            <w:vAlign w:val="bottom"/>
            <w:gridSpan w:val="2"/>
          </w:tcPr>
          <w:p>
            <w:pPr>
              <w:spacing w:after="0" w:line="160"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 the number of</w:t>
            </w:r>
          </w:p>
        </w:tc>
        <w:tc>
          <w:tcPr>
            <w:tcW w:w="600" w:type="dxa"/>
            <w:vAlign w:val="bottom"/>
          </w:tcPr>
          <w:p>
            <w:pPr>
              <w:spacing w:after="0" w:line="160" w:lineRule="exact"/>
              <w:rPr>
                <w:sz w:val="20"/>
                <w:szCs w:val="20"/>
                <w:color w:val="auto"/>
              </w:rPr>
            </w:pPr>
            <w:r>
              <w:rPr>
                <w:rFonts w:ascii="Arial" w:cs="Arial" w:eastAsia="Arial" w:hAnsi="Arial"/>
                <w:sz w:val="16"/>
                <w:szCs w:val="16"/>
                <w:color w:val="auto"/>
                <w:strike w:val="1"/>
                <w:w w:val="94"/>
              </w:rPr>
              <w:t>directors</w:t>
            </w:r>
          </w:p>
        </w:tc>
        <w:tc>
          <w:tcPr>
            <w:tcW w:w="1140" w:type="dxa"/>
            <w:vAlign w:val="bottom"/>
            <w:gridSpan w:val="3"/>
          </w:tcPr>
          <w:p>
            <w:pPr>
              <w:spacing w:after="0" w:line="160" w:lineRule="exact"/>
              <w:rPr>
                <w:sz w:val="20"/>
                <w:szCs w:val="20"/>
                <w:color w:val="auto"/>
              </w:rPr>
            </w:pPr>
            <w:r>
              <w:rPr>
                <w:rFonts w:ascii="Arial" w:cs="Arial" w:eastAsia="Arial" w:hAnsi="Arial"/>
                <w:sz w:val="16"/>
                <w:szCs w:val="16"/>
                <w:color w:val="auto"/>
              </w:rPr>
              <w:t>Directors shall</w:t>
            </w: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line="169" w:lineRule="exact"/>
              <w:rPr>
                <w:sz w:val="20"/>
                <w:szCs w:val="20"/>
                <w:color w:val="auto"/>
              </w:rPr>
            </w:pPr>
            <w:r>
              <w:rPr>
                <w:rFonts w:ascii="Arial" w:cs="Arial" w:eastAsia="Arial" w:hAnsi="Arial"/>
                <w:sz w:val="16"/>
                <w:szCs w:val="16"/>
                <w:color w:val="auto"/>
              </w:rPr>
              <w:t>be</w:t>
            </w:r>
          </w:p>
        </w:tc>
        <w:tc>
          <w:tcPr>
            <w:tcW w:w="140" w:type="dxa"/>
            <w:vAlign w:val="bottom"/>
            <w:gridSpan w:val="2"/>
          </w:tcPr>
          <w:p>
            <w:pPr>
              <w:jc w:val="right"/>
              <w:spacing w:after="0" w:line="169" w:lineRule="exact"/>
              <w:rPr>
                <w:sz w:val="20"/>
                <w:szCs w:val="20"/>
                <w:color w:val="auto"/>
              </w:rPr>
            </w:pPr>
            <w:r>
              <w:rPr>
                <w:rFonts w:ascii="Arial" w:cs="Arial" w:eastAsia="Arial" w:hAnsi="Arial"/>
                <w:sz w:val="16"/>
                <w:szCs w:val="16"/>
                <w:color w:val="auto"/>
                <w:strike w:val="1"/>
                <w:w w:val="89"/>
              </w:rPr>
              <w:t>9.</w:t>
            </w:r>
          </w:p>
        </w:tc>
        <w:tc>
          <w:tcPr>
            <w:tcW w:w="40" w:type="dxa"/>
            <w:vAlign w:val="bottom"/>
          </w:tcPr>
          <w:p>
            <w:pPr>
              <w:spacing w:after="0"/>
              <w:rPr>
                <w:sz w:val="14"/>
                <w:szCs w:val="14"/>
                <w:color w:val="auto"/>
              </w:rPr>
            </w:pPr>
          </w:p>
        </w:tc>
        <w:tc>
          <w:tcPr>
            <w:tcW w:w="6780" w:type="dxa"/>
            <w:vAlign w:val="bottom"/>
            <w:gridSpan w:val="12"/>
          </w:tcPr>
          <w:p>
            <w:pPr>
              <w:spacing w:after="0" w:line="169" w:lineRule="exact"/>
              <w:rPr>
                <w:sz w:val="20"/>
                <w:szCs w:val="20"/>
                <w:color w:val="auto"/>
              </w:rPr>
            </w:pPr>
            <w:r>
              <w:rPr>
                <w:rFonts w:ascii="Arial" w:cs="Arial" w:eastAsia="Arial" w:hAnsi="Arial"/>
                <w:sz w:val="16"/>
                <w:szCs w:val="16"/>
                <w:color w:val="auto"/>
              </w:rPr>
              <w:t>[ten].</w:t>
            </w:r>
          </w:p>
        </w:tc>
        <w:tc>
          <w:tcPr>
            <w:tcW w:w="640" w:type="dxa"/>
            <w:vAlign w:val="bottom"/>
            <w:tcBorders>
              <w:top w:val="single" w:sz="8" w:color="auto"/>
            </w:tcBorders>
            <w:gridSpan w:val="2"/>
          </w:tcPr>
          <w:p>
            <w:pPr>
              <w:spacing w:after="0"/>
              <w:rPr>
                <w:sz w:val="14"/>
                <w:szCs w:val="14"/>
                <w:color w:val="auto"/>
              </w:rPr>
            </w:pPr>
          </w:p>
        </w:tc>
        <w:tc>
          <w:tcPr>
            <w:tcW w:w="500" w:type="dxa"/>
            <w:vAlign w:val="bottom"/>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64"/>
        </w:trPr>
        <w:tc>
          <w:tcPr>
            <w:tcW w:w="320" w:type="dxa"/>
            <w:vAlign w:val="bottom"/>
          </w:tcPr>
          <w:p>
            <w:pPr>
              <w:jc w:val="right"/>
              <w:spacing w:after="0"/>
              <w:rPr>
                <w:sz w:val="20"/>
                <w:szCs w:val="20"/>
                <w:color w:val="auto"/>
              </w:rPr>
            </w:pPr>
            <w:r>
              <w:rPr>
                <w:rFonts w:ascii="Arial" w:cs="Arial" w:eastAsia="Arial" w:hAnsi="Arial"/>
                <w:sz w:val="16"/>
                <w:szCs w:val="16"/>
                <w:color w:val="auto"/>
                <w:strike w:val="1"/>
                <w:w w:val="96"/>
              </w:rPr>
              <w:t>23.1</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23.2</w:t>
            </w:r>
          </w:p>
        </w:tc>
        <w:tc>
          <w:tcPr>
            <w:tcW w:w="3840" w:type="dxa"/>
            <w:vAlign w:val="bottom"/>
            <w:gridSpan w:val="10"/>
          </w:tcPr>
          <w:p>
            <w:pPr>
              <w:spacing w:after="0"/>
              <w:rPr>
                <w:sz w:val="20"/>
                <w:szCs w:val="20"/>
                <w:color w:val="auto"/>
              </w:rPr>
            </w:pPr>
            <w:r>
              <w:rPr>
                <w:rFonts w:ascii="Arial" w:cs="Arial" w:eastAsia="Arial" w:hAnsi="Arial"/>
                <w:sz w:val="16"/>
                <w:szCs w:val="16"/>
                <w:color w:val="auto"/>
                <w:w w:val="99"/>
              </w:rPr>
              <w:t>The composition of the Board (and, if applicable, each</w:t>
            </w:r>
          </w:p>
        </w:tc>
        <w:tc>
          <w:tcPr>
            <w:tcW w:w="520" w:type="dxa"/>
            <w:vAlign w:val="bottom"/>
          </w:tcPr>
          <w:p>
            <w:pPr>
              <w:spacing w:after="0"/>
              <w:rPr>
                <w:sz w:val="20"/>
                <w:szCs w:val="20"/>
                <w:color w:val="auto"/>
              </w:rPr>
            </w:pPr>
            <w:r>
              <w:rPr>
                <w:rFonts w:ascii="Arial" w:cs="Arial" w:eastAsia="Arial" w:hAnsi="Arial"/>
                <w:sz w:val="16"/>
                <w:szCs w:val="16"/>
                <w:color w:val="auto"/>
                <w:strike w:val="1"/>
                <w:w w:val="93"/>
              </w:rPr>
              <w:t>director</w:t>
            </w:r>
          </w:p>
        </w:tc>
        <w:tc>
          <w:tcPr>
            <w:tcW w:w="3960" w:type="dxa"/>
            <w:vAlign w:val="bottom"/>
            <w:gridSpan w:val="8"/>
          </w:tcPr>
          <w:p>
            <w:pPr>
              <w:spacing w:after="0"/>
              <w:rPr>
                <w:sz w:val="20"/>
                <w:szCs w:val="20"/>
                <w:color w:val="auto"/>
              </w:rPr>
            </w:pPr>
            <w:r>
              <w:rPr>
                <w:rFonts w:ascii="Arial" w:cs="Arial" w:eastAsia="Arial" w:hAnsi="Arial"/>
                <w:sz w:val="16"/>
                <w:szCs w:val="16"/>
                <w:color w:val="auto"/>
              </w:rPr>
              <w:t>Director) will satisfy the requirements of applicable law</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8"/>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and</w:t>
            </w:r>
          </w:p>
        </w:tc>
        <w:tc>
          <w:tcPr>
            <w:tcW w:w="3360" w:type="dxa"/>
            <w:vAlign w:val="bottom"/>
            <w:gridSpan w:val="6"/>
          </w:tcPr>
          <w:p>
            <w:pPr>
              <w:spacing w:after="0"/>
              <w:rPr>
                <w:sz w:val="20"/>
                <w:szCs w:val="20"/>
                <w:color w:val="auto"/>
              </w:rPr>
            </w:pPr>
            <w:r>
              <w:rPr>
                <w:rFonts w:ascii="Arial" w:cs="Arial" w:eastAsia="Arial" w:hAnsi="Arial"/>
                <w:sz w:val="16"/>
                <w:szCs w:val="16"/>
                <w:color w:val="auto"/>
                <w:strike w:val="1"/>
                <w:w w:val="98"/>
              </w:rPr>
              <w:t>any securities exchange on which the Company</w:t>
            </w:r>
          </w:p>
        </w:tc>
        <w:tc>
          <w:tcPr>
            <w:tcW w:w="40" w:type="dxa"/>
            <w:vAlign w:val="bottom"/>
          </w:tcPr>
          <w:p>
            <w:pPr>
              <w:spacing w:after="0"/>
              <w:rPr>
                <w:sz w:val="20"/>
                <w:szCs w:val="20"/>
                <w:color w:val="auto"/>
              </w:rPr>
            </w:pPr>
            <w:r>
              <w:rPr>
                <w:rFonts w:ascii="Arial" w:cs="Arial" w:eastAsia="Arial" w:hAnsi="Arial"/>
                <w:sz w:val="12"/>
                <w:szCs w:val="12"/>
                <w:color w:val="auto"/>
                <w:w w:val="73"/>
              </w:rPr>
              <w:t>’</w:t>
            </w:r>
          </w:p>
        </w:tc>
        <w:tc>
          <w:tcPr>
            <w:tcW w:w="4600" w:type="dxa"/>
            <w:vAlign w:val="bottom"/>
            <w:gridSpan w:val="10"/>
          </w:tcPr>
          <w:p>
            <w:pPr>
              <w:spacing w:after="0"/>
              <w:rPr>
                <w:sz w:val="20"/>
                <w:szCs w:val="20"/>
                <w:color w:val="auto"/>
              </w:rPr>
            </w:pPr>
            <w:r>
              <w:rPr>
                <w:rFonts w:ascii="Arial" w:cs="Arial" w:eastAsia="Arial" w:hAnsi="Arial"/>
                <w:sz w:val="16"/>
                <w:szCs w:val="16"/>
                <w:color w:val="auto"/>
                <w:strike w:val="1"/>
              </w:rPr>
              <w:t>s securities are listed. Each director shall be able to understand</w:t>
            </w:r>
          </w:p>
        </w:tc>
      </w:tr>
      <w:tr>
        <w:trPr>
          <w:trHeight w:val="160"/>
        </w:trPr>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100" w:type="dxa"/>
            <w:vAlign w:val="bottom"/>
            <w:gridSpan w:val="14"/>
          </w:tcPr>
          <w:p>
            <w:pPr>
              <w:spacing w:after="0" w:line="160" w:lineRule="exact"/>
              <w:rPr>
                <w:sz w:val="20"/>
                <w:szCs w:val="20"/>
                <w:color w:val="auto"/>
              </w:rPr>
            </w:pPr>
            <w:r>
              <w:rPr>
                <w:rFonts w:ascii="Arial" w:cs="Arial" w:eastAsia="Arial" w:hAnsi="Arial"/>
                <w:sz w:val="16"/>
                <w:szCs w:val="16"/>
                <w:color w:val="auto"/>
                <w:strike w:val="1"/>
                <w:w w:val="98"/>
              </w:rPr>
              <w:t>and speak English sufficiently to be able to participate fully in all meetings of the Board.</w:t>
            </w:r>
          </w:p>
        </w:tc>
        <w:tc>
          <w:tcPr>
            <w:tcW w:w="2220" w:type="dxa"/>
            <w:vAlign w:val="bottom"/>
            <w:gridSpan w:val="5"/>
          </w:tcPr>
          <w:p>
            <w:pPr>
              <w:spacing w:after="0" w:line="160" w:lineRule="exact"/>
              <w:rPr>
                <w:sz w:val="20"/>
                <w:szCs w:val="20"/>
                <w:color w:val="auto"/>
              </w:rPr>
            </w:pPr>
            <w:r>
              <w:rPr>
                <w:rFonts w:ascii="Arial" w:cs="Arial" w:eastAsia="Arial" w:hAnsi="Arial"/>
                <w:sz w:val="16"/>
                <w:szCs w:val="16"/>
                <w:color w:val="auto"/>
              </w:rPr>
              <w:t>the Relevant Rules.</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 w:type="dxa"/>
            <w:vAlign w:val="bottom"/>
            <w:gridSpan w:val="2"/>
          </w:tcPr>
          <w:p>
            <w:pPr>
              <w:spacing w:after="0" w:line="20" w:lineRule="exact"/>
              <w:rPr>
                <w:sz w:val="1"/>
                <w:szCs w:val="1"/>
                <w:color w:val="auto"/>
              </w:rPr>
            </w:pPr>
          </w:p>
        </w:tc>
        <w:tc>
          <w:tcPr>
            <w:tcW w:w="211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79"/>
        </w:trPr>
        <w:tc>
          <w:tcPr>
            <w:tcW w:w="320" w:type="dxa"/>
            <w:vAlign w:val="bottom"/>
          </w:tcPr>
          <w:p>
            <w:pPr>
              <w:jc w:val="right"/>
              <w:spacing w:after="0"/>
              <w:rPr>
                <w:sz w:val="20"/>
                <w:szCs w:val="20"/>
                <w:color w:val="auto"/>
              </w:rPr>
            </w:pPr>
            <w:r>
              <w:rPr>
                <w:rFonts w:ascii="Arial" w:cs="Arial" w:eastAsia="Arial" w:hAnsi="Arial"/>
                <w:sz w:val="16"/>
                <w:szCs w:val="16"/>
                <w:color w:val="auto"/>
                <w:strike w:val="1"/>
                <w:w w:val="96"/>
              </w:rPr>
              <w:t>23.2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w w:val="98"/>
              </w:rPr>
              <w:t>The continuing directors or sole continuing director may act notwithstanding any vacancies in their number, but, if there</w:t>
            </w:r>
          </w:p>
        </w:tc>
      </w:tr>
      <w:tr>
        <w:trPr>
          <w:trHeight w:val="189"/>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320" w:type="dxa"/>
            <w:vAlign w:val="bottom"/>
            <w:gridSpan w:val="19"/>
          </w:tcPr>
          <w:p>
            <w:pPr>
              <w:spacing w:after="0"/>
              <w:rPr>
                <w:sz w:val="20"/>
                <w:szCs w:val="20"/>
                <w:color w:val="auto"/>
              </w:rPr>
            </w:pPr>
            <w:r>
              <w:rPr>
                <w:rFonts w:ascii="Arial" w:cs="Arial" w:eastAsia="Arial" w:hAnsi="Arial"/>
                <w:sz w:val="16"/>
                <w:szCs w:val="16"/>
                <w:color w:val="auto"/>
                <w:strike w:val="1"/>
              </w:rPr>
              <w:t>is only one continuing director, the continuing director may act only for the purpose of filling vacancies or of calling a</w:t>
            </w:r>
          </w:p>
        </w:tc>
      </w:tr>
      <w:tr>
        <w:trPr>
          <w:trHeight w:val="195"/>
        </w:trPr>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80" w:type="dxa"/>
            <w:vAlign w:val="bottom"/>
            <w:gridSpan w:val="8"/>
          </w:tcPr>
          <w:p>
            <w:pPr>
              <w:spacing w:after="0"/>
              <w:rPr>
                <w:sz w:val="20"/>
                <w:szCs w:val="20"/>
                <w:color w:val="auto"/>
              </w:rPr>
            </w:pPr>
            <w:r>
              <w:rPr>
                <w:rFonts w:ascii="Arial" w:cs="Arial" w:eastAsia="Arial" w:hAnsi="Arial"/>
                <w:sz w:val="16"/>
                <w:szCs w:val="16"/>
                <w:color w:val="auto"/>
                <w:strike w:val="1"/>
              </w:rPr>
              <w:t>general meeting, but not for any other purpose.</w:t>
            </w:r>
          </w:p>
        </w:tc>
        <w:tc>
          <w:tcPr>
            <w:tcW w:w="4640" w:type="dxa"/>
            <w:vAlign w:val="bottom"/>
            <w:gridSpan w:val="11"/>
          </w:tcPr>
          <w:p>
            <w:pPr>
              <w:spacing w:after="0"/>
              <w:rPr>
                <w:sz w:val="16"/>
                <w:szCs w:val="16"/>
                <w:color w:val="auto"/>
              </w:rPr>
            </w:pPr>
          </w:p>
        </w:tc>
      </w:tr>
    </w:tbl>
    <w:p>
      <w:pPr>
        <w:spacing w:after="0" w:line="89" w:lineRule="exact"/>
        <w:rPr>
          <w:sz w:val="20"/>
          <w:szCs w:val="20"/>
          <w:color w:val="auto"/>
        </w:rPr>
      </w:pPr>
    </w:p>
    <w:p>
      <w:pPr>
        <w:ind w:left="1200" w:right="780" w:hanging="431"/>
        <w:spacing w:after="0" w:line="253" w:lineRule="auto"/>
        <w:rPr>
          <w:sz w:val="20"/>
          <w:szCs w:val="20"/>
          <w:color w:val="auto"/>
        </w:rPr>
      </w:pPr>
      <w:r>
        <w:rPr>
          <w:rFonts w:ascii="Arial" w:cs="Arial" w:eastAsia="Arial" w:hAnsi="Arial"/>
          <w:sz w:val="16"/>
          <w:szCs w:val="16"/>
          <w:color w:val="auto"/>
          <w:strike w:val="1"/>
        </w:rPr>
        <w:t>23.3 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A-21</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0" w:name="page101"/>
    <w:bookmarkEnd w:id="10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APPOINTMENT AND RE-</w:t>
      </w:r>
      <w:r>
        <w:rPr>
          <w:rFonts w:ascii="Arial" w:cs="Arial" w:eastAsia="Arial" w:hAnsi="Arial"/>
          <w:sz w:val="16"/>
          <w:szCs w:val="16"/>
          <w:b w:val="1"/>
          <w:bCs w:val="1"/>
          <w:color w:val="auto"/>
        </w:rPr>
        <w:t>APPOINTMENT OF DIRECTORS</w:t>
      </w:r>
    </w:p>
    <w:p>
      <w:pPr>
        <w:spacing w:after="0" w:line="120" w:lineRule="exact"/>
        <w:rPr>
          <w:sz w:val="20"/>
          <w:szCs w:val="20"/>
          <w:color w:val="auto"/>
        </w:rPr>
      </w:pPr>
    </w:p>
    <w:p>
      <w:pPr>
        <w:ind w:left="1200" w:right="299" w:hanging="431"/>
        <w:spacing w:after="0" w:line="260" w:lineRule="auto"/>
        <w:rPr>
          <w:sz w:val="20"/>
          <w:szCs w:val="20"/>
          <w:color w:val="auto"/>
        </w:rPr>
      </w:pPr>
      <w:r>
        <w:rPr>
          <w:rFonts w:ascii="Arial" w:cs="Arial" w:eastAsia="Arial" w:hAnsi="Arial"/>
          <w:sz w:val="16"/>
          <w:szCs w:val="16"/>
          <w:color w:val="auto"/>
        </w:rPr>
        <w:t xml:space="preserve">24.1 Subject to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(including but not limited to below),</w:t>
      </w:r>
      <w:r>
        <w:rPr>
          <w:rFonts w:ascii="Arial" w:cs="Arial" w:eastAsia="Arial" w:hAnsi="Arial"/>
          <w:sz w:val="16"/>
          <w:szCs w:val="16"/>
          <w:color w:val="auto"/>
        </w:rPr>
        <w:t xml:space="preserve"> any person who is willing to act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and is permitted by law to do so, may be appointed to be a </w:t>
      </w:r>
      <w:r>
        <w:rPr>
          <w:rFonts w:ascii="Arial" w:cs="Arial" w:eastAsia="Arial" w:hAnsi="Arial"/>
          <w:sz w:val="16"/>
          <w:szCs w:val="16"/>
          <w:color w:val="auto"/>
          <w:strike w:val="1"/>
        </w:rPr>
        <w:t>director:</w:t>
      </w:r>
    </w:p>
    <w:p>
      <w:pPr>
        <w:spacing w:after="0" w:line="60" w:lineRule="exact"/>
        <w:rPr>
          <w:sz w:val="20"/>
          <w:szCs w:val="20"/>
          <w:color w:val="auto"/>
        </w:rPr>
      </w:pPr>
    </w:p>
    <w:p>
      <w:pPr>
        <w:ind w:left="1620" w:right="399" w:hanging="424"/>
        <w:spacing w:after="0" w:line="260" w:lineRule="auto"/>
        <w:tabs>
          <w:tab w:leader="none" w:pos="1620" w:val="left"/>
        </w:tabs>
        <w:numPr>
          <w:ilvl w:val="0"/>
          <w:numId w:val="152"/>
        </w:numPr>
        <w:rPr>
          <w:rFonts w:ascii="Arial" w:cs="Arial" w:eastAsia="Arial" w:hAnsi="Arial"/>
          <w:sz w:val="16"/>
          <w:szCs w:val="16"/>
          <w:color w:val="auto"/>
          <w:strike w:val="1"/>
        </w:rPr>
      </w:pPr>
      <w:r>
        <w:rPr>
          <w:rFonts w:ascii="Arial" w:cs="Arial" w:eastAsia="Arial" w:hAnsi="Arial"/>
          <w:sz w:val="16"/>
          <w:szCs w:val="16"/>
          <w:color w:val="auto"/>
          <w:strike w:val="1"/>
        </w:rPr>
        <w:t xml:space="preserve">by ordinary </w:t>
      </w:r>
      <w:r>
        <w:rPr>
          <w:rFonts w:ascii="Arial" w:cs="Arial" w:eastAsia="Arial" w:hAnsi="Arial"/>
          <w:sz w:val="16"/>
          <w:szCs w:val="16"/>
          <w:u w:val="single" w:color="auto"/>
          <w:color w:val="auto"/>
          <w:strike w:val="1"/>
        </w:rPr>
        <w:t>Director (either to fill a vacancy or as an additional Director) pursuant to Article 24.6 below, provided that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notice is given of the</w:t>
      </w:r>
      <w:r>
        <w:rPr>
          <w:rFonts w:ascii="Arial" w:cs="Arial" w:eastAsia="Arial" w:hAnsi="Arial"/>
          <w:sz w:val="16"/>
          <w:szCs w:val="16"/>
          <w:color w:val="auto"/>
          <w:strike w:val="1"/>
        </w:rPr>
        <w:t xml:space="preserve"> resolution;</w:t>
      </w:r>
    </w:p>
    <w:p>
      <w:pPr>
        <w:spacing w:after="0" w:line="73" w:lineRule="exact"/>
        <w:rPr>
          <w:rFonts w:ascii="Arial" w:cs="Arial" w:eastAsia="Arial" w:hAnsi="Arial"/>
          <w:sz w:val="16"/>
          <w:szCs w:val="16"/>
          <w:color w:val="auto"/>
          <w:strike w:val="1"/>
        </w:rPr>
      </w:pPr>
    </w:p>
    <w:p>
      <w:pPr>
        <w:ind w:left="1620" w:hanging="424"/>
        <w:spacing w:after="0"/>
        <w:tabs>
          <w:tab w:leader="none" w:pos="1620" w:val="left"/>
        </w:tabs>
        <w:numPr>
          <w:ilvl w:val="0"/>
          <w:numId w:val="152"/>
        </w:numPr>
        <w:rPr>
          <w:rFonts w:ascii="Arial" w:cs="Arial" w:eastAsia="Arial" w:hAnsi="Arial"/>
          <w:sz w:val="16"/>
          <w:szCs w:val="16"/>
          <w:color w:val="auto"/>
          <w:strike w:val="1"/>
        </w:rPr>
      </w:pPr>
      <w:r>
        <w:rPr>
          <w:rFonts w:ascii="Arial" w:cs="Arial" w:eastAsia="Arial" w:hAnsi="Arial"/>
          <w:sz w:val="16"/>
          <w:szCs w:val="16"/>
          <w:color w:val="auto"/>
          <w:strike w:val="1"/>
        </w:rPr>
        <w:t>at a general meeting called under article 16.4;</w:t>
      </w:r>
    </w:p>
    <w:p>
      <w:pPr>
        <w:spacing w:after="0" w:line="86" w:lineRule="exact"/>
        <w:rPr>
          <w:rFonts w:ascii="Arial" w:cs="Arial" w:eastAsia="Arial" w:hAnsi="Arial"/>
          <w:sz w:val="16"/>
          <w:szCs w:val="16"/>
          <w:color w:val="auto"/>
          <w:strike w:val="1"/>
        </w:rPr>
      </w:pPr>
    </w:p>
    <w:p>
      <w:pPr>
        <w:ind w:left="1620" w:hanging="424"/>
        <w:spacing w:after="0"/>
        <w:tabs>
          <w:tab w:leader="none" w:pos="1620" w:val="left"/>
        </w:tabs>
        <w:numPr>
          <w:ilvl w:val="0"/>
          <w:numId w:val="152"/>
        </w:numPr>
        <w:rPr>
          <w:rFonts w:ascii="Arial" w:cs="Arial" w:eastAsia="Arial" w:hAnsi="Arial"/>
          <w:sz w:val="16"/>
          <w:szCs w:val="16"/>
          <w:color w:val="auto"/>
          <w:strike w:val="1"/>
        </w:rPr>
      </w:pPr>
      <w:r>
        <w:rPr>
          <w:rFonts w:ascii="Arial" w:cs="Arial" w:eastAsia="Arial" w:hAnsi="Arial"/>
          <w:sz w:val="16"/>
          <w:szCs w:val="16"/>
          <w:color w:val="auto"/>
          <w:strike w:val="1"/>
        </w:rPr>
        <w:t>by a decision of</w:t>
      </w:r>
      <w:r>
        <w:rPr>
          <w:rFonts w:ascii="Arial" w:cs="Arial" w:eastAsia="Arial" w:hAnsi="Arial"/>
          <w:sz w:val="16"/>
          <w:szCs w:val="16"/>
          <w:u w:val="single" w:color="auto"/>
          <w:color w:val="auto"/>
        </w:rPr>
        <w:t>identifying</w:t>
      </w:r>
      <w:r>
        <w:rPr>
          <w:rFonts w:ascii="Arial" w:cs="Arial" w:eastAsia="Arial" w:hAnsi="Arial"/>
          <w:sz w:val="16"/>
          <w:szCs w:val="16"/>
          <w:color w:val="auto"/>
        </w:rPr>
        <w:t xml:space="preserve"> the </w:t>
      </w:r>
      <w:r>
        <w:rPr>
          <w:rFonts w:ascii="Arial" w:cs="Arial" w:eastAsia="Arial" w:hAnsi="Arial"/>
          <w:sz w:val="16"/>
          <w:szCs w:val="16"/>
          <w:color w:val="auto"/>
          <w:strike w:val="1"/>
        </w:rPr>
        <w:t>directors.</w:t>
      </w:r>
    </w:p>
    <w:p>
      <w:pPr>
        <w:spacing w:after="0" w:line="100" w:lineRule="exact"/>
        <w:rPr>
          <w:sz w:val="20"/>
          <w:szCs w:val="20"/>
          <w:color w:val="auto"/>
        </w:rPr>
      </w:pPr>
    </w:p>
    <w:p>
      <w:pPr>
        <w:ind w:left="1200" w:right="319" w:hanging="431"/>
        <w:spacing w:after="0" w:line="251" w:lineRule="auto"/>
        <w:rPr>
          <w:sz w:val="20"/>
          <w:szCs w:val="20"/>
          <w:color w:val="auto"/>
        </w:rPr>
      </w:pPr>
      <w:r>
        <w:rPr>
          <w:rFonts w:ascii="Arial" w:cs="Arial" w:eastAsia="Arial" w:hAnsi="Arial"/>
          <w:sz w:val="16"/>
          <w:szCs w:val="16"/>
          <w:color w:val="auto"/>
          <w:strike w:val="1"/>
        </w:rPr>
        <w:t>24.2 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strike w:val="1"/>
        </w:rPr>
        <w:t>24.3  No</w:t>
      </w:r>
      <w:r>
        <w:rPr>
          <w:rFonts w:ascii="Arial" w:cs="Arial" w:eastAsia="Arial" w:hAnsi="Arial"/>
          <w:sz w:val="16"/>
          <w:szCs w:val="16"/>
          <w:color w:val="auto"/>
        </w:rPr>
        <w:t xml:space="preserve"> person </w:t>
      </w:r>
      <w:r>
        <w:rPr>
          <w:rFonts w:ascii="Arial" w:cs="Arial" w:eastAsia="Arial" w:hAnsi="Arial"/>
          <w:sz w:val="16"/>
          <w:szCs w:val="16"/>
          <w:color w:val="auto"/>
          <w:strike w:val="1"/>
        </w:rPr>
        <w:t>shall be appointed a Director at any annual general meeting unless: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concerned by name and:</w:t>
      </w:r>
    </w:p>
    <w:p>
      <w:pPr>
        <w:spacing w:after="0" w:line="86" w:lineRule="exact"/>
        <w:rPr>
          <w:sz w:val="20"/>
          <w:szCs w:val="20"/>
          <w:color w:val="auto"/>
        </w:rPr>
      </w:pPr>
    </w:p>
    <w:p>
      <w:pPr>
        <w:ind w:left="1620" w:hanging="424"/>
        <w:spacing w:after="0"/>
        <w:tabs>
          <w:tab w:leader="none" w:pos="16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he is nominated by the Board; or</w:t>
      </w:r>
    </w:p>
    <w:p>
      <w:pPr>
        <w:spacing w:after="0" w:line="99" w:lineRule="exact"/>
        <w:rPr>
          <w:rFonts w:ascii="Arial" w:cs="Arial" w:eastAsia="Arial" w:hAnsi="Arial"/>
          <w:sz w:val="16"/>
          <w:szCs w:val="16"/>
          <w:color w:val="auto"/>
        </w:rPr>
      </w:pPr>
    </w:p>
    <w:p>
      <w:pPr>
        <w:ind w:left="1620" w:right="259" w:hanging="424"/>
        <w:spacing w:after="0" w:line="250" w:lineRule="auto"/>
        <w:tabs>
          <w:tab w:leader="none" w:pos="16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notice in respect of that person is given by a member qualified to vote at the meeting </w:t>
      </w:r>
      <w:r>
        <w:rPr>
          <w:rFonts w:ascii="Arial" w:cs="Arial" w:eastAsia="Arial" w:hAnsi="Arial"/>
          <w:sz w:val="16"/>
          <w:szCs w:val="16"/>
          <w:color w:val="auto"/>
          <w:strike w:val="1"/>
        </w:rPr>
        <w:t>(other than the person to be</w:t>
      </w:r>
      <w:r>
        <w:rPr>
          <w:rFonts w:ascii="Arial" w:cs="Arial" w:eastAsia="Arial" w:hAnsi="Arial"/>
          <w:sz w:val="16"/>
          <w:szCs w:val="16"/>
          <w:color w:val="auto"/>
        </w:rPr>
        <w:t xml:space="preserve"> </w:t>
      </w:r>
      <w:r>
        <w:rPr>
          <w:rFonts w:ascii="Arial" w:cs="Arial" w:eastAsia="Arial" w:hAnsi="Arial"/>
          <w:sz w:val="16"/>
          <w:szCs w:val="16"/>
          <w:color w:val="auto"/>
          <w:strike w:val="1"/>
        </w:rPr>
        <w:t>proposed) has been received by the Company</w:t>
      </w:r>
      <w:r>
        <w:rPr>
          <w:rFonts w:ascii="Arial" w:cs="Arial" w:eastAsia="Arial" w:hAnsi="Arial"/>
          <w:sz w:val="16"/>
          <w:szCs w:val="16"/>
          <w:color w:val="auto"/>
        </w:rPr>
        <w:t xml:space="preserve"> in accordance with Article </w:t>
      </w:r>
      <w:r>
        <w:rPr>
          <w:rFonts w:ascii="Arial" w:cs="Arial" w:eastAsia="Arial" w:hAnsi="Arial"/>
          <w:sz w:val="16"/>
          <w:szCs w:val="16"/>
          <w:color w:val="auto"/>
          <w:strike w:val="1"/>
        </w:rPr>
        <w:t>20.1</w:t>
      </w:r>
      <w:r>
        <w:rPr>
          <w:rFonts w:ascii="Arial" w:cs="Arial" w:eastAsia="Arial" w:hAnsi="Arial"/>
          <w:sz w:val="16"/>
          <w:szCs w:val="16"/>
          <w:u w:val="single" w:color="auto"/>
          <w:color w:val="auto"/>
        </w:rPr>
        <w:t>20.1</w:t>
      </w:r>
      <w:r>
        <w:rPr>
          <w:rFonts w:ascii="Arial" w:cs="Arial" w:eastAsia="Arial" w:hAnsi="Arial"/>
          <w:sz w:val="16"/>
          <w:szCs w:val="16"/>
          <w:color w:val="auto"/>
        </w:rPr>
        <w:t xml:space="preserve"> and Article </w:t>
      </w:r>
      <w:r>
        <w:rPr>
          <w:rFonts w:ascii="Arial" w:cs="Arial" w:eastAsia="Arial" w:hAnsi="Arial"/>
          <w:sz w:val="16"/>
          <w:szCs w:val="16"/>
          <w:color w:val="auto"/>
          <w:strike w:val="1"/>
        </w:rPr>
        <w:t>20.4</w:t>
      </w:r>
      <w:r>
        <w:rPr>
          <w:rFonts w:ascii="Arial" w:cs="Arial" w:eastAsia="Arial" w:hAnsi="Arial"/>
          <w:sz w:val="16"/>
          <w:szCs w:val="16"/>
          <w:u w:val="single" w:color="auto"/>
          <w:color w:val="auto"/>
        </w:rPr>
        <w:t>20.4</w:t>
      </w:r>
      <w:r>
        <w:rPr>
          <w:rFonts w:ascii="Arial" w:cs="Arial" w:eastAsia="Arial" w:hAnsi="Arial"/>
          <w:sz w:val="16"/>
          <w:szCs w:val="16"/>
          <w:color w:val="auto"/>
        </w:rPr>
        <w:t xml:space="preserve"> or section 338 of the Companies Act of the intention to nominate that person for appointment stating the particulars which would,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so appointed, be required to be included in the Company’s register of directors, together with notice by that person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willingness to be appointed.</w:t>
      </w:r>
    </w:p>
    <w:p>
      <w:pPr>
        <w:spacing w:after="0" w:line="68"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strike w:val="1"/>
        </w:rPr>
        <w:t>24.4 The directors may require that any notice of a proposed director by a member include additional disclosure regarding such proposed director, including such person’s interest in the Company.</w:t>
      </w:r>
    </w:p>
    <w:p>
      <w:pPr>
        <w:spacing w:after="0" w:line="74" w:lineRule="exact"/>
        <w:rPr>
          <w:sz w:val="20"/>
          <w:szCs w:val="20"/>
          <w:color w:val="auto"/>
        </w:rPr>
      </w:pPr>
    </w:p>
    <w:p>
      <w:pPr>
        <w:ind w:left="1200" w:right="959" w:hanging="431"/>
        <w:spacing w:after="0" w:line="260"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Subject to these Articles and without prejudice to the power of the Company to appoint any person as a Director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Article 24.1, the board may appoint as a Director any person who is willing to act as such.</w:t>
      </w:r>
    </w:p>
    <w:p>
      <w:pPr>
        <w:spacing w:after="0" w:line="60" w:lineRule="exact"/>
        <w:rPr>
          <w:sz w:val="20"/>
          <w:szCs w:val="20"/>
          <w:color w:val="auto"/>
        </w:rPr>
      </w:pPr>
    </w:p>
    <w:p>
      <w:pPr>
        <w:ind w:left="1200" w:right="279" w:hanging="431"/>
        <w:spacing w:after="0" w:line="260"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u w:val="single" w:color="auto"/>
          <w:color w:val="auto"/>
        </w:rPr>
        <w:t>The Directors shall stand for appointment or re-appointment at each annual general meeting of the Company. Each Director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shall hold office until the earlier of:</w:t>
      </w:r>
    </w:p>
    <w:p>
      <w:pPr>
        <w:spacing w:after="0" w:line="74" w:lineRule="exact"/>
        <w:rPr>
          <w:sz w:val="20"/>
          <w:szCs w:val="20"/>
          <w:color w:val="auto"/>
        </w:rPr>
      </w:pPr>
    </w:p>
    <w:p>
      <w:pPr>
        <w:ind w:left="1620" w:right="299" w:hanging="424"/>
        <w:spacing w:after="0" w:line="250" w:lineRule="auto"/>
        <w:tabs>
          <w:tab w:leader="none" w:pos="1620" w:val="left"/>
        </w:tabs>
        <w:numPr>
          <w:ilvl w:val="0"/>
          <w:numId w:val="15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end of the date of a general meeting of the Company at which it is proposed to vote for the appointment or re-appointment of Directors if he or she fails to be appointed or re-appointed at such general meeting in accordance with Article 24.6, (unless, in the case of such a general meeting where the number of nominees does not exceed the number of Directors to be appointed or re-appointed, the Board resolves that such Director should remain a Director; provided that the Director in question does not participate in any consideration or vote on the matter); or</w:t>
      </w:r>
    </w:p>
    <w:p>
      <w:pPr>
        <w:spacing w:after="0" w:line="81" w:lineRule="exact"/>
        <w:rPr>
          <w:rFonts w:ascii="Arial" w:cs="Arial" w:eastAsia="Arial" w:hAnsi="Arial"/>
          <w:sz w:val="16"/>
          <w:szCs w:val="16"/>
          <w:u w:val="single" w:color="auto"/>
          <w:color w:val="auto"/>
        </w:rPr>
      </w:pPr>
    </w:p>
    <w:p>
      <w:pPr>
        <w:ind w:left="1620" w:hanging="424"/>
        <w:spacing w:after="0"/>
        <w:tabs>
          <w:tab w:leader="none" w:pos="1620" w:val="left"/>
        </w:tabs>
        <w:numPr>
          <w:ilvl w:val="0"/>
          <w:numId w:val="15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the date on which he or she ceases to be a Director in accordance with Article 30,</w:t>
      </w:r>
    </w:p>
    <w:p>
      <w:pPr>
        <w:spacing w:after="0" w:line="86"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auto"/>
        </w:rPr>
        <w:t>whereupon, in each case, such Director</w:t>
      </w:r>
      <w:r>
        <w:rPr>
          <w:rFonts w:ascii="Arial" w:cs="Arial" w:eastAsia="Arial" w:hAnsi="Arial"/>
          <w:sz w:val="16"/>
          <w:szCs w:val="16"/>
          <w:color w:val="auto"/>
        </w:rPr>
        <w:t>’</w:t>
      </w:r>
      <w:r>
        <w:rPr>
          <w:rFonts w:ascii="Arial" w:cs="Arial" w:eastAsia="Arial" w:hAnsi="Arial"/>
          <w:sz w:val="16"/>
          <w:szCs w:val="16"/>
          <w:u w:val="single" w:color="auto"/>
          <w:color w:val="auto"/>
        </w:rPr>
        <w:t>s appointment shall terminate.</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24.4  If at the end of an annual general meeting there would otherwise be no Directors, each person to whom Article</w:t>
      </w:r>
      <w:r>
        <w:rPr>
          <w:rFonts w:ascii="Arial" w:cs="Arial" w:eastAsia="Arial" w:hAnsi="Arial"/>
          <w:sz w:val="16"/>
          <w:szCs w:val="16"/>
          <w:color w:val="auto"/>
        </w:rPr>
        <w:t xml:space="preserve"> 24.3 applies:</w:t>
      </w:r>
    </w:p>
    <w:p>
      <w:pPr>
        <w:spacing w:after="0" w:line="100" w:lineRule="exact"/>
        <w:rPr>
          <w:sz w:val="20"/>
          <w:szCs w:val="20"/>
          <w:color w:val="auto"/>
        </w:rPr>
      </w:pPr>
    </w:p>
    <w:p>
      <w:pPr>
        <w:ind w:left="1620" w:right="239" w:hanging="424"/>
        <w:spacing w:after="0" w:line="260" w:lineRule="auto"/>
        <w:tabs>
          <w:tab w:leader="none" w:pos="1620" w:val="left"/>
        </w:tabs>
        <w:numPr>
          <w:ilvl w:val="0"/>
          <w:numId w:val="15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shall remain in office as a Director until someone else who was not a Director at the commencement of that meeting is appointed as a Director by the Company in general meeting, when they will cease to be a Director; and</w:t>
      </w:r>
    </w:p>
    <w:p>
      <w:pPr>
        <w:spacing w:after="0" w:line="60" w:lineRule="exact"/>
        <w:rPr>
          <w:rFonts w:ascii="Arial" w:cs="Arial" w:eastAsia="Arial" w:hAnsi="Arial"/>
          <w:sz w:val="16"/>
          <w:szCs w:val="16"/>
          <w:u w:val="single" w:color="auto"/>
          <w:color w:val="auto"/>
        </w:rPr>
      </w:pPr>
    </w:p>
    <w:p>
      <w:pPr>
        <w:ind w:left="1620" w:right="259" w:hanging="424"/>
        <w:spacing w:after="0" w:line="260" w:lineRule="auto"/>
        <w:tabs>
          <w:tab w:leader="none" w:pos="1620" w:val="left"/>
        </w:tabs>
        <w:numPr>
          <w:ilvl w:val="0"/>
          <w:numId w:val="15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may, in their capacity as a Director for so long as they remain in office in accordance with this paragraph, act (with any other persons to whom this paragraph applies as a board) only:</w:t>
      </w:r>
    </w:p>
    <w:p>
      <w:pPr>
        <w:spacing w:after="0" w:line="73" w:lineRule="exact"/>
        <w:rPr>
          <w:rFonts w:ascii="Arial" w:cs="Arial" w:eastAsia="Arial" w:hAnsi="Arial"/>
          <w:sz w:val="16"/>
          <w:szCs w:val="16"/>
          <w:u w:val="single" w:color="auto"/>
          <w:color w:val="auto"/>
        </w:rPr>
      </w:pPr>
    </w:p>
    <w:p>
      <w:pPr>
        <w:ind w:left="2060" w:hanging="432"/>
        <w:spacing w:after="0"/>
        <w:tabs>
          <w:tab w:leader="none" w:pos="2060" w:val="left"/>
        </w:tabs>
        <w:numPr>
          <w:ilvl w:val="1"/>
          <w:numId w:val="15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 the purposes of convening and holding a general meeting to appoint Directors; and</w:t>
      </w:r>
    </w:p>
    <w:p>
      <w:pPr>
        <w:spacing w:after="0" w:line="99" w:lineRule="exact"/>
        <w:rPr>
          <w:rFonts w:ascii="Arial" w:cs="Arial" w:eastAsia="Arial" w:hAnsi="Arial"/>
          <w:sz w:val="16"/>
          <w:szCs w:val="16"/>
          <w:u w:val="single" w:color="auto"/>
          <w:color w:val="auto"/>
        </w:rPr>
      </w:pPr>
    </w:p>
    <w:p>
      <w:pPr>
        <w:ind w:left="2060" w:right="239" w:hanging="432"/>
        <w:spacing w:after="0" w:line="260" w:lineRule="auto"/>
        <w:tabs>
          <w:tab w:leader="none" w:pos="2060" w:val="left"/>
        </w:tabs>
        <w:numPr>
          <w:ilvl w:val="1"/>
          <w:numId w:val="15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as they consider necessary or appropriate in order to comply with any legal or regulatory requirement applicable to the Company or the Directors or to them as a Director.</w:t>
      </w:r>
    </w:p>
    <w:p>
      <w:pPr>
        <w:spacing w:after="0" w:line="60" w:lineRule="exact"/>
        <w:rPr>
          <w:sz w:val="20"/>
          <w:szCs w:val="20"/>
          <w:color w:val="auto"/>
        </w:rPr>
      </w:pPr>
    </w:p>
    <w:p>
      <w:pPr>
        <w:ind w:left="1200" w:right="279" w:hanging="431"/>
        <w:spacing w:after="0" w:line="253" w:lineRule="auto"/>
        <w:rPr>
          <w:sz w:val="20"/>
          <w:szCs w:val="20"/>
          <w:color w:val="auto"/>
        </w:rPr>
      </w:pPr>
      <w:r>
        <w:rPr>
          <w:rFonts w:ascii="Arial" w:cs="Arial" w:eastAsia="Arial" w:hAnsi="Arial"/>
          <w:sz w:val="16"/>
          <w:szCs w:val="16"/>
          <w:color w:val="auto"/>
        </w:rPr>
        <w:t>24.5 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80" w:lineRule="exact"/>
        <w:rPr>
          <w:sz w:val="20"/>
          <w:szCs w:val="20"/>
          <w:color w:val="auto"/>
        </w:rPr>
      </w:pPr>
    </w:p>
    <w:p>
      <w:pPr>
        <w:jc w:val="both"/>
        <w:ind w:left="1200" w:right="199" w:hanging="431"/>
        <w:spacing w:after="0" w:line="253" w:lineRule="auto"/>
        <w:rPr>
          <w:sz w:val="20"/>
          <w:szCs w:val="20"/>
          <w:color w:val="auto"/>
        </w:rPr>
      </w:pPr>
      <w:r>
        <w:rPr>
          <w:rFonts w:ascii="Arial" w:cs="Arial" w:eastAsia="Arial" w:hAnsi="Arial"/>
          <w:sz w:val="16"/>
          <w:szCs w:val="16"/>
          <w:u w:val="single" w:color="auto"/>
          <w:color w:val="auto"/>
        </w:rPr>
        <w:t xml:space="preserve">24.6 </w:t>
      </w:r>
      <w:r>
        <w:rPr>
          <w:rFonts w:ascii="Arial" w:cs="Arial" w:eastAsia="Arial" w:hAnsi="Arial"/>
          <w:sz w:val="16"/>
          <w:szCs w:val="16"/>
          <w:color w:val="auto"/>
          <w:strike w:val="1"/>
        </w:rPr>
        <w:t>In the event that at a general meeting it is proposed to vote upon a number of the resolutions for the appointment of a person</w:t>
      </w:r>
      <w:r>
        <w:rPr>
          <w:rFonts w:ascii="Arial" w:cs="Arial" w:eastAsia="Arial" w:hAnsi="Arial"/>
          <w:sz w:val="16"/>
          <w:szCs w:val="16"/>
          <w:u w:val="single" w:color="auto"/>
          <w:color w:val="auto"/>
        </w:rPr>
        <w:t xml:space="preserve"> </w:t>
      </w:r>
      <w:r>
        <w:rPr>
          <w:rFonts w:ascii="Arial" w:cs="Arial" w:eastAsia="Arial" w:hAnsi="Arial"/>
          <w:sz w:val="16"/>
          <w:szCs w:val="16"/>
          <w:color w:val="auto"/>
          <w:strike w:val="1"/>
        </w:rPr>
        <w:t>as a Director (each a</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Director Resolution</w:t>
      </w:r>
      <w:r>
        <w:rPr>
          <w:rFonts w:ascii="Arial" w:cs="Arial" w:eastAsia="Arial" w:hAnsi="Arial"/>
          <w:sz w:val="16"/>
          <w:szCs w:val="16"/>
          <w:color w:val="auto"/>
        </w:rPr>
        <w:t>”</w:t>
      </w:r>
      <w:r>
        <w:rPr>
          <w:rFonts w:ascii="Arial" w:cs="Arial" w:eastAsia="Arial" w:hAnsi="Arial"/>
          <w:sz w:val="16"/>
          <w:szCs w:val="16"/>
          <w:color w:val="auto"/>
          <w:strike w:val="1"/>
        </w:rPr>
        <w:t>) that exceeds the total number of Directors that are to be appointed to the Board</w:t>
      </w:r>
      <w:r>
        <w:rPr>
          <w:rFonts w:ascii="Arial" w:cs="Arial" w:eastAsia="Arial" w:hAnsi="Arial"/>
          <w:sz w:val="16"/>
          <w:szCs w:val="16"/>
          <w:color w:val="auto"/>
        </w:rPr>
        <w:t xml:space="preserve"> </w:t>
      </w:r>
      <w:r>
        <w:rPr>
          <w:rFonts w:ascii="Arial" w:cs="Arial" w:eastAsia="Arial" w:hAnsi="Arial"/>
          <w:sz w:val="16"/>
          <w:szCs w:val="16"/>
          <w:color w:val="auto"/>
          <w:strike w:val="1"/>
        </w:rPr>
        <w:t>at that meeting (the</w:t>
      </w:r>
      <w:r>
        <w:rPr>
          <w:rFonts w:ascii="Arial" w:cs="Arial" w:eastAsia="Arial" w:hAnsi="Arial"/>
          <w:sz w:val="16"/>
          <w:szCs w:val="16"/>
          <w:color w:val="auto"/>
        </w:rPr>
        <w:t xml:space="preserve"> “</w:t>
      </w:r>
      <w:r>
        <w:rPr>
          <w:rFonts w:ascii="Arial" w:cs="Arial" w:eastAsia="Arial" w:hAnsi="Arial"/>
          <w:sz w:val="16"/>
          <w:szCs w:val="16"/>
          <w:b w:val="1"/>
          <w:bCs w:val="1"/>
          <w:color w:val="auto"/>
          <w:strike w:val="1"/>
        </w:rPr>
        <w:t>Board Number</w:t>
      </w:r>
      <w:r>
        <w:rPr>
          <w:rFonts w:ascii="Arial" w:cs="Arial" w:eastAsia="Arial" w:hAnsi="Arial"/>
          <w:sz w:val="16"/>
          <w:szCs w:val="16"/>
          <w:color w:val="auto"/>
        </w:rPr>
        <w:t>”</w:t>
      </w:r>
      <w:r>
        <w:rPr>
          <w:rFonts w:ascii="Arial" w:cs="Arial" w:eastAsia="Arial" w:hAnsi="Arial"/>
          <w:sz w:val="16"/>
          <w:szCs w:val="16"/>
          <w:color w:val="auto"/>
          <w:strike w:val="1"/>
        </w:rPr>
        <w:t>), the persons that shall be appointed</w:t>
      </w:r>
    </w:p>
    <w:p>
      <w:pPr>
        <w:spacing w:after="0" w:line="80" w:lineRule="exact"/>
        <w:rPr>
          <w:sz w:val="20"/>
          <w:szCs w:val="20"/>
          <w:color w:val="auto"/>
        </w:rPr>
      </w:pPr>
    </w:p>
    <w:p>
      <w:pPr>
        <w:jc w:val="both"/>
        <w:ind w:left="1620" w:right="259" w:hanging="424"/>
        <w:spacing w:after="0" w:line="253" w:lineRule="auto"/>
        <w:tabs>
          <w:tab w:leader="none" w:pos="1620" w:val="left"/>
        </w:tabs>
        <w:numPr>
          <w:ilvl w:val="0"/>
          <w:numId w:val="15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At a general meeting of the Company where it is proposed to vote for the appointment or re-appointment of Directors, each Director shall be appointed or re-appointed by a vote of a majority of the votes cast with respect to that Director</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appointment (in person or represented by proxy) and entitled to vote on the appointment of Directors.</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A-22</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357505</wp:posOffset>
            </wp:positionV>
            <wp:extent cx="58293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840"/>
        <w:spacing w:after="0" w:line="250" w:lineRule="auto"/>
        <w:rPr>
          <w:sz w:val="20"/>
          <w:szCs w:val="20"/>
          <w:color w:val="auto"/>
        </w:rPr>
      </w:pPr>
      <w:r>
        <w:rPr>
          <w:rFonts w:ascii="Arial" w:cs="Arial" w:eastAsia="Arial" w:hAnsi="Arial"/>
          <w:sz w:val="16"/>
          <w:szCs w:val="16"/>
          <w:u w:val="single" w:color="auto"/>
          <w:color w:val="auto"/>
        </w:rPr>
        <w:t>Notwithstanding the foregoing, if the number of nominees exceeds the total number of Directors to be appointed or re-appointed at such general meeting as of the date that is ten (10) days prior to the date the Company files its definitive proxy statement with the Securities and Exchange Commission (regardless of whether or not the proxy statement is thereafter revised or supplemented), then each Director shall be appointed or re-appointed by a plurality of the votes cast (in person or represented by proxy) and entitled to vote on the appointment of Directors.</w:t>
      </w:r>
    </w:p>
    <w:p>
      <w:pPr>
        <w:spacing w:after="0" w:line="81" w:lineRule="exact"/>
        <w:rPr>
          <w:sz w:val="20"/>
          <w:szCs w:val="20"/>
          <w:color w:val="auto"/>
        </w:rPr>
      </w:pPr>
    </w:p>
    <w:p>
      <w:pPr>
        <w:ind w:left="1620" w:hanging="424"/>
        <w:spacing w:after="0"/>
        <w:tabs>
          <w:tab w:leader="none" w:pos="1620" w:val="left"/>
        </w:tabs>
        <w:numPr>
          <w:ilvl w:val="0"/>
          <w:numId w:val="15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 purposes of this section:</w:t>
      </w:r>
    </w:p>
    <w:p>
      <w:pPr>
        <w:spacing w:after="0" w:line="100" w:lineRule="exact"/>
        <w:rPr>
          <w:sz w:val="20"/>
          <w:szCs w:val="20"/>
          <w:color w:val="auto"/>
        </w:rPr>
      </w:pPr>
    </w:p>
    <w:p>
      <w:pPr>
        <w:ind w:left="2280" w:right="840" w:hanging="652"/>
        <w:spacing w:after="0" w:line="253" w:lineRule="auto"/>
        <w:tabs>
          <w:tab w:leader="none" w:pos="2280" w:val="left"/>
        </w:tabs>
        <w:numPr>
          <w:ilvl w:val="0"/>
          <w:numId w:val="158"/>
        </w:numPr>
        <w:rPr>
          <w:rFonts w:ascii="Arial" w:cs="Arial" w:eastAsia="Arial" w:hAnsi="Arial"/>
          <w:sz w:val="16"/>
          <w:szCs w:val="16"/>
          <w:u w:val="single" w:color="auto"/>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of the votes cast” means that the number of shares voted “for” a Director exceeds the number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 voted “against” a Director (with “abstentions” and “broker non-votes” not counted as a vote cast either “for” or “against” that Director’s appointment); and</w:t>
      </w:r>
    </w:p>
    <w:p>
      <w:pPr>
        <w:spacing w:after="0" w:line="80" w:lineRule="exact"/>
        <w:rPr>
          <w:sz w:val="20"/>
          <w:szCs w:val="20"/>
          <w:color w:val="auto"/>
        </w:rPr>
      </w:pPr>
    </w:p>
    <w:p>
      <w:pPr>
        <w:ind w:left="2280" w:right="780" w:hanging="647"/>
        <w:spacing w:after="0" w:line="249" w:lineRule="auto"/>
        <w:tabs>
          <w:tab w:leader="none" w:pos="2260" w:val="left"/>
        </w:tabs>
        <w:rPr>
          <w:sz w:val="20"/>
          <w:szCs w:val="20"/>
          <w:color w:val="auto"/>
        </w:rPr>
      </w:pPr>
      <w:r>
        <w:rPr>
          <w:rFonts w:ascii="Arial" w:cs="Arial" w:eastAsia="Arial" w:hAnsi="Arial"/>
          <w:sz w:val="16"/>
          <w:szCs w:val="16"/>
          <w:color w:val="auto"/>
          <w:strike w:val="1"/>
        </w:rPr>
        <w:t>24.6</w:t>
      </w:r>
      <w:r>
        <w:rPr>
          <w:rFonts w:ascii="Arial" w:cs="Arial" w:eastAsia="Arial" w:hAnsi="Arial"/>
          <w:sz w:val="16"/>
          <w:szCs w:val="16"/>
          <w:u w:val="single" w:color="auto"/>
          <w:color w:val="auto"/>
        </w:rPr>
        <w:t>(ii)</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plurality of the votes cast” means that the persons who shall be appointed as</w:t>
      </w:r>
      <w:r>
        <w:rPr>
          <w:rFonts w:ascii="Arial" w:cs="Arial" w:eastAsia="Arial" w:hAnsi="Arial"/>
          <w:sz w:val="16"/>
          <w:szCs w:val="16"/>
          <w:color w:val="auto"/>
        </w:rPr>
        <w:t xml:space="preserve"> Directors shall first be the person who receives the greatest number of “for” votes (whether or not a majority of those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votes cast </w:t>
      </w:r>
      <w:r>
        <w:rPr>
          <w:rFonts w:ascii="Arial" w:cs="Arial" w:eastAsia="Arial" w:hAnsi="Arial"/>
          <w:sz w:val="16"/>
          <w:szCs w:val="16"/>
          <w:color w:val="auto"/>
          <w:strike w:val="1"/>
        </w:rPr>
        <w:t>in</w:t>
      </w:r>
      <w:r>
        <w:rPr>
          <w:rFonts w:ascii="Arial" w:cs="Arial" w:eastAsia="Arial" w:hAnsi="Arial"/>
          <w:sz w:val="16"/>
          <w:szCs w:val="16"/>
          <w:color w:val="auto"/>
        </w:rPr>
        <w:t xml:space="preserve"> </w:t>
      </w:r>
      <w:r>
        <w:rPr>
          <w:rFonts w:ascii="Arial" w:cs="Arial" w:eastAsia="Arial" w:hAnsi="Arial"/>
          <w:sz w:val="16"/>
          <w:szCs w:val="16"/>
          <w:color w:val="auto"/>
          <w:strike w:val="1"/>
        </w:rPr>
        <w:t>respect of</w:t>
      </w:r>
      <w:r>
        <w:rPr>
          <w:rFonts w:ascii="Arial" w:cs="Arial" w:eastAsia="Arial" w:hAnsi="Arial"/>
          <w:sz w:val="16"/>
          <w:szCs w:val="16"/>
          <w:color w:val="auto"/>
        </w:rPr>
        <w:t>“</w:t>
      </w:r>
      <w:r>
        <w:rPr>
          <w:rFonts w:ascii="Arial" w:cs="Arial" w:eastAsia="Arial" w:hAnsi="Arial"/>
          <w:sz w:val="16"/>
          <w:szCs w:val="16"/>
          <w:u w:val="single" w:color="auto"/>
          <w:color w:val="auto"/>
        </w:rPr>
        <w:t>for</w:t>
      </w:r>
      <w:r>
        <w:rPr>
          <w:rFonts w:ascii="Arial" w:cs="Arial" w:eastAsia="Arial" w:hAnsi="Arial"/>
          <w:sz w:val="16"/>
          <w:szCs w:val="16"/>
          <w:color w:val="auto"/>
        </w:rPr>
        <w:t>” that Director</w:t>
      </w:r>
      <w:r>
        <w:rPr>
          <w:rFonts w:ascii="Arial" w:cs="Arial" w:eastAsia="Arial" w:hAnsi="Arial"/>
          <w:sz w:val="16"/>
          <w:szCs w:val="16"/>
          <w:color w:val="auto"/>
          <w:strike w:val="1"/>
        </w:rPr>
        <w:t>Resolution), and</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then </w:t>
      </w:r>
      <w:r>
        <w:rPr>
          <w:rFonts w:ascii="Arial" w:cs="Arial" w:eastAsia="Arial" w:hAnsi="Arial"/>
          <w:sz w:val="16"/>
          <w:szCs w:val="16"/>
          <w:color w:val="auto"/>
          <w:strike w:val="1"/>
        </w:rPr>
        <w:t>shall</w:t>
      </w:r>
      <w:r>
        <w:rPr>
          <w:rFonts w:ascii="Arial" w:cs="Arial" w:eastAsia="Arial" w:hAnsi="Arial"/>
          <w:sz w:val="16"/>
          <w:szCs w:val="16"/>
          <w:color w:val="auto"/>
        </w:rPr>
        <w:t xml:space="preserve"> second </w:t>
      </w:r>
      <w:r>
        <w:rPr>
          <w:rFonts w:ascii="Arial" w:cs="Arial" w:eastAsia="Arial" w:hAnsi="Arial"/>
          <w:sz w:val="16"/>
          <w:szCs w:val="16"/>
          <w:u w:val="single" w:color="auto"/>
          <w:color w:val="auto"/>
        </w:rPr>
        <w:t>shall</w:t>
      </w:r>
      <w:r>
        <w:rPr>
          <w:rFonts w:ascii="Arial" w:cs="Arial" w:eastAsia="Arial" w:hAnsi="Arial"/>
          <w:sz w:val="16"/>
          <w:szCs w:val="16"/>
          <w:color w:val="auto"/>
        </w:rPr>
        <w:t xml:space="preserve"> be the person who receives the second greatest number of “for” votes (whether or not a majority of those votes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cast </w:t>
      </w:r>
      <w:r>
        <w:rPr>
          <w:rFonts w:ascii="Arial" w:cs="Arial" w:eastAsia="Arial" w:hAnsi="Arial"/>
          <w:sz w:val="16"/>
          <w:szCs w:val="16"/>
          <w:color w:val="auto"/>
          <w:strike w:val="1"/>
        </w:rPr>
        <w:t>in respect of</w:t>
      </w:r>
      <w:r>
        <w:rPr>
          <w:rFonts w:ascii="Arial" w:cs="Arial" w:eastAsia="Arial" w:hAnsi="Arial"/>
          <w:sz w:val="16"/>
          <w:szCs w:val="16"/>
          <w:color w:val="auto"/>
        </w:rPr>
        <w:t>”</w:t>
      </w:r>
      <w:r>
        <w:rPr>
          <w:rFonts w:ascii="Arial" w:cs="Arial" w:eastAsia="Arial" w:hAnsi="Arial"/>
          <w:sz w:val="16"/>
          <w:szCs w:val="16"/>
          <w:u w:val="single" w:color="auto"/>
          <w:color w:val="auto"/>
        </w:rPr>
        <w:t>for</w:t>
      </w:r>
      <w:r>
        <w:rPr>
          <w:rFonts w:ascii="Arial" w:cs="Arial" w:eastAsia="Arial" w:hAnsi="Arial"/>
          <w:sz w:val="16"/>
          <w:szCs w:val="16"/>
          <w:color w:val="auto"/>
        </w:rPr>
        <w:t xml:space="preserve">” that Director </w:t>
      </w:r>
      <w:r>
        <w:rPr>
          <w:rFonts w:ascii="Arial" w:cs="Arial" w:eastAsia="Arial" w:hAnsi="Arial"/>
          <w:sz w:val="16"/>
          <w:szCs w:val="16"/>
          <w:color w:val="auto"/>
          <w:strike w:val="1"/>
        </w:rPr>
        <w:t>Resolution</w:t>
      </w:r>
      <w:r>
        <w:rPr>
          <w:rFonts w:ascii="Arial" w:cs="Arial" w:eastAsia="Arial" w:hAnsi="Arial"/>
          <w:sz w:val="16"/>
          <w:szCs w:val="16"/>
          <w:color w:val="auto"/>
        </w:rPr>
        <w:t xml:space="preserve">), and so on, until the number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so appointed equals the </w:t>
      </w:r>
      <w:r>
        <w:rPr>
          <w:rFonts w:ascii="Arial" w:cs="Arial" w:eastAsia="Arial" w:hAnsi="Arial"/>
          <w:sz w:val="16"/>
          <w:szCs w:val="16"/>
          <w:color w:val="auto"/>
          <w:strike w:val="1"/>
        </w:rPr>
        <w:t>Board Number</w:t>
      </w:r>
      <w:r>
        <w:rPr>
          <w:rFonts w:ascii="Arial" w:cs="Arial" w:eastAsia="Arial" w:hAnsi="Arial"/>
          <w:sz w:val="16"/>
          <w:szCs w:val="16"/>
          <w:u w:val="single" w:color="auto"/>
          <w:color w:val="auto"/>
        </w:rPr>
        <w:t>total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of Directors to be appointed or re-appointed at that general meeting</w:t>
      </w:r>
      <w:r>
        <w:rPr>
          <w:rFonts w:ascii="Arial" w:cs="Arial" w:eastAsia="Arial" w:hAnsi="Arial"/>
          <w:sz w:val="16"/>
          <w:szCs w:val="16"/>
          <w:color w:val="auto"/>
        </w:rPr>
        <w:t>.</w:t>
      </w:r>
    </w:p>
    <w:p>
      <w:pPr>
        <w:spacing w:after="0" w:line="70" w:lineRule="exact"/>
        <w:rPr>
          <w:sz w:val="20"/>
          <w:szCs w:val="20"/>
          <w:color w:val="auto"/>
        </w:rPr>
      </w:pPr>
    </w:p>
    <w:p>
      <w:pPr>
        <w:ind w:left="1200" w:right="800" w:hanging="431"/>
        <w:spacing w:after="0" w:line="250" w:lineRule="auto"/>
        <w:rPr>
          <w:sz w:val="20"/>
          <w:szCs w:val="20"/>
          <w:color w:val="auto"/>
        </w:rPr>
      </w:pPr>
      <w:r>
        <w:rPr>
          <w:rFonts w:ascii="Arial" w:cs="Arial" w:eastAsia="Arial" w:hAnsi="Arial"/>
          <w:sz w:val="16"/>
          <w:szCs w:val="16"/>
          <w:color w:val="auto"/>
          <w:strike w:val="1"/>
        </w:rPr>
        <w:t>24.7 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81" w:lineRule="exact"/>
        <w:rPr>
          <w:sz w:val="20"/>
          <w:szCs w:val="20"/>
          <w:color w:val="auto"/>
        </w:rPr>
      </w:pPr>
    </w:p>
    <w:p>
      <w:pPr>
        <w:ind w:left="1200" w:right="820" w:hanging="431"/>
        <w:spacing w:after="0" w:line="251" w:lineRule="auto"/>
        <w:rPr>
          <w:sz w:val="20"/>
          <w:szCs w:val="20"/>
          <w:color w:val="auto"/>
        </w:rPr>
      </w:pPr>
      <w:r>
        <w:rPr>
          <w:rFonts w:ascii="Arial" w:cs="Arial" w:eastAsia="Arial" w:hAnsi="Arial"/>
          <w:sz w:val="16"/>
          <w:szCs w:val="16"/>
          <w:color w:val="auto"/>
          <w:strike w:val="1"/>
        </w:rPr>
        <w:t>24.8 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81" w:lineRule="exact"/>
        <w:rPr>
          <w:sz w:val="20"/>
          <w:szCs w:val="20"/>
          <w:color w:val="auto"/>
        </w:rPr>
      </w:pPr>
    </w:p>
    <w:p>
      <w:pPr>
        <w:ind w:left="1620" w:right="840" w:hanging="424"/>
        <w:spacing w:after="0" w:line="250" w:lineRule="auto"/>
        <w:tabs>
          <w:tab w:leader="none" w:pos="1620" w:val="left"/>
        </w:tabs>
        <w:numPr>
          <w:ilvl w:val="0"/>
          <w:numId w:val="15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If, at a general meeting where the number of nominees does not exceed the total number of Directors to be appointed or re-appointed at that general meeting, (a) an incumbent Director fails to be appointed pursuant to this Article 24.6 and the Board does not resolve that such Director should remain a Director in accordance with Article 24.3, or (b) a nominee for Director is not appointed and the nominee is not an incumbent Director, then, in each case, the remaining members of the Board may fill the resulting vacancy pursuant to Article</w:t>
      </w:r>
      <w:r>
        <w:rPr>
          <w:rFonts w:ascii="Arial" w:cs="Arial" w:eastAsia="Arial" w:hAnsi="Arial"/>
          <w:sz w:val="16"/>
          <w:szCs w:val="16"/>
          <w:color w:val="auto"/>
        </w:rPr>
        <w:t xml:space="preserve"> 24.2 </w:t>
      </w:r>
      <w:r>
        <w:rPr>
          <w:rFonts w:ascii="Arial" w:cs="Arial" w:eastAsia="Arial" w:hAnsi="Arial"/>
          <w:sz w:val="16"/>
          <w:szCs w:val="16"/>
          <w:u w:val="single" w:color="auto"/>
          <w:color w:val="auto"/>
        </w:rPr>
        <w:t>above.</w:t>
      </w:r>
    </w:p>
    <w:p>
      <w:pPr>
        <w:spacing w:after="0" w:line="68"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6"/>
          <w:szCs w:val="16"/>
          <w:color w:val="auto"/>
          <w:strike w:val="1"/>
        </w:rPr>
        <w:t>24.9</w:t>
      </w:r>
      <w:r>
        <w:rPr>
          <w:rFonts w:ascii="Arial" w:cs="Arial" w:eastAsia="Arial" w:hAnsi="Arial"/>
          <w:sz w:val="16"/>
          <w:szCs w:val="16"/>
          <w:u w:val="single" w:color="auto"/>
          <w:color w:val="auto"/>
        </w:rPr>
        <w:t>24.7</w:t>
      </w:r>
      <w:r>
        <w:rPr>
          <w:sz w:val="20"/>
          <w:szCs w:val="20"/>
          <w:color w:val="auto"/>
        </w:rPr>
        <w:tab/>
      </w:r>
      <w:r>
        <w:rPr>
          <w:rFonts w:ascii="Arial" w:cs="Arial" w:eastAsia="Arial" w:hAnsi="Arial"/>
          <w:sz w:val="15"/>
          <w:szCs w:val="15"/>
          <w:color w:val="auto"/>
        </w:rPr>
        <w:t>A Director shall not be required to hold any shares in the capital of the Company by way of qualification.</w:t>
      </w:r>
    </w:p>
    <w:p>
      <w:pPr>
        <w:spacing w:after="0" w:line="100" w:lineRule="exact"/>
        <w:rPr>
          <w:sz w:val="20"/>
          <w:szCs w:val="20"/>
          <w:color w:val="auto"/>
        </w:rPr>
      </w:pPr>
    </w:p>
    <w:p>
      <w:pPr>
        <w:ind w:left="760"/>
        <w:spacing w:after="0"/>
        <w:tabs>
          <w:tab w:leader="none" w:pos="1820" w:val="left"/>
        </w:tabs>
        <w:rPr>
          <w:sz w:val="20"/>
          <w:szCs w:val="20"/>
          <w:color w:val="auto"/>
        </w:rPr>
      </w:pPr>
      <w:r>
        <w:rPr>
          <w:rFonts w:ascii="Arial" w:cs="Arial" w:eastAsia="Arial" w:hAnsi="Arial"/>
          <w:sz w:val="16"/>
          <w:szCs w:val="16"/>
          <w:color w:val="auto"/>
          <w:strike w:val="1"/>
        </w:rPr>
        <w:t>24.10</w:t>
      </w:r>
      <w:r>
        <w:rPr>
          <w:rFonts w:ascii="Arial" w:cs="Arial" w:eastAsia="Arial" w:hAnsi="Arial"/>
          <w:sz w:val="16"/>
          <w:szCs w:val="16"/>
          <w:u w:val="single" w:color="auto"/>
          <w:color w:val="auto"/>
        </w:rPr>
        <w:t>24.8</w:t>
      </w:r>
      <w:r>
        <w:rPr>
          <w:sz w:val="20"/>
          <w:szCs w:val="20"/>
          <w:color w:val="auto"/>
        </w:rPr>
        <w:tab/>
      </w:r>
      <w:r>
        <w:rPr>
          <w:rFonts w:ascii="Arial" w:cs="Arial" w:eastAsia="Arial" w:hAnsi="Arial"/>
          <w:sz w:val="15"/>
          <w:szCs w:val="15"/>
          <w:color w:val="auto"/>
        </w:rPr>
        <w:t>All acts done by:</w:t>
      </w:r>
    </w:p>
    <w:p>
      <w:pPr>
        <w:spacing w:after="0" w:line="100" w:lineRule="exact"/>
        <w:rPr>
          <w:sz w:val="20"/>
          <w:szCs w:val="20"/>
          <w:color w:val="auto"/>
        </w:rPr>
      </w:pPr>
    </w:p>
    <w:p>
      <w:pPr>
        <w:ind w:left="1620" w:hanging="424"/>
        <w:spacing w:after="0"/>
        <w:tabs>
          <w:tab w:leader="none" w:pos="1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 meeting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written resolution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 person acting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or a committee,</w:t>
      </w:r>
    </w:p>
    <w:p>
      <w:pPr>
        <w:spacing w:after="0" w:line="86" w:lineRule="exact"/>
        <w:rPr>
          <w:sz w:val="20"/>
          <w:szCs w:val="20"/>
          <w:color w:val="auto"/>
        </w:rPr>
      </w:pPr>
    </w:p>
    <w:p>
      <w:pPr>
        <w:ind w:left="1200" w:right="820"/>
        <w:spacing w:after="0" w:line="253" w:lineRule="auto"/>
        <w:rPr>
          <w:sz w:val="20"/>
          <w:szCs w:val="20"/>
          <w:color w:val="auto"/>
        </w:rPr>
      </w:pPr>
      <w:r>
        <w:rPr>
          <w:rFonts w:ascii="Arial" w:cs="Arial" w:eastAsia="Arial" w:hAnsi="Arial"/>
          <w:sz w:val="16"/>
          <w:szCs w:val="16"/>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60" w:lineRule="exact"/>
        <w:rPr>
          <w:sz w:val="20"/>
          <w:szCs w:val="20"/>
          <w:color w:val="auto"/>
        </w:rPr>
      </w:pPr>
    </w:p>
    <w:p>
      <w:pPr>
        <w:ind w:left="1200" w:hanging="436"/>
        <w:spacing w:after="0"/>
        <w:tabs>
          <w:tab w:leader="none" w:pos="1200"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FEES AND EXPENSES</w:t>
      </w:r>
    </w:p>
    <w:p>
      <w:pPr>
        <w:spacing w:after="0" w:line="120" w:lineRule="exact"/>
        <w:rPr>
          <w:sz w:val="20"/>
          <w:szCs w:val="20"/>
          <w:color w:val="auto"/>
        </w:rPr>
      </w:pPr>
    </w:p>
    <w:p>
      <w:pPr>
        <w:ind w:left="1200" w:right="800" w:hanging="431"/>
        <w:spacing w:after="0" w:line="248" w:lineRule="auto"/>
        <w:rPr>
          <w:sz w:val="20"/>
          <w:szCs w:val="20"/>
          <w:color w:val="auto"/>
        </w:rPr>
      </w:pPr>
      <w:r>
        <w:rPr>
          <w:rFonts w:ascii="Arial" w:cs="Arial" w:eastAsia="Arial" w:hAnsi="Arial"/>
          <w:sz w:val="16"/>
          <w:szCs w:val="16"/>
          <w:color w:val="auto"/>
        </w:rPr>
        <w:t xml:space="preserve">25.1 Unless otherwise determined by the Company by ordinary resolution, there shall be paid to the Directors (other than alternate Directors and Directors employed by the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in an executive capacity) such fees for their services in the office of Director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from time to time determine (or as the Company may decide by ordinary resolution). </w:t>
      </w:r>
      <w:r>
        <w:rPr>
          <w:rFonts w:ascii="Arial" w:cs="Arial" w:eastAsia="Arial" w:hAnsi="Arial"/>
          <w:sz w:val="16"/>
          <w:szCs w:val="16"/>
          <w:color w:val="auto"/>
          <w:strike w:val="1"/>
        </w:rPr>
        <w:t>The total fees will be divided among the directors in the proportions that the Directors decide. If no decision is</w:t>
      </w:r>
      <w:r>
        <w:rPr>
          <w:rFonts w:ascii="Arial" w:cs="Arial" w:eastAsia="Arial" w:hAnsi="Arial"/>
          <w:sz w:val="16"/>
          <w:szCs w:val="16"/>
          <w:color w:val="auto"/>
        </w:rPr>
        <w:t xml:space="preserve"> </w:t>
      </w:r>
      <w:r>
        <w:rPr>
          <w:rFonts w:ascii="Arial" w:cs="Arial" w:eastAsia="Arial" w:hAnsi="Arial"/>
          <w:sz w:val="16"/>
          <w:szCs w:val="16"/>
          <w:color w:val="auto"/>
          <w:strike w:val="1"/>
        </w:rPr>
        <w:t>made, the total fees will be divided equally.</w:t>
      </w:r>
      <w:r>
        <w:rPr>
          <w:rFonts w:ascii="Arial" w:cs="Arial" w:eastAsia="Arial" w:hAnsi="Arial"/>
          <w:sz w:val="16"/>
          <w:szCs w:val="16"/>
          <w:color w:val="auto"/>
        </w:rPr>
        <w:t xml:space="preserve"> The fees shall be deemed to accrue from day to day and shall be distinct from and additional to any remuneration or other benefits which may be paid or provided to any Director pursuant to any other provision of these Articles.</w:t>
      </w:r>
    </w:p>
    <w:p>
      <w:pPr>
        <w:spacing w:after="0" w:line="73" w:lineRule="exact"/>
        <w:rPr>
          <w:sz w:val="20"/>
          <w:szCs w:val="20"/>
          <w:color w:val="auto"/>
        </w:rPr>
      </w:pPr>
    </w:p>
    <w:p>
      <w:pPr>
        <w:ind w:left="1200" w:right="880" w:hanging="431"/>
        <w:spacing w:after="0" w:line="251" w:lineRule="auto"/>
        <w:rPr>
          <w:sz w:val="20"/>
          <w:szCs w:val="20"/>
          <w:color w:val="auto"/>
        </w:rPr>
      </w:pPr>
      <w:r>
        <w:rPr>
          <w:rFonts w:ascii="Arial" w:cs="Arial" w:eastAsia="Arial" w:hAnsi="Arial"/>
          <w:sz w:val="16"/>
          <w:szCs w:val="16"/>
          <w:color w:val="auto"/>
        </w:rPr>
        <w:t xml:space="preserve">25.2 Subject to the Companies Act and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 Directors’ fees may be payable in any form and, in particular,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arrange for part of a fee payable under this Article 25 to be provided in the form of fully paid shares of the Company. The amount of the fee payable in this way is at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discretion. The amount of the fee will be applied to purchase or subscribe for shares on behalf of the Director.</w:t>
      </w:r>
    </w:p>
    <w:p>
      <w:pPr>
        <w:spacing w:after="0" w:line="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25.3  Unless the </w:t>
      </w:r>
      <w:r>
        <w:rPr>
          <w:rFonts w:ascii="Arial" w:cs="Arial" w:eastAsia="Arial" w:hAnsi="Arial"/>
          <w:sz w:val="16"/>
          <w:szCs w:val="16"/>
          <w:color w:val="auto"/>
          <w:strike w:val="1"/>
        </w:rPr>
        <w:t>Directors decide</w:t>
      </w:r>
      <w:r>
        <w:rPr>
          <w:rFonts w:ascii="Arial" w:cs="Arial" w:eastAsia="Arial" w:hAnsi="Arial"/>
          <w:sz w:val="16"/>
          <w:szCs w:val="16"/>
          <w:u w:val="single" w:color="auto"/>
          <w:color w:val="auto"/>
        </w:rPr>
        <w:t>Board decides</w:t>
      </w:r>
      <w:r>
        <w:rPr>
          <w:rFonts w:ascii="Arial" w:cs="Arial" w:eastAsia="Arial" w:hAnsi="Arial"/>
          <w:sz w:val="16"/>
          <w:szCs w:val="16"/>
          <w:color w:val="auto"/>
        </w:rPr>
        <w:t xml:space="preserve"> otherwise, a Director is not accountable to the Company for any remuneration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2" w:name="page103"/>
    <w:bookmarkEnd w:id="10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219"/>
        <w:spacing w:after="0" w:line="260" w:lineRule="auto"/>
        <w:rPr>
          <w:sz w:val="20"/>
          <w:szCs w:val="20"/>
          <w:color w:val="auto"/>
        </w:rPr>
      </w:pPr>
      <w:r>
        <w:rPr>
          <w:rFonts w:ascii="Arial" w:cs="Arial" w:eastAsia="Arial" w:hAnsi="Arial"/>
          <w:sz w:val="16"/>
          <w:szCs w:val="16"/>
          <w:color w:val="auto"/>
        </w:rPr>
        <w:t xml:space="preserve">which </w:t>
      </w:r>
      <w:r>
        <w:rPr>
          <w:rFonts w:ascii="Arial" w:cs="Arial" w:eastAsia="Arial" w:hAnsi="Arial"/>
          <w:sz w:val="16"/>
          <w:szCs w:val="16"/>
          <w:color w:val="auto"/>
          <w:strike w:val="1"/>
        </w:rPr>
        <w:t>he receives</w:t>
      </w:r>
      <w:r>
        <w:rPr>
          <w:rFonts w:ascii="Arial" w:cs="Arial" w:eastAsia="Arial" w:hAnsi="Arial"/>
          <w:sz w:val="16"/>
          <w:szCs w:val="16"/>
          <w:u w:val="single" w:color="auto"/>
          <w:color w:val="auto"/>
        </w:rPr>
        <w:t>they receive</w:t>
      </w:r>
      <w:r>
        <w:rPr>
          <w:rFonts w:ascii="Arial" w:cs="Arial" w:eastAsia="Arial" w:hAnsi="Arial"/>
          <w:sz w:val="16"/>
          <w:szCs w:val="16"/>
          <w:color w:val="auto"/>
        </w:rPr>
        <w:t xml:space="preserve"> as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or other officer or employee of the Company’s subsidiary undertakings or of any other body corporate in which the Company is interested.</w:t>
      </w:r>
    </w:p>
    <w:p>
      <w:pPr>
        <w:spacing w:after="0" w:line="74" w:lineRule="exact"/>
        <w:rPr>
          <w:sz w:val="20"/>
          <w:szCs w:val="20"/>
          <w:color w:val="auto"/>
        </w:rPr>
      </w:pPr>
    </w:p>
    <w:p>
      <w:pPr>
        <w:ind w:left="1200" w:right="339" w:hanging="431"/>
        <w:spacing w:after="0" w:line="251" w:lineRule="auto"/>
        <w:rPr>
          <w:sz w:val="20"/>
          <w:szCs w:val="20"/>
          <w:color w:val="auto"/>
        </w:rPr>
      </w:pPr>
      <w:r>
        <w:rPr>
          <w:rFonts w:ascii="Arial" w:cs="Arial" w:eastAsia="Arial" w:hAnsi="Arial"/>
          <w:sz w:val="16"/>
          <w:szCs w:val="16"/>
          <w:color w:val="auto"/>
        </w:rPr>
        <w:t xml:space="preserve">25.4 The Directors may also be paid all reasonable travelling, hotel and other expenses properly incurred by them in connection with their attendance at meetings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or of committees of the Board, or general meetings or separate meetings of the holders of any class of shares or debentures of the Company or otherwise in connection with the discharge of their duties as Directors.</w:t>
      </w:r>
    </w:p>
    <w:p>
      <w:pPr>
        <w:spacing w:after="0" w:line="81" w:lineRule="exact"/>
        <w:rPr>
          <w:sz w:val="20"/>
          <w:szCs w:val="20"/>
          <w:color w:val="auto"/>
        </w:rPr>
      </w:pPr>
    </w:p>
    <w:p>
      <w:pPr>
        <w:ind w:left="1200" w:right="319" w:hanging="431"/>
        <w:spacing w:after="0" w:line="278" w:lineRule="auto"/>
        <w:rPr>
          <w:sz w:val="20"/>
          <w:szCs w:val="20"/>
          <w:color w:val="auto"/>
        </w:rPr>
      </w:pPr>
      <w:r>
        <w:rPr>
          <w:rFonts w:ascii="Arial" w:cs="Arial" w:eastAsia="Arial" w:hAnsi="Arial"/>
          <w:sz w:val="15"/>
          <w:szCs w:val="15"/>
          <w:color w:val="auto"/>
        </w:rPr>
        <w:t xml:space="preserve">25.5 Subject to the </w:t>
      </w:r>
      <w:r>
        <w:rPr>
          <w:rFonts w:ascii="Arial" w:cs="Arial" w:eastAsia="Arial" w:hAnsi="Arial"/>
          <w:sz w:val="15"/>
          <w:szCs w:val="15"/>
          <w:u w:val="single" w:color="auto"/>
          <w:color w:val="auto"/>
        </w:rPr>
        <w:t>Companies</w:t>
      </w:r>
      <w:r>
        <w:rPr>
          <w:rFonts w:ascii="Arial" w:cs="Arial" w:eastAsia="Arial" w:hAnsi="Arial"/>
          <w:sz w:val="15"/>
          <w:szCs w:val="15"/>
          <w:color w:val="auto"/>
        </w:rPr>
        <w:t xml:space="preserve"> Act,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may make arrangements to provide a </w:t>
      </w:r>
      <w:r>
        <w:rPr>
          <w:rFonts w:ascii="Arial" w:cs="Arial" w:eastAsia="Arial" w:hAnsi="Arial"/>
          <w:sz w:val="15"/>
          <w:szCs w:val="15"/>
          <w:color w:val="auto"/>
          <w:strike w:val="1"/>
        </w:rPr>
        <w:t>director</w:t>
      </w:r>
      <w:r>
        <w:rPr>
          <w:rFonts w:ascii="Arial" w:cs="Arial" w:eastAsia="Arial" w:hAnsi="Arial"/>
          <w:sz w:val="15"/>
          <w:szCs w:val="15"/>
          <w:u w:val="single" w:color="auto"/>
          <w:color w:val="auto"/>
        </w:rPr>
        <w:t>Director</w:t>
      </w:r>
      <w:r>
        <w:rPr>
          <w:rFonts w:ascii="Arial" w:cs="Arial" w:eastAsia="Arial" w:hAnsi="Arial"/>
          <w:sz w:val="15"/>
          <w:szCs w:val="15"/>
          <w:color w:val="auto"/>
        </w:rPr>
        <w:t xml:space="preserve"> with funds to meet expenditure incurred (or to be incurred) by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for the purposes of the Company; or enabling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to properly perform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duties as an officer of the Company; or enabling </w:t>
      </w:r>
      <w:r>
        <w:rPr>
          <w:rFonts w:ascii="Arial" w:cs="Arial" w:eastAsia="Arial" w:hAnsi="Arial"/>
          <w:sz w:val="15"/>
          <w:szCs w:val="15"/>
          <w:color w:val="auto"/>
          <w:strike w:val="1"/>
        </w:rPr>
        <w:t>him</w:t>
      </w:r>
      <w:r>
        <w:rPr>
          <w:rFonts w:ascii="Arial" w:cs="Arial" w:eastAsia="Arial" w:hAnsi="Arial"/>
          <w:sz w:val="15"/>
          <w:szCs w:val="15"/>
          <w:u w:val="single" w:color="auto"/>
          <w:color w:val="auto"/>
        </w:rPr>
        <w:t>them</w:t>
      </w:r>
      <w:r>
        <w:rPr>
          <w:rFonts w:ascii="Arial" w:cs="Arial" w:eastAsia="Arial" w:hAnsi="Arial"/>
          <w:sz w:val="15"/>
          <w:szCs w:val="15"/>
          <w:color w:val="auto"/>
        </w:rPr>
        <w:t xml:space="preserve"> to avoid incurring any such expenditure.</w:t>
      </w:r>
    </w:p>
    <w:p>
      <w:pPr>
        <w:spacing w:after="0" w:line="62"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 xml:space="preserve">25.6 </w:t>
      </w:r>
      <w:r>
        <w:rPr>
          <w:rFonts w:ascii="Arial" w:cs="Arial" w:eastAsia="Arial" w:hAnsi="Arial"/>
          <w:sz w:val="16"/>
          <w:szCs w:val="16"/>
          <w:color w:val="auto"/>
          <w:strike w:val="1"/>
        </w:rPr>
        <w:t>Any</w:t>
      </w:r>
      <w:r>
        <w:rPr>
          <w:rFonts w:ascii="Arial" w:cs="Arial" w:eastAsia="Arial" w:hAnsi="Arial"/>
          <w:sz w:val="16"/>
          <w:szCs w:val="16"/>
          <w:u w:val="single" w:color="auto"/>
          <w:color w:val="auto"/>
        </w:rPr>
        <w:t>Subject to the Companies Act, the Board may enter into an agreement or arrangement with any Director for the provision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any services outside the scope of the ordinary duties of a Director, including but not limited to any</w:t>
      </w:r>
      <w:r>
        <w:rPr>
          <w:rFonts w:ascii="Arial" w:cs="Arial" w:eastAsia="Arial" w:hAnsi="Arial"/>
          <w:sz w:val="16"/>
          <w:szCs w:val="16"/>
          <w:color w:val="auto"/>
        </w:rPr>
        <w:t xml:space="preserve"> Director who holds any executive office or who serves on any committee of the Board </w:t>
      </w:r>
      <w:r>
        <w:rPr>
          <w:rFonts w:ascii="Arial" w:cs="Arial" w:eastAsia="Arial" w:hAnsi="Arial"/>
          <w:sz w:val="16"/>
          <w:szCs w:val="16"/>
          <w:color w:val="auto"/>
          <w:strike w:val="1"/>
        </w:rPr>
        <w:t>or who performs services which the Board considers go</w:t>
      </w:r>
      <w:r>
        <w:rPr>
          <w:rFonts w:ascii="Arial" w:cs="Arial" w:eastAsia="Arial" w:hAnsi="Arial"/>
          <w:sz w:val="16"/>
          <w:szCs w:val="16"/>
          <w:color w:val="auto"/>
        </w:rPr>
        <w:t xml:space="preserve"> </w:t>
      </w:r>
      <w:r>
        <w:rPr>
          <w:rFonts w:ascii="Arial" w:cs="Arial" w:eastAsia="Arial" w:hAnsi="Arial"/>
          <w:sz w:val="16"/>
          <w:szCs w:val="16"/>
          <w:color w:val="auto"/>
          <w:strike w:val="1"/>
        </w:rPr>
        <w:t>beyond the ordinary duties of a Director</w:t>
      </w:r>
      <w:r>
        <w:rPr>
          <w:rFonts w:ascii="Arial" w:cs="Arial" w:eastAsia="Arial" w:hAnsi="Arial"/>
          <w:sz w:val="16"/>
          <w:szCs w:val="16"/>
          <w:u w:val="single" w:color="auto"/>
          <w:color w:val="auto"/>
        </w:rPr>
        <w:t>. Any such agreement or arrangement</w:t>
      </w:r>
      <w:r>
        <w:rPr>
          <w:rFonts w:ascii="Arial" w:cs="Arial" w:eastAsia="Arial" w:hAnsi="Arial"/>
          <w:sz w:val="16"/>
          <w:szCs w:val="16"/>
          <w:color w:val="auto"/>
        </w:rPr>
        <w:t xml:space="preserve"> may be </w:t>
      </w:r>
      <w:r>
        <w:rPr>
          <w:rFonts w:ascii="Arial" w:cs="Arial" w:eastAsia="Arial" w:hAnsi="Arial"/>
          <w:sz w:val="16"/>
          <w:szCs w:val="16"/>
          <w:color w:val="auto"/>
          <w:strike w:val="1"/>
        </w:rPr>
        <w:t>paid such special remuneration</w:t>
      </w:r>
      <w:r>
        <w:rPr>
          <w:rFonts w:ascii="Arial" w:cs="Arial" w:eastAsia="Arial" w:hAnsi="Arial"/>
          <w:sz w:val="16"/>
          <w:szCs w:val="16"/>
          <w:u w:val="single" w:color="auto"/>
          <w:color w:val="auto"/>
        </w:rPr>
        <w:t>made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 such terms and conditions as (subject to the Companies Act) the Board thinks fit and (without prejudice to any other provision of these Articles) they may remunerate any such Director for such services</w:t>
      </w:r>
      <w:r>
        <w:rPr>
          <w:rFonts w:ascii="Arial" w:cs="Arial" w:eastAsia="Arial" w:hAnsi="Arial"/>
          <w:sz w:val="16"/>
          <w:szCs w:val="16"/>
          <w:color w:val="auto"/>
        </w:rPr>
        <w:t xml:space="preserve"> (whether by way of bonus, commission, participation in profits or otherwise) as </w:t>
      </w:r>
      <w:r>
        <w:rPr>
          <w:rFonts w:ascii="Arial" w:cs="Arial" w:eastAsia="Arial" w:hAnsi="Arial"/>
          <w:sz w:val="16"/>
          <w:szCs w:val="16"/>
          <w:color w:val="auto"/>
          <w:strike w:val="1"/>
        </w:rPr>
        <w:t>the Board may determine.</w:t>
      </w:r>
      <w:r>
        <w:rPr>
          <w:rFonts w:ascii="Arial" w:cs="Arial" w:eastAsia="Arial" w:hAnsi="Arial"/>
          <w:sz w:val="16"/>
          <w:szCs w:val="16"/>
          <w:u w:val="single" w:color="auto"/>
          <w:color w:val="auto"/>
        </w:rPr>
        <w:t>it thinks fit. The Board may revoke or vary any such</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appointment but without prejudice to any rights or claims which the person whose appointment is revoked or varied may have against the Company because of the revocation or variation</w:t>
      </w:r>
    </w:p>
    <w:p>
      <w:pPr>
        <w:spacing w:after="0" w:line="51" w:lineRule="exact"/>
        <w:rPr>
          <w:sz w:val="20"/>
          <w:szCs w:val="20"/>
          <w:color w:val="auto"/>
        </w:rPr>
      </w:pPr>
    </w:p>
    <w:p>
      <w:pPr>
        <w:ind w:left="1200" w:hanging="436"/>
        <w:spacing w:after="0"/>
        <w:tabs>
          <w:tab w:leader="none" w:pos="120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[RESERVED]</w:t>
      </w:r>
    </w:p>
    <w:p>
      <w:pPr>
        <w:spacing w:after="0" w:line="99" w:lineRule="exact"/>
        <w:rPr>
          <w:rFonts w:ascii="Arial" w:cs="Arial" w:eastAsia="Arial" w:hAnsi="Arial"/>
          <w:sz w:val="16"/>
          <w:szCs w:val="16"/>
          <w:b w:val="1"/>
          <w:bCs w:val="1"/>
          <w:color w:val="auto"/>
        </w:rPr>
      </w:pPr>
    </w:p>
    <w:p>
      <w:pPr>
        <w:ind w:left="760" w:right="6979" w:firstLine="4"/>
        <w:spacing w:after="0" w:line="374" w:lineRule="auto"/>
        <w:tabs>
          <w:tab w:leader="none" w:pos="1192"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POWERS OF THE BOARD </w:t>
      </w:r>
      <w:r>
        <w:rPr>
          <w:rFonts w:ascii="Arial" w:cs="Arial" w:eastAsia="Arial" w:hAnsi="Arial"/>
          <w:sz w:val="16"/>
          <w:szCs w:val="16"/>
          <w:color w:val="auto"/>
          <w:strike w:val="1"/>
        </w:rPr>
        <w:t>26.1 [RESERVED]</w:t>
      </w:r>
    </w:p>
    <w:p>
      <w:pPr>
        <w:ind w:left="760"/>
        <w:spacing w:after="0"/>
        <w:rPr>
          <w:rFonts w:ascii="Arial" w:cs="Arial" w:eastAsia="Arial" w:hAnsi="Arial"/>
          <w:sz w:val="16"/>
          <w:szCs w:val="16"/>
          <w:b w:val="1"/>
          <w:bCs w:val="1"/>
          <w:color w:val="auto"/>
        </w:rPr>
      </w:pPr>
      <w:r>
        <w:rPr>
          <w:rFonts w:ascii="Arial" w:cs="Arial" w:eastAsia="Arial" w:hAnsi="Arial"/>
          <w:sz w:val="16"/>
          <w:szCs w:val="16"/>
          <w:color w:val="auto"/>
          <w:strike w:val="1"/>
        </w:rPr>
        <w:t>27.1  POWERS OF THE BOARD</w:t>
      </w:r>
    </w:p>
    <w:p>
      <w:pPr>
        <w:spacing w:after="0" w:line="100" w:lineRule="exact"/>
        <w:rPr>
          <w:sz w:val="20"/>
          <w:szCs w:val="20"/>
          <w:color w:val="auto"/>
        </w:rPr>
      </w:pPr>
    </w:p>
    <w:p>
      <w:pPr>
        <w:ind w:left="1200" w:right="299" w:hanging="431"/>
        <w:spacing w:after="0" w:line="262" w:lineRule="auto"/>
        <w:rPr>
          <w:sz w:val="20"/>
          <w:szCs w:val="20"/>
          <w:color w:val="auto"/>
        </w:rPr>
      </w:pPr>
      <w:r>
        <w:rPr>
          <w:rFonts w:ascii="Arial" w:cs="Arial" w:eastAsia="Arial" w:hAnsi="Arial"/>
          <w:sz w:val="15"/>
          <w:szCs w:val="15"/>
          <w:color w:val="auto"/>
        </w:rPr>
        <w:t>27.1 Subject to the provisions of the Companies Act, these Articles and to any directions given by special resolution to take</w:t>
      </w:r>
      <w:r>
        <w:rPr>
          <w:rFonts w:ascii="Arial" w:cs="Arial" w:eastAsia="Arial" w:hAnsi="Arial"/>
          <w:sz w:val="15"/>
          <w:szCs w:val="15"/>
          <w:u w:val="single" w:color="auto"/>
          <w:color w:val="auto"/>
        </w:rPr>
        <w:t>,</w:t>
      </w:r>
      <w:r>
        <w:rPr>
          <w:rFonts w:ascii="Arial" w:cs="Arial" w:eastAsia="Arial" w:hAnsi="Arial"/>
          <w:sz w:val="15"/>
          <w:szCs w:val="15"/>
          <w:color w:val="auto"/>
        </w:rPr>
        <w:t xml:space="preserve"> or refrain from taking, </w:t>
      </w:r>
      <w:r>
        <w:rPr>
          <w:rFonts w:ascii="Arial" w:cs="Arial" w:eastAsia="Arial" w:hAnsi="Arial"/>
          <w:sz w:val="15"/>
          <w:szCs w:val="15"/>
          <w:u w:val="single" w:color="auto"/>
          <w:color w:val="auto"/>
        </w:rPr>
        <w:t>any</w:t>
      </w:r>
      <w:r>
        <w:rPr>
          <w:rFonts w:ascii="Arial" w:cs="Arial" w:eastAsia="Arial" w:hAnsi="Arial"/>
          <w:sz w:val="15"/>
          <w:szCs w:val="15"/>
          <w:color w:val="auto"/>
        </w:rPr>
        <w:t xml:space="preserve">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w:t>
      </w:r>
    </w:p>
    <w:p>
      <w:pPr>
        <w:spacing w:after="0" w:line="4" w:lineRule="exact"/>
        <w:rPr>
          <w:sz w:val="20"/>
          <w:szCs w:val="20"/>
          <w:color w:val="auto"/>
        </w:rPr>
      </w:pPr>
    </w:p>
    <w:p>
      <w:pPr>
        <w:ind w:left="1200" w:right="399"/>
        <w:spacing w:after="0" w:line="260" w:lineRule="auto"/>
        <w:rPr>
          <w:sz w:val="20"/>
          <w:szCs w:val="20"/>
          <w:color w:val="auto"/>
        </w:rPr>
      </w:pPr>
      <w:r>
        <w:rPr>
          <w:rFonts w:ascii="Arial" w:cs="Arial" w:eastAsia="Arial" w:hAnsi="Arial"/>
          <w:sz w:val="16"/>
          <w:szCs w:val="16"/>
          <w:color w:val="auto"/>
        </w:rPr>
        <w:t>27.3 inclusive shall not be limited by any special power given to the Board by these Articles, and a meeting of the Board at which a quorum is present may exercise all powers exercisable by the Board.</w:t>
      </w:r>
    </w:p>
    <w:p>
      <w:pPr>
        <w:spacing w:after="0" w:line="74" w:lineRule="exact"/>
        <w:rPr>
          <w:sz w:val="20"/>
          <w:szCs w:val="20"/>
          <w:color w:val="auto"/>
        </w:rPr>
      </w:pPr>
    </w:p>
    <w:p>
      <w:pPr>
        <w:ind w:left="1200" w:right="339" w:hanging="431"/>
        <w:spacing w:after="0" w:line="251" w:lineRule="auto"/>
        <w:rPr>
          <w:sz w:val="20"/>
          <w:szCs w:val="20"/>
          <w:color w:val="auto"/>
        </w:rPr>
      </w:pPr>
      <w:r>
        <w:rPr>
          <w:rFonts w:ascii="Arial" w:cs="Arial" w:eastAsia="Arial" w:hAnsi="Arial"/>
          <w:sz w:val="16"/>
          <w:szCs w:val="16"/>
          <w:color w:val="auto"/>
        </w:rPr>
        <w:t>27.2 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67" w:lineRule="exact"/>
        <w:rPr>
          <w:sz w:val="20"/>
          <w:szCs w:val="20"/>
          <w:color w:val="auto"/>
        </w:rPr>
      </w:pPr>
    </w:p>
    <w:p>
      <w:pPr>
        <w:jc w:val="both"/>
        <w:ind w:left="1200" w:right="239" w:hanging="431"/>
        <w:spacing w:after="0" w:line="253" w:lineRule="auto"/>
        <w:rPr>
          <w:sz w:val="20"/>
          <w:szCs w:val="20"/>
          <w:color w:val="auto"/>
        </w:rPr>
      </w:pPr>
      <w:r>
        <w:rPr>
          <w:rFonts w:ascii="Arial" w:cs="Arial" w:eastAsia="Arial" w:hAnsi="Arial"/>
          <w:sz w:val="16"/>
          <w:szCs w:val="16"/>
          <w:color w:val="auto"/>
        </w:rPr>
        <w:t>27.3 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80" w:lineRule="exact"/>
        <w:rPr>
          <w:sz w:val="20"/>
          <w:szCs w:val="20"/>
          <w:color w:val="auto"/>
        </w:rPr>
      </w:pPr>
    </w:p>
    <w:p>
      <w:pPr>
        <w:ind w:left="1200" w:right="219" w:hanging="431"/>
        <w:spacing w:after="0" w:line="251" w:lineRule="auto"/>
        <w:rPr>
          <w:sz w:val="20"/>
          <w:szCs w:val="20"/>
          <w:color w:val="auto"/>
        </w:rPr>
      </w:pPr>
      <w:r>
        <w:rPr>
          <w:rFonts w:ascii="Arial" w:cs="Arial" w:eastAsia="Arial" w:hAnsi="Arial"/>
          <w:sz w:val="16"/>
          <w:szCs w:val="16"/>
          <w:color w:val="auto"/>
        </w:rPr>
        <w:t>27.4 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61" w:lineRule="exact"/>
        <w:rPr>
          <w:sz w:val="20"/>
          <w:szCs w:val="20"/>
          <w:color w:val="auto"/>
        </w:rPr>
      </w:pPr>
    </w:p>
    <w:p>
      <w:pPr>
        <w:ind w:left="1200" w:hanging="436"/>
        <w:spacing w:after="0"/>
        <w:tabs>
          <w:tab w:leader="none" w:pos="120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w:t>
      </w:r>
      <w:r>
        <w:rPr>
          <w:rFonts w:ascii="Arial" w:cs="Arial" w:eastAsia="Arial" w:hAnsi="Arial"/>
          <w:sz w:val="16"/>
          <w:szCs w:val="16"/>
          <w:b w:val="1"/>
          <w:bCs w:val="1"/>
          <w:color w:val="auto"/>
          <w:strike w:val="1"/>
        </w:rPr>
        <w:t>NASDAQ</w:t>
      </w:r>
      <w:r>
        <w:rPr>
          <w:rFonts w:ascii="Arial" w:cs="Arial" w:eastAsia="Arial" w:hAnsi="Arial"/>
          <w:sz w:val="16"/>
          <w:szCs w:val="16"/>
          <w:b w:val="1"/>
          <w:bCs w:val="1"/>
          <w:u w:val="single" w:color="auto"/>
          <w:color w:val="auto"/>
        </w:rPr>
        <w:t>RELEVANT</w:t>
      </w:r>
      <w:r>
        <w:rPr>
          <w:rFonts w:ascii="Arial" w:cs="Arial" w:eastAsia="Arial" w:hAnsi="Arial"/>
          <w:sz w:val="16"/>
          <w:szCs w:val="16"/>
          <w:b w:val="1"/>
          <w:bCs w:val="1"/>
          <w:color w:val="auto"/>
        </w:rPr>
        <w:t xml:space="preserve"> RULES</w:t>
      </w:r>
    </w:p>
    <w:p>
      <w:pPr>
        <w:spacing w:after="0" w:line="106" w:lineRule="exact"/>
        <w:rPr>
          <w:sz w:val="20"/>
          <w:szCs w:val="20"/>
          <w:color w:val="auto"/>
        </w:rPr>
      </w:pPr>
    </w:p>
    <w:p>
      <w:pPr>
        <w:ind w:left="1200" w:right="479" w:hanging="431"/>
        <w:spacing w:after="0" w:line="251" w:lineRule="auto"/>
        <w:rPr>
          <w:sz w:val="20"/>
          <w:szCs w:val="20"/>
          <w:color w:val="auto"/>
        </w:rPr>
      </w:pPr>
      <w:r>
        <w:rPr>
          <w:rFonts w:ascii="Arial" w:cs="Arial" w:eastAsia="Arial" w:hAnsi="Arial"/>
          <w:sz w:val="16"/>
          <w:szCs w:val="16"/>
          <w:color w:val="auto"/>
        </w:rPr>
        <w:t xml:space="preserve">28.1 For as long as the Ordinary Shares are listed on </w:t>
      </w:r>
      <w:r>
        <w:rPr>
          <w:rFonts w:ascii="Arial" w:cs="Arial" w:eastAsia="Arial" w:hAnsi="Arial"/>
          <w:sz w:val="16"/>
          <w:szCs w:val="16"/>
          <w:u w:val="single" w:color="auto"/>
          <w:color w:val="auto"/>
        </w:rPr>
        <w:t>any Exchange in</w:t>
      </w:r>
      <w:r>
        <w:rPr>
          <w:rFonts w:ascii="Arial" w:cs="Arial" w:eastAsia="Arial" w:hAnsi="Arial"/>
          <w:sz w:val="16"/>
          <w:szCs w:val="16"/>
          <w:color w:val="auto"/>
        </w:rPr>
        <w:t xml:space="preserve"> the </w:t>
      </w:r>
      <w:r>
        <w:rPr>
          <w:rFonts w:ascii="Arial" w:cs="Arial" w:eastAsia="Arial" w:hAnsi="Arial"/>
          <w:sz w:val="16"/>
          <w:szCs w:val="16"/>
          <w:color w:val="auto"/>
          <w:strike w:val="1"/>
        </w:rPr>
        <w:t>NASDAQ</w:t>
      </w:r>
      <w:r>
        <w:rPr>
          <w:rFonts w:ascii="Arial" w:cs="Arial" w:eastAsia="Arial" w:hAnsi="Arial"/>
          <w:sz w:val="16"/>
          <w:szCs w:val="16"/>
          <w:u w:val="single" w:color="auto"/>
          <w:color w:val="auto"/>
        </w:rPr>
        <w:t>United States</w:t>
      </w:r>
      <w:r>
        <w:rPr>
          <w:rFonts w:ascii="Arial" w:cs="Arial" w:eastAsia="Arial" w:hAnsi="Arial"/>
          <w:sz w:val="16"/>
          <w:szCs w:val="16"/>
          <w:color w:val="auto"/>
        </w:rPr>
        <w:t xml:space="preserve">, the Company shall comply with all </w:t>
      </w:r>
      <w:r>
        <w:rPr>
          <w:rFonts w:ascii="Arial" w:cs="Arial" w:eastAsia="Arial" w:hAnsi="Arial"/>
          <w:sz w:val="16"/>
          <w:szCs w:val="16"/>
          <w:color w:val="auto"/>
          <w:strike w:val="1"/>
        </w:rPr>
        <w:t>NASDAQ</w:t>
      </w:r>
      <w:r>
        <w:rPr>
          <w:rFonts w:ascii="Arial" w:cs="Arial" w:eastAsia="Arial" w:hAnsi="Arial"/>
          <w:sz w:val="16"/>
          <w:szCs w:val="16"/>
          <w:color w:val="auto"/>
        </w:rPr>
        <w:t xml:space="preserve"> corporate governance standards </w:t>
      </w:r>
      <w:r>
        <w:rPr>
          <w:rFonts w:ascii="Arial" w:cs="Arial" w:eastAsia="Arial" w:hAnsi="Arial"/>
          <w:sz w:val="16"/>
          <w:szCs w:val="16"/>
          <w:color w:val="auto"/>
          <w:strike w:val="1"/>
        </w:rPr>
        <w:t>set forth in Section 3</w:t>
      </w:r>
      <w:r>
        <w:rPr>
          <w:rFonts w:ascii="Arial" w:cs="Arial" w:eastAsia="Arial" w:hAnsi="Arial"/>
          <w:sz w:val="16"/>
          <w:szCs w:val="16"/>
          <w:u w:val="single" w:color="auto"/>
          <w:color w:val="auto"/>
        </w:rPr>
        <w:t>required by the Relevant Rules</w:t>
      </w:r>
      <w:r>
        <w:rPr>
          <w:rFonts w:ascii="Arial" w:cs="Arial" w:eastAsia="Arial" w:hAnsi="Arial"/>
          <w:sz w:val="16"/>
          <w:szCs w:val="16"/>
          <w:color w:val="auto"/>
        </w:rPr>
        <w:t xml:space="preserve"> of </w:t>
      </w:r>
      <w:r>
        <w:rPr>
          <w:rFonts w:ascii="Arial" w:cs="Arial" w:eastAsia="Arial" w:hAnsi="Arial"/>
          <w:sz w:val="16"/>
          <w:szCs w:val="16"/>
          <w:color w:val="auto"/>
          <w:strike w:val="1"/>
        </w:rPr>
        <w:t>the NASDAQ</w:t>
      </w:r>
      <w:r>
        <w:rPr>
          <w:rFonts w:ascii="Arial" w:cs="Arial" w:eastAsia="Arial" w:hAnsi="Arial"/>
          <w:sz w:val="16"/>
          <w:szCs w:val="16"/>
          <w:color w:val="auto"/>
        </w:rPr>
        <w:t xml:space="preserve"> </w:t>
      </w:r>
      <w:r>
        <w:rPr>
          <w:rFonts w:ascii="Arial" w:cs="Arial" w:eastAsia="Arial" w:hAnsi="Arial"/>
          <w:sz w:val="16"/>
          <w:szCs w:val="16"/>
          <w:color w:val="auto"/>
          <w:strike w:val="1"/>
        </w:rPr>
        <w:t>Listed Company Manual</w:t>
      </w:r>
      <w:r>
        <w:rPr>
          <w:rFonts w:ascii="Arial" w:cs="Arial" w:eastAsia="Arial" w:hAnsi="Arial"/>
          <w:sz w:val="16"/>
          <w:szCs w:val="16"/>
          <w:u w:val="single" w:color="auto"/>
          <w:color w:val="auto"/>
        </w:rPr>
        <w:t>such Exchange</w:t>
      </w:r>
      <w:r>
        <w:rPr>
          <w:rFonts w:ascii="Arial" w:cs="Arial" w:eastAsia="Arial" w:hAnsi="Arial"/>
          <w:sz w:val="16"/>
          <w:szCs w:val="16"/>
          <w:color w:val="auto"/>
        </w:rPr>
        <w:t xml:space="preserve"> applicable to non-controlled domestic U.S. issuers, regardless of whether the Company is a foreign private issuer.</w:t>
      </w:r>
    </w:p>
    <w:p>
      <w:pPr>
        <w:spacing w:after="0" w:line="61" w:lineRule="exact"/>
        <w:rPr>
          <w:sz w:val="20"/>
          <w:szCs w:val="20"/>
          <w:color w:val="auto"/>
        </w:rPr>
      </w:pPr>
    </w:p>
    <w:p>
      <w:pPr>
        <w:ind w:left="1200" w:hanging="436"/>
        <w:spacing w:after="0"/>
        <w:tabs>
          <w:tab w:leader="none" w:pos="1200"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OF DIRECTORS’ POWERS</w:t>
      </w:r>
    </w:p>
    <w:p>
      <w:pPr>
        <w:spacing w:after="0" w:line="120" w:lineRule="exact"/>
        <w:rPr>
          <w:sz w:val="20"/>
          <w:szCs w:val="20"/>
          <w:color w:val="auto"/>
        </w:rPr>
      </w:pPr>
    </w:p>
    <w:p>
      <w:pPr>
        <w:ind w:left="1200" w:right="279" w:hanging="431"/>
        <w:spacing w:after="0" w:line="260" w:lineRule="auto"/>
        <w:rPr>
          <w:sz w:val="20"/>
          <w:szCs w:val="20"/>
          <w:color w:val="auto"/>
        </w:rPr>
      </w:pPr>
      <w:r>
        <w:rPr>
          <w:rFonts w:ascii="Arial" w:cs="Arial" w:eastAsia="Arial" w:hAnsi="Arial"/>
          <w:sz w:val="16"/>
          <w:szCs w:val="16"/>
          <w:color w:val="auto"/>
        </w:rPr>
        <w:t>29.1 Subject to the provisions of these Articles, the Directors may delegate any of the powers which are conferred on them under these Articles:</w:t>
      </w:r>
    </w:p>
    <w:p>
      <w:pPr>
        <w:spacing w:after="0" w:line="60" w:lineRule="exact"/>
        <w:rPr>
          <w:sz w:val="20"/>
          <w:szCs w:val="20"/>
          <w:color w:val="auto"/>
        </w:rPr>
      </w:pPr>
    </w:p>
    <w:p>
      <w:pPr>
        <w:ind w:left="1620" w:right="499" w:hanging="424"/>
        <w:spacing w:after="0" w:line="260" w:lineRule="auto"/>
        <w:tabs>
          <w:tab w:leader="none" w:pos="16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a committee consisting of one or more Directors and (if thought fit) one or more other persons, to such an extent and on such terms and conditions as the Board thinks fit; or</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such person by such means (including by power of attorney), to such an extent, and on such terms and conditions,</w:t>
      </w:r>
    </w:p>
    <w:p>
      <w:pPr>
        <w:spacing w:after="0" w:line="11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A-24</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740"/>
        <w:spacing w:after="0" w:line="260" w:lineRule="auto"/>
        <w:rPr>
          <w:sz w:val="20"/>
          <w:szCs w:val="20"/>
          <w:color w:val="auto"/>
        </w:rPr>
      </w:pPr>
      <w:r>
        <w:rPr>
          <w:rFonts w:ascii="Arial" w:cs="Arial" w:eastAsia="Arial" w:hAnsi="Arial"/>
          <w:sz w:val="16"/>
          <w:szCs w:val="16"/>
          <w:color w:val="auto"/>
        </w:rPr>
        <w:t xml:space="preserve">as they think fit including delegation to any Director holding any executive office such of its powers as the Board considers desirable to be exercised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w:t>
      </w:r>
    </w:p>
    <w:p>
      <w:pPr>
        <w:spacing w:after="0" w:line="74" w:lineRule="exact"/>
        <w:rPr>
          <w:sz w:val="20"/>
          <w:szCs w:val="20"/>
          <w:color w:val="auto"/>
        </w:rPr>
      </w:pPr>
    </w:p>
    <w:p>
      <w:pPr>
        <w:jc w:val="both"/>
        <w:ind w:left="1200" w:right="540"/>
        <w:spacing w:after="0" w:line="251" w:lineRule="auto"/>
        <w:rPr>
          <w:sz w:val="20"/>
          <w:szCs w:val="20"/>
          <w:color w:val="auto"/>
        </w:rPr>
      </w:pPr>
      <w:r>
        <w:rPr>
          <w:rFonts w:ascii="Arial" w:cs="Arial" w:eastAsia="Arial" w:hAnsi="Arial"/>
          <w:sz w:val="16"/>
          <w:szCs w:val="16"/>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81" w:lineRule="exact"/>
        <w:rPr>
          <w:sz w:val="20"/>
          <w:szCs w:val="20"/>
          <w:color w:val="auto"/>
        </w:rPr>
      </w:pPr>
    </w:p>
    <w:p>
      <w:pPr>
        <w:ind w:left="1200" w:right="320" w:hanging="431"/>
        <w:spacing w:after="0" w:line="260" w:lineRule="auto"/>
        <w:rPr>
          <w:sz w:val="20"/>
          <w:szCs w:val="20"/>
          <w:color w:val="auto"/>
        </w:rPr>
      </w:pPr>
      <w:r>
        <w:rPr>
          <w:rFonts w:ascii="Arial" w:cs="Arial" w:eastAsia="Arial" w:hAnsi="Arial"/>
          <w:sz w:val="16"/>
          <w:szCs w:val="16"/>
          <w:color w:val="auto"/>
        </w:rPr>
        <w:t>29.2 The power to delegate under Article 29.1 includes the power to delegate the determination of any fee, remuneration or other benefit which may be paid or provided to any Director.</w:t>
      </w:r>
    </w:p>
    <w:p>
      <w:pPr>
        <w:spacing w:after="0" w:line="60"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29.3  The Board may appoint any person to any office or employment having a designation or title including the word “director” or</w:t>
      </w:r>
    </w:p>
    <w:p>
      <w:pPr>
        <w:spacing w:after="0" w:line="17" w:lineRule="exact"/>
        <w:rPr>
          <w:sz w:val="20"/>
          <w:szCs w:val="20"/>
          <w:color w:val="auto"/>
        </w:rPr>
      </w:pPr>
    </w:p>
    <w:p>
      <w:pPr>
        <w:ind w:left="1200" w:right="300"/>
        <w:spacing w:after="0" w:line="251" w:lineRule="auto"/>
        <w:rPr>
          <w:sz w:val="20"/>
          <w:szCs w:val="20"/>
          <w:color w:val="auto"/>
        </w:rPr>
      </w:pPr>
      <w:r>
        <w:rPr>
          <w:rFonts w:ascii="Arial" w:cs="Arial" w:eastAsia="Arial" w:hAnsi="Arial"/>
          <w:sz w:val="16"/>
          <w:szCs w:val="16"/>
          <w:color w:val="auto"/>
        </w:rPr>
        <w:t>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Committees</w:t>
      </w:r>
    </w:p>
    <w:p>
      <w:pPr>
        <w:spacing w:after="0" w:line="120" w:lineRule="exact"/>
        <w:rPr>
          <w:sz w:val="20"/>
          <w:szCs w:val="20"/>
          <w:color w:val="auto"/>
        </w:rPr>
      </w:pPr>
    </w:p>
    <w:p>
      <w:pPr>
        <w:ind w:left="1200" w:right="460" w:hanging="431"/>
        <w:spacing w:after="0" w:line="251" w:lineRule="auto"/>
        <w:rPr>
          <w:sz w:val="20"/>
          <w:szCs w:val="20"/>
          <w:color w:val="auto"/>
        </w:rPr>
      </w:pPr>
      <w:r>
        <w:rPr>
          <w:rFonts w:ascii="Arial" w:cs="Arial" w:eastAsia="Arial" w:hAnsi="Arial"/>
          <w:sz w:val="16"/>
          <w:szCs w:val="16"/>
          <w:color w:val="auto"/>
        </w:rPr>
        <w:t xml:space="preserve">29.4 Subject to Article 29.5, the proceedings of any committee appointed under paragraph (a) of Article 29.1 with two or more members shall be governed by such of these Articles as regulate the proceedings of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the Board</w:t>
      </w:r>
      <w:r>
        <w:rPr>
          <w:rFonts w:ascii="Arial" w:cs="Arial" w:eastAsia="Arial" w:hAnsi="Arial"/>
          <w:sz w:val="16"/>
          <w:szCs w:val="16"/>
          <w:color w:val="auto"/>
        </w:rPr>
        <w:t xml:space="preserve"> so far as they are capable of applying, and the quorum at a meeting of any such committee </w:t>
      </w:r>
      <w:r>
        <w:rPr>
          <w:rFonts w:ascii="Arial" w:cs="Arial" w:eastAsia="Arial" w:hAnsi="Arial"/>
          <w:sz w:val="16"/>
          <w:szCs w:val="16"/>
          <w:u w:val="single" w:color="auto"/>
          <w:color w:val="auto"/>
        </w:rPr>
        <w:t>may be fixed by the Board and unless so fixed</w:t>
      </w:r>
      <w:r>
        <w:rPr>
          <w:rFonts w:ascii="Arial" w:cs="Arial" w:eastAsia="Arial" w:hAnsi="Arial"/>
          <w:sz w:val="16"/>
          <w:szCs w:val="16"/>
          <w:color w:val="auto"/>
        </w:rPr>
        <w:t xml:space="preserve"> shall be two.</w:t>
      </w:r>
    </w:p>
    <w:p>
      <w:pPr>
        <w:spacing w:after="0" w:line="67" w:lineRule="exact"/>
        <w:rPr>
          <w:sz w:val="20"/>
          <w:szCs w:val="20"/>
          <w:color w:val="auto"/>
        </w:rPr>
      </w:pPr>
    </w:p>
    <w:p>
      <w:pPr>
        <w:ind w:left="1200" w:right="300" w:hanging="431"/>
        <w:spacing w:after="0" w:line="251" w:lineRule="auto"/>
        <w:rPr>
          <w:sz w:val="20"/>
          <w:szCs w:val="20"/>
          <w:color w:val="auto"/>
        </w:rPr>
      </w:pPr>
      <w:r>
        <w:rPr>
          <w:rFonts w:ascii="Arial" w:cs="Arial" w:eastAsia="Arial" w:hAnsi="Arial"/>
          <w:sz w:val="16"/>
          <w:szCs w:val="16"/>
          <w:color w:val="auto"/>
        </w:rPr>
        <w:t xml:space="preserve">29.5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make rules regulating the proceedings of such committees. For as long as the Ordinary Shares are listed on </w:t>
      </w:r>
      <w:r>
        <w:rPr>
          <w:rFonts w:ascii="Arial" w:cs="Arial" w:eastAsia="Arial" w:hAnsi="Arial"/>
          <w:sz w:val="16"/>
          <w:szCs w:val="16"/>
          <w:color w:val="auto"/>
          <w:strike w:val="1"/>
        </w:rPr>
        <w:t>the NASDAQ</w:t>
      </w:r>
      <w:r>
        <w:rPr>
          <w:rFonts w:ascii="Arial" w:cs="Arial" w:eastAsia="Arial" w:hAnsi="Arial"/>
          <w:sz w:val="16"/>
          <w:szCs w:val="16"/>
          <w:u w:val="single" w:color="auto"/>
          <w:color w:val="auto"/>
        </w:rPr>
        <w:t>any Exchange</w:t>
      </w:r>
      <w:r>
        <w:rPr>
          <w:rFonts w:ascii="Arial" w:cs="Arial" w:eastAsia="Arial" w:hAnsi="Arial"/>
          <w:sz w:val="16"/>
          <w:szCs w:val="16"/>
          <w:color w:val="auto"/>
        </w:rPr>
        <w:t xml:space="preserve">, all committees shall comply with the </w:t>
      </w:r>
      <w:r>
        <w:rPr>
          <w:rFonts w:ascii="Arial" w:cs="Arial" w:eastAsia="Arial" w:hAnsi="Arial"/>
          <w:sz w:val="16"/>
          <w:szCs w:val="16"/>
          <w:color w:val="auto"/>
          <w:strike w:val="1"/>
        </w:rPr>
        <w:t>applicable rules of the NASDAQ</w:t>
      </w:r>
      <w:r>
        <w:rPr>
          <w:rFonts w:ascii="Arial" w:cs="Arial" w:eastAsia="Arial" w:hAnsi="Arial"/>
          <w:sz w:val="16"/>
          <w:szCs w:val="16"/>
          <w:u w:val="single" w:color="auto"/>
          <w:color w:val="auto"/>
        </w:rPr>
        <w:t>Relevant Rules</w:t>
      </w:r>
      <w:r>
        <w:rPr>
          <w:rFonts w:ascii="Arial" w:cs="Arial" w:eastAsia="Arial" w:hAnsi="Arial"/>
          <w:sz w:val="16"/>
          <w:szCs w:val="16"/>
          <w:color w:val="auto"/>
        </w:rPr>
        <w:t xml:space="preserve"> applicable to non-controlled domestic US issuers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 such Exchange.</w:t>
      </w:r>
      <w:r>
        <w:rPr>
          <w:rFonts w:ascii="Arial" w:cs="Arial" w:eastAsia="Arial" w:hAnsi="Arial"/>
          <w:sz w:val="16"/>
          <w:szCs w:val="16"/>
          <w:color w:val="auto"/>
        </w:rPr>
        <w:t xml:space="preserve">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otherwise make rules of procedure for all or any committees, which prevail over rules derived from </w:t>
      </w:r>
      <w:r>
        <w:rPr>
          <w:rFonts w:ascii="Arial" w:cs="Arial" w:eastAsia="Arial" w:hAnsi="Arial"/>
          <w:sz w:val="16"/>
          <w:szCs w:val="16"/>
          <w:color w:val="auto"/>
          <w:strike w:val="1"/>
        </w:rPr>
        <w:t>the</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Articles.</w:t>
      </w:r>
    </w:p>
    <w:p>
      <w:pPr>
        <w:spacing w:after="0" w:line="61" w:lineRule="exact"/>
        <w:rPr>
          <w:sz w:val="20"/>
          <w:szCs w:val="20"/>
          <w:color w:val="auto"/>
        </w:rPr>
      </w:pPr>
    </w:p>
    <w:p>
      <w:pPr>
        <w:ind w:left="1200" w:hanging="436"/>
        <w:spacing w:after="0"/>
        <w:tabs>
          <w:tab w:leader="none" w:pos="120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DISQUALIFICATION AND REMOVAL OF DIRECTORS</w:t>
      </w:r>
    </w:p>
    <w:p>
      <w:pPr>
        <w:spacing w:after="0" w:line="119"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6"/>
          <w:szCs w:val="16"/>
          <w:color w:val="auto"/>
        </w:rPr>
        <w:t>30.1  A person ceases to be a Director if:</w:t>
      </w:r>
    </w:p>
    <w:p>
      <w:pPr>
        <w:spacing w:after="0" w:line="86" w:lineRule="exact"/>
        <w:rPr>
          <w:rFonts w:ascii="Arial" w:cs="Arial" w:eastAsia="Arial" w:hAnsi="Arial"/>
          <w:sz w:val="16"/>
          <w:szCs w:val="16"/>
          <w:b w:val="1"/>
          <w:bCs w:val="1"/>
          <w:color w:val="auto"/>
        </w:rPr>
      </w:pPr>
    </w:p>
    <w:p>
      <w:pPr>
        <w:ind w:left="1620" w:hanging="424"/>
        <w:spacing w:after="0"/>
        <w:tabs>
          <w:tab w:leader="none" w:pos="16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the period expires, if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been appointed for a fixed period;</w:t>
      </w:r>
    </w:p>
    <w:p>
      <w:pPr>
        <w:spacing w:after="0" w:line="99" w:lineRule="exact"/>
        <w:rPr>
          <w:rFonts w:ascii="Arial" w:cs="Arial" w:eastAsia="Arial" w:hAnsi="Arial"/>
          <w:sz w:val="16"/>
          <w:szCs w:val="16"/>
          <w:color w:val="auto"/>
        </w:rPr>
      </w:pPr>
    </w:p>
    <w:p>
      <w:pPr>
        <w:ind w:left="1620" w:right="480" w:hanging="424"/>
        <w:spacing w:after="0" w:line="260" w:lineRule="auto"/>
        <w:tabs>
          <w:tab w:leader="none" w:pos="1620" w:val="left"/>
        </w:tabs>
        <w:numPr>
          <w:ilvl w:val="1"/>
          <w:numId w:val="166"/>
        </w:numPr>
        <w:rPr>
          <w:rFonts w:ascii="Arial" w:cs="Arial" w:eastAsia="Arial" w:hAnsi="Arial"/>
          <w:sz w:val="16"/>
          <w:szCs w:val="16"/>
          <w:color w:val="auto"/>
        </w:rPr>
      </w:pP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ceases to be a Director by virtue of any provision of the Companies Act (including, without limitation, section 168 of the Companies Act) or </w:t>
      </w:r>
      <w:r>
        <w:rPr>
          <w:rFonts w:ascii="Arial" w:cs="Arial" w:eastAsia="Arial" w:hAnsi="Arial"/>
          <w:sz w:val="16"/>
          <w:szCs w:val="16"/>
          <w:color w:val="auto"/>
          <w:strike w:val="1"/>
        </w:rPr>
        <w:t>he becomes</w:t>
      </w:r>
      <w:r>
        <w:rPr>
          <w:rFonts w:ascii="Arial" w:cs="Arial" w:eastAsia="Arial" w:hAnsi="Arial"/>
          <w:sz w:val="16"/>
          <w:szCs w:val="16"/>
          <w:u w:val="single" w:color="auto"/>
          <w:color w:val="auto"/>
        </w:rPr>
        <w:t>they become</w:t>
      </w:r>
      <w:r>
        <w:rPr>
          <w:rFonts w:ascii="Arial" w:cs="Arial" w:eastAsia="Arial" w:hAnsi="Arial"/>
          <w:sz w:val="16"/>
          <w:szCs w:val="16"/>
          <w:color w:val="auto"/>
        </w:rPr>
        <w:t xml:space="preserve"> prohibited by law from being a Director;</w:t>
      </w:r>
    </w:p>
    <w:p>
      <w:pPr>
        <w:spacing w:after="0" w:line="73" w:lineRule="exact"/>
        <w:rPr>
          <w:rFonts w:ascii="Arial" w:cs="Arial" w:eastAsia="Arial" w:hAnsi="Arial"/>
          <w:sz w:val="16"/>
          <w:szCs w:val="16"/>
          <w:color w:val="auto"/>
        </w:rPr>
      </w:pPr>
    </w:p>
    <w:p>
      <w:pPr>
        <w:ind w:left="1620" w:right="420" w:hanging="424"/>
        <w:spacing w:after="0" w:line="260" w:lineRule="auto"/>
        <w:tabs>
          <w:tab w:leader="none" w:pos="1620" w:val="left"/>
        </w:tabs>
        <w:numPr>
          <w:ilvl w:val="1"/>
          <w:numId w:val="166"/>
        </w:numPr>
        <w:rPr>
          <w:rFonts w:ascii="Arial" w:cs="Arial" w:eastAsia="Arial" w:hAnsi="Arial"/>
          <w:sz w:val="16"/>
          <w:szCs w:val="16"/>
          <w:color w:val="auto"/>
        </w:rPr>
      </w:pP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deemed unfit or has otherwise been requested to be removed from office by any regulatory authority in any applicable jurisdiction;</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1"/>
          <w:numId w:val="166"/>
        </w:numPr>
        <w:rPr>
          <w:rFonts w:ascii="Arial" w:cs="Arial" w:eastAsia="Arial" w:hAnsi="Arial"/>
          <w:sz w:val="16"/>
          <w:szCs w:val="16"/>
          <w:color w:val="auto"/>
        </w:rPr>
      </w:pPr>
      <w:r>
        <w:rPr>
          <w:rFonts w:ascii="Arial" w:cs="Arial" w:eastAsia="Arial" w:hAnsi="Arial"/>
          <w:sz w:val="16"/>
          <w:szCs w:val="16"/>
          <w:color w:val="auto"/>
          <w:strike w:val="1"/>
        </w:rPr>
        <w:t>he becomes</w:t>
      </w:r>
      <w:r>
        <w:rPr>
          <w:rFonts w:ascii="Arial" w:cs="Arial" w:eastAsia="Arial" w:hAnsi="Arial"/>
          <w:sz w:val="16"/>
          <w:szCs w:val="16"/>
          <w:u w:val="single" w:color="auto"/>
          <w:color w:val="auto"/>
        </w:rPr>
        <w:t>they become</w:t>
      </w:r>
      <w:r>
        <w:rPr>
          <w:rFonts w:ascii="Arial" w:cs="Arial" w:eastAsia="Arial" w:hAnsi="Arial"/>
          <w:sz w:val="16"/>
          <w:szCs w:val="16"/>
          <w:color w:val="auto"/>
        </w:rPr>
        <w:t xml:space="preserve"> bankrupt or </w:t>
      </w:r>
      <w:r>
        <w:rPr>
          <w:rFonts w:ascii="Arial" w:cs="Arial" w:eastAsia="Arial" w:hAnsi="Arial"/>
          <w:sz w:val="16"/>
          <w:szCs w:val="16"/>
          <w:color w:val="auto"/>
          <w:strike w:val="1"/>
        </w:rPr>
        <w:t>makes</w:t>
      </w:r>
      <w:r>
        <w:rPr>
          <w:rFonts w:ascii="Arial" w:cs="Arial" w:eastAsia="Arial" w:hAnsi="Arial"/>
          <w:sz w:val="16"/>
          <w:szCs w:val="16"/>
          <w:u w:val="single" w:color="auto"/>
          <w:color w:val="auto"/>
        </w:rPr>
        <w:t>make</w:t>
      </w:r>
      <w:r>
        <w:rPr>
          <w:rFonts w:ascii="Arial" w:cs="Arial" w:eastAsia="Arial" w:hAnsi="Arial"/>
          <w:sz w:val="16"/>
          <w:szCs w:val="16"/>
          <w:color w:val="auto"/>
        </w:rPr>
        <w:t xml:space="preserve"> any arrangement or composition with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creditors generally;</w:t>
      </w:r>
    </w:p>
    <w:p>
      <w:pPr>
        <w:spacing w:after="0" w:line="99" w:lineRule="exact"/>
        <w:rPr>
          <w:rFonts w:ascii="Arial" w:cs="Arial" w:eastAsia="Arial" w:hAnsi="Arial"/>
          <w:sz w:val="16"/>
          <w:szCs w:val="16"/>
          <w:color w:val="auto"/>
        </w:rPr>
      </w:pPr>
    </w:p>
    <w:p>
      <w:pPr>
        <w:ind w:left="1620" w:right="500" w:hanging="424"/>
        <w:spacing w:after="0" w:line="253" w:lineRule="auto"/>
        <w:tabs>
          <w:tab w:leader="none" w:pos="16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79" w:lineRule="exact"/>
        <w:rPr>
          <w:rFonts w:ascii="Arial" w:cs="Arial" w:eastAsia="Arial" w:hAnsi="Arial"/>
          <w:sz w:val="16"/>
          <w:szCs w:val="16"/>
          <w:color w:val="auto"/>
        </w:rPr>
      </w:pPr>
    </w:p>
    <w:p>
      <w:pPr>
        <w:ind w:left="1620" w:right="380" w:hanging="424"/>
        <w:spacing w:after="0" w:line="260" w:lineRule="auto"/>
        <w:tabs>
          <w:tab w:leader="none" w:pos="1620" w:val="left"/>
        </w:tabs>
        <w:numPr>
          <w:ilvl w:val="1"/>
          <w:numId w:val="166"/>
        </w:numPr>
        <w:rPr>
          <w:rFonts w:ascii="Arial" w:cs="Arial" w:eastAsia="Arial" w:hAnsi="Arial"/>
          <w:sz w:val="16"/>
          <w:szCs w:val="16"/>
          <w:color w:val="auto"/>
          <w:strike w:val="1"/>
        </w:rPr>
      </w:pPr>
      <w:r>
        <w:rPr>
          <w:rFonts w:ascii="Arial" w:cs="Arial" w:eastAsia="Arial" w:hAnsi="Arial"/>
          <w:sz w:val="16"/>
          <w:szCs w:val="16"/>
          <w:color w:val="auto"/>
          <w:strike w:val="1"/>
        </w:rPr>
        <w:t>by reason of his mental health a court makes an order which wholly or partly prevents him from personally exercising any powers or rights he would otherwise have;</w:t>
      </w:r>
    </w:p>
    <w:p>
      <w:pPr>
        <w:spacing w:after="0" w:line="60" w:lineRule="exact"/>
        <w:rPr>
          <w:sz w:val="20"/>
          <w:szCs w:val="20"/>
          <w:color w:val="auto"/>
        </w:rPr>
      </w:pPr>
    </w:p>
    <w:p>
      <w:pPr>
        <w:ind w:left="1620" w:right="700" w:hanging="424"/>
        <w:spacing w:after="0" w:line="260" w:lineRule="auto"/>
        <w:tabs>
          <w:tab w:leader="none" w:pos="1620" w:val="left"/>
        </w:tabs>
        <w:numPr>
          <w:ilvl w:val="0"/>
          <w:numId w:val="167"/>
        </w:numPr>
        <w:rPr>
          <w:rFonts w:ascii="Arial" w:cs="Arial" w:eastAsia="Arial" w:hAnsi="Arial"/>
          <w:sz w:val="16"/>
          <w:szCs w:val="16"/>
          <w:u w:val="single" w:color="auto"/>
          <w:color w:val="auto"/>
        </w:rPr>
      </w:pPr>
      <w:r>
        <w:rPr>
          <w:rFonts w:ascii="Arial" w:cs="Arial" w:eastAsia="Arial" w:hAnsi="Arial"/>
          <w:sz w:val="16"/>
          <w:szCs w:val="16"/>
          <w:color w:val="auto"/>
          <w:strike w:val="1"/>
        </w:rPr>
        <w:t>he resigns his</w:t>
      </w:r>
      <w:r>
        <w:rPr>
          <w:rFonts w:ascii="Arial" w:cs="Arial" w:eastAsia="Arial" w:hAnsi="Arial"/>
          <w:sz w:val="16"/>
          <w:szCs w:val="16"/>
          <w:u w:val="single" w:color="auto"/>
          <w:color w:val="auto"/>
        </w:rPr>
        <w:t>they resign their</w:t>
      </w:r>
      <w:r>
        <w:rPr>
          <w:rFonts w:ascii="Arial" w:cs="Arial" w:eastAsia="Arial" w:hAnsi="Arial"/>
          <w:sz w:val="16"/>
          <w:szCs w:val="16"/>
          <w:color w:val="auto"/>
        </w:rPr>
        <w:t xml:space="preserve"> office by notice in writing to the Company and such resignation has taken effect in accordance with its terms;</w:t>
      </w:r>
    </w:p>
    <w:p>
      <w:pPr>
        <w:spacing w:after="0" w:line="74" w:lineRule="exact"/>
        <w:rPr>
          <w:sz w:val="20"/>
          <w:szCs w:val="20"/>
          <w:color w:val="auto"/>
        </w:rPr>
      </w:pPr>
    </w:p>
    <w:p>
      <w:pPr>
        <w:ind w:left="1620" w:right="320" w:hanging="431"/>
        <w:spacing w:after="0" w:line="260" w:lineRule="auto"/>
        <w:rPr>
          <w:sz w:val="20"/>
          <w:szCs w:val="20"/>
          <w:color w:val="auto"/>
        </w:rPr>
      </w:pPr>
      <w:r>
        <w:rPr>
          <w:rFonts w:ascii="Arial" w:cs="Arial" w:eastAsia="Arial" w:hAnsi="Arial"/>
          <w:sz w:val="16"/>
          <w:szCs w:val="16"/>
          <w:color w:val="auto"/>
          <w:strike w:val="1"/>
        </w:rPr>
        <w:t>(h)</w:t>
      </w:r>
      <w:r>
        <w:rPr>
          <w:rFonts w:ascii="Arial" w:cs="Arial" w:eastAsia="Arial" w:hAnsi="Arial"/>
          <w:sz w:val="16"/>
          <w:szCs w:val="16"/>
          <w:u w:val="single" w:color="auto"/>
          <w:color w:val="auto"/>
        </w:rPr>
        <w:t>(g)</w:t>
      </w:r>
      <w:r>
        <w:rPr>
          <w:rFonts w:ascii="Arial" w:cs="Arial" w:eastAsia="Arial" w:hAnsi="Arial"/>
          <w:sz w:val="16"/>
          <w:szCs w:val="16"/>
          <w:color w:val="auto"/>
        </w:rPr>
        <w:t xml:space="preserve"> in the case of a Director who holds any executive office,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as such is terminated or expires and the Board resolves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should cease to be a Director;</w:t>
      </w:r>
    </w:p>
    <w:p>
      <w:pPr>
        <w:spacing w:after="0" w:line="60" w:lineRule="exact"/>
        <w:rPr>
          <w:sz w:val="20"/>
          <w:szCs w:val="20"/>
          <w:color w:val="auto"/>
        </w:rPr>
      </w:pPr>
    </w:p>
    <w:p>
      <w:pPr>
        <w:ind w:left="1620" w:right="240" w:hanging="431"/>
        <w:spacing w:after="0" w:line="260" w:lineRule="auto"/>
        <w:rPr>
          <w:sz w:val="20"/>
          <w:szCs w:val="20"/>
          <w:color w:val="auto"/>
        </w:rPr>
      </w:pPr>
      <w:r>
        <w:rPr>
          <w:rFonts w:ascii="Arial" w:cs="Arial" w:eastAsia="Arial" w:hAnsi="Arial"/>
          <w:sz w:val="16"/>
          <w:szCs w:val="16"/>
          <w:color w:val="auto"/>
          <w:strike w:val="1"/>
        </w:rPr>
        <w:t>(i)</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absent for more than six consecutive months without permission of the Board from meetings of the Board held during that period and the Board resolves that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should cease to be a Director; or</w:t>
      </w:r>
    </w:p>
    <w:p>
      <w:pPr>
        <w:spacing w:after="0" w:line="74" w:lineRule="exact"/>
        <w:rPr>
          <w:sz w:val="20"/>
          <w:szCs w:val="20"/>
          <w:color w:val="auto"/>
        </w:rPr>
      </w:pPr>
    </w:p>
    <w:p>
      <w:pPr>
        <w:ind w:left="1200"/>
        <w:spacing w:after="0"/>
        <w:tabs>
          <w:tab w:leader="none" w:pos="1600" w:val="left"/>
        </w:tabs>
        <w:rPr>
          <w:sz w:val="20"/>
          <w:szCs w:val="20"/>
          <w:color w:val="auto"/>
        </w:rPr>
      </w:pPr>
      <w:r>
        <w:rPr>
          <w:rFonts w:ascii="Arial" w:cs="Arial" w:eastAsia="Arial" w:hAnsi="Arial"/>
          <w:sz w:val="16"/>
          <w:szCs w:val="16"/>
          <w:color w:val="auto"/>
        </w:rPr>
        <w:t>(j)</w:t>
      </w:r>
      <w:r>
        <w:rPr>
          <w:rFonts w:ascii="Arial" w:cs="Arial" w:eastAsia="Arial" w:hAnsi="Arial"/>
          <w:sz w:val="16"/>
          <w:szCs w:val="16"/>
          <w:u w:val="single" w:color="auto"/>
          <w:color w:val="auto"/>
        </w:rPr>
        <w:t>(i)</w:t>
      </w:r>
      <w:r>
        <w:rPr>
          <w:sz w:val="20"/>
          <w:szCs w:val="20"/>
          <w:color w:val="auto"/>
        </w:rPr>
        <w:tab/>
      </w:r>
      <w:r>
        <w:rPr>
          <w:rFonts w:ascii="Arial" w:cs="Arial" w:eastAsia="Arial" w:hAnsi="Arial"/>
          <w:sz w:val="15"/>
          <w:szCs w:val="15"/>
          <w:color w:val="auto"/>
          <w:strike w:val="1"/>
        </w:rPr>
        <w:t>he dies</w:t>
      </w:r>
      <w:r>
        <w:rPr>
          <w:rFonts w:ascii="Arial" w:cs="Arial" w:eastAsia="Arial" w:hAnsi="Arial"/>
          <w:sz w:val="15"/>
          <w:szCs w:val="15"/>
          <w:u w:val="single" w:color="auto"/>
          <w:color w:val="auto"/>
          <w:strike w:val="1"/>
        </w:rPr>
        <w:t>they die</w:t>
      </w:r>
      <w:r>
        <w:rPr>
          <w:rFonts w:ascii="Arial" w:cs="Arial" w:eastAsia="Arial" w:hAnsi="Arial"/>
          <w:sz w:val="15"/>
          <w:szCs w:val="15"/>
          <w:color w:val="auto"/>
          <w:strike w:val="1"/>
        </w:rPr>
        <w:t>.</w:t>
      </w:r>
    </w:p>
    <w:p>
      <w:pPr>
        <w:spacing w:after="0" w:line="100" w:lineRule="exact"/>
        <w:rPr>
          <w:sz w:val="20"/>
          <w:szCs w:val="20"/>
          <w:color w:val="auto"/>
        </w:rPr>
      </w:pPr>
    </w:p>
    <w:p>
      <w:pPr>
        <w:jc w:val="both"/>
        <w:ind w:left="1200" w:right="820" w:hanging="431"/>
        <w:spacing w:after="0" w:line="253" w:lineRule="auto"/>
        <w:rPr>
          <w:sz w:val="20"/>
          <w:szCs w:val="20"/>
          <w:color w:val="auto"/>
        </w:rPr>
      </w:pPr>
      <w:r>
        <w:rPr>
          <w:rFonts w:ascii="Arial" w:cs="Arial" w:eastAsia="Arial" w:hAnsi="Arial"/>
          <w:sz w:val="16"/>
          <w:szCs w:val="16"/>
          <w:color w:val="auto"/>
        </w:rPr>
        <w:t xml:space="preserve">30.2 A unanimous resolution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(excluding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the subject of this Article) declaring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to have ceased to be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under the terms of this Article is conclusive as to the fact and grounds of cessation stated in the resolution.</w:t>
      </w:r>
    </w:p>
    <w:p>
      <w:pPr>
        <w:spacing w:after="0" w:line="66" w:lineRule="exact"/>
        <w:rPr>
          <w:sz w:val="20"/>
          <w:szCs w:val="20"/>
          <w:color w:val="auto"/>
        </w:rPr>
      </w:pPr>
    </w:p>
    <w:p>
      <w:pPr>
        <w:ind w:left="1200" w:right="400" w:hanging="431"/>
        <w:spacing w:after="0" w:line="260" w:lineRule="auto"/>
        <w:rPr>
          <w:sz w:val="20"/>
          <w:szCs w:val="20"/>
          <w:color w:val="auto"/>
        </w:rPr>
      </w:pPr>
      <w:r>
        <w:rPr>
          <w:rFonts w:ascii="Arial" w:cs="Arial" w:eastAsia="Arial" w:hAnsi="Arial"/>
          <w:sz w:val="16"/>
          <w:szCs w:val="16"/>
          <w:color w:val="auto"/>
        </w:rPr>
        <w:t xml:space="preserve">30.3 If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ceases to be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for any reason,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shall cease to be a member of any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ectPr>
          <w:pgSz w:w="11900" w:h="16838" w:orient="portrait"/>
          <w:cols w:equalWidth="0" w:num="1">
            <w:col w:w="10180"/>
          </w:cols>
          <w:pgMar w:left="320" w:top="13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40"/>
        <w:spacing w:after="0"/>
        <w:tabs>
          <w:tab w:leader="none" w:pos="9860" w:val="left"/>
        </w:tabs>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20"/>
          <w:szCs w:val="20"/>
          <w:b w:val="1"/>
          <w:bCs w:val="1"/>
          <w:color w:val="auto"/>
          <w:vertAlign w:val="subscript"/>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55245</wp:posOffset>
            </wp:positionV>
            <wp:extent cx="19545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55245</wp:posOffset>
            </wp:positionV>
            <wp:extent cx="19545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80"/>
          </w:cols>
          <w:pgMar w:left="320" w:top="131" w:right="1399"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DIRECTORS</w:t>
      </w:r>
    </w:p>
    <w:p>
      <w:pPr>
        <w:spacing w:after="0" w:line="106" w:lineRule="exact"/>
        <w:rPr>
          <w:sz w:val="20"/>
          <w:szCs w:val="20"/>
          <w:color w:val="auto"/>
        </w:rPr>
      </w:pPr>
    </w:p>
    <w:p>
      <w:pPr>
        <w:ind w:left="1200" w:right="239" w:hanging="431"/>
        <w:spacing w:after="0" w:line="248" w:lineRule="auto"/>
        <w:rPr>
          <w:sz w:val="20"/>
          <w:szCs w:val="20"/>
          <w:color w:val="auto"/>
        </w:rPr>
      </w:pPr>
      <w:r>
        <w:rPr>
          <w:rFonts w:ascii="Arial" w:cs="Arial" w:eastAsia="Arial" w:hAnsi="Arial"/>
          <w:sz w:val="16"/>
          <w:szCs w:val="16"/>
          <w:color w:val="auto"/>
        </w:rPr>
        <w:t xml:space="preserve">31.1 Subject to the provisions of the Companies Act,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w:t>
      </w:r>
      <w:r>
        <w:rPr>
          <w:rFonts w:ascii="Arial" w:cs="Arial" w:eastAsia="Arial" w:hAnsi="Arial"/>
          <w:sz w:val="16"/>
          <w:szCs w:val="16"/>
          <w:color w:val="auto"/>
          <w:strike w:val="1"/>
        </w:rPr>
        <w:t>Directors think fit. The Company may enter into an agreement or arrangement with any</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 </w:t>
      </w:r>
      <w:r>
        <w:rPr>
          <w:rFonts w:ascii="Arial" w:cs="Arial" w:eastAsia="Arial" w:hAnsi="Arial"/>
          <w:sz w:val="16"/>
          <w:szCs w:val="16"/>
          <w:u w:val="single" w:color="auto"/>
          <w:color w:val="auto"/>
          <w:strike w:val="1"/>
        </w:rPr>
        <w:t>Board thinks fit.</w:t>
      </w:r>
    </w:p>
    <w:p>
      <w:pPr>
        <w:spacing w:after="0" w:line="72" w:lineRule="exact"/>
        <w:rPr>
          <w:sz w:val="20"/>
          <w:szCs w:val="20"/>
          <w:color w:val="auto"/>
        </w:rPr>
      </w:pPr>
    </w:p>
    <w:p>
      <w:pPr>
        <w:ind w:left="1200" w:right="599" w:hanging="431"/>
        <w:spacing w:after="0" w:line="251" w:lineRule="auto"/>
        <w:rPr>
          <w:sz w:val="20"/>
          <w:szCs w:val="20"/>
          <w:color w:val="auto"/>
        </w:rPr>
      </w:pPr>
      <w:r>
        <w:rPr>
          <w:rFonts w:ascii="Arial" w:cs="Arial" w:eastAsia="Arial" w:hAnsi="Arial"/>
          <w:sz w:val="16"/>
          <w:szCs w:val="16"/>
          <w:color w:val="auto"/>
        </w:rPr>
        <w:t xml:space="preserve">31.2 Any appointment of a Director to an executive office shall terminate if </w:t>
      </w:r>
      <w:r>
        <w:rPr>
          <w:rFonts w:ascii="Arial" w:cs="Arial" w:eastAsia="Arial" w:hAnsi="Arial"/>
          <w:sz w:val="16"/>
          <w:szCs w:val="16"/>
          <w:color w:val="auto"/>
          <w:strike w:val="1"/>
        </w:rPr>
        <w:t>he ceases</w:t>
      </w:r>
      <w:r>
        <w:rPr>
          <w:rFonts w:ascii="Arial" w:cs="Arial" w:eastAsia="Arial" w:hAnsi="Arial"/>
          <w:sz w:val="16"/>
          <w:szCs w:val="16"/>
          <w:u w:val="single" w:color="auto"/>
          <w:color w:val="auto"/>
        </w:rPr>
        <w:t>they cease</w:t>
      </w:r>
      <w:r>
        <w:rPr>
          <w:rFonts w:ascii="Arial" w:cs="Arial" w:eastAsia="Arial" w:hAnsi="Arial"/>
          <w:sz w:val="16"/>
          <w:szCs w:val="16"/>
          <w:color w:val="auto"/>
        </w:rPr>
        <w:t xml:space="preserve"> to be a Director but without prejudice to any rights or claims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have against the Company by reason of that cessation. A Director appointed to an executive office shall not cease to be a Director merely because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to such executive office terminates.</w:t>
      </w:r>
    </w:p>
    <w:p>
      <w:pPr>
        <w:spacing w:after="0" w:line="67" w:lineRule="exact"/>
        <w:rPr>
          <w:sz w:val="20"/>
          <w:szCs w:val="20"/>
          <w:color w:val="auto"/>
        </w:rPr>
      </w:pPr>
    </w:p>
    <w:p>
      <w:pPr>
        <w:ind w:left="1200" w:right="239" w:hanging="431"/>
        <w:spacing w:after="0" w:line="249" w:lineRule="auto"/>
        <w:rPr>
          <w:sz w:val="20"/>
          <w:szCs w:val="20"/>
          <w:color w:val="auto"/>
        </w:rPr>
      </w:pPr>
      <w:r>
        <w:rPr>
          <w:rFonts w:ascii="Arial" w:cs="Arial" w:eastAsia="Arial" w:hAnsi="Arial"/>
          <w:sz w:val="16"/>
          <w:szCs w:val="16"/>
          <w:color w:val="auto"/>
        </w:rPr>
        <w:t xml:space="preserve">31.3 The emoluments of any Directors holding executive office for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services shall be determined by the Board</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accordance with Article</w:t>
      </w:r>
      <w:r>
        <w:rPr>
          <w:rFonts w:ascii="Arial" w:cs="Arial" w:eastAsia="Arial" w:hAnsi="Arial"/>
          <w:sz w:val="16"/>
          <w:szCs w:val="16"/>
          <w:color w:val="auto"/>
        </w:rPr>
        <w:t xml:space="preserve"> 25.6,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dependants on or after retirement or death, apart from membership of any such scheme or fund.</w:t>
      </w:r>
    </w:p>
    <w:p>
      <w:pPr>
        <w:spacing w:after="0" w:line="50" w:lineRule="exact"/>
        <w:rPr>
          <w:sz w:val="20"/>
          <w:szCs w:val="20"/>
          <w:color w:val="auto"/>
        </w:rPr>
      </w:pPr>
    </w:p>
    <w:p>
      <w:pPr>
        <w:ind w:left="1200" w:hanging="436"/>
        <w:spacing w:after="0"/>
        <w:tabs>
          <w:tab w:leader="none" w:pos="120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INTERESTS</w:t>
      </w:r>
    </w:p>
    <w:p>
      <w:pPr>
        <w:spacing w:after="0" w:line="106" w:lineRule="exact"/>
        <w:rPr>
          <w:sz w:val="20"/>
          <w:szCs w:val="20"/>
          <w:color w:val="auto"/>
        </w:rPr>
      </w:pPr>
    </w:p>
    <w:p>
      <w:pPr>
        <w:ind w:left="1200" w:right="239" w:hanging="431"/>
        <w:spacing w:after="0" w:line="260" w:lineRule="auto"/>
        <w:rPr>
          <w:sz w:val="20"/>
          <w:szCs w:val="20"/>
          <w:color w:val="auto"/>
        </w:rPr>
      </w:pPr>
      <w:r>
        <w:rPr>
          <w:rFonts w:ascii="Arial" w:cs="Arial" w:eastAsia="Arial" w:hAnsi="Arial"/>
          <w:sz w:val="16"/>
          <w:szCs w:val="16"/>
          <w:color w:val="auto"/>
        </w:rPr>
        <w:t>32.1 For the purposes of these Articles (i) a conflict of interest includes (x) a conflict of interest and duty and (y) a conflict of duties and (ii) interest includes both direct and indirect interests.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32.2  A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shall be authorised for the purposes of section 175 of the </w:t>
      </w:r>
      <w:r>
        <w:rPr>
          <w:rFonts w:ascii="Arial" w:cs="Arial" w:eastAsia="Arial" w:hAnsi="Arial"/>
          <w:sz w:val="16"/>
          <w:szCs w:val="16"/>
          <w:u w:val="single" w:color="auto"/>
          <w:color w:val="auto"/>
        </w:rPr>
        <w:t>Companies</w:t>
      </w:r>
      <w:r>
        <w:rPr>
          <w:rFonts w:ascii="Arial" w:cs="Arial" w:eastAsia="Arial" w:hAnsi="Arial"/>
          <w:sz w:val="16"/>
          <w:szCs w:val="16"/>
          <w:color w:val="auto"/>
        </w:rPr>
        <w:t xml:space="preserve"> Act to act or continue to act as a</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director of the Company</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notwithstanding that at the time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appointment or subsequently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also</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strike w:val="1"/>
        </w:rPr>
        <w:t>holds</w:t>
      </w:r>
      <w:r>
        <w:rPr>
          <w:rFonts w:ascii="Arial" w:cs="Arial" w:eastAsia="Arial" w:hAnsi="Arial"/>
          <w:sz w:val="15"/>
          <w:szCs w:val="15"/>
          <w:u w:val="single" w:color="auto"/>
          <w:color w:val="auto"/>
        </w:rPr>
        <w:t>hold</w:t>
      </w:r>
      <w:r>
        <w:rPr>
          <w:rFonts w:ascii="Arial" w:cs="Arial" w:eastAsia="Arial" w:hAnsi="Arial"/>
          <w:sz w:val="15"/>
          <w:szCs w:val="15"/>
          <w:color w:val="auto"/>
        </w:rPr>
        <w:t xml:space="preserve"> office as a director of, or holds any other office, employment or engagement with, any other member of the Group.</w:t>
      </w:r>
    </w:p>
    <w:p>
      <w:pPr>
        <w:spacing w:after="0" w:line="98" w:lineRule="exact"/>
        <w:rPr>
          <w:sz w:val="20"/>
          <w:szCs w:val="20"/>
          <w:color w:val="auto"/>
        </w:rPr>
      </w:pPr>
    </w:p>
    <w:p>
      <w:pPr>
        <w:ind w:left="1200" w:right="399" w:hanging="431"/>
        <w:spacing w:after="0" w:line="253" w:lineRule="auto"/>
        <w:rPr>
          <w:sz w:val="20"/>
          <w:szCs w:val="20"/>
          <w:color w:val="auto"/>
        </w:rPr>
      </w:pPr>
      <w:r>
        <w:rPr>
          <w:rFonts w:ascii="Arial" w:cs="Arial" w:eastAsia="Arial" w:hAnsi="Arial"/>
          <w:sz w:val="16"/>
          <w:szCs w:val="16"/>
          <w:color w:val="auto"/>
        </w:rPr>
        <w:t>32.3 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66" w:lineRule="exact"/>
        <w:rPr>
          <w:sz w:val="20"/>
          <w:szCs w:val="20"/>
          <w:color w:val="auto"/>
        </w:rPr>
      </w:pPr>
    </w:p>
    <w:p>
      <w:pPr>
        <w:ind w:left="1620" w:right="259" w:hanging="424"/>
        <w:spacing w:after="0" w:line="251" w:lineRule="auto"/>
        <w:tabs>
          <w:tab w:leader="none" w:pos="16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67" w:lineRule="exact"/>
        <w:rPr>
          <w:rFonts w:ascii="Arial" w:cs="Arial" w:eastAsia="Arial" w:hAnsi="Arial"/>
          <w:sz w:val="16"/>
          <w:szCs w:val="16"/>
          <w:color w:val="auto"/>
        </w:rPr>
      </w:pPr>
    </w:p>
    <w:p>
      <w:pPr>
        <w:ind w:left="1620" w:right="219" w:hanging="424"/>
        <w:spacing w:after="0" w:line="251" w:lineRule="auto"/>
        <w:tabs>
          <w:tab w:leader="none" w:pos="16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 Director to accept or continue in any office, employment or position in addition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provided that any such authorisation will be effective only if:</w:t>
      </w:r>
    </w:p>
    <w:p>
      <w:pPr>
        <w:spacing w:after="0" w:line="86" w:lineRule="exact"/>
        <w:rPr>
          <w:sz w:val="20"/>
          <w:szCs w:val="20"/>
          <w:color w:val="auto"/>
        </w:rPr>
      </w:pPr>
    </w:p>
    <w:p>
      <w:pPr>
        <w:ind w:left="2060" w:right="639" w:hanging="432"/>
        <w:spacing w:after="0" w:line="260" w:lineRule="auto"/>
        <w:tabs>
          <w:tab w:leader="none" w:pos="20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requirement as to quorum at the meeting at which the matter is considered is met without counting the Director in question or any other interested Director; and</w:t>
      </w:r>
    </w:p>
    <w:p>
      <w:pPr>
        <w:spacing w:after="0" w:line="60" w:lineRule="exact"/>
        <w:rPr>
          <w:rFonts w:ascii="Arial" w:cs="Arial" w:eastAsia="Arial" w:hAnsi="Arial"/>
          <w:sz w:val="16"/>
          <w:szCs w:val="16"/>
          <w:color w:val="auto"/>
        </w:rPr>
      </w:pPr>
    </w:p>
    <w:p>
      <w:pPr>
        <w:ind w:left="2060" w:right="239" w:hanging="432"/>
        <w:spacing w:after="0" w:line="260" w:lineRule="auto"/>
        <w:tabs>
          <w:tab w:leader="none" w:pos="20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matter was agreed to without such Director voting or would have been agreed to if such Director’s votes had not been counted.</w:t>
      </w:r>
    </w:p>
    <w:p>
      <w:pPr>
        <w:spacing w:after="0" w:line="60" w:lineRule="exact"/>
        <w:rPr>
          <w:sz w:val="20"/>
          <w:szCs w:val="20"/>
          <w:color w:val="auto"/>
        </w:rPr>
      </w:pPr>
    </w:p>
    <w:p>
      <w:pPr>
        <w:jc w:val="both"/>
        <w:ind w:left="1200" w:right="299"/>
        <w:spacing w:after="0" w:line="253" w:lineRule="auto"/>
        <w:rPr>
          <w:sz w:val="20"/>
          <w:szCs w:val="20"/>
          <w:color w:val="auto"/>
        </w:rPr>
      </w:pPr>
      <w:r>
        <w:rPr>
          <w:rFonts w:ascii="Arial" w:cs="Arial" w:eastAsia="Arial" w:hAnsi="Arial"/>
          <w:sz w:val="16"/>
          <w:szCs w:val="16"/>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66" w:lineRule="exact"/>
        <w:rPr>
          <w:sz w:val="20"/>
          <w:szCs w:val="20"/>
          <w:color w:val="auto"/>
        </w:rPr>
      </w:pPr>
    </w:p>
    <w:p>
      <w:pPr>
        <w:jc w:val="both"/>
        <w:ind w:left="1200" w:right="459" w:hanging="431"/>
        <w:spacing w:after="0" w:line="253" w:lineRule="auto"/>
        <w:rPr>
          <w:sz w:val="20"/>
          <w:szCs w:val="20"/>
          <w:color w:val="auto"/>
        </w:rPr>
      </w:pPr>
      <w:r>
        <w:rPr>
          <w:rFonts w:ascii="Arial" w:cs="Arial" w:eastAsia="Arial" w:hAnsi="Arial"/>
          <w:sz w:val="16"/>
          <w:szCs w:val="16"/>
          <w:color w:val="auto"/>
        </w:rPr>
        <w:t xml:space="preserve">32.4 Subject to the provisions of the Companies Act, and provided that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disclosed to the Board the nature and extent of any material interest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theirs</w:t>
      </w:r>
      <w:r>
        <w:rPr>
          <w:rFonts w:ascii="Arial" w:cs="Arial" w:eastAsia="Arial" w:hAnsi="Arial"/>
          <w:sz w:val="16"/>
          <w:szCs w:val="16"/>
          <w:color w:val="auto"/>
        </w:rPr>
        <w:t xml:space="preserve"> (unless the circumstances referred to in section 177(5) or section 177(6) of the Companies Act apply, in which case no disclosure is required), a Director notwithstanding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w:t>
      </w:r>
    </w:p>
    <w:p>
      <w:pPr>
        <w:spacing w:after="0" w:line="66" w:lineRule="exact"/>
        <w:rPr>
          <w:sz w:val="20"/>
          <w:szCs w:val="20"/>
          <w:color w:val="auto"/>
        </w:rPr>
      </w:pPr>
    </w:p>
    <w:p>
      <w:pPr>
        <w:ind w:left="1620" w:right="759" w:hanging="424"/>
        <w:spacing w:after="0" w:line="260" w:lineRule="auto"/>
        <w:tabs>
          <w:tab w:leader="none" w:pos="16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may be a party to, or otherwise interested in, any transaction or arrangement with the Company or in which the Company is otherwise (directly or indirectly) interested;</w:t>
      </w:r>
    </w:p>
    <w:p>
      <w:pPr>
        <w:spacing w:after="0" w:line="60" w:lineRule="exact"/>
        <w:rPr>
          <w:rFonts w:ascii="Arial" w:cs="Arial" w:eastAsia="Arial" w:hAnsi="Arial"/>
          <w:sz w:val="16"/>
          <w:szCs w:val="16"/>
          <w:color w:val="auto"/>
        </w:rPr>
      </w:pPr>
    </w:p>
    <w:p>
      <w:pPr>
        <w:jc w:val="both"/>
        <w:ind w:left="1620" w:right="219" w:hanging="424"/>
        <w:spacing w:after="0" w:line="253" w:lineRule="auto"/>
        <w:tabs>
          <w:tab w:leader="none" w:pos="16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may (or any firm of 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 member may) act in a professional capacity for the Company (otherwise than as auditor) or any other body in which the Company is otherwise interested and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or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firm shall be entitled to remuneration for professional services as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were not a Director; and</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A-26</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1000" w:hanging="424"/>
        <w:spacing w:after="0" w:line="260" w:lineRule="auto"/>
        <w:tabs>
          <w:tab w:leader="none" w:pos="16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may be a Director or other officer of, or employed by, or a party to any transaction or arrangement with, or otherwise interested in, any undertaking:</w:t>
      </w:r>
    </w:p>
    <w:p>
      <w:pPr>
        <w:spacing w:after="0" w:line="73" w:lineRule="exact"/>
        <w:rPr>
          <w:rFonts w:ascii="Arial" w:cs="Arial" w:eastAsia="Arial" w:hAnsi="Arial"/>
          <w:sz w:val="16"/>
          <w:szCs w:val="16"/>
          <w:color w:val="auto"/>
        </w:rPr>
      </w:pPr>
    </w:p>
    <w:p>
      <w:pPr>
        <w:ind w:left="2060" w:hanging="432"/>
        <w:spacing w:after="0"/>
        <w:tabs>
          <w:tab w:leader="none" w:pos="20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 which the Company is (directly or indirectly) interested as shareholder, member, partner or otherwise; or</w:t>
      </w:r>
    </w:p>
    <w:p>
      <w:pPr>
        <w:spacing w:after="0" w:line="99" w:lineRule="exact"/>
        <w:rPr>
          <w:rFonts w:ascii="Arial" w:cs="Arial" w:eastAsia="Arial" w:hAnsi="Arial"/>
          <w:sz w:val="16"/>
          <w:szCs w:val="16"/>
          <w:color w:val="auto"/>
        </w:rPr>
      </w:pPr>
    </w:p>
    <w:p>
      <w:pPr>
        <w:ind w:left="2060" w:hanging="432"/>
        <w:spacing w:after="0"/>
        <w:tabs>
          <w:tab w:leader="none" w:pos="20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with which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such a relationship at the request or direction of the Company.</w:t>
      </w:r>
    </w:p>
    <w:p>
      <w:pPr>
        <w:spacing w:after="0" w:line="100" w:lineRule="exact"/>
        <w:rPr>
          <w:sz w:val="20"/>
          <w:szCs w:val="20"/>
          <w:color w:val="auto"/>
        </w:rPr>
      </w:pPr>
    </w:p>
    <w:p>
      <w:pPr>
        <w:ind w:left="1200" w:right="860" w:hanging="431"/>
        <w:spacing w:after="0" w:line="253" w:lineRule="auto"/>
        <w:rPr>
          <w:sz w:val="20"/>
          <w:szCs w:val="20"/>
          <w:color w:val="auto"/>
        </w:rPr>
      </w:pPr>
      <w:r>
        <w:rPr>
          <w:rFonts w:ascii="Arial" w:cs="Arial" w:eastAsia="Arial" w:hAnsi="Arial"/>
          <w:sz w:val="16"/>
          <w:szCs w:val="16"/>
          <w:color w:val="auto"/>
        </w:rPr>
        <w:t xml:space="preserve">32.5 A Director shall not, by reason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office, be accountable to the Company for any remuneration or other benefit which </w:t>
      </w:r>
      <w:r>
        <w:rPr>
          <w:rFonts w:ascii="Arial" w:cs="Arial" w:eastAsia="Arial" w:hAnsi="Arial"/>
          <w:sz w:val="16"/>
          <w:szCs w:val="16"/>
          <w:color w:val="auto"/>
          <w:strike w:val="1"/>
        </w:rPr>
        <w:t>he derives</w:t>
      </w:r>
      <w:r>
        <w:rPr>
          <w:rFonts w:ascii="Arial" w:cs="Arial" w:eastAsia="Arial" w:hAnsi="Arial"/>
          <w:sz w:val="16"/>
          <w:szCs w:val="16"/>
          <w:u w:val="single" w:color="auto"/>
          <w:color w:val="auto"/>
        </w:rPr>
        <w:t>they derive</w:t>
      </w:r>
      <w:r>
        <w:rPr>
          <w:rFonts w:ascii="Arial" w:cs="Arial" w:eastAsia="Arial" w:hAnsi="Arial"/>
          <w:sz w:val="16"/>
          <w:szCs w:val="16"/>
          <w:color w:val="auto"/>
        </w:rPr>
        <w:t xml:space="preserve"> from any office or employment or from any transaction or arrangement or from any interest in any undertaking:</w:t>
      </w:r>
    </w:p>
    <w:p>
      <w:pPr>
        <w:spacing w:after="0" w:line="80" w:lineRule="exact"/>
        <w:rPr>
          <w:sz w:val="20"/>
          <w:szCs w:val="20"/>
          <w:color w:val="auto"/>
        </w:rPr>
      </w:pPr>
    </w:p>
    <w:p>
      <w:pPr>
        <w:ind w:left="1620" w:right="860" w:hanging="424"/>
        <w:spacing w:after="0" w:line="260" w:lineRule="auto"/>
        <w:tabs>
          <w:tab w:leader="none" w:pos="16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acceptance, entry into or existence of which has been authorised by the Board pursuant to Article 32.2 (subject, in any case, to any limits or conditions to which such authorisation was subject);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permitted to hold or enter into by virtue of paragraphs (a), (b) or (c) of Article 32.4,</w:t>
      </w:r>
    </w:p>
    <w:p>
      <w:pPr>
        <w:spacing w:after="0" w:line="100" w:lineRule="exact"/>
        <w:rPr>
          <w:sz w:val="20"/>
          <w:szCs w:val="20"/>
          <w:color w:val="auto"/>
        </w:rPr>
      </w:pPr>
    </w:p>
    <w:p>
      <w:pPr>
        <w:ind w:left="1200" w:right="1000"/>
        <w:spacing w:after="0" w:line="260" w:lineRule="auto"/>
        <w:rPr>
          <w:sz w:val="20"/>
          <w:szCs w:val="20"/>
          <w:color w:val="auto"/>
        </w:rPr>
      </w:pPr>
      <w:r>
        <w:rPr>
          <w:rFonts w:ascii="Arial" w:cs="Arial" w:eastAsia="Arial" w:hAnsi="Arial"/>
          <w:sz w:val="16"/>
          <w:szCs w:val="16"/>
          <w:color w:val="auto"/>
        </w:rPr>
        <w:t xml:space="preserve">nor shall the receipt of any such remuneration or other benefit constitute a breach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duty under section 176 of the Companies Act;</w:t>
      </w:r>
    </w:p>
    <w:p>
      <w:pPr>
        <w:spacing w:after="0" w:line="74" w:lineRule="exact"/>
        <w:rPr>
          <w:sz w:val="20"/>
          <w:szCs w:val="20"/>
          <w:color w:val="auto"/>
        </w:rPr>
      </w:pPr>
    </w:p>
    <w:p>
      <w:pPr>
        <w:ind w:left="1200" w:right="980" w:hanging="431"/>
        <w:spacing w:after="0" w:line="260" w:lineRule="auto"/>
        <w:rPr>
          <w:sz w:val="20"/>
          <w:szCs w:val="20"/>
          <w:color w:val="auto"/>
        </w:rPr>
      </w:pPr>
      <w:r>
        <w:rPr>
          <w:rFonts w:ascii="Arial" w:cs="Arial" w:eastAsia="Arial" w:hAnsi="Arial"/>
          <w:sz w:val="16"/>
          <w:szCs w:val="16"/>
          <w:color w:val="auto"/>
        </w:rPr>
        <w:t>32.6 Any disclosure required by Article 32.4 may be made at a meeting of the Board, by notice in writing or by general notice or otherwise in accordance with section 177 of the Companies Act.</w:t>
      </w:r>
    </w:p>
    <w:p>
      <w:pPr>
        <w:spacing w:after="0" w:line="74" w:lineRule="exact"/>
        <w:rPr>
          <w:sz w:val="20"/>
          <w:szCs w:val="20"/>
          <w:color w:val="auto"/>
        </w:rPr>
      </w:pPr>
    </w:p>
    <w:p>
      <w:pPr>
        <w:ind w:left="1200" w:right="780" w:hanging="431"/>
        <w:spacing w:after="0" w:line="249" w:lineRule="auto"/>
        <w:rPr>
          <w:sz w:val="20"/>
          <w:szCs w:val="20"/>
          <w:color w:val="auto"/>
        </w:rPr>
      </w:pPr>
      <w:r>
        <w:rPr>
          <w:rFonts w:ascii="Arial" w:cs="Arial" w:eastAsia="Arial" w:hAnsi="Arial"/>
          <w:sz w:val="16"/>
          <w:szCs w:val="16"/>
          <w:color w:val="auto"/>
        </w:rPr>
        <w:t xml:space="preserve">32.7 A Director shall be under no duty to the Company with respect to any information which </w:t>
      </w:r>
      <w:r>
        <w:rPr>
          <w:rFonts w:ascii="Arial" w:cs="Arial" w:eastAsia="Arial" w:hAnsi="Arial"/>
          <w:sz w:val="16"/>
          <w:szCs w:val="16"/>
          <w:color w:val="auto"/>
          <w:strike w:val="1"/>
        </w:rPr>
        <w:t>he obtains</w:t>
      </w:r>
      <w:r>
        <w:rPr>
          <w:rFonts w:ascii="Arial" w:cs="Arial" w:eastAsia="Arial" w:hAnsi="Arial"/>
          <w:sz w:val="16"/>
          <w:szCs w:val="16"/>
          <w:u w:val="single" w:color="auto"/>
          <w:color w:val="auto"/>
        </w:rPr>
        <w:t>they obtain</w:t>
      </w:r>
      <w:r>
        <w:rPr>
          <w:rFonts w:ascii="Arial" w:cs="Arial" w:eastAsia="Arial" w:hAnsi="Arial"/>
          <w:sz w:val="16"/>
          <w:szCs w:val="16"/>
          <w:color w:val="auto"/>
        </w:rPr>
        <w:t xml:space="preserve"> or has obtained otherwise than as a Director and in respect of which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a duty of confidentiality to another person. However, to the extent that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to the Company by virtue of sections 171 to 177 of the Companies Act because </w:t>
      </w:r>
      <w:r>
        <w:rPr>
          <w:rFonts w:ascii="Arial" w:cs="Arial" w:eastAsia="Arial" w:hAnsi="Arial"/>
          <w:sz w:val="16"/>
          <w:szCs w:val="16"/>
          <w:color w:val="auto"/>
          <w:strike w:val="1"/>
        </w:rPr>
        <w:t>he fails</w:t>
      </w:r>
      <w:r>
        <w:rPr>
          <w:rFonts w:ascii="Arial" w:cs="Arial" w:eastAsia="Arial" w:hAnsi="Arial"/>
          <w:sz w:val="16"/>
          <w:szCs w:val="16"/>
          <w:u w:val="single" w:color="auto"/>
          <w:color w:val="auto"/>
        </w:rPr>
        <w:t>they fail</w:t>
      </w:r>
      <w:r>
        <w:rPr>
          <w:rFonts w:ascii="Arial" w:cs="Arial" w:eastAsia="Arial" w:hAnsi="Arial"/>
          <w:sz w:val="16"/>
          <w:szCs w:val="16"/>
          <w:color w:val="auto"/>
        </w:rPr>
        <w:t>:</w:t>
      </w:r>
    </w:p>
    <w:p>
      <w:pPr>
        <w:spacing w:after="0" w:line="70" w:lineRule="exact"/>
        <w:rPr>
          <w:sz w:val="20"/>
          <w:szCs w:val="20"/>
          <w:color w:val="auto"/>
        </w:rPr>
      </w:pPr>
    </w:p>
    <w:p>
      <w:pPr>
        <w:ind w:left="1620" w:hanging="424"/>
        <w:spacing w:after="0"/>
        <w:tabs>
          <w:tab w:leader="none" w:pos="16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disclose any such information to the Board or to any Director or other officer or employees of the Company; and/or</w:t>
      </w:r>
    </w:p>
    <w:p>
      <w:pPr>
        <w:spacing w:after="0" w:line="99" w:lineRule="exact"/>
        <w:rPr>
          <w:rFonts w:ascii="Arial" w:cs="Arial" w:eastAsia="Arial" w:hAnsi="Arial"/>
          <w:sz w:val="16"/>
          <w:szCs w:val="16"/>
          <w:color w:val="auto"/>
        </w:rPr>
      </w:pPr>
    </w:p>
    <w:p>
      <w:pPr>
        <w:ind w:left="1620" w:hanging="424"/>
        <w:spacing w:after="0"/>
        <w:tabs>
          <w:tab w:leader="none" w:pos="16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to use or apply any such information in performing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duties as a Director.</w:t>
      </w:r>
    </w:p>
    <w:p>
      <w:pPr>
        <w:spacing w:after="0" w:line="100"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 xml:space="preserve">32.8 Where the existence of a Director’s relationship with another person or undertaking has been authorised by the Board pursuant to Article 32.2 and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relationship with that person or undertaking gives rise to a conflict of interest or possible conflict of interest, the Director shall not be in breach of the general duties </w:t>
      </w:r>
      <w:r>
        <w:rPr>
          <w:rFonts w:ascii="Arial" w:cs="Arial" w:eastAsia="Arial" w:hAnsi="Arial"/>
          <w:sz w:val="16"/>
          <w:szCs w:val="16"/>
          <w:color w:val="auto"/>
          <w:strike w:val="1"/>
        </w:rPr>
        <w:t>he owes</w:t>
      </w:r>
      <w:r>
        <w:rPr>
          <w:rFonts w:ascii="Arial" w:cs="Arial" w:eastAsia="Arial" w:hAnsi="Arial"/>
          <w:sz w:val="16"/>
          <w:szCs w:val="16"/>
          <w:u w:val="single" w:color="auto"/>
          <w:color w:val="auto"/>
        </w:rPr>
        <w:t>they owe</w:t>
      </w:r>
      <w:r>
        <w:rPr>
          <w:rFonts w:ascii="Arial" w:cs="Arial" w:eastAsia="Arial" w:hAnsi="Arial"/>
          <w:sz w:val="16"/>
          <w:szCs w:val="16"/>
          <w:color w:val="auto"/>
        </w:rPr>
        <w:t xml:space="preserve"> to the Company by virtue of sections 171 to 177 of the Companies Act because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w:t>
      </w:r>
    </w:p>
    <w:p>
      <w:pPr>
        <w:spacing w:after="0" w:line="67" w:lineRule="exact"/>
        <w:rPr>
          <w:sz w:val="20"/>
          <w:szCs w:val="20"/>
          <w:color w:val="auto"/>
        </w:rPr>
      </w:pPr>
    </w:p>
    <w:p>
      <w:pPr>
        <w:ind w:left="1620" w:right="1360" w:hanging="424"/>
        <w:spacing w:after="0" w:line="253" w:lineRule="auto"/>
        <w:tabs>
          <w:tab w:leader="none" w:pos="16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absents </w:t>
      </w:r>
      <w:r>
        <w:rPr>
          <w:rFonts w:ascii="Arial" w:cs="Arial" w:eastAsia="Arial" w:hAnsi="Arial"/>
          <w:sz w:val="16"/>
          <w:szCs w:val="16"/>
          <w:color w:val="auto"/>
          <w:strike w:val="1"/>
        </w:rPr>
        <w:t>himself</w:t>
      </w:r>
      <w:r>
        <w:rPr>
          <w:rFonts w:ascii="Arial" w:cs="Arial" w:eastAsia="Arial" w:hAnsi="Arial"/>
          <w:sz w:val="16"/>
          <w:szCs w:val="16"/>
          <w:u w:val="single" w:color="auto"/>
          <w:color w:val="auto"/>
        </w:rPr>
        <w:t>themselves</w:t>
      </w:r>
      <w:r>
        <w:rPr>
          <w:rFonts w:ascii="Arial" w:cs="Arial" w:eastAsia="Arial" w:hAnsi="Arial"/>
          <w:sz w:val="16"/>
          <w:szCs w:val="16"/>
          <w:color w:val="auto"/>
        </w:rPr>
        <w:t xml:space="preserve"> from meetings of the Board at which any matter relating to the conflict of interest or possible conflict of interest will or may be discussed or from the discussion of any such matter at a meeting or otherwise; and/or</w:t>
      </w:r>
    </w:p>
    <w:p>
      <w:pPr>
        <w:spacing w:after="0" w:line="79" w:lineRule="exact"/>
        <w:rPr>
          <w:rFonts w:ascii="Arial" w:cs="Arial" w:eastAsia="Arial" w:hAnsi="Arial"/>
          <w:sz w:val="16"/>
          <w:szCs w:val="16"/>
          <w:color w:val="auto"/>
        </w:rPr>
      </w:pPr>
    </w:p>
    <w:p>
      <w:pPr>
        <w:ind w:left="1620" w:right="800" w:hanging="424"/>
        <w:spacing w:after="0" w:line="253" w:lineRule="auto"/>
        <w:tabs>
          <w:tab w:leader="none" w:pos="16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80" w:lineRule="exact"/>
        <w:rPr>
          <w:sz w:val="20"/>
          <w:szCs w:val="20"/>
          <w:color w:val="auto"/>
        </w:rPr>
      </w:pPr>
    </w:p>
    <w:p>
      <w:pPr>
        <w:ind w:left="1200" w:right="880"/>
        <w:spacing w:after="0" w:line="249" w:lineRule="auto"/>
        <w:rPr>
          <w:sz w:val="20"/>
          <w:szCs w:val="20"/>
          <w:color w:val="auto"/>
        </w:rPr>
      </w:pPr>
      <w:r>
        <w:rPr>
          <w:rFonts w:ascii="Arial" w:cs="Arial" w:eastAsia="Arial" w:hAnsi="Arial"/>
          <w:sz w:val="16"/>
          <w:szCs w:val="16"/>
          <w:color w:val="auto"/>
        </w:rPr>
        <w:t xml:space="preserve">for so long as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reasonably </w:t>
      </w:r>
      <w:r>
        <w:rPr>
          <w:rFonts w:ascii="Arial" w:cs="Arial" w:eastAsia="Arial" w:hAnsi="Arial"/>
          <w:sz w:val="16"/>
          <w:szCs w:val="16"/>
          <w:color w:val="auto"/>
          <w:strike w:val="1"/>
        </w:rPr>
        <w:t>believes</w:t>
      </w:r>
      <w:r>
        <w:rPr>
          <w:rFonts w:ascii="Arial" w:cs="Arial" w:eastAsia="Arial" w:hAnsi="Arial"/>
          <w:sz w:val="16"/>
          <w:szCs w:val="16"/>
          <w:u w:val="single" w:color="auto"/>
          <w:color w:val="auto"/>
        </w:rPr>
        <w:t>believe</w:t>
      </w:r>
      <w:r>
        <w:rPr>
          <w:rFonts w:ascii="Arial" w:cs="Arial" w:eastAsia="Arial" w:hAnsi="Arial"/>
          <w:sz w:val="16"/>
          <w:szCs w:val="16"/>
          <w:color w:val="auto"/>
        </w:rPr>
        <w:t xml:space="preserve"> such conflict of interest or possible conflict of interest subsists, </w:t>
      </w:r>
      <w:r>
        <w:rPr>
          <w:rFonts w:ascii="Arial" w:cs="Arial" w:eastAsia="Arial" w:hAnsi="Arial"/>
          <w:sz w:val="16"/>
          <w:szCs w:val="16"/>
          <w:color w:val="auto"/>
          <w:strike w:val="1"/>
        </w:rPr>
        <w:t>provided</w:t>
      </w:r>
      <w:r>
        <w:rPr>
          <w:rFonts w:ascii="Arial" w:cs="Arial" w:eastAsia="Arial" w:hAnsi="Arial"/>
          <w:sz w:val="16"/>
          <w:szCs w:val="16"/>
          <w:color w:val="auto"/>
        </w:rPr>
        <w:t xml:space="preserve"> </w:t>
      </w:r>
      <w:r>
        <w:rPr>
          <w:rFonts w:ascii="Arial" w:cs="Arial" w:eastAsia="Arial" w:hAnsi="Arial"/>
          <w:sz w:val="16"/>
          <w:szCs w:val="16"/>
          <w:color w:val="auto"/>
          <w:strike w:val="1"/>
        </w:rPr>
        <w:t>that</w:t>
      </w:r>
      <w:r>
        <w:rPr>
          <w:rFonts w:ascii="Arial" w:cs="Arial" w:eastAsia="Arial" w:hAnsi="Arial"/>
          <w:sz w:val="16"/>
          <w:szCs w:val="16"/>
          <w:color w:val="auto"/>
        </w:rPr>
        <w:t xml:space="preserve"> provided that if a majority of the Independent Directors of the Company so determine (excluding any Independent Director who is conflicted in respect of the particular matter), such conflicted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32.9  The provisions of Articles 32.7 and 32.8 are without prejudice to any equitable principle or rule of law which may excuse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Director from:</w:t>
      </w:r>
    </w:p>
    <w:p>
      <w:pPr>
        <w:spacing w:after="0" w:line="100" w:lineRule="exact"/>
        <w:rPr>
          <w:sz w:val="20"/>
          <w:szCs w:val="20"/>
          <w:color w:val="auto"/>
        </w:rPr>
      </w:pPr>
    </w:p>
    <w:p>
      <w:pPr>
        <w:ind w:left="1620" w:hanging="424"/>
        <w:spacing w:after="0"/>
        <w:tabs>
          <w:tab w:leader="none" w:pos="16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disclosing information, in circumstances where disclosure would otherwise be required under these Articles; or</w:t>
      </w:r>
    </w:p>
    <w:p>
      <w:pPr>
        <w:spacing w:after="0" w:line="99" w:lineRule="exact"/>
        <w:rPr>
          <w:rFonts w:ascii="Arial" w:cs="Arial" w:eastAsia="Arial" w:hAnsi="Arial"/>
          <w:sz w:val="16"/>
          <w:szCs w:val="16"/>
          <w:color w:val="auto"/>
        </w:rPr>
      </w:pPr>
    </w:p>
    <w:p>
      <w:pPr>
        <w:ind w:left="1620" w:right="1160" w:hanging="424"/>
        <w:spacing w:after="0" w:line="253" w:lineRule="auto"/>
        <w:tabs>
          <w:tab w:leader="none" w:pos="16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32.10 For the purposes of Article 32.4:</w:t>
      </w:r>
    </w:p>
    <w:p>
      <w:pPr>
        <w:spacing w:after="0" w:line="100" w:lineRule="exact"/>
        <w:rPr>
          <w:sz w:val="20"/>
          <w:szCs w:val="20"/>
          <w:color w:val="auto"/>
        </w:rPr>
      </w:pPr>
    </w:p>
    <w:p>
      <w:pPr>
        <w:ind w:left="1620" w:right="980" w:hanging="424"/>
        <w:spacing w:after="0" w:line="251" w:lineRule="auto"/>
        <w:tabs>
          <w:tab w:leader="none" w:pos="16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 general notice given to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A-27</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6" w:name="page107"/>
    <w:bookmarkEnd w:id="106"/>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20" w:right="979" w:hanging="424"/>
        <w:spacing w:after="0" w:line="260" w:lineRule="auto"/>
        <w:tabs>
          <w:tab w:leader="none" w:pos="16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an interest of which a Director has no knowledge and of which it is unreasonable to expect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have knowledge shall not be treated as an interest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theirs</w:t>
      </w:r>
      <w:r>
        <w:rPr>
          <w:rFonts w:ascii="Arial" w:cs="Arial" w:eastAsia="Arial" w:hAnsi="Arial"/>
          <w:sz w:val="16"/>
          <w:szCs w:val="16"/>
          <w:color w:val="auto"/>
        </w:rPr>
        <w:t>; and</w:t>
      </w:r>
    </w:p>
    <w:p>
      <w:pPr>
        <w:spacing w:after="0" w:line="73" w:lineRule="exact"/>
        <w:rPr>
          <w:rFonts w:ascii="Arial" w:cs="Arial" w:eastAsia="Arial" w:hAnsi="Arial"/>
          <w:sz w:val="16"/>
          <w:szCs w:val="16"/>
          <w:color w:val="auto"/>
        </w:rPr>
      </w:pPr>
    </w:p>
    <w:p>
      <w:pPr>
        <w:ind w:left="1620" w:right="399" w:hanging="424"/>
        <w:spacing w:after="0" w:line="260" w:lineRule="auto"/>
        <w:tabs>
          <w:tab w:leader="none" w:pos="162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a Director shall be deemed to have disclosed the nature and extent of an interest which consists of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being a Director, officer or employee of any undertaking in which the Company is interested.</w:t>
      </w:r>
    </w:p>
    <w:p>
      <w:pPr>
        <w:spacing w:after="0" w:line="53" w:lineRule="exact"/>
        <w:rPr>
          <w:rFonts w:ascii="Arial" w:cs="Arial" w:eastAsia="Arial" w:hAnsi="Arial"/>
          <w:sz w:val="16"/>
          <w:szCs w:val="16"/>
          <w:color w:val="auto"/>
        </w:rPr>
      </w:pPr>
    </w:p>
    <w:p>
      <w:pPr>
        <w:ind w:left="1200" w:hanging="436"/>
        <w:spacing w:after="0"/>
        <w:tabs>
          <w:tab w:leader="none" w:pos="120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PROCEEDINGS OF DIRECTORS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33.1  Subject to the provisions of these Articles, the Board may regulate their proceedings as they think fit.</w:t>
      </w:r>
    </w:p>
    <w:p>
      <w:pPr>
        <w:spacing w:after="0" w:line="100" w:lineRule="exact"/>
        <w:rPr>
          <w:sz w:val="20"/>
          <w:szCs w:val="20"/>
          <w:color w:val="auto"/>
        </w:rPr>
      </w:pPr>
    </w:p>
    <w:p>
      <w:pPr>
        <w:ind w:left="1200" w:right="199" w:hanging="431"/>
        <w:spacing w:after="0" w:line="248" w:lineRule="auto"/>
        <w:rPr>
          <w:sz w:val="20"/>
          <w:szCs w:val="20"/>
          <w:color w:val="auto"/>
        </w:rPr>
      </w:pPr>
      <w:r>
        <w:rPr>
          <w:rFonts w:ascii="Arial" w:cs="Arial" w:eastAsia="Arial" w:hAnsi="Arial"/>
          <w:sz w:val="16"/>
          <w:szCs w:val="16"/>
          <w:color w:val="auto"/>
        </w:rPr>
        <w:t xml:space="preserve">33.2 A Director may, and the secretary at the request of a Director shall, call a meeting of the Board or a committee of the Board by giving notice to each Director. A notice of a meeting of the Board shall be deemed to be properly given to a Director if given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personally or by word of mouth, or sent in hard copy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last known address or any other address (if any) as may for the time being be specified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behalf to the Company for this purpose or sent in electronic form to such address (if any) for the time being specified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72" w:lineRule="exact"/>
        <w:rPr>
          <w:sz w:val="20"/>
          <w:szCs w:val="20"/>
          <w:color w:val="auto"/>
        </w:rPr>
      </w:pPr>
    </w:p>
    <w:p>
      <w:pPr>
        <w:ind w:left="1200" w:right="359" w:hanging="431"/>
        <w:spacing w:after="0" w:line="250" w:lineRule="auto"/>
        <w:rPr>
          <w:sz w:val="20"/>
          <w:szCs w:val="20"/>
          <w:color w:val="auto"/>
        </w:rPr>
      </w:pPr>
      <w:r>
        <w:rPr>
          <w:rFonts w:ascii="Arial" w:cs="Arial" w:eastAsia="Arial" w:hAnsi="Arial"/>
          <w:sz w:val="16"/>
          <w:szCs w:val="16"/>
          <w:color w:val="auto"/>
        </w:rPr>
        <w:t xml:space="preserve">33.3 Questions arising at a meeting shall be decided by a majority of votes of the Directors present at such meeting who are entitled to vote on such question. A Director who is also an alternate Director shall be entitled in the absence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to a separate vote on behalf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in addition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own vote, and an alternate Director who is appointed by two or more Directors shall be entitled to a separate vote on behalf of each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appointors in the appointors’ absence.</w:t>
      </w:r>
    </w:p>
    <w:p>
      <w:pPr>
        <w:spacing w:after="0" w:line="81" w:lineRule="exact"/>
        <w:rPr>
          <w:sz w:val="20"/>
          <w:szCs w:val="20"/>
          <w:color w:val="auto"/>
        </w:rPr>
      </w:pPr>
    </w:p>
    <w:p>
      <w:pPr>
        <w:ind w:left="1200" w:right="219" w:hanging="431"/>
        <w:spacing w:after="0" w:line="268" w:lineRule="auto"/>
        <w:rPr>
          <w:sz w:val="20"/>
          <w:szCs w:val="20"/>
          <w:color w:val="auto"/>
        </w:rPr>
      </w:pPr>
      <w:r>
        <w:rPr>
          <w:rFonts w:ascii="Arial" w:cs="Arial" w:eastAsia="Arial" w:hAnsi="Arial"/>
          <w:sz w:val="15"/>
          <w:szCs w:val="15"/>
          <w:color w:val="auto"/>
        </w:rPr>
        <w:t xml:space="preserve">33.4 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w:t>
      </w:r>
      <w:r>
        <w:rPr>
          <w:rFonts w:ascii="Arial" w:cs="Arial" w:eastAsia="Arial" w:hAnsi="Arial"/>
          <w:sz w:val="15"/>
          <w:szCs w:val="15"/>
          <w:color w:val="auto"/>
          <w:strike w:val="1"/>
        </w:rPr>
        <w:t>he is</w:t>
      </w:r>
      <w:r>
        <w:rPr>
          <w:rFonts w:ascii="Arial" w:cs="Arial" w:eastAsia="Arial" w:hAnsi="Arial"/>
          <w:sz w:val="15"/>
          <w:szCs w:val="15"/>
          <w:u w:val="single" w:color="auto"/>
          <w:color w:val="auto"/>
        </w:rPr>
        <w:t>they</w:t>
      </w:r>
      <w:r>
        <w:rPr>
          <w:rFonts w:ascii="Arial" w:cs="Arial" w:eastAsia="Arial" w:hAnsi="Arial"/>
          <w:sz w:val="15"/>
          <w:szCs w:val="15"/>
          <w:color w:val="auto"/>
        </w:rPr>
        <w:t xml:space="preserve"> </w:t>
      </w:r>
      <w:r>
        <w:rPr>
          <w:rFonts w:ascii="Arial" w:cs="Arial" w:eastAsia="Arial" w:hAnsi="Arial"/>
          <w:sz w:val="15"/>
          <w:szCs w:val="15"/>
          <w:u w:val="single" w:color="auto"/>
          <w:color w:val="auto"/>
        </w:rPr>
        <w:t>are</w:t>
      </w:r>
      <w:r>
        <w:rPr>
          <w:rFonts w:ascii="Arial" w:cs="Arial" w:eastAsia="Arial" w:hAnsi="Arial"/>
          <w:sz w:val="15"/>
          <w:szCs w:val="15"/>
          <w:color w:val="auto"/>
        </w:rPr>
        <w:t xml:space="preserve"> not entitled to vote (or when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vote cannot be counted) but shall be counted in the quorum present in relation to all other matters or resolutions considered or voted on at the meeting. An alternate Director, who is not </w:t>
      </w:r>
      <w:r>
        <w:rPr>
          <w:rFonts w:ascii="Arial" w:cs="Arial" w:eastAsia="Arial" w:hAnsi="Arial"/>
          <w:sz w:val="15"/>
          <w:szCs w:val="15"/>
          <w:color w:val="auto"/>
          <w:strike w:val="1"/>
        </w:rPr>
        <w:t>himself</w:t>
      </w:r>
      <w:r>
        <w:rPr>
          <w:rFonts w:ascii="Arial" w:cs="Arial" w:eastAsia="Arial" w:hAnsi="Arial"/>
          <w:sz w:val="15"/>
          <w:szCs w:val="15"/>
          <w:u w:val="single" w:color="auto"/>
          <w:color w:val="auto"/>
        </w:rPr>
        <w:t>themselves</w:t>
      </w:r>
      <w:r>
        <w:rPr>
          <w:rFonts w:ascii="Arial" w:cs="Arial" w:eastAsia="Arial" w:hAnsi="Arial"/>
          <w:sz w:val="15"/>
          <w:szCs w:val="15"/>
          <w:color w:val="auto"/>
        </w:rPr>
        <w:t xml:space="preserve"> a Director shall, if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appointor is not present but is entitled to be counted in the quorum, be counted in the quorum.</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33.5  The Directors may at any time elect from their number, and remove, a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Board and a </w:t>
      </w:r>
      <w:r>
        <w:rPr>
          <w:rFonts w:ascii="Arial" w:cs="Arial" w:eastAsia="Arial" w:hAnsi="Arial"/>
          <w:sz w:val="16"/>
          <w:szCs w:val="16"/>
          <w:color w:val="auto"/>
          <w:strike w:val="1"/>
        </w:rPr>
        <w:t>deputy</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Unless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unwilling to do so, the Director appointed as</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in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stead the Director appointed as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shall</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 xml:space="preserve">preside at all meetings of the Board at which </w:t>
      </w:r>
      <w:r>
        <w:rPr>
          <w:rFonts w:ascii="Arial" w:cs="Arial" w:eastAsia="Arial" w:hAnsi="Arial"/>
          <w:sz w:val="15"/>
          <w:szCs w:val="15"/>
          <w:color w:val="auto"/>
          <w:strike w:val="1"/>
        </w:rPr>
        <w:t>he is</w:t>
      </w:r>
      <w:r>
        <w:rPr>
          <w:rFonts w:ascii="Arial" w:cs="Arial" w:eastAsia="Arial" w:hAnsi="Arial"/>
          <w:sz w:val="15"/>
          <w:szCs w:val="15"/>
          <w:u w:val="single" w:color="auto"/>
          <w:color w:val="auto"/>
        </w:rPr>
        <w:t>they are</w:t>
      </w:r>
      <w:r>
        <w:rPr>
          <w:rFonts w:ascii="Arial" w:cs="Arial" w:eastAsia="Arial" w:hAnsi="Arial"/>
          <w:sz w:val="15"/>
          <w:szCs w:val="15"/>
          <w:color w:val="auto"/>
        </w:rPr>
        <w:t xml:space="preserve"> present. If there is no Director holding either office, or if neither the</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nor the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is present within five minutes after the time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appointed for the meeting, or if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or </w:t>
      </w:r>
      <w:r>
        <w:rPr>
          <w:rFonts w:ascii="Arial" w:cs="Arial" w:eastAsia="Arial" w:hAnsi="Arial"/>
          <w:sz w:val="16"/>
          <w:szCs w:val="16"/>
          <w:color w:val="auto"/>
          <w:strike w:val="1"/>
        </w:rPr>
        <w:t>deputy chairman</w:t>
      </w:r>
      <w:r>
        <w:rPr>
          <w:rFonts w:ascii="Arial" w:cs="Arial" w:eastAsia="Arial" w:hAnsi="Arial"/>
          <w:sz w:val="16"/>
          <w:szCs w:val="16"/>
          <w:u w:val="single" w:color="auto"/>
          <w:color w:val="auto"/>
        </w:rPr>
        <w:t>senior independent director</w:t>
      </w:r>
      <w:r>
        <w:rPr>
          <w:rFonts w:ascii="Arial" w:cs="Arial" w:eastAsia="Arial" w:hAnsi="Arial"/>
          <w:sz w:val="16"/>
          <w:szCs w:val="16"/>
          <w:color w:val="auto"/>
        </w:rPr>
        <w:t xml:space="preserve"> is not willing to</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preside, the Directors present may choose one of their number to be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w:t>
      </w:r>
    </w:p>
    <w:p>
      <w:pPr>
        <w:spacing w:after="0" w:line="100" w:lineRule="exact"/>
        <w:rPr>
          <w:sz w:val="20"/>
          <w:szCs w:val="20"/>
          <w:color w:val="auto"/>
        </w:rPr>
      </w:pPr>
    </w:p>
    <w:p>
      <w:pPr>
        <w:ind w:left="1200" w:right="219" w:hanging="431"/>
        <w:spacing w:after="0" w:line="248" w:lineRule="auto"/>
        <w:rPr>
          <w:sz w:val="20"/>
          <w:szCs w:val="20"/>
          <w:color w:val="auto"/>
        </w:rPr>
      </w:pPr>
      <w:r>
        <w:rPr>
          <w:rFonts w:ascii="Arial" w:cs="Arial" w:eastAsia="Arial" w:hAnsi="Arial"/>
          <w:sz w:val="16"/>
          <w:szCs w:val="16"/>
          <w:color w:val="auto"/>
        </w:rPr>
        <w:t>33.6 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73" w:lineRule="exact"/>
        <w:rPr>
          <w:sz w:val="20"/>
          <w:szCs w:val="20"/>
          <w:color w:val="auto"/>
        </w:rPr>
      </w:pPr>
    </w:p>
    <w:p>
      <w:pPr>
        <w:ind w:left="1200" w:right="199" w:hanging="431"/>
        <w:spacing w:after="0" w:line="247" w:lineRule="auto"/>
        <w:rPr>
          <w:sz w:val="20"/>
          <w:szCs w:val="20"/>
          <w:color w:val="auto"/>
        </w:rPr>
      </w:pPr>
      <w:r>
        <w:rPr>
          <w:rFonts w:ascii="Arial" w:cs="Arial" w:eastAsia="Arial" w:hAnsi="Arial"/>
          <w:sz w:val="16"/>
          <w:szCs w:val="16"/>
          <w:color w:val="auto"/>
        </w:rPr>
        <w:t xml:space="preserve">33.7 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facsimile transmission</w:t>
      </w:r>
      <w:r>
        <w:rPr>
          <w:rFonts w:ascii="Arial" w:cs="Arial" w:eastAsia="Arial" w:hAnsi="Arial"/>
          <w:sz w:val="16"/>
          <w:szCs w:val="16"/>
          <w:u w:val="single" w:color="auto"/>
          <w:color w:val="auto"/>
        </w:rPr>
        <w:t>, email,</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electronic board portal or other electronic means of whatever nature approved by the Board from time to time</w:t>
      </w:r>
      <w:r>
        <w:rPr>
          <w:rFonts w:ascii="Arial" w:cs="Arial" w:eastAsia="Arial" w:hAnsi="Arial"/>
          <w:sz w:val="16"/>
          <w:szCs w:val="16"/>
          <w:color w:val="auto"/>
        </w:rPr>
        <w:t xml:space="preserve">) to such address (if any) for the time being specified by the Company for that purpose. A resolution agreed to by an alternate Director need not also be agreed to by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appointor and, if it is agreed to by a Director who has appointed an alternate Director, it need not also be agreed to by the alternate Director in that capacity.</w:t>
      </w:r>
    </w:p>
    <w:p>
      <w:pPr>
        <w:spacing w:after="0" w:line="91" w:lineRule="exact"/>
        <w:rPr>
          <w:sz w:val="20"/>
          <w:szCs w:val="20"/>
          <w:color w:val="auto"/>
        </w:rPr>
      </w:pPr>
    </w:p>
    <w:p>
      <w:pPr>
        <w:ind w:left="1200" w:right="499" w:hanging="431"/>
        <w:spacing w:after="0" w:line="293" w:lineRule="auto"/>
        <w:rPr>
          <w:sz w:val="20"/>
          <w:szCs w:val="20"/>
          <w:color w:val="auto"/>
        </w:rPr>
      </w:pPr>
      <w:r>
        <w:rPr>
          <w:rFonts w:ascii="Arial" w:cs="Arial" w:eastAsia="Arial" w:hAnsi="Arial"/>
          <w:sz w:val="15"/>
          <w:szCs w:val="15"/>
          <w:color w:val="auto"/>
        </w:rPr>
        <w:t>33.8 Without prejudice to Article 33.1, a meeting of the Board or of a committee of the Board may consist of a conference between Directors who are not all in one place, but each of whom is able (whether directly or by conference telephone or</w:t>
      </w:r>
    </w:p>
    <w:p>
      <w:pPr>
        <w:spacing w:after="0" w:line="7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A-28</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spacing w:after="0" w:line="249" w:lineRule="auto"/>
        <w:rPr>
          <w:sz w:val="20"/>
          <w:szCs w:val="20"/>
          <w:color w:val="auto"/>
        </w:rPr>
      </w:pPr>
      <w:r>
        <w:rPr>
          <w:rFonts w:ascii="Arial" w:cs="Arial" w:eastAsia="Arial" w:hAnsi="Arial"/>
          <w:sz w:val="16"/>
          <w:szCs w:val="16"/>
          <w:color w:val="auto"/>
        </w:rPr>
        <w:t xml:space="preserve">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is located.</w:t>
      </w:r>
    </w:p>
    <w:p>
      <w:pPr>
        <w:spacing w:after="0" w:line="83" w:lineRule="exact"/>
        <w:rPr>
          <w:sz w:val="20"/>
          <w:szCs w:val="20"/>
          <w:color w:val="auto"/>
        </w:rPr>
      </w:pPr>
    </w:p>
    <w:p>
      <w:pPr>
        <w:ind w:left="1200" w:right="880" w:hanging="431"/>
        <w:spacing w:after="0" w:line="250" w:lineRule="auto"/>
        <w:rPr>
          <w:sz w:val="20"/>
          <w:szCs w:val="20"/>
          <w:color w:val="auto"/>
        </w:rPr>
      </w:pPr>
      <w:r>
        <w:rPr>
          <w:rFonts w:ascii="Arial" w:cs="Arial" w:eastAsia="Arial" w:hAnsi="Arial"/>
          <w:sz w:val="16"/>
          <w:szCs w:val="16"/>
          <w:color w:val="auto"/>
        </w:rPr>
        <w:t xml:space="preserve">33.9 Except as otherwise provided by these Articles, a Director shall not vote at a meeting of the Board or a committee of the Board on any resolution concerning a matter in which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directly or indirectly, an interest (other than an interest in shares, debentures or other securities of, or otherwise in or through, the Company) which can reasonably be regarded as likely to give rise to a conflict with the interests of the Company, unless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arises only because the resolution falls within one or more of the following matters:</w:t>
      </w:r>
    </w:p>
    <w:p>
      <w:pPr>
        <w:spacing w:after="0" w:line="81" w:lineRule="exact"/>
        <w:rPr>
          <w:sz w:val="20"/>
          <w:szCs w:val="20"/>
          <w:color w:val="auto"/>
        </w:rPr>
      </w:pPr>
    </w:p>
    <w:p>
      <w:pPr>
        <w:ind w:left="1620" w:right="820" w:hanging="424"/>
        <w:spacing w:after="0" w:line="260"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the giving of a guarantee, security or indemnity in respect of money lent to, or an obligation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at the request of, or for the benefit of, the Company or any of its subsidiary undertakings;</w:t>
      </w:r>
    </w:p>
    <w:p>
      <w:pPr>
        <w:spacing w:after="0" w:line="60" w:lineRule="exact"/>
        <w:rPr>
          <w:rFonts w:ascii="Arial" w:cs="Arial" w:eastAsia="Arial" w:hAnsi="Arial"/>
          <w:sz w:val="16"/>
          <w:szCs w:val="16"/>
          <w:color w:val="auto"/>
        </w:rPr>
      </w:pPr>
    </w:p>
    <w:p>
      <w:pPr>
        <w:ind w:left="1620" w:right="1160" w:hanging="424"/>
        <w:spacing w:after="0" w:line="253"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the giving of a guarantee, security or indemnity in respect of a debt or obligation of the Company or any of its subsidiary undertakings for which the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has assumed responsibility (in whole or in part and whether alone or jointly with others) under a guarantee or indemnity or by the giving of security;</w:t>
      </w:r>
    </w:p>
    <w:p>
      <w:pPr>
        <w:spacing w:after="0" w:line="79" w:lineRule="exact"/>
        <w:rPr>
          <w:rFonts w:ascii="Arial" w:cs="Arial" w:eastAsia="Arial" w:hAnsi="Arial"/>
          <w:sz w:val="16"/>
          <w:szCs w:val="16"/>
          <w:color w:val="auto"/>
        </w:rPr>
      </w:pPr>
    </w:p>
    <w:p>
      <w:pPr>
        <w:ind w:left="1620" w:right="780" w:hanging="424"/>
        <w:spacing w:after="0" w:line="248"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a proposal for</w:t>
      </w:r>
      <w:r>
        <w:rPr>
          <w:rFonts w:ascii="Arial" w:cs="Arial" w:eastAsia="Arial" w:hAnsi="Arial"/>
          <w:sz w:val="16"/>
          <w:szCs w:val="16"/>
          <w:color w:val="auto"/>
        </w:rPr>
        <w:t xml:space="preserve"> the </w:t>
      </w:r>
      <w:r>
        <w:rPr>
          <w:rFonts w:ascii="Arial" w:cs="Arial" w:eastAsia="Arial" w:hAnsi="Arial"/>
          <w:sz w:val="16"/>
          <w:szCs w:val="16"/>
          <w:color w:val="auto"/>
          <w:strike w:val="1"/>
        </w:rPr>
        <w:t>giving</w:t>
      </w:r>
      <w:r>
        <w:rPr>
          <w:rFonts w:ascii="Arial" w:cs="Arial" w:eastAsia="Arial" w:hAnsi="Arial"/>
          <w:sz w:val="16"/>
          <w:szCs w:val="16"/>
          <w:u w:val="single" w:color="auto"/>
          <w:color w:val="auto"/>
        </w:rPr>
        <w:t>Company: (i)</w:t>
      </w:r>
      <w:r>
        <w:rPr>
          <w:rFonts w:ascii="Arial" w:cs="Arial" w:eastAsia="Arial" w:hAnsi="Arial"/>
          <w:sz w:val="16"/>
          <w:szCs w:val="16"/>
          <w:color w:val="auto"/>
        </w:rPr>
        <w:t xml:space="preserve"> to </w:t>
      </w:r>
      <w:r>
        <w:rPr>
          <w:rFonts w:ascii="Arial" w:cs="Arial" w:eastAsia="Arial" w:hAnsi="Arial"/>
          <w:sz w:val="16"/>
          <w:szCs w:val="16"/>
          <w:color w:val="auto"/>
          <w:strike w:val="1"/>
        </w:rPr>
        <w:t>him of any 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 them with an</w:t>
      </w:r>
      <w:r>
        <w:rPr>
          <w:rFonts w:ascii="Arial" w:cs="Arial" w:eastAsia="Arial" w:hAnsi="Arial"/>
          <w:sz w:val="16"/>
          <w:szCs w:val="16"/>
          <w:color w:val="auto"/>
        </w:rPr>
        <w:t xml:space="preserve"> indemnity </w:t>
      </w:r>
      <w:r>
        <w:rPr>
          <w:rFonts w:ascii="Arial" w:cs="Arial" w:eastAsia="Arial" w:hAnsi="Arial"/>
          <w:sz w:val="16"/>
          <w:szCs w:val="16"/>
          <w:color w:val="auto"/>
          <w:strike w:val="1"/>
        </w:rPr>
        <w:t>which is on substantially the</w:t>
      </w:r>
      <w:r>
        <w:rPr>
          <w:rFonts w:ascii="Arial" w:cs="Arial" w:eastAsia="Arial" w:hAnsi="Arial"/>
          <w:sz w:val="16"/>
          <w:szCs w:val="16"/>
          <w:color w:val="auto"/>
        </w:rPr>
        <w:t xml:space="preserve"> </w:t>
      </w:r>
      <w:r>
        <w:rPr>
          <w:rFonts w:ascii="Arial" w:cs="Arial" w:eastAsia="Arial" w:hAnsi="Arial"/>
          <w:sz w:val="16"/>
          <w:szCs w:val="16"/>
          <w:color w:val="auto"/>
          <w:strike w:val="1"/>
        </w:rPr>
        <w:t>same terms as indemnities given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permitted by applicable law; (ii)</w:t>
      </w:r>
      <w:r>
        <w:rPr>
          <w:rFonts w:ascii="Arial" w:cs="Arial" w:eastAsia="Arial" w:hAnsi="Arial"/>
          <w:sz w:val="16"/>
          <w:szCs w:val="16"/>
          <w:color w:val="auto"/>
        </w:rPr>
        <w:t xml:space="preserve"> to </w:t>
      </w:r>
      <w:r>
        <w:rPr>
          <w:rFonts w:ascii="Arial" w:cs="Arial" w:eastAsia="Arial" w:hAnsi="Arial"/>
          <w:sz w:val="16"/>
          <w:szCs w:val="16"/>
          <w:color w:val="auto"/>
          <w:strike w:val="1"/>
        </w:rPr>
        <w:t>be given</w:t>
      </w:r>
      <w:r>
        <w:rPr>
          <w:rFonts w:ascii="Arial" w:cs="Arial" w:eastAsia="Arial" w:hAnsi="Arial"/>
          <w:sz w:val="16"/>
          <w:szCs w:val="16"/>
          <w:u w:val="single" w:color="auto"/>
          <w:color w:val="auto"/>
        </w:rPr>
        <w:t>provide them with funds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circumstances permitted by applicable law</w:t>
      </w:r>
      <w:r>
        <w:rPr>
          <w:rFonts w:ascii="Arial" w:cs="Arial" w:eastAsia="Arial" w:hAnsi="Arial"/>
          <w:sz w:val="16"/>
          <w:szCs w:val="16"/>
          <w:color w:val="auto"/>
        </w:rPr>
        <w:t xml:space="preserve"> to </w:t>
      </w:r>
      <w:r>
        <w:rPr>
          <w:rFonts w:ascii="Arial" w:cs="Arial" w:eastAsia="Arial" w:hAnsi="Arial"/>
          <w:sz w:val="16"/>
          <w:szCs w:val="16"/>
          <w:color w:val="auto"/>
          <w:strike w:val="1"/>
        </w:rPr>
        <w:t>all of the other directors and/or to the funding by the Company of his</w:t>
      </w:r>
      <w:r>
        <w:rPr>
          <w:rFonts w:ascii="Arial" w:cs="Arial" w:eastAsia="Arial" w:hAnsi="Arial"/>
          <w:sz w:val="16"/>
          <w:szCs w:val="16"/>
          <w:u w:val="single" w:color="auto"/>
          <w:color w:val="auto"/>
        </w:rPr>
        <w:t>meet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their defence</w:t>
      </w:r>
      <w:r>
        <w:rPr>
          <w:rFonts w:ascii="Arial" w:cs="Arial" w:eastAsia="Arial" w:hAnsi="Arial"/>
          <w:sz w:val="16"/>
          <w:szCs w:val="16"/>
          <w:color w:val="auto"/>
        </w:rPr>
        <w:t xml:space="preserve"> expenditure </w:t>
      </w:r>
      <w:r>
        <w:rPr>
          <w:rFonts w:ascii="Arial" w:cs="Arial" w:eastAsia="Arial" w:hAnsi="Arial"/>
          <w:sz w:val="16"/>
          <w:szCs w:val="16"/>
          <w:color w:val="auto"/>
          <w:strike w:val="1"/>
        </w:rPr>
        <w:t>on defending</w:t>
      </w:r>
      <w:r>
        <w:rPr>
          <w:rFonts w:ascii="Arial" w:cs="Arial" w:eastAsia="Arial" w:hAnsi="Arial"/>
          <w:sz w:val="16"/>
          <w:szCs w:val="16"/>
          <w:u w:val="single" w:color="auto"/>
          <w:color w:val="auto"/>
        </w:rPr>
        <w:t>in respect of any civil or criminal</w:t>
      </w:r>
      <w:r>
        <w:rPr>
          <w:rFonts w:ascii="Arial" w:cs="Arial" w:eastAsia="Arial" w:hAnsi="Arial"/>
          <w:sz w:val="16"/>
          <w:szCs w:val="16"/>
          <w:color w:val="auto"/>
        </w:rPr>
        <w:t xml:space="preserve"> proceedings or </w:t>
      </w:r>
      <w:r>
        <w:rPr>
          <w:rFonts w:ascii="Arial" w:cs="Arial" w:eastAsia="Arial" w:hAnsi="Arial"/>
          <w:sz w:val="16"/>
          <w:szCs w:val="16"/>
          <w:color w:val="auto"/>
          <w:strike w:val="1"/>
        </w:rPr>
        <w:t>the doing by the Company</w:t>
      </w:r>
      <w:r>
        <w:rPr>
          <w:rFonts w:ascii="Arial" w:cs="Arial" w:eastAsia="Arial" w:hAnsi="Arial"/>
          <w:sz w:val="16"/>
          <w:szCs w:val="16"/>
          <w:color w:val="auto"/>
        </w:rPr>
        <w:t xml:space="preserve"> </w:t>
      </w:r>
      <w:r>
        <w:rPr>
          <w:rFonts w:ascii="Arial" w:cs="Arial" w:eastAsia="Arial" w:hAnsi="Arial"/>
          <w:sz w:val="16"/>
          <w:szCs w:val="16"/>
          <w:color w:val="auto"/>
          <w:strike w:val="1"/>
        </w:rPr>
        <w:t>of</w:t>
      </w:r>
      <w:r>
        <w:rPr>
          <w:rFonts w:ascii="Arial" w:cs="Arial" w:eastAsia="Arial" w:hAnsi="Arial"/>
          <w:sz w:val="16"/>
          <w:szCs w:val="16"/>
          <w:u w:val="single" w:color="auto"/>
          <w:color w:val="auto"/>
          <w:strike w:val="1"/>
        </w:rPr>
        <w:t>regulatory investigation or other regulatory action or in connection with any application for any category of relief</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permitted by applicable law; or (iii) to do</w:t>
      </w:r>
      <w:r>
        <w:rPr>
          <w:rFonts w:ascii="Arial" w:cs="Arial" w:eastAsia="Arial" w:hAnsi="Arial"/>
          <w:sz w:val="16"/>
          <w:szCs w:val="16"/>
          <w:color w:val="auto"/>
          <w:strike w:val="1"/>
        </w:rPr>
        <w:t xml:space="preserve"> anything to enable him</w:t>
      </w:r>
      <w:r>
        <w:rPr>
          <w:rFonts w:ascii="Arial" w:cs="Arial" w:eastAsia="Arial" w:hAnsi="Arial"/>
          <w:sz w:val="16"/>
          <w:szCs w:val="16"/>
          <w:u w:val="single" w:color="auto"/>
          <w:color w:val="auto"/>
          <w:strike w:val="1"/>
        </w:rPr>
        <w:t>them</w:t>
      </w:r>
      <w:r>
        <w:rPr>
          <w:rFonts w:ascii="Arial" w:cs="Arial" w:eastAsia="Arial" w:hAnsi="Arial"/>
          <w:sz w:val="16"/>
          <w:szCs w:val="16"/>
          <w:color w:val="auto"/>
          <w:strike w:val="1"/>
        </w:rPr>
        <w:t xml:space="preserve"> to avoid incurring </w:t>
      </w:r>
      <w:r>
        <w:rPr>
          <w:rFonts w:ascii="Arial" w:cs="Arial" w:eastAsia="Arial" w:hAnsi="Arial"/>
          <w:sz w:val="16"/>
          <w:szCs w:val="16"/>
          <w:u w:val="single" w:color="auto"/>
          <w:color w:val="auto"/>
          <w:strike w:val="1"/>
        </w:rPr>
        <w:t>any</w:t>
      </w:r>
      <w:r>
        <w:rPr>
          <w:rFonts w:ascii="Arial" w:cs="Arial" w:eastAsia="Arial" w:hAnsi="Arial"/>
          <w:sz w:val="16"/>
          <w:szCs w:val="16"/>
          <w:color w:val="auto"/>
          <w:strike w:val="1"/>
        </w:rPr>
        <w:t xml:space="preserve"> such expenditure where all other directors have been given or are to be given substantially the same arrangements;</w:t>
      </w:r>
    </w:p>
    <w:p>
      <w:pPr>
        <w:spacing w:after="0" w:line="86" w:lineRule="exact"/>
        <w:rPr>
          <w:rFonts w:ascii="Arial" w:cs="Arial" w:eastAsia="Arial" w:hAnsi="Arial"/>
          <w:sz w:val="16"/>
          <w:szCs w:val="16"/>
          <w:color w:val="auto"/>
        </w:rPr>
      </w:pPr>
    </w:p>
    <w:p>
      <w:pPr>
        <w:ind w:left="1620" w:right="820" w:hanging="424"/>
        <w:spacing w:after="0" w:line="251"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concerning an offer of shares, debentures or other securities of the Company or any of its subsidiary undertakings for subscription, purchase or exchange, in which offer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or may be entitled to participate as holder of securities or in the underwriting or sub-underwriting of which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to participate;</w:t>
      </w:r>
    </w:p>
    <w:p>
      <w:pPr>
        <w:spacing w:after="0" w:line="67" w:lineRule="exact"/>
        <w:rPr>
          <w:rFonts w:ascii="Arial" w:cs="Arial" w:eastAsia="Arial" w:hAnsi="Arial"/>
          <w:sz w:val="16"/>
          <w:szCs w:val="16"/>
          <w:color w:val="auto"/>
        </w:rPr>
      </w:pPr>
    </w:p>
    <w:p>
      <w:pPr>
        <w:ind w:left="1620" w:right="900" w:hanging="424"/>
        <w:spacing w:after="0" w:line="248"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concerning any other undertaking in which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or any person connected with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is interested, directly or indirectly, and whether as an officer, shareholder, member, partner, creditor or otherwise if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and any persons connected with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do not to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knowledge hold an interest (as that term is used in sections 820 to 825 of the Companies Act) representing one per cent. or more of either any class of the equity share capital of such undertaking (or any other undertaking through which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85" w:lineRule="exact"/>
        <w:rPr>
          <w:rFonts w:ascii="Arial" w:cs="Arial" w:eastAsia="Arial" w:hAnsi="Arial"/>
          <w:sz w:val="16"/>
          <w:szCs w:val="16"/>
          <w:color w:val="auto"/>
        </w:rPr>
      </w:pPr>
    </w:p>
    <w:p>
      <w:pPr>
        <w:ind w:left="1620" w:right="840" w:hanging="424"/>
        <w:spacing w:after="0" w:line="249"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a contract, arrangement, transaction or proposal for the benefit of employees and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and/or former employees and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any privilege or advantage not generally accorded to the employees and/or former employees to whom such arrangement relates; and</w:t>
      </w:r>
    </w:p>
    <w:p>
      <w:pPr>
        <w:spacing w:after="0" w:line="83" w:lineRule="exact"/>
        <w:rPr>
          <w:rFonts w:ascii="Arial" w:cs="Arial" w:eastAsia="Arial" w:hAnsi="Arial"/>
          <w:sz w:val="16"/>
          <w:szCs w:val="16"/>
          <w:color w:val="auto"/>
        </w:rPr>
      </w:pPr>
    </w:p>
    <w:p>
      <w:pPr>
        <w:ind w:left="1620" w:right="900" w:hanging="424"/>
        <w:spacing w:after="0" w:line="260" w:lineRule="auto"/>
        <w:tabs>
          <w:tab w:leader="none" w:pos="16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60" w:lineRule="exact"/>
        <w:rPr>
          <w:sz w:val="20"/>
          <w:szCs w:val="20"/>
          <w:color w:val="auto"/>
        </w:rPr>
      </w:pPr>
    </w:p>
    <w:p>
      <w:pPr>
        <w:ind w:left="1200" w:right="840" w:hanging="431"/>
        <w:spacing w:after="0" w:line="250" w:lineRule="auto"/>
        <w:rPr>
          <w:sz w:val="20"/>
          <w:szCs w:val="20"/>
          <w:color w:val="auto"/>
        </w:rPr>
      </w:pPr>
      <w:r>
        <w:rPr>
          <w:rFonts w:ascii="Arial" w:cs="Arial" w:eastAsia="Arial" w:hAnsi="Arial"/>
          <w:sz w:val="16"/>
          <w:szCs w:val="16"/>
          <w:color w:val="auto"/>
        </w:rPr>
        <w:t xml:space="preserve">33.10 The Company may by ordinary resolution suspend or relax to any extent, either generally or in respect of any particular matter, any provision of these Articles prohibiting a Director from voting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ratify any transaction not duly authorised by reason of contravention of any such provision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Board may suspend or relax to any extent, in respect of any particular matter, any provision of these Articles prohibiting a Director from voting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81" w:lineRule="exact"/>
        <w:rPr>
          <w:sz w:val="20"/>
          <w:szCs w:val="20"/>
          <w:color w:val="auto"/>
        </w:rPr>
      </w:pPr>
    </w:p>
    <w:p>
      <w:pPr>
        <w:ind w:left="1200" w:right="820" w:hanging="431"/>
        <w:spacing w:after="0" w:line="250" w:lineRule="auto"/>
        <w:rPr>
          <w:sz w:val="20"/>
          <w:szCs w:val="20"/>
          <w:color w:val="auto"/>
        </w:rPr>
      </w:pPr>
      <w:r>
        <w:rPr>
          <w:rFonts w:ascii="Arial" w:cs="Arial" w:eastAsia="Arial" w:hAnsi="Arial"/>
          <w:sz w:val="16"/>
          <w:szCs w:val="16"/>
          <w:color w:val="auto"/>
        </w:rPr>
        <w:t xml:space="preserve">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own appointment.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A-29</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8" w:name="page109"/>
    <w:bookmarkEnd w:id="108"/>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200" w:right="219" w:hanging="431"/>
        <w:spacing w:after="0" w:line="251" w:lineRule="auto"/>
        <w:rPr>
          <w:sz w:val="20"/>
          <w:szCs w:val="20"/>
          <w:color w:val="auto"/>
        </w:rPr>
      </w:pPr>
      <w:r>
        <w:rPr>
          <w:rFonts w:ascii="Arial" w:cs="Arial" w:eastAsia="Arial" w:hAnsi="Arial"/>
          <w:sz w:val="16"/>
          <w:szCs w:val="16"/>
          <w:color w:val="auto"/>
        </w:rPr>
        <w:t xml:space="preserve">33.12 If a question arises at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a meeting of a committee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61" w:lineRule="exact"/>
        <w:rPr>
          <w:sz w:val="20"/>
          <w:szCs w:val="20"/>
          <w:color w:val="auto"/>
        </w:rPr>
      </w:pPr>
    </w:p>
    <w:p>
      <w:pPr>
        <w:ind w:left="1200" w:hanging="436"/>
        <w:spacing w:after="0"/>
        <w:tabs>
          <w:tab w:leader="none" w:pos="120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MINUTES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34.1  The Directors shall cause minutes to be made in books kept for the purpose:</w:t>
      </w:r>
    </w:p>
    <w:p>
      <w:pPr>
        <w:spacing w:after="0" w:line="86" w:lineRule="exact"/>
        <w:rPr>
          <w:sz w:val="20"/>
          <w:szCs w:val="20"/>
          <w:color w:val="auto"/>
        </w:rPr>
      </w:pPr>
    </w:p>
    <w:p>
      <w:pPr>
        <w:ind w:left="1620" w:hanging="424"/>
        <w:spacing w:after="0"/>
        <w:tabs>
          <w:tab w:leader="none" w:pos="16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of all appointments of officers made by the Directors; and</w:t>
      </w:r>
    </w:p>
    <w:p>
      <w:pPr>
        <w:spacing w:after="0" w:line="99" w:lineRule="exact"/>
        <w:rPr>
          <w:rFonts w:ascii="Arial" w:cs="Arial" w:eastAsia="Arial" w:hAnsi="Arial"/>
          <w:sz w:val="16"/>
          <w:szCs w:val="16"/>
          <w:color w:val="auto"/>
        </w:rPr>
      </w:pPr>
    </w:p>
    <w:p>
      <w:pPr>
        <w:ind w:left="1620" w:right="199" w:hanging="424"/>
        <w:spacing w:after="0" w:line="293" w:lineRule="auto"/>
        <w:tabs>
          <w:tab w:leader="none" w:pos="162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51" w:lineRule="exact"/>
        <w:rPr>
          <w:sz w:val="20"/>
          <w:szCs w:val="20"/>
          <w:color w:val="auto"/>
        </w:rPr>
      </w:pPr>
    </w:p>
    <w:p>
      <w:pPr>
        <w:jc w:val="center"/>
        <w:ind w:left="500" w:right="580"/>
        <w:spacing w:after="0" w:line="260" w:lineRule="auto"/>
        <w:rPr>
          <w:sz w:val="20"/>
          <w:szCs w:val="20"/>
          <w:color w:val="auto"/>
        </w:rPr>
      </w:pPr>
      <w:r>
        <w:rPr>
          <w:rFonts w:ascii="Arial" w:cs="Arial" w:eastAsia="Arial" w:hAnsi="Arial"/>
          <w:sz w:val="16"/>
          <w:szCs w:val="16"/>
          <w:color w:val="auto"/>
        </w:rPr>
        <w:t xml:space="preserve">34.2  Any such minutes, if purporting to be signed by the </w:t>
      </w:r>
      <w:r>
        <w:rPr>
          <w:rFonts w:ascii="Arial" w:cs="Arial" w:eastAsia="Arial" w:hAnsi="Arial"/>
          <w:sz w:val="16"/>
          <w:szCs w:val="16"/>
          <w:color w:val="auto"/>
          <w:strike w:val="1"/>
        </w:rPr>
        <w:t>chairman</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of the meeting to which they relate or of the meeting at which they are read, shall be sufficient evidence without any further proof of the facts therein stated.</w:t>
      </w:r>
    </w:p>
    <w:p>
      <w:pPr>
        <w:spacing w:after="0" w:line="40" w:lineRule="exact"/>
        <w:rPr>
          <w:sz w:val="20"/>
          <w:szCs w:val="20"/>
          <w:color w:val="auto"/>
        </w:rPr>
      </w:pPr>
    </w:p>
    <w:p>
      <w:pPr>
        <w:ind w:left="1200" w:hanging="436"/>
        <w:spacing w:after="0"/>
        <w:tabs>
          <w:tab w:leader="none" w:pos="1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SECRETARY</w:t>
      </w:r>
    </w:p>
    <w:p>
      <w:pPr>
        <w:spacing w:after="0" w:line="119" w:lineRule="exact"/>
        <w:rPr>
          <w:rFonts w:ascii="Arial" w:cs="Arial" w:eastAsia="Arial" w:hAnsi="Arial"/>
          <w:sz w:val="16"/>
          <w:szCs w:val="16"/>
          <w:b w:val="1"/>
          <w:bCs w:val="1"/>
          <w:color w:val="auto"/>
        </w:rPr>
      </w:pPr>
    </w:p>
    <w:p>
      <w:pPr>
        <w:ind w:left="1200" w:right="279"/>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 xml:space="preserve">Subject to the provisions of the Companies Act, the </w:t>
      </w:r>
      <w:r>
        <w:rPr>
          <w:rFonts w:ascii="Arial" w:cs="Arial" w:eastAsia="Arial" w:hAnsi="Arial"/>
          <w:sz w:val="16"/>
          <w:szCs w:val="16"/>
          <w:color w:val="auto"/>
          <w:strike w:val="1"/>
        </w:rPr>
        <w:t>secretary</w:t>
      </w:r>
      <w:r>
        <w:rPr>
          <w:rFonts w:ascii="Arial" w:cs="Arial" w:eastAsia="Arial" w:hAnsi="Arial"/>
          <w:sz w:val="16"/>
          <w:szCs w:val="16"/>
          <w:u w:val="single" w:color="auto"/>
          <w:color w:val="auto"/>
        </w:rPr>
        <w:t>Company Secretary of the Company</w:t>
      </w:r>
      <w:r>
        <w:rPr>
          <w:rFonts w:ascii="Arial" w:cs="Arial" w:eastAsia="Arial" w:hAnsi="Arial"/>
          <w:sz w:val="16"/>
          <w:szCs w:val="16"/>
          <w:color w:val="auto"/>
        </w:rPr>
        <w:t xml:space="preserve"> shall be appointed by the Board for such term, at such remuneration and on such other conditions as they think fit. Any </w:t>
      </w:r>
      <w:r>
        <w:rPr>
          <w:rFonts w:ascii="Arial" w:cs="Arial" w:eastAsia="Arial" w:hAnsi="Arial"/>
          <w:sz w:val="16"/>
          <w:szCs w:val="16"/>
          <w:color w:val="auto"/>
          <w:strike w:val="1"/>
        </w:rPr>
        <w:t>secretary</w:t>
      </w:r>
      <w:r>
        <w:rPr>
          <w:rFonts w:ascii="Arial" w:cs="Arial" w:eastAsia="Arial" w:hAnsi="Arial"/>
          <w:sz w:val="16"/>
          <w:szCs w:val="16"/>
          <w:u w:val="single" w:color="auto"/>
          <w:color w:val="auto"/>
        </w:rPr>
        <w:t>such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Secretary</w:t>
      </w:r>
      <w:r>
        <w:rPr>
          <w:rFonts w:ascii="Arial" w:cs="Arial" w:eastAsia="Arial" w:hAnsi="Arial"/>
          <w:sz w:val="16"/>
          <w:szCs w:val="16"/>
          <w:color w:val="auto"/>
        </w:rPr>
        <w:t xml:space="preserve"> so appointed may be removed by the Board but without prejudice to any claim for damages for breach of any contract of service between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and the Company.</w:t>
      </w:r>
    </w:p>
    <w:p>
      <w:pPr>
        <w:spacing w:after="0" w:line="60" w:lineRule="exact"/>
        <w:rPr>
          <w:rFonts w:ascii="Arial" w:cs="Arial" w:eastAsia="Arial" w:hAnsi="Arial"/>
          <w:sz w:val="16"/>
          <w:szCs w:val="16"/>
          <w:b w:val="1"/>
          <w:bCs w:val="1"/>
          <w:color w:val="auto"/>
        </w:rPr>
      </w:pPr>
    </w:p>
    <w:p>
      <w:pPr>
        <w:ind w:left="1200" w:hanging="436"/>
        <w:spacing w:after="0"/>
        <w:tabs>
          <w:tab w:leader="none" w:pos="1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THE SEAL</w:t>
      </w:r>
    </w:p>
    <w:p>
      <w:pPr>
        <w:spacing w:after="0" w:line="106" w:lineRule="exact"/>
        <w:rPr>
          <w:sz w:val="20"/>
          <w:szCs w:val="20"/>
          <w:color w:val="auto"/>
        </w:rPr>
      </w:pPr>
    </w:p>
    <w:p>
      <w:pPr>
        <w:ind w:left="1200" w:right="259" w:hanging="431"/>
        <w:spacing w:after="0" w:line="253" w:lineRule="auto"/>
        <w:rPr>
          <w:sz w:val="20"/>
          <w:szCs w:val="20"/>
          <w:color w:val="auto"/>
        </w:rPr>
      </w:pPr>
      <w:r>
        <w:rPr>
          <w:rFonts w:ascii="Arial" w:cs="Arial" w:eastAsia="Arial" w:hAnsi="Arial"/>
          <w:sz w:val="16"/>
          <w:szCs w:val="16"/>
          <w:color w:val="auto"/>
        </w:rPr>
        <w:t>36.1 The seal</w:t>
      </w:r>
      <w:r>
        <w:rPr>
          <w:rFonts w:ascii="Arial" w:cs="Arial" w:eastAsia="Arial" w:hAnsi="Arial"/>
          <w:sz w:val="16"/>
          <w:szCs w:val="16"/>
          <w:u w:val="single" w:color="auto"/>
          <w:color w:val="auto"/>
        </w:rPr>
        <w:t>, if any,</w:t>
      </w:r>
      <w:r>
        <w:rPr>
          <w:rFonts w:ascii="Arial" w:cs="Arial" w:eastAsia="Arial" w:hAnsi="Arial"/>
          <w:sz w:val="16"/>
          <w:szCs w:val="16"/>
          <w:color w:val="auto"/>
        </w:rPr>
        <w:t xml:space="preserve">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80" w:lineRule="exact"/>
        <w:rPr>
          <w:sz w:val="20"/>
          <w:szCs w:val="20"/>
          <w:color w:val="auto"/>
        </w:rPr>
      </w:pPr>
    </w:p>
    <w:p>
      <w:pPr>
        <w:ind w:left="1620" w:right="359" w:hanging="424"/>
        <w:spacing w:after="0" w:line="253" w:lineRule="auto"/>
        <w:tabs>
          <w:tab w:leader="none" w:pos="1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79" w:lineRule="exact"/>
        <w:rPr>
          <w:rFonts w:ascii="Arial" w:cs="Arial" w:eastAsia="Arial" w:hAnsi="Arial"/>
          <w:sz w:val="16"/>
          <w:szCs w:val="16"/>
          <w:color w:val="auto"/>
        </w:rPr>
      </w:pPr>
    </w:p>
    <w:p>
      <w:pPr>
        <w:ind w:left="1620" w:right="499" w:hanging="424"/>
        <w:spacing w:after="0" w:line="253" w:lineRule="auto"/>
        <w:tabs>
          <w:tab w:leader="none" w:pos="162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66" w:lineRule="exact"/>
        <w:rPr>
          <w:sz w:val="20"/>
          <w:szCs w:val="20"/>
          <w:color w:val="auto"/>
        </w:rPr>
      </w:pPr>
    </w:p>
    <w:p>
      <w:pPr>
        <w:ind w:left="1200" w:right="239" w:hanging="431"/>
        <w:spacing w:after="0" w:line="273" w:lineRule="auto"/>
        <w:rPr>
          <w:sz w:val="20"/>
          <w:szCs w:val="20"/>
          <w:color w:val="auto"/>
        </w:rPr>
      </w:pPr>
      <w:r>
        <w:rPr>
          <w:rFonts w:ascii="Arial" w:cs="Arial" w:eastAsia="Arial" w:hAnsi="Arial"/>
          <w:sz w:val="15"/>
          <w:szCs w:val="15"/>
          <w:color w:val="auto"/>
        </w:rPr>
        <w:t>36.2 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36.3  Subject to the provisions of the Companies Act, the Company may have an official seal for use in any place.</w:t>
      </w:r>
    </w:p>
    <w:p>
      <w:pPr>
        <w:spacing w:after="0" w:line="80" w:lineRule="exact"/>
        <w:rPr>
          <w:sz w:val="20"/>
          <w:szCs w:val="20"/>
          <w:color w:val="auto"/>
        </w:rPr>
      </w:pPr>
    </w:p>
    <w:p>
      <w:pPr>
        <w:ind w:left="1200" w:hanging="436"/>
        <w:spacing w:after="0"/>
        <w:tabs>
          <w:tab w:leader="none" w:pos="120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REGISTERS</w:t>
      </w:r>
    </w:p>
    <w:p>
      <w:pPr>
        <w:spacing w:after="0" w:line="106" w:lineRule="exact"/>
        <w:rPr>
          <w:sz w:val="20"/>
          <w:szCs w:val="20"/>
          <w:color w:val="auto"/>
        </w:rPr>
      </w:pPr>
    </w:p>
    <w:p>
      <w:pPr>
        <w:ind w:left="1200" w:right="359" w:hanging="431"/>
        <w:spacing w:after="0" w:line="260" w:lineRule="auto"/>
        <w:rPr>
          <w:sz w:val="20"/>
          <w:szCs w:val="20"/>
          <w:color w:val="auto"/>
        </w:rPr>
      </w:pPr>
      <w:r>
        <w:rPr>
          <w:rFonts w:ascii="Arial" w:cs="Arial" w:eastAsia="Arial" w:hAnsi="Arial"/>
          <w:sz w:val="16"/>
          <w:szCs w:val="16"/>
          <w:color w:val="auto"/>
        </w:rPr>
        <w:t>37.1 Subject to the provisions of the Companies Act, the Company may keep an overseas or local register in any place, and the Board may make, amend and revoke any regulations it thinks fit about the keeping of that register.</w:t>
      </w:r>
    </w:p>
    <w:p>
      <w:pPr>
        <w:spacing w:after="0" w:line="74" w:lineRule="exact"/>
        <w:rPr>
          <w:sz w:val="20"/>
          <w:szCs w:val="20"/>
          <w:color w:val="auto"/>
        </w:rPr>
      </w:pPr>
    </w:p>
    <w:p>
      <w:pPr>
        <w:ind w:left="1200" w:right="399" w:hanging="431"/>
        <w:spacing w:after="0" w:line="260" w:lineRule="auto"/>
        <w:rPr>
          <w:sz w:val="20"/>
          <w:szCs w:val="20"/>
          <w:color w:val="auto"/>
        </w:rPr>
      </w:pPr>
      <w:r>
        <w:rPr>
          <w:rFonts w:ascii="Arial" w:cs="Arial" w:eastAsia="Arial" w:hAnsi="Arial"/>
          <w:sz w:val="16"/>
          <w:szCs w:val="16"/>
          <w:color w:val="auto"/>
        </w:rPr>
        <w:t>37.2 Any Director or the secretary or any other person appointed by the Board for the purpose shall have power to authenticate and certify as true copies of and extracts from:</w:t>
      </w:r>
    </w:p>
    <w:p>
      <w:pPr>
        <w:spacing w:after="0" w:line="60" w:lineRule="exact"/>
        <w:rPr>
          <w:sz w:val="20"/>
          <w:szCs w:val="20"/>
          <w:color w:val="auto"/>
        </w:rPr>
      </w:pPr>
    </w:p>
    <w:p>
      <w:pPr>
        <w:ind w:left="1620" w:hanging="424"/>
        <w:spacing w:after="0"/>
        <w:tabs>
          <w:tab w:leader="none" w:pos="16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document comprising or affecting the constitution of the Company, whether in hard copy form or electronic form;</w:t>
      </w:r>
    </w:p>
    <w:p>
      <w:pPr>
        <w:spacing w:after="0" w:line="99"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resolution passed by the Company, the holders of any class of shares in the capital of the Company, the Board or any committee of the Board, whether in hard copy form or electronic form; and</w:t>
      </w:r>
    </w:p>
    <w:p>
      <w:pPr>
        <w:spacing w:after="0" w:line="73" w:lineRule="exact"/>
        <w:rPr>
          <w:rFonts w:ascii="Arial" w:cs="Arial" w:eastAsia="Arial" w:hAnsi="Arial"/>
          <w:sz w:val="16"/>
          <w:szCs w:val="16"/>
          <w:color w:val="auto"/>
        </w:rPr>
      </w:pPr>
    </w:p>
    <w:p>
      <w:pPr>
        <w:ind w:left="1620" w:right="279" w:hanging="424"/>
        <w:spacing w:after="0" w:line="260" w:lineRule="auto"/>
        <w:tabs>
          <w:tab w:leader="none" w:pos="16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book, record and document relating to the business of the Company, whether in hard copy form or electronic form (including without limitation the accounts).</w:t>
      </w:r>
    </w:p>
    <w:p>
      <w:pPr>
        <w:spacing w:after="0" w:line="60" w:lineRule="exact"/>
        <w:rPr>
          <w:sz w:val="20"/>
          <w:szCs w:val="20"/>
          <w:color w:val="auto"/>
        </w:rPr>
      </w:pPr>
    </w:p>
    <w:p>
      <w:pPr>
        <w:ind w:left="1200" w:right="199"/>
        <w:spacing w:after="0" w:line="250" w:lineRule="auto"/>
        <w:rPr>
          <w:sz w:val="20"/>
          <w:szCs w:val="20"/>
          <w:color w:val="auto"/>
        </w:rPr>
      </w:pPr>
      <w:r>
        <w:rPr>
          <w:rFonts w:ascii="Arial" w:cs="Arial" w:eastAsia="Arial" w:hAnsi="Arial"/>
          <w:sz w:val="16"/>
          <w:szCs w:val="16"/>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0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A-30</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DIVIDENDS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  The rights as regarding income attaching to the Ordinary Shares shall be as set out in this Article.</w:t>
      </w:r>
    </w:p>
    <w:p>
      <w:pPr>
        <w:spacing w:after="0" w:line="86" w:lineRule="exact"/>
        <w:rPr>
          <w:sz w:val="20"/>
          <w:szCs w:val="20"/>
          <w:color w:val="auto"/>
        </w:rPr>
      </w:pPr>
    </w:p>
    <w:p>
      <w:pPr>
        <w:ind w:left="1200" w:right="780" w:hanging="431"/>
        <w:spacing w:after="0" w:line="251" w:lineRule="auto"/>
        <w:rPr>
          <w:sz w:val="20"/>
          <w:szCs w:val="20"/>
          <w:color w:val="auto"/>
        </w:rPr>
      </w:pPr>
      <w:r>
        <w:rPr>
          <w:rFonts w:ascii="Arial" w:cs="Arial" w:eastAsia="Arial" w:hAnsi="Arial"/>
          <w:sz w:val="16"/>
          <w:szCs w:val="16"/>
          <w:color w:val="auto"/>
        </w:rPr>
        <w:t xml:space="preserve">38.2 Each Ordinary Share shall be entitled to receive all of the distributable profits available and declared by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81" w:lineRule="exact"/>
        <w:rPr>
          <w:sz w:val="20"/>
          <w:szCs w:val="20"/>
          <w:color w:val="auto"/>
        </w:rPr>
      </w:pPr>
    </w:p>
    <w:p>
      <w:pPr>
        <w:jc w:val="right"/>
        <w:ind w:left="760" w:right="1000"/>
        <w:spacing w:after="0" w:line="293" w:lineRule="auto"/>
        <w:rPr>
          <w:sz w:val="20"/>
          <w:szCs w:val="20"/>
          <w:color w:val="auto"/>
        </w:rPr>
      </w:pPr>
      <w:r>
        <w:rPr>
          <w:rFonts w:ascii="Arial" w:cs="Arial" w:eastAsia="Arial" w:hAnsi="Arial"/>
          <w:sz w:val="15"/>
          <w:szCs w:val="15"/>
          <w:color w:val="auto"/>
        </w:rPr>
        <w:t xml:space="preserve">38.3  Subject to the provisions of the Companies Act, the Company may by ordinary resolution declare dividends in accordance with the respective rights of the members, but no dividend shall exceed the amount recommended by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w:t>
      </w:r>
    </w:p>
    <w:p>
      <w:pPr>
        <w:spacing w:after="0" w:line="38" w:lineRule="exact"/>
        <w:rPr>
          <w:sz w:val="20"/>
          <w:szCs w:val="20"/>
          <w:color w:val="auto"/>
        </w:rPr>
      </w:pPr>
    </w:p>
    <w:p>
      <w:pPr>
        <w:ind w:left="1200" w:right="840" w:hanging="431"/>
        <w:spacing w:after="0" w:line="250" w:lineRule="auto"/>
        <w:rPr>
          <w:sz w:val="20"/>
          <w:szCs w:val="20"/>
          <w:color w:val="auto"/>
        </w:rPr>
      </w:pPr>
      <w:r>
        <w:rPr>
          <w:rFonts w:ascii="Arial" w:cs="Arial" w:eastAsia="Arial" w:hAnsi="Arial"/>
          <w:sz w:val="16"/>
          <w:szCs w:val="16"/>
          <w:color w:val="auto"/>
        </w:rPr>
        <w:t>38.4 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If the share capital is divided into different classes, the Board may:</w:t>
      </w:r>
    </w:p>
    <w:p>
      <w:pPr>
        <w:spacing w:after="0" w:line="68" w:lineRule="exact"/>
        <w:rPr>
          <w:sz w:val="20"/>
          <w:szCs w:val="20"/>
          <w:color w:val="auto"/>
        </w:rPr>
      </w:pPr>
    </w:p>
    <w:p>
      <w:pPr>
        <w:ind w:left="1620" w:right="820" w:hanging="424"/>
        <w:spacing w:after="0" w:line="253" w:lineRule="auto"/>
        <w:tabs>
          <w:tab w:leader="none" w:pos="16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79" w:lineRule="exact"/>
        <w:rPr>
          <w:rFonts w:ascii="Arial" w:cs="Arial" w:eastAsia="Arial" w:hAnsi="Arial"/>
          <w:sz w:val="16"/>
          <w:szCs w:val="16"/>
          <w:color w:val="auto"/>
        </w:rPr>
      </w:pPr>
    </w:p>
    <w:p>
      <w:pPr>
        <w:ind w:left="1620" w:right="1000" w:hanging="424"/>
        <w:spacing w:after="0" w:line="260" w:lineRule="auto"/>
        <w:tabs>
          <w:tab w:leader="none" w:pos="16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pay at intervals settled by them any dividend payable at a fixed rate if it appears to them that the profits available for distribution justify the payment;</w:t>
      </w:r>
    </w:p>
    <w:p>
      <w:pPr>
        <w:spacing w:after="0" w:line="60" w:lineRule="exact"/>
        <w:rPr>
          <w:sz w:val="20"/>
          <w:szCs w:val="20"/>
          <w:color w:val="auto"/>
        </w:rPr>
      </w:pPr>
    </w:p>
    <w:p>
      <w:pPr>
        <w:ind w:left="1200" w:right="840"/>
        <w:spacing w:after="0" w:line="269" w:lineRule="auto"/>
        <w:rPr>
          <w:sz w:val="20"/>
          <w:szCs w:val="20"/>
          <w:color w:val="auto"/>
        </w:rPr>
      </w:pPr>
      <w:r>
        <w:rPr>
          <w:rFonts w:ascii="Arial" w:cs="Arial" w:eastAsia="Arial" w:hAnsi="Arial"/>
          <w:sz w:val="15"/>
          <w:szCs w:val="15"/>
          <w:color w:val="auto"/>
        </w:rPr>
        <w:t xml:space="preserve">If the Board acts in good faith they shall not incur any liability to the holders of shares conferring preferred rights for any loss they may suffer by the lawful payment of an interim dividend on any shares having deferred or non-preferred rights. </w:t>
      </w:r>
      <w:r>
        <w:rPr>
          <w:rFonts w:ascii="Arial" w:cs="Arial" w:eastAsia="Arial" w:hAnsi="Arial"/>
          <w:sz w:val="15"/>
          <w:szCs w:val="15"/>
          <w:color w:val="auto"/>
          <w:strike w:val="1"/>
        </w:rPr>
        <w:t>Where</w:t>
      </w:r>
      <w:r>
        <w:rPr>
          <w:rFonts w:ascii="Arial" w:cs="Arial" w:eastAsia="Arial" w:hAnsi="Arial"/>
          <w:sz w:val="15"/>
          <w:szCs w:val="15"/>
          <w:color w:val="auto"/>
        </w:rPr>
        <w:t xml:space="preserve"> </w:t>
      </w:r>
      <w:r>
        <w:rPr>
          <w:rFonts w:ascii="Arial" w:cs="Arial" w:eastAsia="Arial" w:hAnsi="Arial"/>
          <w:sz w:val="15"/>
          <w:szCs w:val="15"/>
          <w:color w:val="auto"/>
          <w:strike w:val="1"/>
        </w:rPr>
        <w:t>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69" w:lineRule="exact"/>
        <w:rPr>
          <w:sz w:val="20"/>
          <w:szCs w:val="20"/>
          <w:color w:val="auto"/>
        </w:rPr>
      </w:pPr>
    </w:p>
    <w:p>
      <w:pPr>
        <w:ind w:left="1200" w:right="1220" w:hanging="431"/>
        <w:spacing w:after="0" w:line="260" w:lineRule="auto"/>
        <w:rPr>
          <w:sz w:val="20"/>
          <w:szCs w:val="20"/>
          <w:color w:val="auto"/>
        </w:rPr>
      </w:pPr>
      <w:r>
        <w:rPr>
          <w:rFonts w:ascii="Arial" w:cs="Arial" w:eastAsia="Arial" w:hAnsi="Arial"/>
          <w:sz w:val="16"/>
          <w:szCs w:val="16"/>
          <w:color w:val="auto"/>
        </w:rPr>
        <w:t>38.5 Dividends may be declared and paid in any currency or currencies that the Board shall determine. The Board may also determine the exchange rate and the relevant date for determining the value of any dividend in any currency.</w:t>
      </w:r>
    </w:p>
    <w:p>
      <w:pPr>
        <w:spacing w:after="0" w:line="60" w:lineRule="exact"/>
        <w:rPr>
          <w:sz w:val="20"/>
          <w:szCs w:val="20"/>
          <w:color w:val="auto"/>
        </w:rPr>
      </w:pPr>
    </w:p>
    <w:p>
      <w:pPr>
        <w:ind w:left="1200" w:right="860" w:hanging="431"/>
        <w:spacing w:after="0" w:line="248" w:lineRule="auto"/>
        <w:rPr>
          <w:sz w:val="20"/>
          <w:szCs w:val="20"/>
          <w:color w:val="auto"/>
        </w:rPr>
      </w:pPr>
      <w:r>
        <w:rPr>
          <w:rFonts w:ascii="Arial" w:cs="Arial" w:eastAsia="Arial" w:hAnsi="Arial"/>
          <w:sz w:val="16"/>
          <w:szCs w:val="16"/>
          <w:color w:val="auto"/>
        </w:rPr>
        <w:t>38.6 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87" w:lineRule="exact"/>
        <w:rPr>
          <w:sz w:val="20"/>
          <w:szCs w:val="20"/>
          <w:color w:val="auto"/>
        </w:rPr>
      </w:pPr>
    </w:p>
    <w:p>
      <w:pPr>
        <w:ind w:left="1200" w:right="920" w:hanging="431"/>
        <w:spacing w:after="0" w:line="269" w:lineRule="auto"/>
        <w:rPr>
          <w:sz w:val="20"/>
          <w:szCs w:val="20"/>
          <w:color w:val="auto"/>
        </w:rPr>
      </w:pPr>
      <w:r>
        <w:rPr>
          <w:rFonts w:ascii="Arial" w:cs="Arial" w:eastAsia="Arial" w:hAnsi="Arial"/>
          <w:sz w:val="15"/>
          <w:szCs w:val="15"/>
          <w:color w:val="auto"/>
        </w:rPr>
        <w:t xml:space="preserve">38.7 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w:t>
      </w:r>
      <w:r>
        <w:rPr>
          <w:rFonts w:ascii="Arial" w:cs="Arial" w:eastAsia="Arial" w:hAnsi="Arial"/>
          <w:sz w:val="15"/>
          <w:szCs w:val="15"/>
          <w:color w:val="auto"/>
          <w:strike w:val="1"/>
        </w:rPr>
        <w:t>Directors</w:t>
      </w:r>
      <w:r>
        <w:rPr>
          <w:rFonts w:ascii="Arial" w:cs="Arial" w:eastAsia="Arial" w:hAnsi="Arial"/>
          <w:sz w:val="15"/>
          <w:szCs w:val="15"/>
          <w:u w:val="single" w:color="auto"/>
          <w:color w:val="auto"/>
        </w:rPr>
        <w:t>Board</w:t>
      </w:r>
      <w:r>
        <w:rPr>
          <w:rFonts w:ascii="Arial" w:cs="Arial" w:eastAsia="Arial" w:hAnsi="Arial"/>
          <w:sz w:val="15"/>
          <w:szCs w:val="15"/>
          <w:color w:val="auto"/>
        </w:rPr>
        <w:t xml:space="preserve">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55" w:lineRule="exact"/>
        <w:rPr>
          <w:sz w:val="20"/>
          <w:szCs w:val="20"/>
          <w:color w:val="auto"/>
        </w:rPr>
      </w:pPr>
    </w:p>
    <w:p>
      <w:pPr>
        <w:jc w:val="both"/>
        <w:ind w:left="1200" w:right="940" w:hanging="431"/>
        <w:spacing w:after="0" w:line="278" w:lineRule="auto"/>
        <w:rPr>
          <w:sz w:val="20"/>
          <w:szCs w:val="20"/>
          <w:color w:val="auto"/>
        </w:rPr>
      </w:pPr>
      <w:r>
        <w:rPr>
          <w:rFonts w:ascii="Arial" w:cs="Arial" w:eastAsia="Arial" w:hAnsi="Arial"/>
          <w:sz w:val="15"/>
          <w:szCs w:val="15"/>
          <w:color w:val="auto"/>
        </w:rPr>
        <w:t xml:space="preserve">38.8 Unless otherwise recommended by </w:t>
      </w:r>
      <w:r>
        <w:rPr>
          <w:rFonts w:ascii="Arial" w:cs="Arial" w:eastAsia="Arial" w:hAnsi="Arial"/>
          <w:sz w:val="15"/>
          <w:szCs w:val="15"/>
          <w:color w:val="auto"/>
          <w:strike w:val="1"/>
        </w:rPr>
        <w:t>two-thirds of</w:t>
      </w:r>
      <w:r>
        <w:rPr>
          <w:rFonts w:ascii="Arial" w:cs="Arial" w:eastAsia="Arial" w:hAnsi="Arial"/>
          <w:sz w:val="15"/>
          <w:szCs w:val="15"/>
          <w:color w:val="auto"/>
        </w:rPr>
        <w:t xml:space="preserve">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38.9  Any dividend or other money payable in respect of a share may be paid:</w:t>
      </w:r>
    </w:p>
    <w:p>
      <w:pPr>
        <w:spacing w:after="0" w:line="100" w:lineRule="exact"/>
        <w:rPr>
          <w:sz w:val="20"/>
          <w:szCs w:val="20"/>
          <w:color w:val="auto"/>
        </w:rPr>
      </w:pPr>
    </w:p>
    <w:p>
      <w:pPr>
        <w:ind w:left="1620" w:hanging="424"/>
        <w:spacing w:after="0"/>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cash;</w:t>
      </w:r>
    </w:p>
    <w:p>
      <w:pPr>
        <w:spacing w:after="0" w:line="86" w:lineRule="exact"/>
        <w:rPr>
          <w:rFonts w:ascii="Arial" w:cs="Arial" w:eastAsia="Arial" w:hAnsi="Arial"/>
          <w:sz w:val="16"/>
          <w:szCs w:val="16"/>
          <w:color w:val="auto"/>
        </w:rPr>
      </w:pPr>
    </w:p>
    <w:p>
      <w:pPr>
        <w:ind w:left="1620" w:hanging="424"/>
        <w:spacing w:after="0"/>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by cheque or warrant made payable to or to the order of the holder or person entitled to payment;</w:t>
      </w:r>
    </w:p>
    <w:p>
      <w:pPr>
        <w:spacing w:after="0" w:line="86" w:lineRule="exact"/>
        <w:rPr>
          <w:rFonts w:ascii="Arial" w:cs="Arial" w:eastAsia="Arial" w:hAnsi="Arial"/>
          <w:sz w:val="16"/>
          <w:szCs w:val="16"/>
          <w:color w:val="auto"/>
        </w:rPr>
      </w:pPr>
    </w:p>
    <w:p>
      <w:pPr>
        <w:ind w:left="1620" w:right="1020" w:hanging="424"/>
        <w:spacing w:after="0" w:line="260"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by direct debit, bank or other funds transfer system to the holder or person entitled to payment or, if practicable, to a person designated by notice to the Company by the holder or person entitled to payment; or</w:t>
      </w:r>
    </w:p>
    <w:p>
      <w:pPr>
        <w:spacing w:after="0" w:line="73" w:lineRule="exact"/>
        <w:rPr>
          <w:rFonts w:ascii="Arial" w:cs="Arial" w:eastAsia="Arial" w:hAnsi="Arial"/>
          <w:sz w:val="16"/>
          <w:szCs w:val="16"/>
          <w:color w:val="auto"/>
        </w:rPr>
      </w:pPr>
    </w:p>
    <w:p>
      <w:pPr>
        <w:ind w:left="1620" w:right="1160" w:hanging="424"/>
        <w:spacing w:after="0" w:line="260"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by any other method approved by the Board and agreed (in such form as the Company thinks appropriate) by the holder or person entitled to payment.</w:t>
      </w:r>
    </w:p>
    <w:p>
      <w:pPr>
        <w:spacing w:after="0" w:line="74" w:lineRule="exact"/>
        <w:rPr>
          <w:sz w:val="20"/>
          <w:szCs w:val="20"/>
          <w:color w:val="auto"/>
        </w:rPr>
      </w:pPr>
    </w:p>
    <w:p>
      <w:pPr>
        <w:ind w:left="1200" w:right="980"/>
        <w:spacing w:after="0" w:line="260" w:lineRule="auto"/>
        <w:rPr>
          <w:sz w:val="20"/>
          <w:szCs w:val="20"/>
          <w:color w:val="auto"/>
        </w:rPr>
      </w:pPr>
      <w:r>
        <w:rPr>
          <w:rFonts w:ascii="Arial" w:cs="Arial" w:eastAsia="Arial" w:hAnsi="Arial"/>
          <w:sz w:val="16"/>
          <w:szCs w:val="16"/>
          <w:color w:val="auto"/>
        </w:rPr>
        <w:t>For uncertificated shares, any payment may be made by means of the relevant system (subject always to the facilities and requirements of the relevant system) and such payment may be made by the Company or any other person on 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A-31</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0" w:name="page111"/>
    <w:bookmarkEnd w:id="110"/>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319"/>
        <w:spacing w:after="0" w:line="253" w:lineRule="auto"/>
        <w:rPr>
          <w:sz w:val="20"/>
          <w:szCs w:val="20"/>
          <w:color w:val="auto"/>
        </w:rPr>
      </w:pPr>
      <w:r>
        <w:rPr>
          <w:rFonts w:ascii="Arial" w:cs="Arial" w:eastAsia="Arial" w:hAnsi="Arial"/>
          <w:sz w:val="16"/>
          <w:szCs w:val="16"/>
          <w:color w:val="auto"/>
        </w:rPr>
        <w:t xml:space="preserve">behalf sending an instruction to the </w:t>
      </w:r>
      <w:r>
        <w:rPr>
          <w:rFonts w:ascii="Arial" w:cs="Arial" w:eastAsia="Arial" w:hAnsi="Arial"/>
          <w:sz w:val="16"/>
          <w:szCs w:val="16"/>
          <w:color w:val="auto"/>
          <w:strike w:val="1"/>
        </w:rPr>
        <w:t>operator of the relevant system</w:t>
      </w:r>
      <w:r>
        <w:rPr>
          <w:rFonts w:ascii="Arial" w:cs="Arial" w:eastAsia="Arial" w:hAnsi="Arial"/>
          <w:sz w:val="16"/>
          <w:szCs w:val="16"/>
          <w:u w:val="single" w:color="auto"/>
          <w:color w:val="auto"/>
        </w:rPr>
        <w:t>Operator</w:t>
      </w:r>
      <w:r>
        <w:rPr>
          <w:rFonts w:ascii="Arial" w:cs="Arial" w:eastAsia="Arial" w:hAnsi="Arial"/>
          <w:sz w:val="16"/>
          <w:szCs w:val="16"/>
          <w:color w:val="auto"/>
        </w:rPr>
        <w:t xml:space="preserve"> to credit the cash memorandum account of the holder or joint holder of such shares or, if permitted by the Company, of such person as the holder or joint holders may in writing direct.</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38.10 If two or more persons are registered as joint holders of any share, or are entitled by transmission jointly to a share,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Company may:</w:t>
      </w:r>
    </w:p>
    <w:p>
      <w:pPr>
        <w:spacing w:after="0" w:line="100" w:lineRule="exact"/>
        <w:rPr>
          <w:sz w:val="20"/>
          <w:szCs w:val="20"/>
          <w:color w:val="auto"/>
        </w:rPr>
      </w:pPr>
    </w:p>
    <w:p>
      <w:pPr>
        <w:ind w:left="1620" w:right="399" w:hanging="424"/>
        <w:spacing w:after="0" w:line="260" w:lineRule="auto"/>
        <w:tabs>
          <w:tab w:leader="none" w:pos="16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pay any dividend or other moneys payable in respect of the share to any one of them and any one of them may give effectual receipt for the payment; and</w:t>
      </w:r>
    </w:p>
    <w:p>
      <w:pPr>
        <w:spacing w:after="0" w:line="60" w:lineRule="exact"/>
        <w:rPr>
          <w:rFonts w:ascii="Arial" w:cs="Arial" w:eastAsia="Arial" w:hAnsi="Arial"/>
          <w:sz w:val="16"/>
          <w:szCs w:val="16"/>
          <w:color w:val="auto"/>
        </w:rPr>
      </w:pPr>
    </w:p>
    <w:p>
      <w:pPr>
        <w:ind w:left="1620" w:right="559" w:hanging="424"/>
        <w:spacing w:after="0" w:line="260" w:lineRule="auto"/>
        <w:tabs>
          <w:tab w:leader="none" w:pos="16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for the purpose of Article 38.9, rely in relation to the share on the written direction, designation or agreement of, or notice to the Company by, any one of them.</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38.11 A cheque or warrant may be sent by post:</w:t>
      </w:r>
    </w:p>
    <w:p>
      <w:pPr>
        <w:spacing w:after="0" w:line="100" w:lineRule="exact"/>
        <w:rPr>
          <w:sz w:val="20"/>
          <w:szCs w:val="20"/>
          <w:color w:val="auto"/>
        </w:rPr>
      </w:pPr>
    </w:p>
    <w:p>
      <w:pPr>
        <w:ind w:left="1620" w:hanging="424"/>
        <w:spacing w:after="0"/>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where a share is held by a sole holder, to the registered address of the holder of the share;</w:t>
      </w:r>
    </w:p>
    <w:p>
      <w:pPr>
        <w:spacing w:after="0" w:line="86" w:lineRule="exact"/>
        <w:rPr>
          <w:rFonts w:ascii="Arial" w:cs="Arial" w:eastAsia="Arial" w:hAnsi="Arial"/>
          <w:sz w:val="16"/>
          <w:szCs w:val="16"/>
          <w:color w:val="auto"/>
        </w:rPr>
      </w:pPr>
    </w:p>
    <w:p>
      <w:pPr>
        <w:ind w:left="1620" w:right="399" w:hanging="424"/>
        <w:spacing w:after="0" w:line="260" w:lineRule="auto"/>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if two or more persons are the holders of the share, to the registered address of the person who is first named in the register </w:t>
      </w:r>
      <w:r>
        <w:rPr>
          <w:rFonts w:ascii="Arial" w:cs="Arial" w:eastAsia="Arial" w:hAnsi="Arial"/>
          <w:sz w:val="16"/>
          <w:szCs w:val="16"/>
          <w:color w:val="auto"/>
          <w:strike w:val="1"/>
        </w:rPr>
        <w:t>of members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73" w:lineRule="exact"/>
        <w:rPr>
          <w:rFonts w:ascii="Arial" w:cs="Arial" w:eastAsia="Arial" w:hAnsi="Arial"/>
          <w:sz w:val="16"/>
          <w:szCs w:val="16"/>
          <w:color w:val="auto"/>
        </w:rPr>
      </w:pPr>
    </w:p>
    <w:p>
      <w:pPr>
        <w:ind w:left="1620" w:right="879" w:hanging="424"/>
        <w:spacing w:after="0" w:line="260" w:lineRule="auto"/>
        <w:tabs>
          <w:tab w:leader="none" w:pos="16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any case to such person and to such address as the person entitled to payment may direct by notice to the Company.</w:t>
      </w:r>
    </w:p>
    <w:p>
      <w:pPr>
        <w:spacing w:after="0" w:line="60" w:lineRule="exact"/>
        <w:rPr>
          <w:sz w:val="20"/>
          <w:szCs w:val="20"/>
          <w:color w:val="auto"/>
        </w:rPr>
      </w:pPr>
    </w:p>
    <w:p>
      <w:pPr>
        <w:ind w:left="1200" w:right="199" w:hanging="431"/>
        <w:spacing w:after="0" w:line="270" w:lineRule="auto"/>
        <w:rPr>
          <w:sz w:val="20"/>
          <w:szCs w:val="20"/>
          <w:color w:val="auto"/>
        </w:rPr>
      </w:pPr>
      <w:r>
        <w:rPr>
          <w:rFonts w:ascii="Arial" w:cs="Arial" w:eastAsia="Arial" w:hAnsi="Arial"/>
          <w:sz w:val="15"/>
          <w:szCs w:val="15"/>
          <w:color w:val="auto"/>
        </w:rPr>
        <w:t xml:space="preserve">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w:t>
      </w:r>
      <w:r>
        <w:rPr>
          <w:rFonts w:ascii="Arial" w:cs="Arial" w:eastAsia="Arial" w:hAnsi="Arial"/>
          <w:sz w:val="15"/>
          <w:szCs w:val="15"/>
          <w:color w:val="auto"/>
          <w:strike w:val="1"/>
        </w:rPr>
        <w:t>38.9</w:t>
      </w:r>
      <w:r>
        <w:rPr>
          <w:rFonts w:ascii="Arial" w:cs="Arial" w:eastAsia="Arial" w:hAnsi="Arial"/>
          <w:sz w:val="15"/>
          <w:szCs w:val="15"/>
          <w:color w:val="auto"/>
        </w:rPr>
        <w:t>38.9.</w:t>
      </w:r>
    </w:p>
    <w:p>
      <w:pPr>
        <w:spacing w:after="0" w:line="69"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38.13 The Company may cease to send any cheque or warrant (or to use any other method of payment) for any dividend payable in respect of a share if:</w:t>
      </w:r>
    </w:p>
    <w:p>
      <w:pPr>
        <w:spacing w:after="0" w:line="74" w:lineRule="exact"/>
        <w:rPr>
          <w:sz w:val="20"/>
          <w:szCs w:val="20"/>
          <w:color w:val="auto"/>
        </w:rPr>
      </w:pPr>
    </w:p>
    <w:p>
      <w:pPr>
        <w:ind w:left="1620" w:right="719" w:hanging="424"/>
        <w:spacing w:after="0" w:line="260" w:lineRule="auto"/>
        <w:tabs>
          <w:tab w:leader="none" w:pos="16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respect of at least two consecutive dividends payable on that share the cheque or warrant has been returned undelivered or remains uncashed (or that other method of payment has failed); or</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following one such occasion, reasonable enquiries have failed to establish any new address of the holder;</w:t>
      </w:r>
    </w:p>
    <w:p>
      <w:pPr>
        <w:spacing w:after="0" w:line="100" w:lineRule="exact"/>
        <w:rPr>
          <w:sz w:val="20"/>
          <w:szCs w:val="20"/>
          <w:color w:val="auto"/>
        </w:rPr>
      </w:pPr>
    </w:p>
    <w:p>
      <w:pPr>
        <w:jc w:val="both"/>
        <w:ind w:left="1200" w:right="259"/>
        <w:spacing w:after="0" w:line="253" w:lineRule="auto"/>
        <w:rPr>
          <w:sz w:val="20"/>
          <w:szCs w:val="20"/>
          <w:color w:val="auto"/>
        </w:rPr>
      </w:pPr>
      <w:r>
        <w:rPr>
          <w:rFonts w:ascii="Arial" w:cs="Arial" w:eastAsia="Arial" w:hAnsi="Arial"/>
          <w:sz w:val="16"/>
          <w:szCs w:val="16"/>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80" w:lineRule="exact"/>
        <w:rPr>
          <w:sz w:val="20"/>
          <w:szCs w:val="20"/>
          <w:color w:val="auto"/>
        </w:rPr>
      </w:pPr>
    </w:p>
    <w:p>
      <w:pPr>
        <w:ind w:left="1200" w:right="639" w:hanging="431"/>
        <w:spacing w:after="0" w:line="251" w:lineRule="auto"/>
        <w:rPr>
          <w:sz w:val="20"/>
          <w:szCs w:val="20"/>
          <w:color w:val="auto"/>
        </w:rPr>
      </w:pPr>
      <w:r>
        <w:rPr>
          <w:rFonts w:ascii="Arial" w:cs="Arial" w:eastAsia="Arial" w:hAnsi="Arial"/>
          <w:sz w:val="16"/>
          <w:szCs w:val="16"/>
          <w:color w:val="auto"/>
        </w:rPr>
        <w:t xml:space="preserve">38.14 The Board may deduct from any dividend or other moneys payable to any member in respect of a share any moneys presently payable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to the Company in respect of that share. Where a person is entitled by transmission to a share, the Board may retain any dividend payable in respect of that share until that person (or that person’s transferee) becomes the holder of that share.</w:t>
      </w:r>
    </w:p>
    <w:p>
      <w:pPr>
        <w:spacing w:after="0" w:line="67" w:lineRule="exact"/>
        <w:rPr>
          <w:sz w:val="20"/>
          <w:szCs w:val="20"/>
          <w:color w:val="auto"/>
        </w:rPr>
      </w:pPr>
    </w:p>
    <w:p>
      <w:pPr>
        <w:ind w:left="1200" w:right="819" w:hanging="431"/>
        <w:spacing w:after="0" w:line="260" w:lineRule="auto"/>
        <w:rPr>
          <w:sz w:val="20"/>
          <w:szCs w:val="20"/>
          <w:color w:val="auto"/>
        </w:rPr>
      </w:pPr>
      <w:r>
        <w:rPr>
          <w:rFonts w:ascii="Arial" w:cs="Arial" w:eastAsia="Arial" w:hAnsi="Arial"/>
          <w:sz w:val="16"/>
          <w:szCs w:val="16"/>
          <w:color w:val="auto"/>
        </w:rPr>
        <w:t>38.15 No dividend or other money payable in respect of a share shall bear interest against the Company, unless otherwise provided by the rights attached to the share.</w:t>
      </w:r>
    </w:p>
    <w:p>
      <w:pPr>
        <w:spacing w:after="0" w:line="74" w:lineRule="exact"/>
        <w:rPr>
          <w:sz w:val="20"/>
          <w:szCs w:val="20"/>
          <w:color w:val="auto"/>
        </w:rPr>
      </w:pPr>
    </w:p>
    <w:p>
      <w:pPr>
        <w:ind w:left="1200" w:right="219" w:hanging="431"/>
        <w:spacing w:after="0" w:line="251" w:lineRule="auto"/>
        <w:rPr>
          <w:sz w:val="20"/>
          <w:szCs w:val="20"/>
          <w:color w:val="auto"/>
        </w:rPr>
      </w:pPr>
      <w:r>
        <w:rPr>
          <w:rFonts w:ascii="Arial" w:cs="Arial" w:eastAsia="Arial" w:hAnsi="Arial"/>
          <w:sz w:val="16"/>
          <w:szCs w:val="16"/>
          <w:color w:val="auto"/>
        </w:rPr>
        <w:t xml:space="preserve">38.16 Any dividend which has remained unclaimed for 12 years from the date when it became due for payment shall, if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47" w:lineRule="exact"/>
        <w:rPr>
          <w:sz w:val="20"/>
          <w:szCs w:val="20"/>
          <w:color w:val="auto"/>
        </w:rPr>
      </w:pPr>
    </w:p>
    <w:p>
      <w:pPr>
        <w:ind w:left="1200" w:hanging="436"/>
        <w:spacing w:after="0"/>
        <w:tabs>
          <w:tab w:leader="none" w:pos="120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SCRIP DIVIDENDS</w:t>
      </w:r>
    </w:p>
    <w:p>
      <w:pPr>
        <w:spacing w:after="0" w:line="120" w:lineRule="exact"/>
        <w:rPr>
          <w:sz w:val="20"/>
          <w:szCs w:val="20"/>
          <w:color w:val="auto"/>
        </w:rPr>
      </w:pPr>
    </w:p>
    <w:p>
      <w:pPr>
        <w:ind w:left="1200" w:right="199" w:hanging="431"/>
        <w:spacing w:after="0" w:line="253" w:lineRule="auto"/>
        <w:rPr>
          <w:sz w:val="20"/>
          <w:szCs w:val="20"/>
          <w:color w:val="auto"/>
        </w:rPr>
      </w:pPr>
      <w:r>
        <w:rPr>
          <w:rFonts w:ascii="Arial" w:cs="Arial" w:eastAsia="Arial" w:hAnsi="Arial"/>
          <w:sz w:val="16"/>
          <w:szCs w:val="16"/>
          <w:color w:val="auto"/>
        </w:rPr>
        <w:t>39.1 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80" w:lineRule="exact"/>
        <w:rPr>
          <w:sz w:val="20"/>
          <w:szCs w:val="20"/>
          <w:color w:val="auto"/>
        </w:rPr>
      </w:pPr>
    </w:p>
    <w:p>
      <w:pPr>
        <w:ind w:left="1620" w:right="279" w:hanging="424"/>
        <w:spacing w:after="0" w:line="251" w:lineRule="auto"/>
        <w:tabs>
          <w:tab w:leader="none" w:pos="16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w:t>
      </w:r>
      <w:r>
        <w:rPr>
          <w:rFonts w:ascii="Arial" w:cs="Arial" w:eastAsia="Arial" w:hAnsi="Arial"/>
          <w:sz w:val="16"/>
          <w:szCs w:val="16"/>
          <w:b w:val="1"/>
          <w:bCs w:val="1"/>
          <w:color w:val="auto"/>
        </w:rPr>
        <w:t>new share</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For this purpose, the value of each new share shall be:</w:t>
      </w:r>
    </w:p>
    <w:p>
      <w:pPr>
        <w:spacing w:after="0" w:line="100"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A-32</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60" w:right="860" w:hanging="432"/>
        <w:spacing w:after="0" w:line="250" w:lineRule="auto"/>
        <w:tabs>
          <w:tab w:leader="none" w:pos="20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equal to the average quotation for the relevant shares in the capital of the Company, that is, the average of the closing prices for those shares on the </w:t>
      </w:r>
      <w:r>
        <w:rPr>
          <w:rFonts w:ascii="Arial" w:cs="Arial" w:eastAsia="Arial" w:hAnsi="Arial"/>
          <w:sz w:val="16"/>
          <w:szCs w:val="16"/>
          <w:color w:val="auto"/>
          <w:strike w:val="1"/>
        </w:rPr>
        <w:t>NASDAQ, or the London Stock</w:t>
      </w:r>
      <w:r>
        <w:rPr>
          <w:rFonts w:ascii="Arial" w:cs="Arial" w:eastAsia="Arial" w:hAnsi="Arial"/>
          <w:sz w:val="16"/>
          <w:szCs w:val="16"/>
          <w:color w:val="auto"/>
        </w:rPr>
        <w:t xml:space="preserve"> Exchange </w:t>
      </w:r>
      <w:r>
        <w:rPr>
          <w:rFonts w:ascii="Arial" w:cs="Arial" w:eastAsia="Arial" w:hAnsi="Arial"/>
          <w:sz w:val="16"/>
          <w:szCs w:val="16"/>
          <w:color w:val="auto"/>
          <w:strike w:val="1"/>
        </w:rPr>
        <w:t>or other exchange</w:t>
      </w:r>
      <w:r>
        <w:rPr>
          <w:rFonts w:ascii="Arial" w:cs="Arial" w:eastAsia="Arial" w:hAnsi="Arial"/>
          <w:sz w:val="16"/>
          <w:szCs w:val="16"/>
          <w:color w:val="auto"/>
        </w:rPr>
        <w:t xml:space="preserv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81" w:lineRule="exact"/>
        <w:rPr>
          <w:rFonts w:ascii="Arial" w:cs="Arial" w:eastAsia="Arial" w:hAnsi="Arial"/>
          <w:sz w:val="16"/>
          <w:szCs w:val="16"/>
          <w:color w:val="auto"/>
        </w:rPr>
      </w:pPr>
    </w:p>
    <w:p>
      <w:pPr>
        <w:ind w:left="2060" w:hanging="432"/>
        <w:spacing w:after="0"/>
        <w:tabs>
          <w:tab w:leader="none" w:pos="20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calculated in any other manner the Board considers fit;</w:t>
      </w:r>
    </w:p>
    <w:p>
      <w:pPr>
        <w:spacing w:after="0" w:line="100" w:lineRule="exact"/>
        <w:rPr>
          <w:sz w:val="20"/>
          <w:szCs w:val="20"/>
          <w:color w:val="auto"/>
        </w:rPr>
      </w:pPr>
    </w:p>
    <w:p>
      <w:pPr>
        <w:ind w:left="1620" w:right="980"/>
        <w:spacing w:after="0" w:line="260" w:lineRule="auto"/>
        <w:rPr>
          <w:sz w:val="20"/>
          <w:szCs w:val="20"/>
          <w:color w:val="auto"/>
        </w:rPr>
      </w:pPr>
      <w:r>
        <w:rPr>
          <w:rFonts w:ascii="Arial" w:cs="Arial" w:eastAsia="Arial" w:hAnsi="Arial"/>
          <w:sz w:val="16"/>
          <w:szCs w:val="16"/>
          <w:color w:val="auto"/>
        </w:rPr>
        <w:t>but shall never be less than the par value of the new share. A certificate or report by the auditors as to the value of a new share in respect of any dividend shall be conclusive evidence of that value.</w:t>
      </w:r>
    </w:p>
    <w:p>
      <w:pPr>
        <w:spacing w:after="0" w:line="74" w:lineRule="exact"/>
        <w:rPr>
          <w:sz w:val="20"/>
          <w:szCs w:val="20"/>
          <w:color w:val="auto"/>
        </w:rPr>
      </w:pPr>
    </w:p>
    <w:p>
      <w:pPr>
        <w:ind w:left="1620" w:hanging="424"/>
        <w:spacing w:after="0"/>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Each holder of shares shall only be entitled to new Ordinary Shares.</w:t>
      </w:r>
    </w:p>
    <w:p>
      <w:pPr>
        <w:spacing w:after="0" w:line="86" w:lineRule="exact"/>
        <w:rPr>
          <w:rFonts w:ascii="Arial" w:cs="Arial" w:eastAsia="Arial" w:hAnsi="Arial"/>
          <w:sz w:val="16"/>
          <w:szCs w:val="16"/>
          <w:color w:val="auto"/>
        </w:rPr>
      </w:pPr>
    </w:p>
    <w:p>
      <w:pPr>
        <w:ind w:left="1620" w:right="840" w:hanging="424"/>
        <w:spacing w:after="0" w:line="249"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83" w:lineRule="exact"/>
        <w:rPr>
          <w:rFonts w:ascii="Arial" w:cs="Arial" w:eastAsia="Arial" w:hAnsi="Arial"/>
          <w:sz w:val="16"/>
          <w:szCs w:val="16"/>
          <w:color w:val="auto"/>
        </w:rPr>
      </w:pPr>
    </w:p>
    <w:p>
      <w:pPr>
        <w:ind w:left="1620" w:right="1040" w:hanging="424"/>
        <w:spacing w:after="0" w:line="260"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73" w:lineRule="exact"/>
        <w:rPr>
          <w:rFonts w:ascii="Arial" w:cs="Arial" w:eastAsia="Arial" w:hAnsi="Arial"/>
          <w:sz w:val="16"/>
          <w:szCs w:val="16"/>
          <w:color w:val="auto"/>
        </w:rPr>
      </w:pPr>
    </w:p>
    <w:p>
      <w:pPr>
        <w:jc w:val="both"/>
        <w:ind w:left="1620" w:right="820" w:hanging="424"/>
        <w:spacing w:after="0" w:line="253"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79" w:lineRule="exact"/>
        <w:rPr>
          <w:rFonts w:ascii="Arial" w:cs="Arial" w:eastAsia="Arial" w:hAnsi="Arial"/>
          <w:sz w:val="16"/>
          <w:szCs w:val="16"/>
          <w:color w:val="auto"/>
        </w:rPr>
      </w:pPr>
    </w:p>
    <w:p>
      <w:pPr>
        <w:ind w:left="1620" w:right="780" w:hanging="424"/>
        <w:spacing w:after="0" w:line="248"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dividend (or that part of the dividend in respect of which a right of election has been offered) shall not be payable in cash on shares in respect of which an election has been made (the “</w:t>
      </w:r>
      <w:r>
        <w:rPr>
          <w:rFonts w:ascii="Arial" w:cs="Arial" w:eastAsia="Arial" w:hAnsi="Arial"/>
          <w:sz w:val="16"/>
          <w:szCs w:val="16"/>
          <w:b w:val="1"/>
          <w:bCs w:val="1"/>
          <w:color w:val="auto"/>
        </w:rPr>
        <w:t>elected</w:t>
      </w:r>
      <w:r>
        <w:rPr>
          <w:rFonts w:ascii="Arial" w:cs="Arial" w:eastAsia="Arial" w:hAnsi="Arial"/>
          <w:sz w:val="16"/>
          <w:szCs w:val="16"/>
          <w:color w:val="auto"/>
        </w:rPr>
        <w:t xml:space="preserve"> </w:t>
      </w:r>
      <w:r>
        <w:rPr>
          <w:rFonts w:ascii="Arial" w:cs="Arial" w:eastAsia="Arial" w:hAnsi="Arial"/>
          <w:sz w:val="16"/>
          <w:szCs w:val="16"/>
          <w:color w:val="auto"/>
          <w:strike w:val="1"/>
        </w:rPr>
        <w:t>ordinary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instead such number of new shares shall be allotted to each holder of elected </w:t>
      </w:r>
      <w:r>
        <w:rPr>
          <w:rFonts w:ascii="Arial" w:cs="Arial" w:eastAsia="Arial" w:hAnsi="Arial"/>
          <w:sz w:val="16"/>
          <w:szCs w:val="16"/>
          <w:color w:val="auto"/>
          <w:strike w:val="1"/>
        </w:rPr>
        <w:t>ordinary</w:t>
      </w:r>
      <w:r>
        <w:rPr>
          <w:rFonts w:ascii="Arial" w:cs="Arial" w:eastAsia="Arial" w:hAnsi="Arial"/>
          <w:sz w:val="16"/>
          <w:szCs w:val="16"/>
          <w:color w:val="auto"/>
        </w:rPr>
        <w:t xml:space="preserve">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69" w:lineRule="exact"/>
        <w:rPr>
          <w:rFonts w:ascii="Arial" w:cs="Arial" w:eastAsia="Arial" w:hAnsi="Arial"/>
          <w:sz w:val="16"/>
          <w:szCs w:val="16"/>
          <w:color w:val="auto"/>
        </w:rPr>
      </w:pPr>
    </w:p>
    <w:p>
      <w:pPr>
        <w:ind w:left="1620" w:right="900" w:hanging="424"/>
        <w:spacing w:after="0" w:line="316" w:lineRule="auto"/>
        <w:tabs>
          <w:tab w:leader="none" w:pos="1620" w:val="left"/>
        </w:tabs>
        <w:numPr>
          <w:ilvl w:val="1"/>
          <w:numId w:val="197"/>
        </w:numPr>
        <w:rPr>
          <w:rFonts w:ascii="Arial" w:cs="Arial" w:eastAsia="Arial" w:hAnsi="Arial"/>
          <w:sz w:val="15"/>
          <w:szCs w:val="15"/>
          <w:color w:val="auto"/>
        </w:rPr>
      </w:pPr>
      <w:r>
        <w:rPr>
          <w:rFonts w:ascii="Arial" w:cs="Arial" w:eastAsia="Arial" w:hAnsi="Arial"/>
          <w:sz w:val="15"/>
          <w:szCs w:val="15"/>
          <w:color w:val="auto"/>
        </w:rPr>
        <w:t xml:space="preserve">The new shares when allotted shall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all respects with the fully paid shares of the same class then in issue except that they shall not be entitled to participate in the relevant dividend in lieu of which they were allotted.</w:t>
      </w:r>
    </w:p>
    <w:p>
      <w:pPr>
        <w:spacing w:after="0" w:line="20" w:lineRule="exact"/>
        <w:rPr>
          <w:rFonts w:ascii="Arial" w:cs="Arial" w:eastAsia="Arial" w:hAnsi="Arial"/>
          <w:sz w:val="15"/>
          <w:szCs w:val="15"/>
          <w:color w:val="auto"/>
        </w:rPr>
      </w:pPr>
    </w:p>
    <w:p>
      <w:pPr>
        <w:ind w:left="1620" w:right="860" w:hanging="424"/>
        <w:spacing w:after="0" w:line="250"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81" w:lineRule="exact"/>
        <w:rPr>
          <w:rFonts w:ascii="Arial" w:cs="Arial" w:eastAsia="Arial" w:hAnsi="Arial"/>
          <w:sz w:val="16"/>
          <w:szCs w:val="16"/>
          <w:color w:val="auto"/>
        </w:rPr>
      </w:pPr>
    </w:p>
    <w:p>
      <w:pPr>
        <w:ind w:left="1620" w:right="860" w:hanging="424"/>
        <w:spacing w:after="0" w:line="250" w:lineRule="auto"/>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81" w:lineRule="exact"/>
        <w:rPr>
          <w:rFonts w:ascii="Arial" w:cs="Arial" w:eastAsia="Arial" w:hAnsi="Arial"/>
          <w:sz w:val="16"/>
          <w:szCs w:val="16"/>
          <w:color w:val="auto"/>
        </w:rPr>
      </w:pPr>
    </w:p>
    <w:p>
      <w:pPr>
        <w:ind w:left="1620" w:hanging="424"/>
        <w:spacing w:after="0"/>
        <w:tabs>
          <w:tab w:leader="none" w:pos="162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Board may, at its discretion, amend, suspend or terminate any offer pursuant to the above.</w:t>
      </w:r>
    </w:p>
    <w:p>
      <w:pPr>
        <w:spacing w:after="0" w:line="79" w:lineRule="exact"/>
        <w:rPr>
          <w:rFonts w:ascii="Arial" w:cs="Arial" w:eastAsia="Arial" w:hAnsi="Arial"/>
          <w:sz w:val="16"/>
          <w:szCs w:val="16"/>
          <w:color w:val="auto"/>
        </w:rPr>
      </w:pPr>
    </w:p>
    <w:p>
      <w:pPr>
        <w:ind w:left="1200" w:hanging="436"/>
        <w:spacing w:after="0"/>
        <w:tabs>
          <w:tab w:leader="none" w:pos="1200"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CAPITALISATION OF PROFITS</w:t>
      </w:r>
    </w:p>
    <w:p>
      <w:pPr>
        <w:spacing w:after="0" w:line="120" w:lineRule="exact"/>
        <w:rPr>
          <w:sz w:val="20"/>
          <w:szCs w:val="20"/>
          <w:color w:val="auto"/>
        </w:rPr>
      </w:pPr>
    </w:p>
    <w:p>
      <w:pPr>
        <w:ind w:left="1200" w:right="920" w:hanging="431"/>
        <w:spacing w:after="0" w:line="251" w:lineRule="auto"/>
        <w:rPr>
          <w:sz w:val="20"/>
          <w:szCs w:val="20"/>
          <w:color w:val="auto"/>
        </w:rPr>
      </w:pPr>
      <w:r>
        <w:rPr>
          <w:rFonts w:ascii="Arial" w:cs="Arial" w:eastAsia="Arial" w:hAnsi="Arial"/>
          <w:sz w:val="16"/>
          <w:szCs w:val="16"/>
          <w:color w:val="auto"/>
        </w:rPr>
        <w:t>40.1 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67" w:lineRule="exact"/>
        <w:rPr>
          <w:sz w:val="20"/>
          <w:szCs w:val="20"/>
          <w:color w:val="auto"/>
        </w:rPr>
      </w:pPr>
    </w:p>
    <w:p>
      <w:pPr>
        <w:ind w:left="1620" w:right="780" w:hanging="424"/>
        <w:spacing w:after="0" w:line="250" w:lineRule="auto"/>
        <w:tabs>
          <w:tab w:leader="none" w:pos="16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A-33</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800" w:type="dxa"/>
            <w:vAlign w:val="bottom"/>
            <w:tcBorders>
              <w:bottom w:val="single" w:sz="8" w:color="9A9A9A"/>
            </w:tcBorders>
          </w:tcPr>
          <w:p>
            <w:pPr>
              <w:spacing w:after="0"/>
              <w:rPr>
                <w:sz w:val="13"/>
                <w:szCs w:val="13"/>
                <w:color w:val="auto"/>
              </w:rPr>
            </w:pPr>
          </w:p>
        </w:tc>
        <w:tc>
          <w:tcPr>
            <w:tcW w:w="3060" w:type="dxa"/>
            <w:vAlign w:val="bottom"/>
            <w:tcBorders>
              <w:bottom w:val="single" w:sz="8" w:color="9A9A9A"/>
            </w:tcBorders>
          </w:tcPr>
          <w:p>
            <w:pPr>
              <w:spacing w:after="0"/>
              <w:rPr>
                <w:sz w:val="13"/>
                <w:szCs w:val="13"/>
                <w:color w:val="auto"/>
              </w:rPr>
            </w:pPr>
          </w:p>
        </w:tc>
        <w:tc>
          <w:tcPr>
            <w:tcW w:w="2740" w:type="dxa"/>
            <w:vAlign w:val="bottom"/>
            <w:tcBorders>
              <w:bottom w:val="single" w:sz="8" w:color="9A9A9A"/>
            </w:tcBorders>
          </w:tcPr>
          <w:p>
            <w:pPr>
              <w:spacing w:after="0"/>
              <w:rPr>
                <w:sz w:val="13"/>
                <w:szCs w:val="13"/>
                <w:color w:val="auto"/>
              </w:rPr>
            </w:pPr>
          </w:p>
        </w:tc>
        <w:tc>
          <w:tcPr>
            <w:tcW w:w="3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2" w:name="page113"/>
    <w:bookmarkEnd w:id="112"/>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259" w:hanging="424"/>
        <w:spacing w:after="0" w:line="250" w:lineRule="auto"/>
        <w:tabs>
          <w:tab w:leader="none" w:pos="1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81"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allot the shares, debentures or other obligations credited as fully paid to those members or as they may direct, in those proportions, or partly in one way and partly in the other;</w:t>
      </w:r>
    </w:p>
    <w:p>
      <w:pPr>
        <w:spacing w:after="0" w:line="73" w:lineRule="exact"/>
        <w:rPr>
          <w:rFonts w:ascii="Arial" w:cs="Arial" w:eastAsia="Arial" w:hAnsi="Arial"/>
          <w:sz w:val="16"/>
          <w:szCs w:val="16"/>
          <w:color w:val="auto"/>
        </w:rPr>
      </w:pPr>
    </w:p>
    <w:p>
      <w:pPr>
        <w:ind w:left="1620" w:right="199" w:hanging="424"/>
        <w:spacing w:after="0" w:line="260" w:lineRule="auto"/>
        <w:tabs>
          <w:tab w:leader="none" w:pos="1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resolve that any shares so allotted to any member in respect of a holding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of any partly paid shares shall so long as such shares remain partly paid rank for dividend only to the extent that the latter shares rank for dividend;</w:t>
      </w:r>
    </w:p>
    <w:p>
      <w:pPr>
        <w:spacing w:after="0" w:line="73" w:lineRule="exact"/>
        <w:rPr>
          <w:rFonts w:ascii="Arial" w:cs="Arial" w:eastAsia="Arial" w:hAnsi="Arial"/>
          <w:sz w:val="16"/>
          <w:szCs w:val="16"/>
          <w:color w:val="auto"/>
        </w:rPr>
      </w:pPr>
    </w:p>
    <w:p>
      <w:pPr>
        <w:ind w:left="1620" w:right="339" w:hanging="424"/>
        <w:spacing w:after="0" w:line="250" w:lineRule="auto"/>
        <w:tabs>
          <w:tab w:leader="none" w:pos="1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81"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authorise any person to enter on behalf of all the members concerned into an agreement with the Company providing for either:</w:t>
      </w:r>
    </w:p>
    <w:p>
      <w:pPr>
        <w:spacing w:after="0" w:line="60" w:lineRule="exact"/>
        <w:rPr>
          <w:rFonts w:ascii="Arial" w:cs="Arial" w:eastAsia="Arial" w:hAnsi="Arial"/>
          <w:sz w:val="16"/>
          <w:szCs w:val="16"/>
          <w:color w:val="auto"/>
        </w:rPr>
      </w:pPr>
    </w:p>
    <w:p>
      <w:pPr>
        <w:ind w:left="2060" w:right="879" w:hanging="432"/>
        <w:spacing w:after="0" w:line="260" w:lineRule="auto"/>
        <w:tabs>
          <w:tab w:leader="none" w:pos="20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allotment to members respectively, credited as fully paid, of any further shares, debentures or other obligations to which they are entitled upon such capitalisation; or</w:t>
      </w:r>
    </w:p>
    <w:p>
      <w:pPr>
        <w:spacing w:after="0" w:line="73" w:lineRule="exact"/>
        <w:rPr>
          <w:rFonts w:ascii="Arial" w:cs="Arial" w:eastAsia="Arial" w:hAnsi="Arial"/>
          <w:sz w:val="16"/>
          <w:szCs w:val="16"/>
          <w:color w:val="auto"/>
        </w:rPr>
      </w:pPr>
    </w:p>
    <w:p>
      <w:pPr>
        <w:ind w:left="2060" w:right="279" w:hanging="432"/>
        <w:spacing w:after="0" w:line="253" w:lineRule="auto"/>
        <w:tabs>
          <w:tab w:leader="none" w:pos="20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and any agreement made under such authority being binding on all such members</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w:t>
      </w:r>
    </w:p>
    <w:p>
      <w:pPr>
        <w:spacing w:after="0" w:line="100" w:lineRule="exact"/>
        <w:rPr>
          <w:sz w:val="20"/>
          <w:szCs w:val="20"/>
          <w:color w:val="auto"/>
        </w:rPr>
      </w:pPr>
    </w:p>
    <w:p>
      <w:pPr>
        <w:ind w:left="1620" w:hanging="424"/>
        <w:spacing w:after="0"/>
        <w:tabs>
          <w:tab w:leader="none" w:pos="16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generally do all acts and things required to give effect to such resolution as aforesaid.</w:t>
      </w:r>
    </w:p>
    <w:p>
      <w:pPr>
        <w:spacing w:after="0" w:line="86" w:lineRule="exact"/>
        <w:rPr>
          <w:sz w:val="20"/>
          <w:szCs w:val="20"/>
          <w:color w:val="auto"/>
        </w:rPr>
      </w:pPr>
    </w:p>
    <w:p>
      <w:pPr>
        <w:ind w:left="1200" w:right="239" w:hanging="431"/>
        <w:spacing w:after="0" w:line="249"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color w:val="auto"/>
          <w:strike w:val="1"/>
        </w:rPr>
        <w:t>In</w:t>
      </w:r>
      <w:r>
        <w:rPr>
          <w:rFonts w:ascii="Arial" w:cs="Arial" w:eastAsia="Arial" w:hAnsi="Arial"/>
          <w:sz w:val="16"/>
          <w:szCs w:val="16"/>
          <w:u w:val="single" w:color="auto"/>
          <w:color w:val="auto"/>
        </w:rPr>
        <w:t>Subject to Article 40.3, in</w:t>
      </w:r>
      <w:r>
        <w:rPr>
          <w:rFonts w:ascii="Arial" w:cs="Arial" w:eastAsia="Arial" w:hAnsi="Arial"/>
          <w:sz w:val="16"/>
          <w:szCs w:val="16"/>
          <w:color w:val="auto"/>
        </w:rPr>
        <w:t xml:space="preserve"> exercising its authority under Article 40.1, unless recommended by </w:t>
      </w:r>
      <w:r>
        <w:rPr>
          <w:rFonts w:ascii="Arial" w:cs="Arial" w:eastAsia="Arial" w:hAnsi="Arial"/>
          <w:sz w:val="16"/>
          <w:szCs w:val="16"/>
          <w:color w:val="auto"/>
          <w:strike w:val="1"/>
        </w:rPr>
        <w:t>two-thirds of</w:t>
      </w:r>
      <w:r>
        <w:rPr>
          <w:rFonts w:ascii="Arial" w:cs="Arial" w:eastAsia="Arial" w:hAnsi="Arial"/>
          <w:sz w:val="16"/>
          <w:szCs w:val="16"/>
          <w:color w:val="auto"/>
        </w:rPr>
        <w:t xml:space="preserve">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w:t>
      </w:r>
      <w:r>
        <w:rPr>
          <w:rFonts w:ascii="Arial" w:cs="Arial" w:eastAsia="Arial" w:hAnsi="Arial"/>
          <w:sz w:val="16"/>
          <w:szCs w:val="16"/>
          <w:color w:val="auto"/>
          <w:strike w:val="1"/>
        </w:rPr>
        <w:t>40.1</w:t>
      </w:r>
      <w:r>
        <w:rPr>
          <w:rFonts w:ascii="Arial" w:cs="Arial" w:eastAsia="Arial" w:hAnsi="Arial"/>
          <w:sz w:val="16"/>
          <w:szCs w:val="16"/>
          <w:u w:val="single" w:color="auto"/>
          <w:color w:val="auto"/>
        </w:rPr>
        <w:t>40.1</w:t>
      </w:r>
      <w:r>
        <w:rPr>
          <w:rFonts w:ascii="Arial" w:cs="Arial" w:eastAsia="Arial" w:hAnsi="Arial"/>
          <w:sz w:val="16"/>
          <w:szCs w:val="16"/>
          <w:color w:val="auto"/>
        </w:rPr>
        <w:t>, to holders of Ordinary Shares on an equal per share basis.</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40.3</w:t>
      </w:r>
    </w:p>
    <w:p>
      <w:pPr>
        <w:spacing w:after="0" w:line="100" w:lineRule="exact"/>
        <w:rPr>
          <w:sz w:val="20"/>
          <w:szCs w:val="20"/>
          <w:color w:val="auto"/>
        </w:rPr>
      </w:pPr>
    </w:p>
    <w:p>
      <w:pPr>
        <w:ind w:left="1620" w:right="259" w:hanging="424"/>
        <w:spacing w:after="0" w:line="262" w:lineRule="auto"/>
        <w:tabs>
          <w:tab w:leader="none" w:pos="162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 xml:space="preserve">Where, pursuant to </w:t>
      </w:r>
      <w:r>
        <w:rPr>
          <w:rFonts w:ascii="Arial" w:cs="Arial" w:eastAsia="Arial" w:hAnsi="Arial"/>
          <w:sz w:val="15"/>
          <w:szCs w:val="15"/>
          <w:color w:val="auto"/>
          <w:strike w:val="1"/>
        </w:rPr>
        <w:t>an employees</w:t>
      </w:r>
      <w:r>
        <w:rPr>
          <w:rFonts w:ascii="Arial" w:cs="Arial" w:eastAsia="Arial" w:hAnsi="Arial"/>
          <w:sz w:val="15"/>
          <w:szCs w:val="15"/>
          <w:color w:val="auto"/>
        </w:rPr>
        <w:t>’</w:t>
      </w:r>
      <w:r>
        <w:rPr>
          <w:rFonts w:ascii="Arial" w:cs="Arial" w:eastAsia="Arial" w:hAnsi="Arial"/>
          <w:sz w:val="15"/>
          <w:szCs w:val="15"/>
          <w:u w:val="single" w:color="auto"/>
          <w:color w:val="auto"/>
        </w:rPr>
        <w:t>a</w:t>
      </w:r>
      <w:r>
        <w:rPr>
          <w:rFonts w:ascii="Arial" w:cs="Arial" w:eastAsia="Arial" w:hAnsi="Arial"/>
          <w:sz w:val="15"/>
          <w:szCs w:val="15"/>
          <w:color w:val="auto"/>
        </w:rPr>
        <w:t xml:space="preserve"> share </w:t>
      </w:r>
      <w:r>
        <w:rPr>
          <w:rFonts w:ascii="Arial" w:cs="Arial" w:eastAsia="Arial" w:hAnsi="Arial"/>
          <w:sz w:val="15"/>
          <w:szCs w:val="15"/>
          <w:u w:val="single" w:color="auto"/>
          <w:color w:val="auto"/>
        </w:rPr>
        <w:t>incentive</w:t>
      </w:r>
      <w:r>
        <w:rPr>
          <w:rFonts w:ascii="Arial" w:cs="Arial" w:eastAsia="Arial" w:hAnsi="Arial"/>
          <w:sz w:val="15"/>
          <w:szCs w:val="15"/>
          <w:color w:val="auto"/>
        </w:rPr>
        <w:t xml:space="preserve"> scheme </w:t>
      </w:r>
      <w:r>
        <w:rPr>
          <w:rFonts w:ascii="Arial" w:cs="Arial" w:eastAsia="Arial" w:hAnsi="Arial"/>
          <w:sz w:val="15"/>
          <w:szCs w:val="15"/>
          <w:color w:val="auto"/>
          <w:strike w:val="1"/>
        </w:rPr>
        <w:t>(within the meaning</w:t>
      </w:r>
      <w:r>
        <w:rPr>
          <w:rFonts w:ascii="Arial" w:cs="Arial" w:eastAsia="Arial" w:hAnsi="Arial"/>
          <w:sz w:val="15"/>
          <w:szCs w:val="15"/>
          <w:u w:val="single" w:color="auto"/>
          <w:color w:val="auto"/>
        </w:rPr>
        <w:t>approved by shareholders</w:t>
      </w:r>
      <w:r>
        <w:rPr>
          <w:rFonts w:ascii="Arial" w:cs="Arial" w:eastAsia="Arial" w:hAnsi="Arial"/>
          <w:sz w:val="15"/>
          <w:szCs w:val="15"/>
          <w:color w:val="auto"/>
        </w:rPr>
        <w:t xml:space="preserve"> of </w:t>
      </w:r>
      <w:r>
        <w:rPr>
          <w:rFonts w:ascii="Arial" w:cs="Arial" w:eastAsia="Arial" w:hAnsi="Arial"/>
          <w:sz w:val="15"/>
          <w:szCs w:val="15"/>
          <w:color w:val="auto"/>
          <w:strike w:val="1"/>
        </w:rPr>
        <w:t>section</w:t>
      </w:r>
      <w:r>
        <w:rPr>
          <w:rFonts w:ascii="Arial" w:cs="Arial" w:eastAsia="Arial" w:hAnsi="Arial"/>
          <w:sz w:val="15"/>
          <w:szCs w:val="15"/>
          <w:color w:val="auto"/>
        </w:rPr>
        <w:t xml:space="preserve"> </w:t>
      </w:r>
      <w:r>
        <w:rPr>
          <w:rFonts w:ascii="Arial" w:cs="Arial" w:eastAsia="Arial" w:hAnsi="Arial"/>
          <w:sz w:val="15"/>
          <w:szCs w:val="15"/>
          <w:color w:val="auto"/>
          <w:strike w:val="1"/>
        </w:rPr>
        <w:t>1166 of the Companies Act)</w:t>
      </w:r>
      <w:r>
        <w:rPr>
          <w:rFonts w:ascii="Arial" w:cs="Arial" w:eastAsia="Arial" w:hAnsi="Arial"/>
          <w:sz w:val="15"/>
          <w:szCs w:val="15"/>
          <w:u w:val="single" w:color="auto"/>
          <w:color w:val="auto"/>
        </w:rPr>
        <w:t>the Company,</w:t>
      </w:r>
      <w:r>
        <w:rPr>
          <w:rFonts w:ascii="Arial" w:cs="Arial" w:eastAsia="Arial" w:hAnsi="Arial"/>
          <w:sz w:val="15"/>
          <w:szCs w:val="15"/>
          <w:color w:val="auto"/>
        </w:rPr>
        <w:t xml:space="preserve"> the Company has granted awards (“</w:t>
      </w:r>
      <w:r>
        <w:rPr>
          <w:rFonts w:ascii="Arial" w:cs="Arial" w:eastAsia="Arial" w:hAnsi="Arial"/>
          <w:sz w:val="15"/>
          <w:szCs w:val="15"/>
          <w:b w:val="1"/>
          <w:bCs w:val="1"/>
          <w:color w:val="auto"/>
        </w:rPr>
        <w:t>awards</w:t>
      </w:r>
      <w:r>
        <w:rPr>
          <w:rFonts w:ascii="Arial" w:cs="Arial" w:eastAsia="Arial" w:hAnsi="Arial"/>
          <w:sz w:val="15"/>
          <w:szCs w:val="15"/>
          <w:color w:val="auto"/>
        </w:rPr>
        <w:t xml:space="preserve">” </w:t>
      </w:r>
      <w:r>
        <w:rPr>
          <w:rFonts w:ascii="Arial" w:cs="Arial" w:eastAsia="Arial" w:hAnsi="Arial"/>
          <w:sz w:val="15"/>
          <w:szCs w:val="15"/>
          <w:u w:val="single" w:color="auto"/>
          <w:color w:val="auto"/>
        </w:rPr>
        <w:t>for the purposes of this Article</w:t>
      </w:r>
      <w:r>
        <w:rPr>
          <w:rFonts w:ascii="Arial" w:cs="Arial" w:eastAsia="Arial" w:hAnsi="Arial"/>
          <w:sz w:val="15"/>
          <w:szCs w:val="15"/>
          <w:color w:val="auto"/>
        </w:rPr>
        <w:t xml:space="preserve"> 40.3 being options or other incentive awards, including, without limitation, stock appreciation rights, restricted</w:t>
      </w:r>
    </w:p>
    <w:p>
      <w:pPr>
        <w:spacing w:after="0" w:line="2" w:lineRule="exact"/>
        <w:rPr>
          <w:rFonts w:ascii="Arial" w:cs="Arial" w:eastAsia="Arial" w:hAnsi="Arial"/>
          <w:sz w:val="15"/>
          <w:szCs w:val="15"/>
          <w:color w:val="auto"/>
        </w:rPr>
      </w:pPr>
    </w:p>
    <w:p>
      <w:pPr>
        <w:ind w:left="1620" w:right="199"/>
        <w:spacing w:after="0" w:line="247" w:lineRule="auto"/>
        <w:rPr>
          <w:rFonts w:ascii="Arial" w:cs="Arial" w:eastAsia="Arial" w:hAnsi="Arial"/>
          <w:sz w:val="15"/>
          <w:szCs w:val="15"/>
          <w:color w:val="auto"/>
        </w:rPr>
      </w:pPr>
      <w:r>
        <w:rPr>
          <w:rFonts w:ascii="Arial" w:cs="Arial" w:eastAsia="Arial" w:hAnsi="Arial"/>
          <w:sz w:val="16"/>
          <w:szCs w:val="16"/>
          <w:color w:val="auto"/>
        </w:rPr>
        <w:t>stock units, performance stock units and restricted stock awards) to subscribe for or with respect to shares on terms which provide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color w:val="auto"/>
          <w:strike w:val="1"/>
        </w:rPr>
        <w:t>aim</w:t>
      </w:r>
      <w:r>
        <w:rPr>
          <w:rFonts w:ascii="Arial" w:cs="Arial" w:eastAsia="Arial" w:hAnsi="Arial"/>
          <w:sz w:val="16"/>
          <w:szCs w:val="16"/>
          <w:i w:val="1"/>
          <w:iCs w:val="1"/>
          <w:u w:val="single" w:color="auto"/>
          <w:color w:val="auto"/>
        </w:rPr>
        <w:t>alia</w:t>
      </w:r>
      <w:r>
        <w:rPr>
          <w:rFonts w:ascii="Arial" w:cs="Arial" w:eastAsia="Arial" w:hAnsi="Arial"/>
          <w:sz w:val="16"/>
          <w:szCs w:val="16"/>
          <w:color w:val="auto"/>
        </w:rPr>
        <w:t xml:space="preserve">)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76" w:lineRule="exact"/>
        <w:rPr>
          <w:rFonts w:ascii="Arial" w:cs="Arial" w:eastAsia="Arial" w:hAnsi="Arial"/>
          <w:sz w:val="15"/>
          <w:szCs w:val="15"/>
          <w:color w:val="auto"/>
        </w:rPr>
      </w:pPr>
    </w:p>
    <w:p>
      <w:pPr>
        <w:ind w:left="1620" w:right="279" w:hanging="424"/>
        <w:spacing w:after="0" w:line="248" w:lineRule="auto"/>
        <w:tabs>
          <w:tab w:leader="none" w:pos="16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Where, pursuant to </w:t>
      </w:r>
      <w:r>
        <w:rPr>
          <w:rFonts w:ascii="Arial" w:cs="Arial" w:eastAsia="Arial" w:hAnsi="Arial"/>
          <w:sz w:val="16"/>
          <w:szCs w:val="16"/>
          <w:color w:val="auto"/>
          <w:strike w:val="1"/>
        </w:rPr>
        <w:t>an employees</w:t>
      </w: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share </w:t>
      </w:r>
      <w:r>
        <w:rPr>
          <w:rFonts w:ascii="Arial" w:cs="Arial" w:eastAsia="Arial" w:hAnsi="Arial"/>
          <w:sz w:val="16"/>
          <w:szCs w:val="16"/>
          <w:u w:val="single" w:color="auto"/>
          <w:color w:val="auto"/>
        </w:rPr>
        <w:t>incentive</w:t>
      </w:r>
      <w:r>
        <w:rPr>
          <w:rFonts w:ascii="Arial" w:cs="Arial" w:eastAsia="Arial" w:hAnsi="Arial"/>
          <w:sz w:val="16"/>
          <w:szCs w:val="16"/>
          <w:color w:val="auto"/>
        </w:rPr>
        <w:t xml:space="preserve"> scheme </w:t>
      </w:r>
      <w:r>
        <w:rPr>
          <w:rFonts w:ascii="Arial" w:cs="Arial" w:eastAsia="Arial" w:hAnsi="Arial"/>
          <w:sz w:val="16"/>
          <w:szCs w:val="16"/>
          <w:color w:val="auto"/>
          <w:strike w:val="1"/>
        </w:rPr>
        <w:t>(within the meaning</w:t>
      </w:r>
      <w:r>
        <w:rPr>
          <w:rFonts w:ascii="Arial" w:cs="Arial" w:eastAsia="Arial" w:hAnsi="Arial"/>
          <w:sz w:val="16"/>
          <w:szCs w:val="16"/>
          <w:u w:val="single" w:color="auto"/>
          <w:color w:val="auto"/>
        </w:rPr>
        <w:t>approved by shareholders</w:t>
      </w:r>
      <w:r>
        <w:rPr>
          <w:rFonts w:ascii="Arial" w:cs="Arial" w:eastAsia="Arial" w:hAnsi="Arial"/>
          <w:sz w:val="16"/>
          <w:szCs w:val="16"/>
          <w:color w:val="auto"/>
        </w:rPr>
        <w:t xml:space="preserve"> of </w:t>
      </w:r>
      <w:r>
        <w:rPr>
          <w:rFonts w:ascii="Arial" w:cs="Arial" w:eastAsia="Arial" w:hAnsi="Arial"/>
          <w:sz w:val="16"/>
          <w:szCs w:val="16"/>
          <w:color w:val="auto"/>
          <w:strike w:val="1"/>
        </w:rPr>
        <w:t>section</w:t>
      </w:r>
      <w:r>
        <w:rPr>
          <w:rFonts w:ascii="Arial" w:cs="Arial" w:eastAsia="Arial" w:hAnsi="Arial"/>
          <w:sz w:val="16"/>
          <w:szCs w:val="16"/>
          <w:color w:val="auto"/>
        </w:rPr>
        <w:t xml:space="preserve"> </w:t>
      </w:r>
      <w:r>
        <w:rPr>
          <w:rFonts w:ascii="Arial" w:cs="Arial" w:eastAsia="Arial" w:hAnsi="Arial"/>
          <w:sz w:val="16"/>
          <w:szCs w:val="16"/>
          <w:color w:val="auto"/>
          <w:strike w:val="1"/>
        </w:rPr>
        <w:t>1166 of the Companies Act)</w:t>
      </w:r>
      <w:r>
        <w:rPr>
          <w:rFonts w:ascii="Arial" w:cs="Arial" w:eastAsia="Arial" w:hAnsi="Arial"/>
          <w:sz w:val="16"/>
          <w:szCs w:val="16"/>
          <w:u w:val="single" w:color="auto"/>
          <w:color w:val="auto"/>
        </w:rPr>
        <w:t>the Company,</w:t>
      </w:r>
      <w:r>
        <w:rPr>
          <w:rFonts w:ascii="Arial" w:cs="Arial" w:eastAsia="Arial" w:hAnsi="Arial"/>
          <w:sz w:val="16"/>
          <w:szCs w:val="16"/>
          <w:color w:val="auto"/>
        </w:rPr>
        <w:t xml:space="preserve"> the Company has granted awards </w:t>
      </w:r>
      <w:r>
        <w:rPr>
          <w:rFonts w:ascii="Arial" w:cs="Arial" w:eastAsia="Arial" w:hAnsi="Arial"/>
          <w:sz w:val="16"/>
          <w:szCs w:val="16"/>
          <w:color w:val="auto"/>
          <w:strike w:val="1"/>
        </w:rPr>
        <w:t>(</w:t>
      </w:r>
      <w:r>
        <w:rPr>
          <w:rFonts w:ascii="Arial" w:cs="Arial" w:eastAsia="Arial" w:hAnsi="Arial"/>
          <w:sz w:val="16"/>
          <w:szCs w:val="16"/>
          <w:color w:val="auto"/>
        </w:rPr>
        <w:t>“</w:t>
      </w:r>
      <w:r>
        <w:rPr>
          <w:rFonts w:ascii="Arial" w:cs="Arial" w:eastAsia="Arial" w:hAnsi="Arial"/>
          <w:sz w:val="16"/>
          <w:szCs w:val="16"/>
          <w:color w:val="auto"/>
          <w:strike w:val="1"/>
        </w:rPr>
        <w:t>awards</w:t>
      </w:r>
      <w:r>
        <w:rPr>
          <w:rFonts w:ascii="Arial" w:cs="Arial" w:eastAsia="Arial" w:hAnsi="Arial"/>
          <w:sz w:val="16"/>
          <w:szCs w:val="16"/>
          <w:color w:val="auto"/>
        </w:rPr>
        <w:t xml:space="preserve">” </w:t>
      </w:r>
      <w:r>
        <w:rPr>
          <w:rFonts w:ascii="Arial" w:cs="Arial" w:eastAsia="Arial" w:hAnsi="Arial"/>
          <w:sz w:val="16"/>
          <w:szCs w:val="16"/>
          <w:color w:val="auto"/>
          <w:strike w:val="1"/>
        </w:rPr>
        <w:t>being options or other</w:t>
      </w:r>
      <w:r>
        <w:rPr>
          <w:rFonts w:ascii="Arial" w:cs="Arial" w:eastAsia="Arial" w:hAnsi="Arial"/>
          <w:sz w:val="16"/>
          <w:szCs w:val="16"/>
          <w:color w:val="auto"/>
        </w:rPr>
        <w:t xml:space="preserve"> </w:t>
      </w:r>
      <w:r>
        <w:rPr>
          <w:rFonts w:ascii="Arial" w:cs="Arial" w:eastAsia="Arial" w:hAnsi="Arial"/>
          <w:sz w:val="16"/>
          <w:szCs w:val="16"/>
          <w:color w:val="auto"/>
          <w:strike w:val="1"/>
        </w:rPr>
        <w:t>incentive awards, including, without limitation, stock appreciation rights, restricted stock units, performance stock units and restricted stock awards) to subscribe for or with respect to shares, then, subject to the provisions of the Companies Act, the Directors</w:t>
      </w:r>
      <w:r>
        <w:rPr>
          <w:rFonts w:ascii="Arial" w:cs="Arial" w:eastAsia="Arial" w:hAnsi="Arial"/>
          <w:sz w:val="16"/>
          <w:szCs w:val="16"/>
          <w:u w:val="single" w:color="auto"/>
          <w:color w:val="auto"/>
          <w:strike w:val="1"/>
        </w:rPr>
        <w:t>Board</w:t>
      </w:r>
      <w:r>
        <w:rPr>
          <w:rFonts w:ascii="Arial" w:cs="Arial" w:eastAsia="Arial" w:hAnsi="Arial"/>
          <w:sz w:val="16"/>
          <w:szCs w:val="16"/>
          <w:color w:val="auto"/>
          <w:strike w:val="1"/>
        </w:rPr>
        <w:t xml:space="preserve">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-2354580</wp:posOffset>
            </wp:positionV>
            <wp:extent cx="1962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96215" cy="8255"/>
                    </a:xfrm>
                    <a:prstGeom prst="rect">
                      <a:avLst/>
                    </a:prstGeom>
                    <a:noFill/>
                  </pic:spPr>
                </pic:pic>
              </a:graphicData>
            </a:graphic>
          </wp:anchor>
        </w:drawing>
      </w:r>
    </w:p>
    <w:p>
      <w:pPr>
        <w:spacing w:after="0" w:line="86"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A-34</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19545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wp:posOffset>
            </wp:positionV>
            <wp:extent cx="1028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7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20" w:right="1120"/>
        <w:spacing w:after="0" w:line="253" w:lineRule="auto"/>
        <w:rPr>
          <w:sz w:val="20"/>
          <w:szCs w:val="20"/>
          <w:color w:val="auto"/>
        </w:rPr>
      </w:pPr>
      <w:r>
        <w:rPr>
          <w:rFonts w:ascii="Arial" w:cs="Arial" w:eastAsia="Arial" w:hAnsi="Arial"/>
          <w:sz w:val="16"/>
          <w:szCs w:val="16"/>
          <w:color w:val="auto"/>
        </w:rPr>
        <w:t>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80" w:lineRule="exact"/>
        <w:rPr>
          <w:sz w:val="20"/>
          <w:szCs w:val="20"/>
          <w:color w:val="auto"/>
        </w:rPr>
      </w:pPr>
    </w:p>
    <w:p>
      <w:pPr>
        <w:ind w:left="1620" w:right="1180" w:hanging="424"/>
        <w:spacing w:after="0" w:line="260" w:lineRule="auto"/>
        <w:tabs>
          <w:tab w:leader="none" w:pos="1620"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Subject to the provisions of the Companies Act, the Board may, in connection with the exercise of any warrant (or other right) to subscribe for shares granted by the Company:</w:t>
      </w:r>
    </w:p>
    <w:p>
      <w:pPr>
        <w:spacing w:after="0" w:line="73" w:lineRule="exact"/>
        <w:rPr>
          <w:rFonts w:ascii="Arial" w:cs="Arial" w:eastAsia="Arial" w:hAnsi="Arial"/>
          <w:sz w:val="16"/>
          <w:szCs w:val="16"/>
          <w:color w:val="auto"/>
        </w:rPr>
      </w:pPr>
    </w:p>
    <w:p>
      <w:pPr>
        <w:ind w:left="2060" w:right="840" w:hanging="432"/>
        <w:spacing w:after="0" w:line="253" w:lineRule="auto"/>
        <w:tabs>
          <w:tab w:leader="none" w:pos="2060"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capitalise any undistributed profits of the Company (whether or not they are available for distribution) and/or any sum standing to the credit of any reserve or fund of the Company (including without limitation any share premium account, capital redemption reserve, merger relief reserve and/or revaluation reserve);</w:t>
      </w:r>
    </w:p>
    <w:p>
      <w:pPr>
        <w:spacing w:after="0" w:line="66" w:lineRule="exact"/>
        <w:rPr>
          <w:rFonts w:ascii="Arial" w:cs="Arial" w:eastAsia="Arial" w:hAnsi="Arial"/>
          <w:sz w:val="16"/>
          <w:szCs w:val="16"/>
          <w:color w:val="auto"/>
        </w:rPr>
      </w:pPr>
    </w:p>
    <w:p>
      <w:pPr>
        <w:ind w:left="2060" w:right="1040" w:hanging="432"/>
        <w:spacing w:after="0" w:line="260" w:lineRule="auto"/>
        <w:tabs>
          <w:tab w:leader="none" w:pos="2060"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apply any capitalised sum in paying up the nominal value of shares to be allotted on the exercise of any such warrant (or other right to subscribe); and</w:t>
      </w:r>
    </w:p>
    <w:p>
      <w:pPr>
        <w:spacing w:after="0" w:line="73" w:lineRule="exact"/>
        <w:rPr>
          <w:rFonts w:ascii="Arial" w:cs="Arial" w:eastAsia="Arial" w:hAnsi="Arial"/>
          <w:sz w:val="16"/>
          <w:szCs w:val="16"/>
          <w:color w:val="auto"/>
        </w:rPr>
      </w:pPr>
    </w:p>
    <w:p>
      <w:pPr>
        <w:ind w:left="2060" w:right="1040" w:hanging="432"/>
        <w:spacing w:after="0" w:line="260" w:lineRule="auto"/>
        <w:tabs>
          <w:tab w:leader="none" w:pos="2060" w:val="left"/>
        </w:tabs>
        <w:numPr>
          <w:ilvl w:val="2"/>
          <w:numId w:val="203"/>
        </w:numPr>
        <w:rPr>
          <w:rFonts w:ascii="Arial" w:cs="Arial" w:eastAsia="Arial" w:hAnsi="Arial"/>
          <w:sz w:val="16"/>
          <w:szCs w:val="16"/>
          <w:color w:val="auto"/>
        </w:rPr>
      </w:pPr>
      <w:r>
        <w:rPr>
          <w:rFonts w:ascii="Arial" w:cs="Arial" w:eastAsia="Arial" w:hAnsi="Arial"/>
          <w:sz w:val="16"/>
          <w:szCs w:val="16"/>
          <w:u w:val="single" w:color="auto"/>
          <w:color w:val="auto"/>
        </w:rPr>
        <w:t>allot shares credited as fully paid to the person(s) entitled under the warrant (or other right to subscribe) or as they may direct.</w:t>
      </w:r>
    </w:p>
    <w:p>
      <w:pPr>
        <w:spacing w:after="0" w:line="53" w:lineRule="exact"/>
        <w:rPr>
          <w:rFonts w:ascii="Arial" w:cs="Arial" w:eastAsia="Arial" w:hAnsi="Arial"/>
          <w:sz w:val="16"/>
          <w:szCs w:val="16"/>
          <w:color w:val="auto"/>
        </w:rPr>
      </w:pPr>
    </w:p>
    <w:p>
      <w:pPr>
        <w:ind w:left="1200" w:hanging="436"/>
        <w:spacing w:after="0"/>
        <w:tabs>
          <w:tab w:leader="none" w:pos="1200"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CAPITAL</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41.1  The rights as regards return of capital attaching to the Ordinary Shares shall be as set out in this Article.</w:t>
      </w:r>
    </w:p>
    <w:p>
      <w:pPr>
        <w:spacing w:after="0" w:line="100" w:lineRule="exact"/>
        <w:rPr>
          <w:sz w:val="20"/>
          <w:szCs w:val="20"/>
          <w:color w:val="auto"/>
        </w:rPr>
      </w:pPr>
    </w:p>
    <w:p>
      <w:pPr>
        <w:ind w:left="1200" w:right="1200" w:hanging="431"/>
        <w:spacing w:after="0" w:line="253" w:lineRule="auto"/>
        <w:rPr>
          <w:sz w:val="20"/>
          <w:szCs w:val="20"/>
          <w:color w:val="auto"/>
        </w:rPr>
      </w:pPr>
      <w:r>
        <w:rPr>
          <w:rFonts w:ascii="Arial" w:cs="Arial" w:eastAsia="Arial" w:hAnsi="Arial"/>
          <w:sz w:val="16"/>
          <w:szCs w:val="16"/>
          <w:color w:val="auto"/>
        </w:rPr>
        <w:t>41.2 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60" w:lineRule="exact"/>
        <w:rPr>
          <w:sz w:val="20"/>
          <w:szCs w:val="20"/>
          <w:color w:val="auto"/>
        </w:rPr>
      </w:pPr>
    </w:p>
    <w:p>
      <w:pPr>
        <w:ind w:left="1200" w:hanging="436"/>
        <w:spacing w:after="0"/>
        <w:tabs>
          <w:tab w:leader="none" w:pos="1200"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CHANGE OF THE COMPANY’S NAME</w:t>
      </w:r>
    </w:p>
    <w:p>
      <w:pPr>
        <w:spacing w:after="0" w:line="106" w:lineRule="exact"/>
        <w:rPr>
          <w:rFonts w:ascii="Arial" w:cs="Arial" w:eastAsia="Arial" w:hAnsi="Arial"/>
          <w:sz w:val="16"/>
          <w:szCs w:val="16"/>
          <w:b w:val="1"/>
          <w:bCs w:val="1"/>
          <w:color w:val="auto"/>
        </w:rPr>
      </w:pPr>
    </w:p>
    <w:p>
      <w:pPr>
        <w:ind w:left="1200"/>
        <w:spacing w:after="0"/>
        <w:rPr>
          <w:rFonts w:ascii="Arial" w:cs="Arial" w:eastAsia="Arial" w:hAnsi="Arial"/>
          <w:sz w:val="16"/>
          <w:szCs w:val="16"/>
          <w:b w:val="1"/>
          <w:bCs w:val="1"/>
          <w:color w:val="auto"/>
        </w:rPr>
      </w:pPr>
      <w:r>
        <w:rPr>
          <w:rFonts w:ascii="Arial" w:cs="Arial" w:eastAsia="Arial" w:hAnsi="Arial"/>
          <w:sz w:val="16"/>
          <w:szCs w:val="16"/>
          <w:color w:val="auto"/>
        </w:rPr>
        <w:t>The Company’s name may be changed by resolution of the Board.</w:t>
      </w:r>
    </w:p>
    <w:p>
      <w:pPr>
        <w:spacing w:after="0" w:line="79" w:lineRule="exact"/>
        <w:rPr>
          <w:rFonts w:ascii="Arial" w:cs="Arial" w:eastAsia="Arial" w:hAnsi="Arial"/>
          <w:sz w:val="16"/>
          <w:szCs w:val="16"/>
          <w:b w:val="1"/>
          <w:bCs w:val="1"/>
          <w:color w:val="auto"/>
        </w:rPr>
      </w:pPr>
    </w:p>
    <w:p>
      <w:pPr>
        <w:ind w:left="1200" w:hanging="436"/>
        <w:spacing w:after="0"/>
        <w:tabs>
          <w:tab w:leader="none" w:pos="1200"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RECORD DATES</w:t>
      </w:r>
    </w:p>
    <w:p>
      <w:pPr>
        <w:spacing w:after="0" w:line="120" w:lineRule="exact"/>
        <w:rPr>
          <w:sz w:val="20"/>
          <w:szCs w:val="20"/>
          <w:color w:val="auto"/>
        </w:rPr>
      </w:pPr>
    </w:p>
    <w:p>
      <w:pPr>
        <w:ind w:left="1200" w:right="840" w:hanging="431"/>
        <w:spacing w:after="0" w:line="260" w:lineRule="auto"/>
        <w:rPr>
          <w:sz w:val="20"/>
          <w:szCs w:val="20"/>
          <w:color w:val="auto"/>
        </w:rPr>
      </w:pPr>
      <w:r>
        <w:rPr>
          <w:rFonts w:ascii="Arial" w:cs="Arial" w:eastAsia="Arial" w:hAnsi="Arial"/>
          <w:sz w:val="16"/>
          <w:szCs w:val="16"/>
          <w:color w:val="auto"/>
        </w:rPr>
        <w:t xml:space="preserve">43.1 Notwithstanding any other provision of these Articles, and subject to the Companies Act, but without prejudice to any special rights attached to any shares, the Company or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w:t>
      </w:r>
    </w:p>
    <w:p>
      <w:pPr>
        <w:spacing w:after="0" w:line="60" w:lineRule="exact"/>
        <w:rPr>
          <w:sz w:val="20"/>
          <w:szCs w:val="20"/>
          <w:color w:val="auto"/>
        </w:rPr>
      </w:pPr>
    </w:p>
    <w:p>
      <w:pPr>
        <w:ind w:left="1620" w:right="920" w:hanging="424"/>
        <w:spacing w:after="0" w:line="260" w:lineRule="auto"/>
        <w:tabs>
          <w:tab w:leader="none" w:pos="16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fix any date as the record date for any dividend, distribution, allotment or issue, which shall not be more than 60 days prior to such action;</w:t>
      </w:r>
    </w:p>
    <w:p>
      <w:pPr>
        <w:spacing w:after="0" w:line="73" w:lineRule="exact"/>
        <w:rPr>
          <w:rFonts w:ascii="Arial" w:cs="Arial" w:eastAsia="Arial" w:hAnsi="Arial"/>
          <w:sz w:val="16"/>
          <w:szCs w:val="16"/>
          <w:color w:val="auto"/>
        </w:rPr>
      </w:pPr>
    </w:p>
    <w:p>
      <w:pPr>
        <w:ind w:left="1620" w:right="780" w:hanging="424"/>
        <w:spacing w:after="0" w:line="249" w:lineRule="auto"/>
        <w:tabs>
          <w:tab w:leader="none" w:pos="16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83" w:lineRule="exact"/>
        <w:rPr>
          <w:rFonts w:ascii="Arial" w:cs="Arial" w:eastAsia="Arial" w:hAnsi="Arial"/>
          <w:sz w:val="16"/>
          <w:szCs w:val="16"/>
          <w:color w:val="auto"/>
        </w:rPr>
      </w:pPr>
    </w:p>
    <w:p>
      <w:pPr>
        <w:ind w:left="1620" w:right="820" w:hanging="424"/>
        <w:spacing w:after="0" w:line="251" w:lineRule="auto"/>
        <w:tabs>
          <w:tab w:leader="none" w:pos="16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for the purposes of sending notices to any one or more members (including, without limitation, notices of general meetings, or separate general meetings of the holders of any class of shares in the capital of the Company), give such notices by reference to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as it stands at the close of business on a day determined by the Company or the Board, which day may not be more than 60 days before the day that such notices are sent.</w:t>
      </w:r>
    </w:p>
    <w:p>
      <w:pPr>
        <w:spacing w:after="0" w:line="47" w:lineRule="exact"/>
        <w:rPr>
          <w:rFonts w:ascii="Arial" w:cs="Arial" w:eastAsia="Arial" w:hAnsi="Arial"/>
          <w:sz w:val="16"/>
          <w:szCs w:val="16"/>
          <w:color w:val="auto"/>
        </w:rPr>
      </w:pPr>
    </w:p>
    <w:p>
      <w:pPr>
        <w:ind w:left="1200" w:hanging="436"/>
        <w:spacing w:after="0"/>
        <w:tabs>
          <w:tab w:leader="none" w:pos="12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ACCOUNTS</w:t>
      </w:r>
    </w:p>
    <w:p>
      <w:pPr>
        <w:spacing w:after="0" w:line="120" w:lineRule="exact"/>
        <w:rPr>
          <w:sz w:val="20"/>
          <w:szCs w:val="20"/>
          <w:color w:val="auto"/>
        </w:rPr>
      </w:pPr>
    </w:p>
    <w:p>
      <w:pPr>
        <w:ind w:left="1200" w:right="840" w:hanging="431"/>
        <w:spacing w:after="0" w:line="253" w:lineRule="auto"/>
        <w:rPr>
          <w:sz w:val="20"/>
          <w:szCs w:val="20"/>
          <w:color w:val="auto"/>
        </w:rPr>
      </w:pPr>
      <w:r>
        <w:rPr>
          <w:rFonts w:ascii="Arial" w:cs="Arial" w:eastAsia="Arial" w:hAnsi="Arial"/>
          <w:sz w:val="16"/>
          <w:szCs w:val="16"/>
          <w:color w:val="auto"/>
        </w:rPr>
        <w:t xml:space="preserve">44.1 No member (as such, other than a Director) shall have any right to inspect any accounting record or other document of the Company, unless </w:t>
      </w:r>
      <w:r>
        <w:rPr>
          <w:rFonts w:ascii="Arial" w:cs="Arial" w:eastAsia="Arial" w:hAnsi="Arial"/>
          <w:sz w:val="16"/>
          <w:szCs w:val="16"/>
          <w:color w:val="auto"/>
          <w:strike w:val="1"/>
        </w:rPr>
        <w:t>he is</w:t>
      </w:r>
      <w:r>
        <w:rPr>
          <w:rFonts w:ascii="Arial" w:cs="Arial" w:eastAsia="Arial" w:hAnsi="Arial"/>
          <w:sz w:val="16"/>
          <w:szCs w:val="16"/>
          <w:u w:val="single" w:color="auto"/>
          <w:color w:val="auto"/>
        </w:rPr>
        <w:t>they are</w:t>
      </w:r>
      <w:r>
        <w:rPr>
          <w:rFonts w:ascii="Arial" w:cs="Arial" w:eastAsia="Arial" w:hAnsi="Arial"/>
          <w:sz w:val="16"/>
          <w:szCs w:val="16"/>
          <w:color w:val="auto"/>
        </w:rPr>
        <w:t xml:space="preserve"> authorised to do so by statute, by order of the court, by the Board or by ordinary resolution of the Company.</w:t>
      </w:r>
    </w:p>
    <w:p>
      <w:pPr>
        <w:spacing w:after="0" w:line="66" w:lineRule="exact"/>
        <w:rPr>
          <w:sz w:val="20"/>
          <w:szCs w:val="20"/>
          <w:color w:val="auto"/>
        </w:rPr>
      </w:pPr>
    </w:p>
    <w:p>
      <w:pPr>
        <w:ind w:left="1200" w:right="780" w:hanging="431"/>
        <w:spacing w:after="0" w:line="249" w:lineRule="auto"/>
        <w:rPr>
          <w:sz w:val="20"/>
          <w:szCs w:val="20"/>
          <w:color w:val="auto"/>
        </w:rPr>
      </w:pPr>
      <w:r>
        <w:rPr>
          <w:rFonts w:ascii="Arial" w:cs="Arial" w:eastAsia="Arial" w:hAnsi="Arial"/>
          <w:sz w:val="16"/>
          <w:szCs w:val="16"/>
          <w:color w:val="auto"/>
        </w:rPr>
        <w:t>44.2 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83" w:lineRule="exact"/>
        <w:rPr>
          <w:sz w:val="20"/>
          <w:szCs w:val="20"/>
          <w:color w:val="auto"/>
        </w:rPr>
      </w:pPr>
    </w:p>
    <w:p>
      <w:pPr>
        <w:ind w:left="1200" w:right="880" w:hanging="431"/>
        <w:spacing w:after="0" w:line="251" w:lineRule="auto"/>
        <w:rPr>
          <w:sz w:val="20"/>
          <w:szCs w:val="20"/>
          <w:color w:val="auto"/>
        </w:rPr>
      </w:pPr>
      <w:r>
        <w:rPr>
          <w:rFonts w:ascii="Arial" w:cs="Arial" w:eastAsia="Arial" w:hAnsi="Arial"/>
          <w:sz w:val="16"/>
          <w:szCs w:val="16"/>
          <w:color w:val="auto"/>
        </w:rPr>
        <w:t>44.3 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0" w:type="dxa"/>
            <w:vAlign w:val="bottom"/>
            <w:vMerge w:val="restart"/>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1"/>
                <w:szCs w:val="11"/>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A-35</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2740" w:type="dxa"/>
            <w:vAlign w:val="bottom"/>
            <w:vMerge w:val="continue"/>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4" w:name="page115"/>
    <w:bookmarkEnd w:id="114"/>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hanging="436"/>
        <w:spacing w:after="0"/>
        <w:tabs>
          <w:tab w:leader="none" w:pos="1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NOTICES AND OTHER COMMUNICATIONS</w:t>
      </w:r>
    </w:p>
    <w:p>
      <w:pPr>
        <w:spacing w:after="0" w:line="120"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 xml:space="preserve">45.1 Any notice to be given to or by any person pursuant to these Articles shall be in writing other than a notice calling a meeting of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which need not be in writing.</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45.2  Any notice, document or information may (without prejudice to Articles 45.9 and 45.10) be given, sent or supplied by the</w:t>
      </w:r>
    </w:p>
    <w:p>
      <w:pPr>
        <w:spacing w:after="0" w:line="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Company to any member either:</w:t>
      </w:r>
    </w:p>
    <w:p>
      <w:pPr>
        <w:spacing w:after="0" w:line="100" w:lineRule="exact"/>
        <w:rPr>
          <w:sz w:val="20"/>
          <w:szCs w:val="20"/>
          <w:color w:val="auto"/>
        </w:rPr>
      </w:pPr>
    </w:p>
    <w:p>
      <w:pPr>
        <w:ind w:left="1620" w:hanging="424"/>
        <w:spacing w:after="0"/>
        <w:tabs>
          <w:tab w:leader="none" w:pos="16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personally;</w:t>
      </w:r>
    </w:p>
    <w:p>
      <w:pPr>
        <w:spacing w:after="0" w:line="86"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by sending it by post in a prepaid envelope addressed to the member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registered address or postal address given to the Company for that purpose, or by leaving it at that address;</w:t>
      </w:r>
    </w:p>
    <w:p>
      <w:pPr>
        <w:spacing w:after="0" w:line="60" w:lineRule="exact"/>
        <w:rPr>
          <w:rFonts w:ascii="Arial" w:cs="Arial" w:eastAsia="Arial" w:hAnsi="Arial"/>
          <w:sz w:val="16"/>
          <w:szCs w:val="16"/>
          <w:color w:val="auto"/>
        </w:rPr>
      </w:pPr>
    </w:p>
    <w:p>
      <w:pPr>
        <w:ind w:left="1620" w:hanging="424"/>
        <w:spacing w:after="0"/>
        <w:tabs>
          <w:tab w:leader="none" w:pos="16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through a relevant system, where the notice, document or information relates to uncertificated shares;</w:t>
      </w:r>
    </w:p>
    <w:p>
      <w:pPr>
        <w:spacing w:after="0" w:line="99"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60" w:lineRule="exact"/>
        <w:rPr>
          <w:rFonts w:ascii="Arial" w:cs="Arial" w:eastAsia="Arial" w:hAnsi="Arial"/>
          <w:sz w:val="16"/>
          <w:szCs w:val="16"/>
          <w:color w:val="auto"/>
        </w:rPr>
      </w:pPr>
    </w:p>
    <w:p>
      <w:pPr>
        <w:ind w:left="1620" w:right="419" w:hanging="424"/>
        <w:spacing w:after="0" w:line="260" w:lineRule="auto"/>
        <w:tabs>
          <w:tab w:leader="none" w:pos="16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subject to the provisions of the Companies Act </w:t>
      </w:r>
      <w:r>
        <w:rPr>
          <w:rFonts w:ascii="Arial" w:cs="Arial" w:eastAsia="Arial" w:hAnsi="Arial"/>
          <w:sz w:val="16"/>
          <w:szCs w:val="16"/>
          <w:u w:val="single" w:color="auto"/>
          <w:color w:val="auto"/>
        </w:rPr>
        <w:t>and the Exchange Act</w:t>
      </w:r>
      <w:r>
        <w:rPr>
          <w:rFonts w:ascii="Arial" w:cs="Arial" w:eastAsia="Arial" w:hAnsi="Arial"/>
          <w:sz w:val="16"/>
          <w:szCs w:val="16"/>
          <w:color w:val="auto"/>
        </w:rPr>
        <w:t xml:space="preserve">, by making it available on a website, provided that the requirements in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i) to </w:t>
      </w:r>
      <w:r>
        <w:rPr>
          <w:rFonts w:ascii="Arial" w:cs="Arial" w:eastAsia="Arial" w:hAnsi="Arial"/>
          <w:sz w:val="16"/>
          <w:szCs w:val="16"/>
          <w:color w:val="auto"/>
          <w:strike w:val="1"/>
        </w:rPr>
        <w:t>(iv)</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are satisfied.</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 xml:space="preserve">The requirements referred to in paragraph </w:t>
      </w:r>
      <w:r>
        <w:rPr>
          <w:rFonts w:ascii="Arial" w:cs="Arial" w:eastAsia="Arial" w:hAnsi="Arial"/>
          <w:sz w:val="16"/>
          <w:szCs w:val="16"/>
          <w:color w:val="auto"/>
          <w:strike w:val="1"/>
        </w:rPr>
        <w:t>(</w:t>
      </w:r>
      <w:r>
        <w:rPr>
          <w:rFonts w:ascii="Arial" w:cs="Arial" w:eastAsia="Arial" w:hAnsi="Arial"/>
          <w:sz w:val="16"/>
          <w:szCs w:val="16"/>
          <w:u w:val="single" w:color="auto"/>
          <w:color w:val="auto"/>
        </w:rPr>
        <w:t>(</w:t>
      </w:r>
      <w:r>
        <w:rPr>
          <w:rFonts w:ascii="Arial" w:cs="Arial" w:eastAsia="Arial" w:hAnsi="Arial"/>
          <w:sz w:val="16"/>
          <w:szCs w:val="16"/>
          <w:color w:val="auto"/>
        </w:rPr>
        <w:t>e) are that:</w:t>
      </w:r>
    </w:p>
    <w:p>
      <w:pPr>
        <w:spacing w:after="0" w:line="86" w:lineRule="exact"/>
        <w:rPr>
          <w:sz w:val="20"/>
          <w:szCs w:val="20"/>
          <w:color w:val="auto"/>
        </w:rPr>
      </w:pPr>
    </w:p>
    <w:p>
      <w:pPr>
        <w:ind w:left="2280" w:right="299" w:hanging="652"/>
        <w:spacing w:after="0" w:line="248" w:lineRule="auto"/>
        <w:tabs>
          <w:tab w:leader="none" w:pos="22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the member has agreed (generally or specifically) that the notice, document or information may be sent or supplied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by being made available on a website (and has not revoked that agreement), or the member has been asked by the Company to agree that the Company may send or supply notices, documents and information generally, or the notice, document or information in question, to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86" w:lineRule="exact"/>
        <w:rPr>
          <w:rFonts w:ascii="Arial" w:cs="Arial" w:eastAsia="Arial" w:hAnsi="Arial"/>
          <w:sz w:val="16"/>
          <w:szCs w:val="16"/>
          <w:color w:val="auto"/>
        </w:rPr>
      </w:pPr>
    </w:p>
    <w:p>
      <w:pPr>
        <w:ind w:left="2280" w:right="299" w:hanging="652"/>
        <w:spacing w:after="0" w:line="251" w:lineRule="auto"/>
        <w:tabs>
          <w:tab w:leader="none" w:pos="2280" w:val="left"/>
        </w:tabs>
        <w:numPr>
          <w:ilvl w:val="0"/>
          <w:numId w:val="210"/>
        </w:numPr>
        <w:rPr>
          <w:rFonts w:ascii="Arial" w:cs="Arial" w:eastAsia="Arial" w:hAnsi="Arial"/>
          <w:sz w:val="16"/>
          <w:szCs w:val="16"/>
          <w:color w:val="auto"/>
        </w:rPr>
      </w:pPr>
      <w:r>
        <w:rPr>
          <w:rFonts w:ascii="Arial" w:cs="Arial" w:eastAsia="Arial" w:hAnsi="Arial"/>
          <w:sz w:val="16"/>
          <w:szCs w:val="16"/>
          <w:color w:val="auto"/>
          <w:strike w:val="1"/>
        </w:rPr>
        <w:t>the member is sent</w:t>
      </w:r>
      <w:r>
        <w:rPr>
          <w:rFonts w:ascii="Arial" w:cs="Arial" w:eastAsia="Arial" w:hAnsi="Arial"/>
          <w:sz w:val="16"/>
          <w:szCs w:val="16"/>
          <w:u w:val="single" w:color="auto"/>
          <w:color w:val="auto"/>
          <w:strike w:val="1"/>
        </w:rPr>
        <w:t>the member is the information required under the Companies Act and the Exchange Act,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including but not limited to</w:t>
      </w:r>
      <w:r>
        <w:rPr>
          <w:rFonts w:ascii="Arial" w:cs="Arial" w:eastAsia="Arial" w:hAnsi="Arial"/>
          <w:sz w:val="16"/>
          <w:szCs w:val="16"/>
          <w:color w:val="auto"/>
          <w:strike w:val="1"/>
        </w:rPr>
        <w:t xml:space="preserve"> a notification of the presence of the notice, document or information on a website, the address of that website, the place on that website where it may be accessed, and how it may be accessed (“</w:t>
      </w:r>
      <w:r>
        <w:rPr>
          <w:rFonts w:ascii="Arial" w:cs="Arial" w:eastAsia="Arial" w:hAnsi="Arial"/>
          <w:sz w:val="16"/>
          <w:szCs w:val="16"/>
          <w:b w:val="1"/>
          <w:bCs w:val="1"/>
          <w:color w:val="auto"/>
          <w:strike w:val="1"/>
        </w:rPr>
        <w:t>notification of availability</w:t>
      </w:r>
      <w:r>
        <w:rPr>
          <w:rFonts w:ascii="Arial" w:cs="Arial" w:eastAsia="Arial" w:hAnsi="Arial"/>
          <w:sz w:val="16"/>
          <w:szCs w:val="16"/>
          <w:color w:val="auto"/>
          <w:strike w:val="1"/>
        </w:rPr>
        <w:t>”); and</w:t>
      </w:r>
    </w:p>
    <w:p>
      <w:pPr>
        <w:spacing w:after="0" w:line="67" w:lineRule="exact"/>
        <w:rPr>
          <w:rFonts w:ascii="Arial" w:cs="Arial" w:eastAsia="Arial" w:hAnsi="Arial"/>
          <w:sz w:val="16"/>
          <w:szCs w:val="16"/>
          <w:color w:val="auto"/>
        </w:rPr>
      </w:pPr>
    </w:p>
    <w:p>
      <w:pPr>
        <w:ind w:left="2280" w:right="319" w:hanging="652"/>
        <w:spacing w:after="0" w:line="253" w:lineRule="auto"/>
        <w:tabs>
          <w:tab w:leader="none" w:pos="2280" w:val="left"/>
        </w:tabs>
        <w:numPr>
          <w:ilvl w:val="0"/>
          <w:numId w:val="210"/>
        </w:numPr>
        <w:rPr>
          <w:rFonts w:ascii="Arial" w:cs="Arial" w:eastAsia="Arial" w:hAnsi="Arial"/>
          <w:sz w:val="16"/>
          <w:szCs w:val="16"/>
          <w:color w:val="auto"/>
          <w:strike w:val="1"/>
        </w:rPr>
      </w:pPr>
      <w:r>
        <w:rPr>
          <w:rFonts w:ascii="Arial" w:cs="Arial" w:eastAsia="Arial" w:hAnsi="Arial"/>
          <w:sz w:val="16"/>
          <w:szCs w:val="16"/>
          <w:color w:val="auto"/>
          <w:strike w:val="1"/>
        </w:rPr>
        <w:t>in the case of a notice of meeting, the notification of availability states that it concerns a notice of a company meeting, specifies the place, time and date of the meeting, and states whether it will be an annual general meeting, and</w:t>
      </w:r>
    </w:p>
    <w:p>
      <w:pPr>
        <w:spacing w:after="0" w:line="66" w:lineRule="exact"/>
        <w:rPr>
          <w:sz w:val="20"/>
          <w:szCs w:val="20"/>
          <w:color w:val="auto"/>
        </w:rPr>
      </w:pPr>
    </w:p>
    <w:p>
      <w:pPr>
        <w:ind w:left="2280" w:right="359" w:hanging="647"/>
        <w:spacing w:after="0" w:line="248" w:lineRule="auto"/>
        <w:tabs>
          <w:tab w:leader="none" w:pos="2260" w:val="left"/>
        </w:tabs>
        <w:rPr>
          <w:sz w:val="20"/>
          <w:szCs w:val="20"/>
          <w:color w:val="auto"/>
        </w:rPr>
      </w:pPr>
      <w:r>
        <w:rPr>
          <w:rFonts w:ascii="Arial" w:cs="Arial" w:eastAsia="Arial" w:hAnsi="Arial"/>
          <w:sz w:val="16"/>
          <w:szCs w:val="16"/>
          <w:color w:val="auto"/>
          <w:strike w:val="1"/>
        </w:rPr>
        <w:t>(iv)</w:t>
      </w:r>
      <w:r>
        <w:rPr>
          <w:rFonts w:ascii="Arial" w:cs="Arial" w:eastAsia="Arial" w:hAnsi="Arial"/>
          <w:sz w:val="16"/>
          <w:szCs w:val="16"/>
          <w:u w:val="single" w:color="auto"/>
          <w:color w:val="auto"/>
        </w:rPr>
        <w:t>(iii)</w:t>
      </w:r>
      <w:r>
        <w:rPr>
          <w:sz w:val="20"/>
          <w:szCs w:val="20"/>
          <w:color w:val="auto"/>
        </w:rPr>
        <w:tab/>
      </w:r>
      <w:r>
        <w:rPr>
          <w:rFonts w:ascii="Arial" w:cs="Arial" w:eastAsia="Arial" w:hAnsi="Arial"/>
          <w:sz w:val="16"/>
          <w:szCs w:val="16"/>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86" w:lineRule="exact"/>
        <w:rPr>
          <w:sz w:val="20"/>
          <w:szCs w:val="20"/>
          <w:color w:val="auto"/>
        </w:rPr>
      </w:pPr>
    </w:p>
    <w:p>
      <w:pPr>
        <w:ind w:left="1200" w:right="219" w:hanging="431"/>
        <w:spacing w:after="0" w:line="253" w:lineRule="auto"/>
        <w:rPr>
          <w:sz w:val="20"/>
          <w:szCs w:val="20"/>
          <w:color w:val="auto"/>
        </w:rPr>
      </w:pPr>
      <w:r>
        <w:rPr>
          <w:rFonts w:ascii="Arial" w:cs="Arial" w:eastAsia="Arial" w:hAnsi="Arial"/>
          <w:sz w:val="16"/>
          <w:szCs w:val="16"/>
          <w:color w:val="auto"/>
        </w:rPr>
        <w:t>45.3 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45.4  In the case of joint holders of a share:</w:t>
      </w:r>
    </w:p>
    <w:p>
      <w:pPr>
        <w:spacing w:after="0" w:line="100" w:lineRule="exact"/>
        <w:rPr>
          <w:sz w:val="20"/>
          <w:szCs w:val="20"/>
          <w:color w:val="auto"/>
        </w:rPr>
      </w:pPr>
    </w:p>
    <w:p>
      <w:pPr>
        <w:ind w:left="1620" w:right="279" w:hanging="424"/>
        <w:spacing w:after="0" w:line="253" w:lineRule="auto"/>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it shall be sufficient for all notices, documents and other information to be given, sent or supplied to the joint holder whose name stands first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in respect of the joint holding (“</w:t>
      </w:r>
      <w:r>
        <w:rPr>
          <w:rFonts w:ascii="Arial" w:cs="Arial" w:eastAsia="Arial" w:hAnsi="Arial"/>
          <w:sz w:val="16"/>
          <w:szCs w:val="16"/>
          <w:b w:val="1"/>
          <w:bCs w:val="1"/>
          <w:color w:val="auto"/>
        </w:rPr>
        <w:t>first named holder</w:t>
      </w:r>
      <w:r>
        <w:rPr>
          <w:rFonts w:ascii="Arial" w:cs="Arial" w:eastAsia="Arial" w:hAnsi="Arial"/>
          <w:sz w:val="16"/>
          <w:szCs w:val="16"/>
          <w:color w:val="auto"/>
        </w:rPr>
        <w:t>”) only and any notice, document or other information so sent shall be deemed for all purposes sent to all the joint holders; and</w:t>
      </w:r>
    </w:p>
    <w:p>
      <w:pPr>
        <w:spacing w:after="0" w:line="66" w:lineRule="exact"/>
        <w:rPr>
          <w:rFonts w:ascii="Arial" w:cs="Arial" w:eastAsia="Arial" w:hAnsi="Arial"/>
          <w:sz w:val="16"/>
          <w:szCs w:val="16"/>
          <w:color w:val="auto"/>
        </w:rPr>
      </w:pPr>
    </w:p>
    <w:p>
      <w:pPr>
        <w:ind w:left="1620" w:right="519" w:hanging="424"/>
        <w:spacing w:after="0" w:line="260" w:lineRule="auto"/>
        <w:tabs>
          <w:tab w:leader="none" w:pos="162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agreement of the first named holder that notices, documents and information may be given, sent or supplied in electronic form or by being made available on a website shall be binding on all the joint holders.</w:t>
      </w:r>
    </w:p>
    <w:p>
      <w:pPr>
        <w:spacing w:after="0" w:line="74" w:lineRule="exact"/>
        <w:rPr>
          <w:sz w:val="20"/>
          <w:szCs w:val="20"/>
          <w:color w:val="auto"/>
        </w:rPr>
      </w:pPr>
    </w:p>
    <w:p>
      <w:pPr>
        <w:ind w:left="1200" w:right="319" w:hanging="431"/>
        <w:spacing w:after="0" w:line="260" w:lineRule="auto"/>
        <w:rPr>
          <w:sz w:val="20"/>
          <w:szCs w:val="20"/>
          <w:color w:val="auto"/>
        </w:rPr>
      </w:pPr>
      <w:r>
        <w:rPr>
          <w:rFonts w:ascii="Arial" w:cs="Arial" w:eastAsia="Arial" w:hAnsi="Arial"/>
          <w:sz w:val="16"/>
          <w:szCs w:val="16"/>
          <w:color w:val="auto"/>
        </w:rPr>
        <w:t>45.5 The Company may at any time and at its sole discretion choose to give, send or supply notices, documents and information only in hard copy form to some or all members.</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45.6  For the avoidance of doubt, the provisions of Articles 45.1 to 45.5 are subject to Article 17.5.</w:t>
      </w:r>
    </w:p>
    <w:p>
      <w:pPr>
        <w:spacing w:after="0" w:line="100" w:lineRule="exact"/>
        <w:rPr>
          <w:sz w:val="20"/>
          <w:szCs w:val="20"/>
          <w:color w:val="auto"/>
        </w:rPr>
      </w:pPr>
    </w:p>
    <w:p>
      <w:pPr>
        <w:jc w:val="both"/>
        <w:ind w:left="1200" w:right="219" w:hanging="431"/>
        <w:spacing w:after="0" w:line="253" w:lineRule="auto"/>
        <w:rPr>
          <w:sz w:val="20"/>
          <w:szCs w:val="20"/>
          <w:color w:val="auto"/>
        </w:rPr>
      </w:pPr>
      <w:r>
        <w:rPr>
          <w:rFonts w:ascii="Arial" w:cs="Arial" w:eastAsia="Arial" w:hAnsi="Arial"/>
          <w:sz w:val="16"/>
          <w:szCs w:val="16"/>
          <w:color w:val="auto"/>
        </w:rPr>
        <w:t>45.7 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99"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A-36</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0" w:right="800" w:hanging="431"/>
        <w:spacing w:after="0" w:line="253" w:lineRule="auto"/>
        <w:rPr>
          <w:sz w:val="20"/>
          <w:szCs w:val="20"/>
          <w:color w:val="auto"/>
        </w:rPr>
      </w:pPr>
      <w:r>
        <w:rPr>
          <w:rFonts w:ascii="Arial" w:cs="Arial" w:eastAsia="Arial" w:hAnsi="Arial"/>
          <w:sz w:val="16"/>
          <w:szCs w:val="16"/>
          <w:color w:val="auto"/>
        </w:rPr>
        <w:t xml:space="preserve">45.8 Every person who becomes entitled to a share shall be bound by any notice in respect of that share which, before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name is entered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has been given to the person from whom </w:t>
      </w:r>
      <w:r>
        <w:rPr>
          <w:rFonts w:ascii="Arial" w:cs="Arial" w:eastAsia="Arial" w:hAnsi="Arial"/>
          <w:sz w:val="16"/>
          <w:szCs w:val="16"/>
          <w:color w:val="auto"/>
          <w:strike w:val="1"/>
        </w:rPr>
        <w:t>he derives his</w:t>
      </w:r>
      <w:r>
        <w:rPr>
          <w:rFonts w:ascii="Arial" w:cs="Arial" w:eastAsia="Arial" w:hAnsi="Arial"/>
          <w:sz w:val="16"/>
          <w:szCs w:val="16"/>
          <w:u w:val="single" w:color="auto"/>
          <w:color w:val="auto"/>
        </w:rPr>
        <w:t>they derive their</w:t>
      </w:r>
      <w:r>
        <w:rPr>
          <w:rFonts w:ascii="Arial" w:cs="Arial" w:eastAsia="Arial" w:hAnsi="Arial"/>
          <w:sz w:val="16"/>
          <w:szCs w:val="16"/>
          <w:color w:val="auto"/>
        </w:rPr>
        <w:t xml:space="preserve"> title, but this Article 45.8 does not apply to a notice given under section 793 of the Companies Act.</w:t>
      </w:r>
    </w:p>
    <w:p>
      <w:pPr>
        <w:spacing w:after="0" w:line="80" w:lineRule="exact"/>
        <w:rPr>
          <w:sz w:val="20"/>
          <w:szCs w:val="20"/>
          <w:color w:val="auto"/>
        </w:rPr>
      </w:pPr>
    </w:p>
    <w:p>
      <w:pPr>
        <w:ind w:left="1200" w:right="920" w:hanging="431"/>
        <w:spacing w:after="0" w:line="251" w:lineRule="auto"/>
        <w:rPr>
          <w:sz w:val="20"/>
          <w:szCs w:val="20"/>
          <w:color w:val="auto"/>
        </w:rPr>
      </w:pPr>
      <w:r>
        <w:rPr>
          <w:rFonts w:ascii="Arial" w:cs="Arial" w:eastAsia="Arial" w:hAnsi="Arial"/>
          <w:sz w:val="16"/>
          <w:szCs w:val="16"/>
          <w:color w:val="auto"/>
        </w:rPr>
        <w:t>45.9 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81" w:lineRule="exact"/>
        <w:rPr>
          <w:sz w:val="20"/>
          <w:szCs w:val="20"/>
          <w:color w:val="auto"/>
        </w:rPr>
      </w:pPr>
    </w:p>
    <w:p>
      <w:pPr>
        <w:ind w:left="1200" w:right="880" w:hanging="431"/>
        <w:spacing w:after="0" w:line="253" w:lineRule="auto"/>
        <w:rPr>
          <w:sz w:val="20"/>
          <w:szCs w:val="20"/>
          <w:color w:val="auto"/>
        </w:rPr>
      </w:pPr>
      <w:r>
        <w:rPr>
          <w:rFonts w:ascii="Arial" w:cs="Arial" w:eastAsia="Arial" w:hAnsi="Arial"/>
          <w:sz w:val="16"/>
          <w:szCs w:val="16"/>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8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45.11 Any notice, document or information given, sent or supplied by the Company to the members or any of them:</w:t>
      </w:r>
    </w:p>
    <w:p>
      <w:pPr>
        <w:spacing w:after="0" w:line="100" w:lineRule="exact"/>
        <w:rPr>
          <w:sz w:val="20"/>
          <w:szCs w:val="20"/>
          <w:color w:val="auto"/>
        </w:rPr>
      </w:pPr>
    </w:p>
    <w:p>
      <w:pPr>
        <w:ind w:left="1620" w:right="1100" w:hanging="424"/>
        <w:spacing w:after="0" w:line="260" w:lineRule="auto"/>
        <w:tabs>
          <w:tab w:leader="none" w:pos="16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by hand shall be deemed to have been received by the member when it is handed to the member or left at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registered address;</w:t>
      </w:r>
    </w:p>
    <w:p>
      <w:pPr>
        <w:spacing w:after="0" w:line="60" w:lineRule="exact"/>
        <w:rPr>
          <w:rFonts w:ascii="Arial" w:cs="Arial" w:eastAsia="Arial" w:hAnsi="Arial"/>
          <w:sz w:val="16"/>
          <w:szCs w:val="16"/>
          <w:color w:val="auto"/>
        </w:rPr>
      </w:pPr>
    </w:p>
    <w:p>
      <w:pPr>
        <w:ind w:left="1620" w:right="820" w:hanging="424"/>
        <w:spacing w:after="0" w:line="250" w:lineRule="auto"/>
        <w:tabs>
          <w:tab w:leader="none" w:pos="16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by post, shall be deemed to have been received </w:t>
      </w:r>
      <w:r>
        <w:rPr>
          <w:rFonts w:ascii="Arial" w:cs="Arial" w:eastAsia="Arial" w:hAnsi="Arial"/>
          <w:sz w:val="16"/>
          <w:szCs w:val="16"/>
          <w:u w:val="single" w:color="auto"/>
          <w:color w:val="auto"/>
        </w:rPr>
        <w:t>twenty four (</w:t>
      </w:r>
      <w:r>
        <w:rPr>
          <w:rFonts w:ascii="Arial" w:cs="Arial" w:eastAsia="Arial" w:hAnsi="Arial"/>
          <w:sz w:val="16"/>
          <w:szCs w:val="16"/>
          <w:color w:val="auto"/>
        </w:rPr>
        <w:t>24</w:t>
      </w:r>
      <w:r>
        <w:rPr>
          <w:rFonts w:ascii="Arial" w:cs="Arial" w:eastAsia="Arial" w:hAnsi="Arial"/>
          <w:sz w:val="16"/>
          <w:szCs w:val="16"/>
          <w:u w:val="single" w:color="auto"/>
          <w:color w:val="auto"/>
        </w:rPr>
        <w:t>)</w:t>
      </w:r>
      <w:r>
        <w:rPr>
          <w:rFonts w:ascii="Arial" w:cs="Arial" w:eastAsia="Arial" w:hAnsi="Arial"/>
          <w:sz w:val="16"/>
          <w:szCs w:val="16"/>
          <w:color w:val="auto"/>
        </w:rPr>
        <w:t xml:space="preserve"> hours after the time at which the envelope containing the notice, document or information was posted unless it was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sent by second class post </w:t>
      </w:r>
      <w:r>
        <w:rPr>
          <w:rFonts w:ascii="Arial" w:cs="Arial" w:eastAsia="Arial" w:hAnsi="Arial"/>
          <w:sz w:val="16"/>
          <w:szCs w:val="16"/>
          <w:color w:val="auto"/>
          <w:strike w:val="1"/>
        </w:rPr>
        <w:t>or</w:t>
      </w:r>
      <w:r>
        <w:rPr>
          <w:rFonts w:ascii="Arial" w:cs="Arial" w:eastAsia="Arial" w:hAnsi="Arial"/>
          <w:sz w:val="16"/>
          <w:szCs w:val="16"/>
          <w:u w:val="single" w:color="auto"/>
          <w:color w:val="auto"/>
        </w:rPr>
        <w:t>, (ii)</w:t>
      </w:r>
      <w:r>
        <w:rPr>
          <w:rFonts w:ascii="Arial" w:cs="Arial" w:eastAsia="Arial" w:hAnsi="Arial"/>
          <w:sz w:val="16"/>
          <w:szCs w:val="16"/>
          <w:color w:val="auto"/>
        </w:rPr>
        <w:t xml:space="preserve"> there is only one class of post,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it was sent by air mail to an address outside the United Kingdom, in which case it shall be deemed to have been received 48 hours after it was posted</w:t>
      </w:r>
      <w:r>
        <w:rPr>
          <w:rFonts w:ascii="Arial" w:cs="Arial" w:eastAsia="Arial" w:hAnsi="Arial"/>
          <w:sz w:val="16"/>
          <w:szCs w:val="16"/>
          <w:u w:val="single" w:color="auto"/>
          <w:color w:val="auto"/>
        </w:rPr>
        <w:t>.</w:t>
      </w:r>
      <w:r>
        <w:rPr>
          <w:rFonts w:ascii="Arial" w:cs="Arial" w:eastAsia="Arial" w:hAnsi="Arial"/>
          <w:sz w:val="16"/>
          <w:szCs w:val="16"/>
          <w:color w:val="auto"/>
        </w:rPr>
        <w:t xml:space="preserve"> Proof that the envelope was properly addressed, prepaid and posted shall be conclusive evidence that the notice, document or information was sent or supplied;</w:t>
      </w:r>
    </w:p>
    <w:p>
      <w:pPr>
        <w:spacing w:after="0" w:line="81" w:lineRule="exact"/>
        <w:rPr>
          <w:rFonts w:ascii="Arial" w:cs="Arial" w:eastAsia="Arial" w:hAnsi="Arial"/>
          <w:sz w:val="16"/>
          <w:szCs w:val="16"/>
          <w:color w:val="auto"/>
        </w:rPr>
      </w:pPr>
    </w:p>
    <w:p>
      <w:pPr>
        <w:ind w:left="1620" w:right="1320" w:hanging="424"/>
        <w:spacing w:after="0" w:line="253" w:lineRule="auto"/>
        <w:tabs>
          <w:tab w:leader="none" w:pos="16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by means of a relevant system, shall be deemed to have been received when the Company</w:t>
      </w:r>
      <w:r>
        <w:rPr>
          <w:rFonts w:ascii="Arial" w:cs="Arial" w:eastAsia="Arial" w:hAnsi="Arial"/>
          <w:sz w:val="16"/>
          <w:szCs w:val="16"/>
          <w:u w:val="single" w:color="auto"/>
          <w:color w:val="auto"/>
        </w:rPr>
        <w:t>,</w:t>
      </w:r>
      <w:r>
        <w:rPr>
          <w:rFonts w:ascii="Arial" w:cs="Arial" w:eastAsia="Arial" w:hAnsi="Arial"/>
          <w:sz w:val="16"/>
          <w:szCs w:val="16"/>
          <w:color w:val="auto"/>
        </w:rPr>
        <w:t xml:space="preserve"> or any sponsoring system</w:t>
      </w:r>
      <w:r>
        <w:rPr>
          <w:rFonts w:ascii="Arial" w:cs="Arial" w:eastAsia="Arial" w:hAnsi="Arial"/>
          <w:sz w:val="16"/>
          <w:szCs w:val="16"/>
          <w:color w:val="auto"/>
          <w:strike w:val="1"/>
        </w:rPr>
        <w:t>-</w:t>
      </w:r>
      <w:r>
        <w:rPr>
          <w:rFonts w:ascii="Arial" w:cs="Arial" w:eastAsia="Arial" w:hAnsi="Arial"/>
          <w:sz w:val="16"/>
          <w:szCs w:val="16"/>
          <w:color w:val="auto"/>
        </w:rPr>
        <w:t xml:space="preserve"> participant acting on its behalf sends the issuer instructions relating to the notice, document or </w:t>
      </w:r>
      <w:r>
        <w:rPr>
          <w:rFonts w:ascii="Arial" w:cs="Arial" w:eastAsia="Arial" w:hAnsi="Arial"/>
          <w:sz w:val="16"/>
          <w:szCs w:val="16"/>
          <w:color w:val="auto"/>
          <w:strike w:val="1"/>
        </w:rPr>
        <w:t>other</w:t>
      </w:r>
      <w:r>
        <w:rPr>
          <w:rFonts w:ascii="Arial" w:cs="Arial" w:eastAsia="Arial" w:hAnsi="Arial"/>
          <w:sz w:val="16"/>
          <w:szCs w:val="16"/>
          <w:color w:val="auto"/>
        </w:rPr>
        <w:t xml:space="preserve"> information;</w:t>
      </w:r>
    </w:p>
    <w:p>
      <w:pPr>
        <w:spacing w:after="0" w:line="79" w:lineRule="exact"/>
        <w:rPr>
          <w:rFonts w:ascii="Arial" w:cs="Arial" w:eastAsia="Arial" w:hAnsi="Arial"/>
          <w:sz w:val="16"/>
          <w:szCs w:val="16"/>
          <w:color w:val="auto"/>
        </w:rPr>
      </w:pPr>
    </w:p>
    <w:p>
      <w:pPr>
        <w:ind w:left="1620" w:right="1180" w:hanging="424"/>
        <w:spacing w:after="0" w:line="260" w:lineRule="auto"/>
        <w:tabs>
          <w:tab w:leader="none" w:pos="1620" w:val="left"/>
        </w:tabs>
        <w:numPr>
          <w:ilvl w:val="0"/>
          <w:numId w:val="2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by means of a Depositary, shall be deemed to have been received twenty four (24) hours after the Company, or a person acting on the Company</w:t>
      </w:r>
      <w:r>
        <w:rPr>
          <w:rFonts w:ascii="Arial" w:cs="Arial" w:eastAsia="Arial" w:hAnsi="Arial"/>
          <w:sz w:val="16"/>
          <w:szCs w:val="16"/>
          <w:color w:val="auto"/>
        </w:rPr>
        <w:t>’</w:t>
      </w:r>
      <w:r>
        <w:rPr>
          <w:rFonts w:ascii="Arial" w:cs="Arial" w:eastAsia="Arial" w:hAnsi="Arial"/>
          <w:sz w:val="16"/>
          <w:szCs w:val="16"/>
          <w:u w:val="single" w:color="auto"/>
          <w:color w:val="auto"/>
        </w:rPr>
        <w:t>s behalf, gives the notice, document or information to the Depositary;</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(d)</w:t>
      </w:r>
      <w:r>
        <w:rPr>
          <w:rFonts w:ascii="Arial" w:cs="Arial" w:eastAsia="Arial" w:hAnsi="Arial"/>
          <w:sz w:val="16"/>
          <w:szCs w:val="16"/>
          <w:u w:val="single" w:color="auto"/>
          <w:color w:val="auto"/>
        </w:rPr>
        <w:t>(e)</w:t>
      </w:r>
      <w:r>
        <w:rPr>
          <w:rFonts w:ascii="Arial" w:cs="Arial" w:eastAsia="Arial" w:hAnsi="Arial"/>
          <w:sz w:val="16"/>
          <w:szCs w:val="16"/>
          <w:color w:val="auto"/>
        </w:rPr>
        <w:t xml:space="preserve"> by advertisement, shall be deemed to have been received on the day on which the advertisement appears;</w:t>
      </w:r>
    </w:p>
    <w:p>
      <w:pPr>
        <w:spacing w:after="0" w:line="100" w:lineRule="exact"/>
        <w:rPr>
          <w:sz w:val="20"/>
          <w:szCs w:val="20"/>
          <w:color w:val="auto"/>
        </w:rPr>
      </w:pPr>
    </w:p>
    <w:p>
      <w:pPr>
        <w:ind w:left="1200"/>
        <w:spacing w:after="0"/>
        <w:rPr>
          <w:sz w:val="20"/>
          <w:szCs w:val="20"/>
          <w:color w:val="auto"/>
        </w:rPr>
      </w:pPr>
      <w:r>
        <w:rPr>
          <w:rFonts w:ascii="Arial" w:cs="Arial" w:eastAsia="Arial" w:hAnsi="Arial"/>
          <w:sz w:val="16"/>
          <w:szCs w:val="16"/>
          <w:color w:val="auto"/>
          <w:strike w:val="1"/>
        </w:rPr>
        <w:t>(e)</w:t>
      </w:r>
      <w:r>
        <w:rPr>
          <w:rFonts w:ascii="Arial" w:cs="Arial" w:eastAsia="Arial" w:hAnsi="Arial"/>
          <w:sz w:val="16"/>
          <w:szCs w:val="16"/>
          <w:u w:val="single" w:color="auto"/>
          <w:color w:val="auto"/>
        </w:rPr>
        <w:t>(f)</w:t>
      </w:r>
      <w:r>
        <w:rPr>
          <w:rFonts w:ascii="Arial" w:cs="Arial" w:eastAsia="Arial" w:hAnsi="Arial"/>
          <w:sz w:val="16"/>
          <w:szCs w:val="16"/>
          <w:color w:val="auto"/>
        </w:rPr>
        <w:t xml:space="preserve"> by electronic means, shall be deemed to have been received by the member on the day following that on which it was</w:t>
      </w:r>
    </w:p>
    <w:p>
      <w:pPr>
        <w:spacing w:after="0" w:line="5" w:lineRule="exact"/>
        <w:rPr>
          <w:sz w:val="20"/>
          <w:szCs w:val="20"/>
          <w:color w:val="auto"/>
        </w:rPr>
      </w:pPr>
    </w:p>
    <w:p>
      <w:pPr>
        <w:ind w:left="1620" w:right="820"/>
        <w:spacing w:after="0" w:line="249" w:lineRule="auto"/>
        <w:rPr>
          <w:sz w:val="20"/>
          <w:szCs w:val="20"/>
          <w:color w:val="auto"/>
        </w:rPr>
      </w:pPr>
      <w:r>
        <w:rPr>
          <w:rFonts w:ascii="Arial" w:cs="Arial" w:eastAsia="Arial" w:hAnsi="Arial"/>
          <w:sz w:val="16"/>
          <w:szCs w:val="16"/>
          <w:color w:val="auto"/>
        </w:rPr>
        <w:t>sent or supplied</w:t>
      </w:r>
      <w:r>
        <w:rPr>
          <w:rFonts w:ascii="Arial" w:cs="Arial" w:eastAsia="Arial" w:hAnsi="Arial"/>
          <w:sz w:val="16"/>
          <w:szCs w:val="16"/>
          <w:u w:val="single" w:color="auto"/>
          <w:color w:val="auto"/>
        </w:rPr>
        <w:t>.</w:t>
      </w:r>
      <w:r>
        <w:rPr>
          <w:rFonts w:ascii="Arial" w:cs="Arial" w:eastAsia="Arial" w:hAnsi="Arial"/>
          <w:sz w:val="16"/>
          <w:szCs w:val="16"/>
          <w:color w:val="auto"/>
        </w:rPr>
        <w:t xml:space="preserve">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70" w:lineRule="exact"/>
        <w:rPr>
          <w:sz w:val="20"/>
          <w:szCs w:val="20"/>
          <w:color w:val="auto"/>
        </w:rPr>
      </w:pPr>
    </w:p>
    <w:p>
      <w:pPr>
        <w:ind w:left="1620" w:right="800" w:hanging="431"/>
        <w:spacing w:after="0" w:line="248" w:lineRule="auto"/>
        <w:rPr>
          <w:sz w:val="20"/>
          <w:szCs w:val="20"/>
          <w:color w:val="auto"/>
        </w:rPr>
      </w:pPr>
      <w:r>
        <w:rPr>
          <w:rFonts w:ascii="Arial" w:cs="Arial" w:eastAsia="Arial" w:hAnsi="Arial"/>
          <w:sz w:val="16"/>
          <w:szCs w:val="16"/>
          <w:color w:val="auto"/>
          <w:strike w:val="1"/>
        </w:rPr>
        <w:t>(f)</w:t>
      </w:r>
      <w:r>
        <w:rPr>
          <w:rFonts w:ascii="Arial" w:cs="Arial" w:eastAsia="Arial" w:hAnsi="Arial"/>
          <w:sz w:val="16"/>
          <w:szCs w:val="16"/>
          <w:u w:val="single" w:color="auto"/>
          <w:color w:val="auto"/>
        </w:rPr>
        <w:t>(g)</w:t>
      </w:r>
      <w:r>
        <w:rPr>
          <w:rFonts w:ascii="Arial" w:cs="Arial" w:eastAsia="Arial" w:hAnsi="Arial"/>
          <w:sz w:val="16"/>
          <w:szCs w:val="16"/>
          <w:color w:val="auto"/>
        </w:rPr>
        <w:t xml:space="preserve"> 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w:t>
      </w:r>
      <w:r>
        <w:rPr>
          <w:rFonts w:ascii="Arial" w:cs="Arial" w:eastAsia="Arial" w:hAnsi="Arial"/>
          <w:sz w:val="16"/>
          <w:szCs w:val="16"/>
          <w:color w:val="auto"/>
          <w:strike w:val="1"/>
        </w:rPr>
        <w:t>filed</w:t>
      </w:r>
      <w:r>
        <w:rPr>
          <w:rFonts w:ascii="Arial" w:cs="Arial" w:eastAsia="Arial" w:hAnsi="Arial"/>
          <w:sz w:val="16"/>
          <w:szCs w:val="16"/>
          <w:u w:val="single" w:color="auto"/>
          <w:color w:val="auto"/>
        </w:rPr>
        <w:t>failed</w:t>
      </w:r>
      <w:r>
        <w:rPr>
          <w:rFonts w:ascii="Arial" w:cs="Arial" w:eastAsia="Arial" w:hAnsi="Arial"/>
          <w:sz w:val="16"/>
          <w:szCs w:val="16"/>
          <w:color w:val="auto"/>
        </w:rPr>
        <w:t xml:space="preserve"> to receive the relevant document or information for any reason and notwithstanding that the Company subsequently sends a hard copy of such notice, document or information by post to the member.</w:t>
      </w:r>
    </w:p>
    <w:p>
      <w:pPr>
        <w:spacing w:after="0" w:line="87" w:lineRule="exact"/>
        <w:rPr>
          <w:sz w:val="20"/>
          <w:szCs w:val="20"/>
          <w:color w:val="auto"/>
        </w:rPr>
      </w:pPr>
    </w:p>
    <w:p>
      <w:pPr>
        <w:ind w:left="1200" w:right="780" w:hanging="431"/>
        <w:spacing w:after="0" w:line="248" w:lineRule="auto"/>
        <w:rPr>
          <w:sz w:val="20"/>
          <w:szCs w:val="20"/>
          <w:color w:val="auto"/>
        </w:rPr>
      </w:pPr>
      <w:r>
        <w:rPr>
          <w:rFonts w:ascii="Arial" w:cs="Arial" w:eastAsia="Arial" w:hAnsi="Arial"/>
          <w:sz w:val="16"/>
          <w:szCs w:val="16"/>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87" w:lineRule="exact"/>
        <w:rPr>
          <w:sz w:val="20"/>
          <w:szCs w:val="20"/>
          <w:color w:val="auto"/>
        </w:rPr>
      </w:pPr>
    </w:p>
    <w:p>
      <w:pPr>
        <w:ind w:left="1200" w:right="900" w:hanging="431"/>
        <w:spacing w:after="0" w:line="248" w:lineRule="auto"/>
        <w:rPr>
          <w:sz w:val="20"/>
          <w:szCs w:val="20"/>
          <w:color w:val="auto"/>
        </w:rPr>
      </w:pPr>
      <w:r>
        <w:rPr>
          <w:rFonts w:ascii="Arial" w:cs="Arial" w:eastAsia="Arial" w:hAnsi="Arial"/>
          <w:sz w:val="16"/>
          <w:szCs w:val="16"/>
          <w:color w:val="auto"/>
        </w:rPr>
        <w:t xml:space="preserve">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w:t>
      </w:r>
      <w:r>
        <w:rPr>
          <w:rFonts w:ascii="Arial" w:cs="Arial" w:eastAsia="Arial" w:hAnsi="Arial"/>
          <w:sz w:val="16"/>
          <w:szCs w:val="16"/>
          <w:color w:val="auto"/>
          <w:strike w:val="1"/>
        </w:rPr>
        <w:t>he has</w:t>
      </w:r>
      <w:r>
        <w:rPr>
          <w:rFonts w:ascii="Arial" w:cs="Arial" w:eastAsia="Arial" w:hAnsi="Arial"/>
          <w:sz w:val="16"/>
          <w:szCs w:val="16"/>
          <w:u w:val="single" w:color="auto"/>
          <w:color w:val="auto"/>
        </w:rPr>
        <w:t>they have</w:t>
      </w:r>
      <w:r>
        <w:rPr>
          <w:rFonts w:ascii="Arial" w:cs="Arial" w:eastAsia="Arial" w:hAnsi="Arial"/>
          <w:sz w:val="16"/>
          <w:szCs w:val="16"/>
          <w:color w:val="auto"/>
        </w:rPr>
        <w:t xml:space="preserve">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A-37</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6" w:name="page117"/>
    <w:bookmarkEnd w:id="116"/>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right="459"/>
        <w:spacing w:after="0" w:line="253" w:lineRule="auto"/>
        <w:rPr>
          <w:sz w:val="20"/>
          <w:szCs w:val="20"/>
          <w:color w:val="auto"/>
        </w:rPr>
      </w:pPr>
      <w:r>
        <w:rPr>
          <w:rFonts w:ascii="Arial" w:cs="Arial" w:eastAsia="Arial" w:hAnsi="Arial"/>
          <w:sz w:val="16"/>
          <w:szCs w:val="16"/>
          <w:color w:val="auto"/>
        </w:rPr>
        <w:t>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80" w:lineRule="exact"/>
        <w:rPr>
          <w:sz w:val="20"/>
          <w:szCs w:val="20"/>
          <w:color w:val="auto"/>
        </w:rPr>
      </w:pPr>
    </w:p>
    <w:p>
      <w:pPr>
        <w:ind w:left="1200" w:right="579" w:hanging="431"/>
        <w:spacing w:after="0" w:line="260" w:lineRule="auto"/>
        <w:rPr>
          <w:sz w:val="20"/>
          <w:szCs w:val="20"/>
          <w:color w:val="auto"/>
        </w:rPr>
      </w:pPr>
      <w:r>
        <w:rPr>
          <w:rFonts w:ascii="Arial" w:cs="Arial" w:eastAsia="Arial" w:hAnsi="Arial"/>
          <w:sz w:val="16"/>
          <w:szCs w:val="16"/>
          <w:color w:val="auto"/>
        </w:rPr>
        <w:t>45.14 Where a document is required under these Articles to be signed by a member or any other person, if the document is in electronic form, then in order to be valid the document must either:</w:t>
      </w:r>
    </w:p>
    <w:p>
      <w:pPr>
        <w:spacing w:after="0" w:line="60" w:lineRule="exact"/>
        <w:rPr>
          <w:sz w:val="20"/>
          <w:szCs w:val="20"/>
          <w:color w:val="auto"/>
        </w:rPr>
      </w:pPr>
    </w:p>
    <w:p>
      <w:pPr>
        <w:ind w:left="1620" w:right="259" w:hanging="424"/>
        <w:spacing w:after="0" w:line="260" w:lineRule="auto"/>
        <w:tabs>
          <w:tab w:leader="none" w:pos="16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incorporate the electronic signature, or personal identification details (which may be details previously allocated by the Company), of that member or other person, in such form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approve; or</w:t>
      </w:r>
    </w:p>
    <w:p>
      <w:pPr>
        <w:spacing w:after="0" w:line="73"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be accompanied by such other evidence as the </w:t>
      </w:r>
      <w:r>
        <w:rPr>
          <w:rFonts w:ascii="Arial" w:cs="Arial" w:eastAsia="Arial" w:hAnsi="Arial"/>
          <w:sz w:val="16"/>
          <w:szCs w:val="16"/>
          <w:color w:val="auto"/>
          <w:strike w:val="1"/>
        </w:rPr>
        <w:t>Directors</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may require in order to be satisfied that the document is genuine.</w:t>
      </w:r>
    </w:p>
    <w:p>
      <w:pPr>
        <w:spacing w:after="0" w:line="74" w:lineRule="exact"/>
        <w:rPr>
          <w:sz w:val="20"/>
          <w:szCs w:val="20"/>
          <w:color w:val="auto"/>
        </w:rPr>
      </w:pPr>
    </w:p>
    <w:p>
      <w:pPr>
        <w:ind w:left="1200" w:right="279"/>
        <w:spacing w:after="0" w:line="251" w:lineRule="auto"/>
        <w:rPr>
          <w:sz w:val="20"/>
          <w:szCs w:val="20"/>
          <w:color w:val="auto"/>
        </w:rPr>
      </w:pPr>
      <w:r>
        <w:rPr>
          <w:rFonts w:ascii="Arial" w:cs="Arial" w:eastAsia="Arial" w:hAnsi="Arial"/>
          <w:sz w:val="16"/>
          <w:szCs w:val="16"/>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17.4 and 22.7(b).</w:t>
      </w:r>
    </w:p>
    <w:p>
      <w:pPr>
        <w:spacing w:after="0" w:line="47" w:lineRule="exact"/>
        <w:rPr>
          <w:sz w:val="20"/>
          <w:szCs w:val="20"/>
          <w:color w:val="auto"/>
        </w:rPr>
      </w:pPr>
    </w:p>
    <w:p>
      <w:pPr>
        <w:ind w:left="1200" w:hanging="436"/>
        <w:spacing w:after="0"/>
        <w:tabs>
          <w:tab w:leader="none" w:pos="120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DESTRUCTION OF DOCUMENTS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46.1  The Company shall be entitled to destroy:</w:t>
      </w:r>
    </w:p>
    <w:p>
      <w:pPr>
        <w:spacing w:after="0" w:line="100" w:lineRule="exact"/>
        <w:rPr>
          <w:sz w:val="20"/>
          <w:szCs w:val="20"/>
          <w:color w:val="auto"/>
        </w:rPr>
      </w:pPr>
    </w:p>
    <w:p>
      <w:pPr>
        <w:ind w:left="1620" w:right="43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60" w:lineRule="exact"/>
        <w:rPr>
          <w:rFonts w:ascii="Arial" w:cs="Arial" w:eastAsia="Arial" w:hAnsi="Arial"/>
          <w:sz w:val="16"/>
          <w:szCs w:val="16"/>
          <w:color w:val="auto"/>
        </w:rPr>
      </w:pPr>
    </w:p>
    <w:p>
      <w:pPr>
        <w:ind w:left="1620" w:right="31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dividend mandate, variation or cancellation of dividend mandates, and notification of change of name or address, at any time after two years from the date on which it is recorded;</w:t>
      </w:r>
    </w:p>
    <w:p>
      <w:pPr>
        <w:spacing w:after="0" w:line="73" w:lineRule="exact"/>
        <w:rPr>
          <w:rFonts w:ascii="Arial" w:cs="Arial" w:eastAsia="Arial" w:hAnsi="Arial"/>
          <w:sz w:val="16"/>
          <w:szCs w:val="16"/>
          <w:color w:val="auto"/>
        </w:rPr>
      </w:pPr>
    </w:p>
    <w:p>
      <w:pPr>
        <w:ind w:left="1620" w:right="29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share certificate which has been cancelled at any time after the expiration of one year from the date on which it is cancelled;</w:t>
      </w:r>
    </w:p>
    <w:p>
      <w:pPr>
        <w:spacing w:after="0" w:line="73" w:lineRule="exact"/>
        <w:rPr>
          <w:rFonts w:ascii="Arial" w:cs="Arial" w:eastAsia="Arial" w:hAnsi="Arial"/>
          <w:sz w:val="16"/>
          <w:szCs w:val="16"/>
          <w:color w:val="auto"/>
        </w:rPr>
      </w:pPr>
    </w:p>
    <w:p>
      <w:pPr>
        <w:ind w:left="1620" w:hanging="424"/>
        <w:spacing w:after="0"/>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paid dividend warrants and cheques at any time after the expiration of one year from the date of actual payment;</w:t>
      </w:r>
    </w:p>
    <w:p>
      <w:pPr>
        <w:spacing w:after="0" w:line="86"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proxy appointments which have been used for the purpose of a poll at any time after the expiration of one year from the date of use;</w:t>
      </w:r>
    </w:p>
    <w:p>
      <w:pPr>
        <w:spacing w:after="0" w:line="73" w:lineRule="exact"/>
        <w:rPr>
          <w:rFonts w:ascii="Arial" w:cs="Arial" w:eastAsia="Arial" w:hAnsi="Arial"/>
          <w:sz w:val="16"/>
          <w:szCs w:val="16"/>
          <w:color w:val="auto"/>
        </w:rPr>
      </w:pPr>
    </w:p>
    <w:p>
      <w:pPr>
        <w:ind w:left="1620" w:right="25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proxy appointments which have not been used for the purpose of a poll at any time after one month from the end of the meeting to which the proxy appointment relates and at which no poll was demanded; and</w:t>
      </w:r>
    </w:p>
    <w:p>
      <w:pPr>
        <w:spacing w:after="0" w:line="60" w:lineRule="exact"/>
        <w:rPr>
          <w:rFonts w:ascii="Arial" w:cs="Arial" w:eastAsia="Arial" w:hAnsi="Arial"/>
          <w:sz w:val="16"/>
          <w:szCs w:val="16"/>
          <w:color w:val="auto"/>
        </w:rPr>
      </w:pPr>
    </w:p>
    <w:p>
      <w:pPr>
        <w:ind w:left="1620" w:right="219" w:hanging="424"/>
        <w:spacing w:after="0" w:line="260"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any other document on the basis of which an entry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is made, after six years from the date on which it is made.</w:t>
      </w:r>
    </w:p>
    <w:p>
      <w:pPr>
        <w:spacing w:after="0" w:line="74" w:lineRule="exact"/>
        <w:rPr>
          <w:sz w:val="20"/>
          <w:szCs w:val="20"/>
          <w:color w:val="auto"/>
        </w:rPr>
      </w:pPr>
    </w:p>
    <w:p>
      <w:pPr>
        <w:ind w:left="1200" w:right="579"/>
        <w:spacing w:after="0" w:line="260" w:lineRule="auto"/>
        <w:rPr>
          <w:sz w:val="20"/>
          <w:szCs w:val="20"/>
          <w:color w:val="auto"/>
        </w:rPr>
      </w:pPr>
      <w:r>
        <w:rPr>
          <w:rFonts w:ascii="Arial" w:cs="Arial" w:eastAsia="Arial" w:hAnsi="Arial"/>
          <w:sz w:val="16"/>
          <w:szCs w:val="16"/>
          <w:color w:val="auto"/>
        </w:rPr>
        <w:t>Any document referred to in this Article 46.1 may be destroyed earlier than the relevant date authorised, provided that a permanent record of the document is made which is not destroyed before that date.</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46.2  It shall be conclusively presumed in favour of the Company that:</w:t>
      </w:r>
    </w:p>
    <w:p>
      <w:pPr>
        <w:spacing w:after="0" w:line="86" w:lineRule="exact"/>
        <w:rPr>
          <w:sz w:val="20"/>
          <w:szCs w:val="20"/>
          <w:color w:val="auto"/>
        </w:rPr>
      </w:pPr>
    </w:p>
    <w:p>
      <w:pPr>
        <w:ind w:left="1620" w:right="259" w:hanging="424"/>
        <w:spacing w:after="0" w:line="260" w:lineRule="auto"/>
        <w:tabs>
          <w:tab w:leader="none" w:pos="16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every entry in the register </w:t>
      </w:r>
      <w:r>
        <w:rPr>
          <w:rFonts w:ascii="Arial" w:cs="Arial" w:eastAsia="Arial" w:hAnsi="Arial"/>
          <w:sz w:val="16"/>
          <w:szCs w:val="16"/>
          <w:color w:val="auto"/>
          <w:strike w:val="1"/>
        </w:rPr>
        <w:t>of members</w:t>
      </w:r>
      <w:r>
        <w:rPr>
          <w:rFonts w:ascii="Arial" w:cs="Arial" w:eastAsia="Arial" w:hAnsi="Arial"/>
          <w:sz w:val="16"/>
          <w:szCs w:val="16"/>
          <w:color w:val="auto"/>
        </w:rPr>
        <w:t xml:space="preserve"> purporting to have been made on the basis of an instrument of transfer or other document destroyed in accordance with Article 46.1 was duly and properly made;</w:t>
      </w:r>
    </w:p>
    <w:p>
      <w:pPr>
        <w:spacing w:after="0" w:line="73" w:lineRule="exact"/>
        <w:rPr>
          <w:rFonts w:ascii="Arial" w:cs="Arial" w:eastAsia="Arial" w:hAnsi="Arial"/>
          <w:sz w:val="16"/>
          <w:szCs w:val="16"/>
          <w:color w:val="auto"/>
        </w:rPr>
      </w:pPr>
    </w:p>
    <w:p>
      <w:pPr>
        <w:ind w:left="1620" w:right="459" w:hanging="424"/>
        <w:spacing w:after="0" w:line="260" w:lineRule="auto"/>
        <w:tabs>
          <w:tab w:leader="none" w:pos="16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that every instrument of transfer destroyed in accordance with Article 46.1 was a valid and effective instrument duly and properly registered;</w:t>
      </w:r>
    </w:p>
    <w:p>
      <w:pPr>
        <w:spacing w:after="0" w:line="73" w:lineRule="exact"/>
        <w:rPr>
          <w:rFonts w:ascii="Arial" w:cs="Arial" w:eastAsia="Arial" w:hAnsi="Arial"/>
          <w:sz w:val="16"/>
          <w:szCs w:val="16"/>
          <w:color w:val="auto"/>
        </w:rPr>
      </w:pPr>
    </w:p>
    <w:p>
      <w:pPr>
        <w:ind w:left="1620" w:right="599" w:hanging="424"/>
        <w:spacing w:after="0" w:line="260" w:lineRule="auto"/>
        <w:tabs>
          <w:tab w:leader="none" w:pos="16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that every share certificate destroyed in accordance with Article 46.1 was a valid and effective certificate duly and properly cancelled; and</w:t>
      </w:r>
    </w:p>
    <w:p>
      <w:pPr>
        <w:spacing w:after="0" w:line="60" w:lineRule="exact"/>
        <w:rPr>
          <w:rFonts w:ascii="Arial" w:cs="Arial" w:eastAsia="Arial" w:hAnsi="Arial"/>
          <w:sz w:val="16"/>
          <w:szCs w:val="16"/>
          <w:color w:val="auto"/>
        </w:rPr>
      </w:pPr>
    </w:p>
    <w:p>
      <w:pPr>
        <w:ind w:left="1620" w:right="199" w:hanging="424"/>
        <w:spacing w:after="0" w:line="260" w:lineRule="auto"/>
        <w:tabs>
          <w:tab w:leader="none" w:pos="16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that every other document destroyed in accordance with Article 46.1 was a valid and effective document in accordance with the particulars in the records of the Company.</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provided that</w:t>
      </w:r>
    </w:p>
    <w:p>
      <w:pPr>
        <w:spacing w:after="0" w:line="100" w:lineRule="exact"/>
        <w:rPr>
          <w:sz w:val="20"/>
          <w:szCs w:val="20"/>
          <w:color w:val="auto"/>
        </w:rPr>
      </w:pPr>
    </w:p>
    <w:p>
      <w:pPr>
        <w:ind w:left="1620" w:right="339" w:hanging="424"/>
        <w:spacing w:after="0" w:line="260"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Article 46.1 shall apply only to the destruction of a document in good faith and without notice of any claim (regardless of the parties to it) to which the document might be relevant;</w:t>
      </w:r>
    </w:p>
    <w:p>
      <w:pPr>
        <w:spacing w:after="0" w:line="60" w:lineRule="exact"/>
        <w:rPr>
          <w:rFonts w:ascii="Arial" w:cs="Arial" w:eastAsia="Arial" w:hAnsi="Arial"/>
          <w:sz w:val="16"/>
          <w:szCs w:val="16"/>
          <w:color w:val="auto"/>
        </w:rPr>
      </w:pPr>
    </w:p>
    <w:p>
      <w:pPr>
        <w:ind w:left="1620" w:right="399" w:hanging="424"/>
        <w:spacing w:after="0" w:line="253" w:lineRule="auto"/>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79" w:lineRule="exact"/>
        <w:rPr>
          <w:rFonts w:ascii="Arial" w:cs="Arial" w:eastAsia="Arial" w:hAnsi="Arial"/>
          <w:sz w:val="16"/>
          <w:szCs w:val="16"/>
          <w:color w:val="auto"/>
        </w:rPr>
      </w:pPr>
    </w:p>
    <w:p>
      <w:pPr>
        <w:ind w:left="1620" w:hanging="424"/>
        <w:spacing w:after="0"/>
        <w:tabs>
          <w:tab w:leader="none" w:pos="16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references in Article 46.1 to the destruction of any document include references to the disposal of it in any manner.</w:t>
      </w:r>
    </w:p>
    <w:p>
      <w:pPr>
        <w:spacing w:after="0" w:line="100" w:lineRule="exact"/>
        <w:rPr>
          <w:sz w:val="20"/>
          <w:szCs w:val="20"/>
          <w:color w:val="auto"/>
        </w:rPr>
      </w:pPr>
    </w:p>
    <w:p>
      <w:pPr>
        <w:ind w:left="1200" w:right="439" w:hanging="431"/>
        <w:spacing w:after="0" w:line="260" w:lineRule="auto"/>
        <w:rPr>
          <w:sz w:val="20"/>
          <w:szCs w:val="20"/>
          <w:color w:val="auto"/>
        </w:rPr>
      </w:pPr>
      <w:r>
        <w:rPr>
          <w:rFonts w:ascii="Arial" w:cs="Arial" w:eastAsia="Arial" w:hAnsi="Arial"/>
          <w:sz w:val="16"/>
          <w:szCs w:val="16"/>
          <w:color w:val="auto"/>
        </w:rPr>
        <w:t>46.3 References in this Article 46 to instruments of transfer shall include, in relation to uncertificated shares, instructions and/or notifications made in accordance with the relevant system relating to transfer of such shares.</w:t>
      </w:r>
    </w:p>
    <w:p>
      <w:pPr>
        <w:spacing w:after="0" w:line="93" w:lineRule="exact"/>
        <w:rPr>
          <w:sz w:val="20"/>
          <w:szCs w:val="20"/>
          <w:color w:val="auto"/>
        </w:rPr>
      </w:pPr>
    </w:p>
    <w:p>
      <w:pPr>
        <w:ind w:left="480"/>
        <w:spacing w:after="0"/>
        <w:tabs>
          <w:tab w:leader="none" w:pos="4420" w:val="left"/>
          <w:tab w:leader="none" w:pos="8760" w:val="left"/>
        </w:tabs>
        <w:rPr>
          <w:sz w:val="20"/>
          <w:szCs w:val="20"/>
          <w:color w:val="auto"/>
        </w:rPr>
      </w:pPr>
      <w:r>
        <w:rPr>
          <w:rFonts w:ascii="Arial" w:cs="Arial" w:eastAsia="Arial" w:hAnsi="Arial"/>
          <w:sz w:val="28"/>
          <w:szCs w:val="28"/>
          <w:b w:val="1"/>
          <w:bCs w:val="1"/>
          <w:color w:val="000000"/>
          <w:vertAlign w:val="subscript"/>
        </w:rPr>
        <w:t>A-38</w:t>
      </w:r>
      <w:r>
        <w:rPr>
          <w:sz w:val="20"/>
          <w:szCs w:val="20"/>
          <w:color w:val="auto"/>
        </w:rPr>
        <w:tab/>
      </w: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r>
        <w:rPr>
          <w:sz w:val="20"/>
          <w:szCs w:val="20"/>
          <w:color w:val="auto"/>
        </w:rPr>
        <w:tab/>
      </w:r>
      <w:r>
        <w:rPr>
          <w:rFonts w:ascii="Arial" w:cs="Arial" w:eastAsia="Arial" w:hAnsi="Arial"/>
          <w:sz w:val="12"/>
          <w:szCs w:val="12"/>
          <w:b w:val="1"/>
          <w:bCs w:val="1"/>
          <w:color w:val="6A2887"/>
        </w:rPr>
        <w:t>www.livanova.com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195453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-11430</wp:posOffset>
            </wp:positionV>
            <wp:extent cx="1028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7" w:name="page118"/>
    <w:bookmarkEnd w:id="117"/>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356870</wp:posOffset>
            </wp:positionV>
            <wp:extent cx="58293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hanging="436"/>
        <w:spacing w:after="0"/>
        <w:tabs>
          <w:tab w:leader="none" w:pos="120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WINDING UP</w:t>
      </w:r>
    </w:p>
    <w:p>
      <w:pPr>
        <w:spacing w:after="0" w:line="120" w:lineRule="exact"/>
        <w:rPr>
          <w:sz w:val="20"/>
          <w:szCs w:val="20"/>
          <w:color w:val="auto"/>
        </w:rPr>
      </w:pPr>
    </w:p>
    <w:p>
      <w:pPr>
        <w:ind w:left="1200" w:right="860" w:hanging="431"/>
        <w:spacing w:after="0" w:line="260" w:lineRule="auto"/>
        <w:rPr>
          <w:sz w:val="20"/>
          <w:szCs w:val="20"/>
          <w:color w:val="auto"/>
        </w:rPr>
      </w:pPr>
      <w:r>
        <w:rPr>
          <w:rFonts w:ascii="Arial" w:cs="Arial" w:eastAsia="Arial" w:hAnsi="Arial"/>
          <w:sz w:val="16"/>
          <w:szCs w:val="16"/>
          <w:color w:val="auto"/>
        </w:rPr>
        <w:t>47.1 If the Company commences liquidation, the liquidator may, with the sanction of a special resolution of the Company and any other sanction required by law, subject to the provisions of the Companies Act:</w:t>
      </w:r>
    </w:p>
    <w:p>
      <w:pPr>
        <w:spacing w:after="0" w:line="74" w:lineRule="exact"/>
        <w:rPr>
          <w:sz w:val="20"/>
          <w:szCs w:val="20"/>
          <w:color w:val="auto"/>
        </w:rPr>
      </w:pPr>
    </w:p>
    <w:p>
      <w:pPr>
        <w:ind w:left="1620" w:right="900" w:hanging="424"/>
        <w:spacing w:after="0" w:line="253" w:lineRule="auto"/>
        <w:tabs>
          <w:tab w:leader="none" w:pos="1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divide among the members in specie the whole or any part of the assets, whether they shall consist of property of the same kind or not, of the Company and may, for that purpose, value any assets as </w:t>
      </w:r>
      <w:r>
        <w:rPr>
          <w:rFonts w:ascii="Arial" w:cs="Arial" w:eastAsia="Arial" w:hAnsi="Arial"/>
          <w:sz w:val="16"/>
          <w:szCs w:val="16"/>
          <w:color w:val="auto"/>
          <w:strike w:val="1"/>
        </w:rPr>
        <w:t>he deems</w:t>
      </w:r>
      <w:r>
        <w:rPr>
          <w:rFonts w:ascii="Arial" w:cs="Arial" w:eastAsia="Arial" w:hAnsi="Arial"/>
          <w:sz w:val="16"/>
          <w:szCs w:val="16"/>
          <w:u w:val="single" w:color="auto"/>
          <w:color w:val="auto"/>
        </w:rPr>
        <w:t>they deem</w:t>
      </w:r>
      <w:r>
        <w:rPr>
          <w:rFonts w:ascii="Arial" w:cs="Arial" w:eastAsia="Arial" w:hAnsi="Arial"/>
          <w:sz w:val="16"/>
          <w:szCs w:val="16"/>
          <w:color w:val="auto"/>
        </w:rPr>
        <w:t xml:space="preserve"> fair and determine how the division shall be carried out as between the members or different classes of members; and</w:t>
      </w:r>
    </w:p>
    <w:p>
      <w:pPr>
        <w:spacing w:after="0" w:line="66" w:lineRule="exact"/>
        <w:rPr>
          <w:rFonts w:ascii="Arial" w:cs="Arial" w:eastAsia="Arial" w:hAnsi="Arial"/>
          <w:sz w:val="16"/>
          <w:szCs w:val="16"/>
          <w:color w:val="auto"/>
        </w:rPr>
      </w:pPr>
    </w:p>
    <w:p>
      <w:pPr>
        <w:ind w:left="1620" w:right="800" w:hanging="424"/>
        <w:spacing w:after="0" w:line="260" w:lineRule="auto"/>
        <w:tabs>
          <w:tab w:leader="none" w:pos="16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vest the whole or any part of the assets in trustees upon such trusts for the benefit of the members as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with the like sanction determine;</w:t>
      </w:r>
    </w:p>
    <w:p>
      <w:pPr>
        <w:spacing w:after="0" w:line="7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but no member shall be compelled to accept any assets upon which there is a liability.</w:t>
      </w:r>
    </w:p>
    <w:p>
      <w:pPr>
        <w:spacing w:after="0" w:line="100" w:lineRule="exact"/>
        <w:rPr>
          <w:sz w:val="20"/>
          <w:szCs w:val="20"/>
          <w:color w:val="auto"/>
        </w:rPr>
      </w:pPr>
    </w:p>
    <w:p>
      <w:pPr>
        <w:jc w:val="right"/>
        <w:ind w:left="760" w:right="880"/>
        <w:spacing w:after="0" w:line="293" w:lineRule="auto"/>
        <w:rPr>
          <w:sz w:val="20"/>
          <w:szCs w:val="20"/>
          <w:color w:val="auto"/>
        </w:rPr>
      </w:pPr>
      <w:r>
        <w:rPr>
          <w:rFonts w:ascii="Arial" w:cs="Arial" w:eastAsia="Arial" w:hAnsi="Arial"/>
          <w:sz w:val="15"/>
          <w:szCs w:val="15"/>
          <w:color w:val="auto"/>
        </w:rPr>
        <w:t>47.2  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8" w:lineRule="exact"/>
        <w:rPr>
          <w:sz w:val="20"/>
          <w:szCs w:val="20"/>
          <w:color w:val="auto"/>
        </w:rPr>
      </w:pPr>
    </w:p>
    <w:p>
      <w:pPr>
        <w:ind w:left="1200" w:hanging="436"/>
        <w:spacing w:after="0"/>
        <w:tabs>
          <w:tab w:leader="none" w:pos="1200"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AND INSURANCE</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48.1  Subject to the provisions of the Companies Act, the Company may exercise all the powers of the Company to:</w:t>
      </w:r>
    </w:p>
    <w:p>
      <w:pPr>
        <w:spacing w:after="0" w:line="80" w:lineRule="exact"/>
        <w:rPr>
          <w:sz w:val="20"/>
          <w:szCs w:val="20"/>
          <w:color w:val="auto"/>
        </w:rPr>
      </w:pPr>
    </w:p>
    <w:p>
      <w:pPr>
        <w:ind w:left="1620" w:right="880" w:hanging="424"/>
        <w:spacing w:after="0" w:line="256" w:lineRule="auto"/>
        <w:tabs>
          <w:tab w:leader="none" w:pos="1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indemnify to any extent any person who is or was a Director, or a Director of any associated company</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associated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for the purposes of this Article 48 being interpreted in accordance with section 256 of the Companies Act),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(including by funding any expenditure incurred or to be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against any loss or liability, whether in connection with any proven or alleged negligence, default, breach of duty or breach of trust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or otherwise, in relation to the Company or any associated company;</w:t>
      </w:r>
    </w:p>
    <w:p>
      <w:pPr>
        <w:spacing w:after="0" w:line="64" w:lineRule="exact"/>
        <w:rPr>
          <w:rFonts w:ascii="Arial" w:cs="Arial" w:eastAsia="Arial" w:hAnsi="Arial"/>
          <w:sz w:val="16"/>
          <w:szCs w:val="16"/>
          <w:color w:val="auto"/>
        </w:rPr>
      </w:pPr>
    </w:p>
    <w:p>
      <w:pPr>
        <w:ind w:left="1620" w:right="860" w:hanging="424"/>
        <w:spacing w:after="0" w:line="251" w:lineRule="auto"/>
        <w:tabs>
          <w:tab w:leader="none" w:pos="1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indemnify to any extent any person who is or was a Director of an associated company that is a trustee of an occupational pension scheme, directly or indirectly (including by funding any expenditure incurred or to be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against any liability incurred by </w:t>
      </w:r>
      <w:r>
        <w:rPr>
          <w:rFonts w:ascii="Arial" w:cs="Arial" w:eastAsia="Arial" w:hAnsi="Arial"/>
          <w:sz w:val="16"/>
          <w:szCs w:val="16"/>
          <w:color w:val="auto"/>
          <w:strike w:val="1"/>
        </w:rPr>
        <w:t>him</w:t>
      </w:r>
      <w:r>
        <w:rPr>
          <w:rFonts w:ascii="Arial" w:cs="Arial" w:eastAsia="Arial" w:hAnsi="Arial"/>
          <w:sz w:val="16"/>
          <w:szCs w:val="16"/>
          <w:u w:val="single" w:color="auto"/>
          <w:color w:val="auto"/>
        </w:rPr>
        <w:t>them</w:t>
      </w:r>
      <w:r>
        <w:rPr>
          <w:rFonts w:ascii="Arial" w:cs="Arial" w:eastAsia="Arial" w:hAnsi="Arial"/>
          <w:sz w:val="16"/>
          <w:szCs w:val="16"/>
          <w:color w:val="auto"/>
        </w:rPr>
        <w:t xml:space="preserve"> in connection with the </w:t>
      </w:r>
      <w:r>
        <w:rPr>
          <w:rFonts w:ascii="Arial" w:cs="Arial" w:eastAsia="Arial" w:hAnsi="Arial"/>
          <w:sz w:val="16"/>
          <w:szCs w:val="16"/>
          <w:color w:val="auto"/>
          <w:strike w:val="1"/>
        </w:rPr>
        <w:t>company</w:t>
      </w:r>
      <w:r>
        <w:rPr>
          <w:rFonts w:ascii="Arial" w:cs="Arial" w:eastAsia="Arial" w:hAnsi="Arial"/>
          <w:sz w:val="16"/>
          <w:szCs w:val="16"/>
          <w:color w:val="auto"/>
        </w:rPr>
        <w:t>’</w:t>
      </w:r>
      <w:r>
        <w:rPr>
          <w:rFonts w:ascii="Arial" w:cs="Arial" w:eastAsia="Arial" w:hAnsi="Arial"/>
          <w:sz w:val="16"/>
          <w:szCs w:val="16"/>
          <w:color w:val="auto"/>
          <w:strike w:val="1"/>
        </w:rPr>
        <w:t>s</w:t>
      </w:r>
      <w:r>
        <w:rPr>
          <w:rFonts w:ascii="Arial" w:cs="Arial" w:eastAsia="Arial" w:hAnsi="Arial"/>
          <w:sz w:val="16"/>
          <w:szCs w:val="16"/>
          <w:u w:val="single" w:color="auto"/>
          <w:color w:val="auto"/>
        </w:rPr>
        <w:t>Company</w:t>
      </w:r>
      <w:r>
        <w:rPr>
          <w:rFonts w:ascii="Arial" w:cs="Arial" w:eastAsia="Arial" w:hAnsi="Arial"/>
          <w:sz w:val="16"/>
          <w:szCs w:val="16"/>
          <w:color w:val="auto"/>
        </w:rPr>
        <w:t>’</w:t>
      </w:r>
      <w:r>
        <w:rPr>
          <w:rFonts w:ascii="Arial" w:cs="Arial" w:eastAsia="Arial" w:hAnsi="Arial"/>
          <w:sz w:val="16"/>
          <w:szCs w:val="16"/>
          <w:u w:val="single" w:color="auto"/>
          <w:color w:val="auto"/>
        </w:rPr>
        <w:t>s</w:t>
      </w:r>
      <w:r>
        <w:rPr>
          <w:rFonts w:ascii="Arial" w:cs="Arial" w:eastAsia="Arial" w:hAnsi="Arial"/>
          <w:sz w:val="16"/>
          <w:szCs w:val="16"/>
          <w:color w:val="auto"/>
        </w:rPr>
        <w:t xml:space="preserve"> activities as trustee of an occupational pension scheme; and/or</w:t>
      </w:r>
    </w:p>
    <w:p>
      <w:pPr>
        <w:spacing w:after="0" w:line="80" w:lineRule="exact"/>
        <w:rPr>
          <w:rFonts w:ascii="Arial" w:cs="Arial" w:eastAsia="Arial" w:hAnsi="Arial"/>
          <w:sz w:val="16"/>
          <w:szCs w:val="16"/>
          <w:color w:val="auto"/>
        </w:rPr>
      </w:pPr>
    </w:p>
    <w:p>
      <w:pPr>
        <w:ind w:left="1620" w:hanging="424"/>
        <w:spacing w:after="0"/>
        <w:tabs>
          <w:tab w:leader="none" w:pos="1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purchase and maintain insurance for or for the benefit of any person who is or was:</w:t>
      </w:r>
    </w:p>
    <w:p>
      <w:pPr>
        <w:spacing w:after="0" w:line="99" w:lineRule="exact"/>
        <w:rPr>
          <w:rFonts w:ascii="Arial" w:cs="Arial" w:eastAsia="Arial" w:hAnsi="Arial"/>
          <w:sz w:val="16"/>
          <w:szCs w:val="16"/>
          <w:color w:val="auto"/>
        </w:rPr>
      </w:pPr>
    </w:p>
    <w:p>
      <w:pPr>
        <w:ind w:left="2060" w:right="960" w:hanging="432"/>
        <w:spacing w:after="0" w:line="251" w:lineRule="auto"/>
        <w:tabs>
          <w:tab w:leader="none" w:pos="20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a Director, officer or employee of the Company, or any body corporate which is or was the holding company or subsidiary undertaking of the Company, or in which the Company or such holding company or subsidiary undertaking has or had any interest (whether </w:t>
      </w:r>
      <w:r>
        <w:rPr>
          <w:rFonts w:ascii="Arial" w:cs="Arial" w:eastAsia="Arial" w:hAnsi="Arial"/>
          <w:sz w:val="16"/>
          <w:szCs w:val="16"/>
          <w:color w:val="auto"/>
          <w:strike w:val="1"/>
        </w:rPr>
        <w:t>director</w:t>
      </w:r>
      <w:r>
        <w:rPr>
          <w:rFonts w:ascii="Arial" w:cs="Arial" w:eastAsia="Arial" w:hAnsi="Arial"/>
          <w:sz w:val="16"/>
          <w:szCs w:val="16"/>
          <w:u w:val="single" w:color="auto"/>
          <w:color w:val="auto"/>
        </w:rPr>
        <w:t>direct</w:t>
      </w:r>
      <w:r>
        <w:rPr>
          <w:rFonts w:ascii="Arial" w:cs="Arial" w:eastAsia="Arial" w:hAnsi="Arial"/>
          <w:sz w:val="16"/>
          <w:szCs w:val="16"/>
          <w:color w:val="auto"/>
        </w:rPr>
        <w:t xml:space="preserve"> or indirect) or with which the Company or such holding company or subsidiary undertaking is or was in any way allied or associated; or</w:t>
      </w:r>
    </w:p>
    <w:p>
      <w:pPr>
        <w:spacing w:after="0" w:line="67" w:lineRule="exact"/>
        <w:rPr>
          <w:rFonts w:ascii="Arial" w:cs="Arial" w:eastAsia="Arial" w:hAnsi="Arial"/>
          <w:sz w:val="16"/>
          <w:szCs w:val="16"/>
          <w:color w:val="auto"/>
        </w:rPr>
      </w:pPr>
    </w:p>
    <w:p>
      <w:pPr>
        <w:ind w:left="2060" w:hanging="432"/>
        <w:spacing w:after="0"/>
        <w:tabs>
          <w:tab w:leader="none" w:pos="20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 xml:space="preserve">a trustee of any pension fund in which employees of the Company or any other body referred to in paragraph </w:t>
      </w:r>
      <w:r>
        <w:rPr>
          <w:rFonts w:ascii="Arial" w:cs="Arial" w:eastAsia="Arial" w:hAnsi="Arial"/>
          <w:sz w:val="16"/>
          <w:szCs w:val="16"/>
          <w:color w:val="auto"/>
          <w:strike w:val="1"/>
        </w:rPr>
        <w:t>(c)</w:t>
      </w:r>
    </w:p>
    <w:p>
      <w:pPr>
        <w:spacing w:after="0" w:line="5" w:lineRule="exact"/>
        <w:rPr>
          <w:rFonts w:ascii="Arial" w:cs="Arial" w:eastAsia="Arial" w:hAnsi="Arial"/>
          <w:sz w:val="16"/>
          <w:szCs w:val="16"/>
          <w:color w:val="auto"/>
        </w:rPr>
      </w:pPr>
    </w:p>
    <w:p>
      <w:pPr>
        <w:ind w:left="2060"/>
        <w:spacing w:after="0"/>
        <w:rPr>
          <w:rFonts w:ascii="Arial" w:cs="Arial" w:eastAsia="Arial" w:hAnsi="Arial"/>
          <w:sz w:val="16"/>
          <w:szCs w:val="16"/>
          <w:color w:val="auto"/>
        </w:rPr>
      </w:pPr>
      <w:r>
        <w:rPr>
          <w:rFonts w:ascii="Arial" w:cs="Arial" w:eastAsia="Arial" w:hAnsi="Arial"/>
          <w:sz w:val="16"/>
          <w:szCs w:val="16"/>
          <w:color w:val="auto"/>
          <w:strike w:val="1"/>
        </w:rPr>
        <w:t>(1) of this Article 48.1</w:t>
      </w:r>
      <w:r>
        <w:rPr>
          <w:rFonts w:ascii="Arial" w:cs="Arial" w:eastAsia="Arial" w:hAnsi="Arial"/>
          <w:sz w:val="16"/>
          <w:szCs w:val="16"/>
          <w:u w:val="single" w:color="auto"/>
          <w:color w:val="auto"/>
        </w:rPr>
        <w:t>(c)(i)of this Article 48.1</w:t>
      </w:r>
      <w:r>
        <w:rPr>
          <w:rFonts w:ascii="Arial" w:cs="Arial" w:eastAsia="Arial" w:hAnsi="Arial"/>
          <w:sz w:val="16"/>
          <w:szCs w:val="16"/>
          <w:color w:val="auto"/>
        </w:rPr>
        <w:t xml:space="preserve"> are or have been interested;</w:t>
      </w:r>
    </w:p>
    <w:p>
      <w:pPr>
        <w:spacing w:after="0" w:line="100" w:lineRule="exact"/>
        <w:rPr>
          <w:sz w:val="20"/>
          <w:szCs w:val="20"/>
          <w:color w:val="auto"/>
        </w:rPr>
      </w:pPr>
    </w:p>
    <w:p>
      <w:pPr>
        <w:ind w:left="1200" w:right="840"/>
        <w:spacing w:after="0" w:line="251" w:lineRule="auto"/>
        <w:rPr>
          <w:sz w:val="20"/>
          <w:szCs w:val="20"/>
          <w:color w:val="auto"/>
        </w:rPr>
      </w:pPr>
      <w:r>
        <w:rPr>
          <w:rFonts w:ascii="Arial" w:cs="Arial" w:eastAsia="Arial" w:hAnsi="Arial"/>
          <w:sz w:val="16"/>
          <w:szCs w:val="16"/>
          <w:color w:val="auto"/>
        </w:rPr>
        <w:t xml:space="preserve">including without limitation insurance against any loss or liability or any expenditure </w:t>
      </w:r>
      <w:r>
        <w:rPr>
          <w:rFonts w:ascii="Arial" w:cs="Arial" w:eastAsia="Arial" w:hAnsi="Arial"/>
          <w:sz w:val="16"/>
          <w:szCs w:val="16"/>
          <w:color w:val="auto"/>
          <w:strike w:val="1"/>
        </w:rPr>
        <w:t>he</w:t>
      </w:r>
      <w:r>
        <w:rPr>
          <w:rFonts w:ascii="Arial" w:cs="Arial" w:eastAsia="Arial" w:hAnsi="Arial"/>
          <w:sz w:val="16"/>
          <w:szCs w:val="16"/>
          <w:u w:val="single" w:color="auto"/>
          <w:color w:val="auto"/>
        </w:rPr>
        <w:t>they</w:t>
      </w:r>
      <w:r>
        <w:rPr>
          <w:rFonts w:ascii="Arial" w:cs="Arial" w:eastAsia="Arial" w:hAnsi="Arial"/>
          <w:sz w:val="16"/>
          <w:szCs w:val="16"/>
          <w:color w:val="auto"/>
        </w:rPr>
        <w:t xml:space="preserve"> may incur, whether in connection with any proven or alleged act or omission in the actual or purported execution or discharge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duties or in the exercise or purported exercise of </w:t>
      </w:r>
      <w:r>
        <w:rPr>
          <w:rFonts w:ascii="Arial" w:cs="Arial" w:eastAsia="Arial" w:hAnsi="Arial"/>
          <w:sz w:val="16"/>
          <w:szCs w:val="16"/>
          <w:color w:val="auto"/>
          <w:strike w:val="1"/>
        </w:rPr>
        <w:t>his</w:t>
      </w:r>
      <w:r>
        <w:rPr>
          <w:rFonts w:ascii="Arial" w:cs="Arial" w:eastAsia="Arial" w:hAnsi="Arial"/>
          <w:sz w:val="16"/>
          <w:szCs w:val="16"/>
          <w:u w:val="single" w:color="auto"/>
          <w:color w:val="auto"/>
        </w:rPr>
        <w:t>their</w:t>
      </w:r>
      <w:r>
        <w:rPr>
          <w:rFonts w:ascii="Arial" w:cs="Arial" w:eastAsia="Arial" w:hAnsi="Arial"/>
          <w:sz w:val="16"/>
          <w:szCs w:val="16"/>
          <w:color w:val="auto"/>
        </w:rPr>
        <w:t xml:space="preserve"> powers or otherwise in relation to this duties, power or offices, whether comprising negligence, default, breach of duty, breach of trust or otherwise, in relation to the relevant body or fund.</w:t>
      </w:r>
    </w:p>
    <w:p>
      <w:pPr>
        <w:spacing w:after="0" w:line="81" w:lineRule="exact"/>
        <w:rPr>
          <w:sz w:val="20"/>
          <w:szCs w:val="20"/>
          <w:color w:val="auto"/>
        </w:rPr>
      </w:pPr>
    </w:p>
    <w:p>
      <w:pPr>
        <w:ind w:left="1200" w:right="1100" w:hanging="431"/>
        <w:spacing w:after="0" w:line="253" w:lineRule="auto"/>
        <w:rPr>
          <w:sz w:val="20"/>
          <w:szCs w:val="20"/>
          <w:color w:val="auto"/>
        </w:rPr>
      </w:pPr>
      <w:r>
        <w:rPr>
          <w:rFonts w:ascii="Arial" w:cs="Arial" w:eastAsia="Arial" w:hAnsi="Arial"/>
          <w:sz w:val="16"/>
          <w:szCs w:val="16"/>
          <w:color w:val="auto"/>
        </w:rPr>
        <w:t xml:space="preserve">48.2 No Director of former Director shall be accountable to the Company or the members for any benefit provided pursuant to these Articles. The receipt of any such benefit shall not disqualify any person from being or becoming a </w:t>
      </w:r>
      <w:r>
        <w:rPr>
          <w:rFonts w:ascii="Arial" w:cs="Arial" w:eastAsia="Arial" w:hAnsi="Arial"/>
          <w:sz w:val="16"/>
          <w:szCs w:val="16"/>
          <w:color w:val="auto"/>
          <w:strike w:val="1"/>
        </w:rPr>
        <w:t>director of the</w:t>
      </w:r>
      <w:r>
        <w:rPr>
          <w:rFonts w:ascii="Arial" w:cs="Arial" w:eastAsia="Arial" w:hAnsi="Arial"/>
          <w:sz w:val="16"/>
          <w:szCs w:val="16"/>
          <w:color w:val="auto"/>
        </w:rPr>
        <w:t xml:space="preserve"> </w:t>
      </w:r>
      <w:r>
        <w:rPr>
          <w:rFonts w:ascii="Arial" w:cs="Arial" w:eastAsia="Arial" w:hAnsi="Arial"/>
          <w:sz w:val="16"/>
          <w:szCs w:val="16"/>
          <w:color w:val="auto"/>
          <w:strike w:val="1"/>
        </w:rPr>
        <w:t>Company</w:t>
      </w:r>
      <w:r>
        <w:rPr>
          <w:rFonts w:ascii="Arial" w:cs="Arial" w:eastAsia="Arial" w:hAnsi="Arial"/>
          <w:sz w:val="16"/>
          <w:szCs w:val="16"/>
          <w:u w:val="single" w:color="auto"/>
          <w:color w:val="auto"/>
        </w:rPr>
        <w:t>Director</w:t>
      </w:r>
      <w:r>
        <w:rPr>
          <w:rFonts w:ascii="Arial" w:cs="Arial" w:eastAsia="Arial" w:hAnsi="Arial"/>
          <w:sz w:val="16"/>
          <w:szCs w:val="16"/>
          <w:color w:val="auto"/>
        </w:rPr>
        <w:t>.</w:t>
      </w:r>
    </w:p>
    <w:p>
      <w:pPr>
        <w:spacing w:after="0" w:line="46" w:lineRule="exact"/>
        <w:rPr>
          <w:sz w:val="20"/>
          <w:szCs w:val="20"/>
          <w:color w:val="auto"/>
        </w:rPr>
      </w:pPr>
    </w:p>
    <w:p>
      <w:pPr>
        <w:ind w:left="1200" w:hanging="436"/>
        <w:spacing w:after="0"/>
        <w:tabs>
          <w:tab w:leader="none" w:pos="120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DISPUTE RESOLUTION</w:t>
      </w:r>
    </w:p>
    <w:p>
      <w:pPr>
        <w:spacing w:after="0" w:line="120" w:lineRule="exact"/>
        <w:rPr>
          <w:sz w:val="20"/>
          <w:szCs w:val="20"/>
          <w:color w:val="auto"/>
        </w:rPr>
      </w:pPr>
    </w:p>
    <w:p>
      <w:pPr>
        <w:ind w:left="1200" w:right="860" w:hanging="431"/>
        <w:spacing w:after="0" w:line="251" w:lineRule="auto"/>
        <w:rPr>
          <w:sz w:val="20"/>
          <w:szCs w:val="20"/>
          <w:color w:val="auto"/>
        </w:rPr>
      </w:pPr>
      <w:r>
        <w:rPr>
          <w:rFonts w:ascii="Arial" w:cs="Arial" w:eastAsia="Arial" w:hAnsi="Arial"/>
          <w:sz w:val="16"/>
          <w:szCs w:val="16"/>
          <w:color w:val="auto"/>
        </w:rPr>
        <w:t>49.1 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67" w:lineRule="exact"/>
        <w:rPr>
          <w:sz w:val="20"/>
          <w:szCs w:val="20"/>
          <w:color w:val="auto"/>
        </w:rPr>
      </w:pPr>
    </w:p>
    <w:p>
      <w:pPr>
        <w:ind w:left="1200" w:right="1040" w:hanging="431"/>
        <w:spacing w:after="0" w:line="260" w:lineRule="auto"/>
        <w:rPr>
          <w:sz w:val="20"/>
          <w:szCs w:val="20"/>
          <w:color w:val="auto"/>
        </w:rPr>
      </w:pPr>
      <w:r>
        <w:rPr>
          <w:rFonts w:ascii="Arial" w:cs="Arial" w:eastAsia="Arial" w:hAnsi="Arial"/>
          <w:sz w:val="16"/>
          <w:szCs w:val="16"/>
          <w:color w:val="auto"/>
        </w:rPr>
        <w:t>49.2 The governing law of these Articles is the law of England and Wales and these Articles shall be interpreted in accordance with English law.</w:t>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49.3</w:t>
      </w:r>
      <w:r>
        <w:rPr>
          <w:rFonts w:ascii="Arial" w:cs="Arial" w:eastAsia="Arial" w:hAnsi="Arial"/>
          <w:sz w:val="16"/>
          <w:szCs w:val="16"/>
          <w:color w:val="auto"/>
        </w:rPr>
        <w:t xml:space="preserve">  For the purposes of Article 49.1</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p>
    <w:p>
      <w:pPr>
        <w:spacing w:after="0" w:line="80" w:lineRule="exact"/>
        <w:rPr>
          <w:sz w:val="20"/>
          <w:szCs w:val="20"/>
          <w:color w:val="auto"/>
        </w:rPr>
      </w:pPr>
    </w:p>
    <w:p>
      <w:pPr>
        <w:ind w:left="1840" w:right="1060" w:hanging="644"/>
        <w:spacing w:after="0" w:line="319" w:lineRule="auto"/>
        <w:tabs>
          <w:tab w:leader="none" w:pos="1840" w:val="left"/>
        </w:tabs>
        <w:numPr>
          <w:ilvl w:val="0"/>
          <w:numId w:val="223"/>
        </w:numPr>
        <w:rPr>
          <w:rFonts w:ascii="Arial" w:cs="Arial" w:eastAsia="Arial" w:hAnsi="Arial"/>
          <w:sz w:val="15"/>
          <w:szCs w:val="15"/>
          <w:u w:val="single" w:color="auto"/>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Director</w:t>
      </w:r>
      <w:r>
        <w:rPr>
          <w:rFonts w:ascii="Arial" w:cs="Arial" w:eastAsia="Arial" w:hAnsi="Arial"/>
          <w:sz w:val="15"/>
          <w:szCs w:val="15"/>
          <w:color w:val="auto"/>
        </w:rPr>
        <w:t xml:space="preserve">” shall be read so as to include each and any Director </w:t>
      </w:r>
      <w:r>
        <w:rPr>
          <w:rFonts w:ascii="Arial" w:cs="Arial" w:eastAsia="Arial" w:hAnsi="Arial"/>
          <w:sz w:val="15"/>
          <w:szCs w:val="15"/>
          <w:color w:val="auto"/>
          <w:strike w:val="1"/>
        </w:rPr>
        <w:t>of the Company</w:t>
      </w:r>
      <w:r>
        <w:rPr>
          <w:rFonts w:ascii="Arial" w:cs="Arial" w:eastAsia="Arial" w:hAnsi="Arial"/>
          <w:sz w:val="15"/>
          <w:szCs w:val="15"/>
          <w:color w:val="auto"/>
        </w:rPr>
        <w:t xml:space="preserve"> from time to time in </w:t>
      </w:r>
      <w:r>
        <w:rPr>
          <w:rFonts w:ascii="Arial" w:cs="Arial" w:eastAsia="Arial" w:hAnsi="Arial"/>
          <w:sz w:val="15"/>
          <w:szCs w:val="15"/>
          <w:color w:val="auto"/>
          <w:strike w:val="1"/>
        </w:rPr>
        <w:t>his</w:t>
      </w:r>
      <w:r>
        <w:rPr>
          <w:rFonts w:ascii="Arial" w:cs="Arial" w:eastAsia="Arial" w:hAnsi="Arial"/>
          <w:sz w:val="15"/>
          <w:szCs w:val="15"/>
          <w:u w:val="single" w:color="auto"/>
          <w:color w:val="auto"/>
        </w:rPr>
        <w:t>their</w:t>
      </w:r>
      <w:r>
        <w:rPr>
          <w:rFonts w:ascii="Arial" w:cs="Arial" w:eastAsia="Arial" w:hAnsi="Arial"/>
          <w:sz w:val="15"/>
          <w:szCs w:val="15"/>
          <w:color w:val="auto"/>
        </w:rPr>
        <w:t xml:space="preserve"> capacity as such or as an employee of the Company and shall include any former Director </w:t>
      </w:r>
      <w:r>
        <w:rPr>
          <w:rFonts w:ascii="Arial" w:cs="Arial" w:eastAsia="Arial" w:hAnsi="Arial"/>
          <w:sz w:val="15"/>
          <w:szCs w:val="15"/>
          <w:color w:val="auto"/>
          <w:strike w:val="1"/>
        </w:rPr>
        <w:t>of the Company</w:t>
      </w:r>
      <w:r>
        <w:rPr>
          <w:rFonts w:ascii="Arial" w:cs="Arial" w:eastAsia="Arial" w:hAnsi="Arial"/>
          <w:sz w:val="15"/>
          <w:szCs w:val="15"/>
          <w:u w:val="single" w:color="auto"/>
          <w:color w:val="auto"/>
        </w:rPr>
        <w:t>; and</w:t>
      </w:r>
    </w:p>
    <w:p>
      <w:pPr>
        <w:ind w:left="1200"/>
        <w:spacing w:after="0"/>
        <w:tabs>
          <w:tab w:leader="none" w:pos="1820" w:val="left"/>
        </w:tabs>
        <w:rPr>
          <w:sz w:val="20"/>
          <w:szCs w:val="20"/>
          <w:color w:val="auto"/>
        </w:rPr>
      </w:pPr>
      <w:r>
        <w:rPr>
          <w:rFonts w:ascii="Arial" w:cs="Arial" w:eastAsia="Arial" w:hAnsi="Arial"/>
          <w:sz w:val="16"/>
          <w:szCs w:val="16"/>
          <w:color w:val="auto"/>
          <w:strike w:val="1"/>
        </w:rPr>
        <w:t>49.3</w:t>
      </w:r>
      <w:r>
        <w:rPr>
          <w:rFonts w:ascii="Arial" w:cs="Arial" w:eastAsia="Arial" w:hAnsi="Arial"/>
          <w:sz w:val="16"/>
          <w:szCs w:val="16"/>
          <w:u w:val="single" w:color="auto"/>
          <w:color w:val="auto"/>
        </w:rPr>
        <w:t>(b)</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shall be read so as to include each any of the Company</w:t>
      </w:r>
      <w:r>
        <w:rPr>
          <w:rFonts w:ascii="Arial" w:cs="Arial" w:eastAsia="Arial" w:hAnsi="Arial"/>
          <w:sz w:val="15"/>
          <w:szCs w:val="15"/>
          <w:color w:val="auto"/>
        </w:rPr>
        <w:t>’</w:t>
      </w:r>
      <w:r>
        <w:rPr>
          <w:rFonts w:ascii="Arial" w:cs="Arial" w:eastAsia="Arial" w:hAnsi="Arial"/>
          <w:sz w:val="15"/>
          <w:szCs w:val="15"/>
          <w:u w:val="single" w:color="auto"/>
          <w:color w:val="auto"/>
        </w:rPr>
        <w:t>s Subsidiaries</w:t>
      </w:r>
      <w:r>
        <w:rPr>
          <w:rFonts w:ascii="Arial" w:cs="Arial" w:eastAsia="Arial" w:hAnsi="Arial"/>
          <w:sz w:val="15"/>
          <w:szCs w:val="15"/>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00" w:type="dxa"/>
            <w:vAlign w:val="bottom"/>
            <w:vMerge w:val="restart"/>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3"/>
                <w:szCs w:val="13"/>
                <w:b w:val="1"/>
                <w:bCs w:val="1"/>
                <w:color w:val="6A2887"/>
              </w:rPr>
              <w:t xml:space="preserve">LIVANOVA </w:t>
            </w:r>
            <w:r>
              <w:rPr>
                <w:rFonts w:ascii="Arial" w:cs="Arial" w:eastAsia="Arial" w:hAnsi="Arial"/>
                <w:sz w:val="13"/>
                <w:szCs w:val="13"/>
                <w:color w:val="000000"/>
              </w:rPr>
              <w:t>|</w:t>
            </w:r>
            <w:r>
              <w:rPr>
                <w:rFonts w:ascii="Arial" w:cs="Arial" w:eastAsia="Arial" w:hAnsi="Arial"/>
                <w:sz w:val="13"/>
                <w:szCs w:val="13"/>
                <w:b w:val="1"/>
                <w:bCs w:val="1"/>
                <w:color w:val="6A2887"/>
              </w:rPr>
              <w:t xml:space="preserve"> </w:t>
            </w:r>
            <w:r>
              <w:rPr>
                <w:rFonts w:ascii="Arial" w:cs="Arial" w:eastAsia="Arial" w:hAnsi="Arial"/>
                <w:sz w:val="13"/>
                <w:szCs w:val="13"/>
                <w:color w:val="6A2887"/>
              </w:rPr>
              <w:t>2020</w:t>
            </w:r>
            <w:r>
              <w:rPr>
                <w:rFonts w:ascii="Arial" w:cs="Arial" w:eastAsia="Arial" w:hAnsi="Arial"/>
                <w:sz w:val="13"/>
                <w:szCs w:val="13"/>
                <w:b w:val="1"/>
                <w:bCs w:val="1"/>
                <w:color w:val="6A2887"/>
              </w:rPr>
              <w:t xml:space="preserve"> </w:t>
            </w:r>
            <w:r>
              <w:rPr>
                <w:rFonts w:ascii="Arial" w:cs="Arial" w:eastAsia="Arial" w:hAnsi="Arial"/>
                <w:sz w:val="13"/>
                <w:szCs w:val="13"/>
                <w:color w:val="000000"/>
              </w:rPr>
              <w:t>Proxy Statement</w:t>
            </w:r>
          </w:p>
        </w:tc>
        <w:tc>
          <w:tcPr>
            <w:tcW w:w="3080" w:type="dxa"/>
            <w:vAlign w:val="bottom"/>
            <w:tcBorders>
              <w:bottom w:val="single" w:sz="8" w:color="auto"/>
            </w:tcBorders>
          </w:tcPr>
          <w:p>
            <w:pPr>
              <w:spacing w:after="0"/>
              <w:rPr>
                <w:sz w:val="10"/>
                <w:szCs w:val="10"/>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A-39</w:t>
            </w:r>
          </w:p>
        </w:tc>
        <w:tc>
          <w:tcPr>
            <w:tcW w:w="0" w:type="dxa"/>
            <w:vAlign w:val="bottom"/>
          </w:tcPr>
          <w:p>
            <w:pPr>
              <w:spacing w:after="0"/>
              <w:rPr>
                <w:sz w:val="1"/>
                <w:szCs w:val="1"/>
                <w:color w:val="auto"/>
              </w:rPr>
            </w:pPr>
          </w:p>
        </w:tc>
      </w:tr>
      <w:tr>
        <w:trPr>
          <w:trHeight w:val="63"/>
        </w:trPr>
        <w:tc>
          <w:tcPr>
            <w:tcW w:w="800" w:type="dxa"/>
            <w:vAlign w:val="bottom"/>
            <w:vMerge w:val="continue"/>
          </w:tcPr>
          <w:p>
            <w:pPr>
              <w:spacing w:after="0"/>
              <w:rPr>
                <w:sz w:val="5"/>
                <w:szCs w:val="5"/>
                <w:color w:val="auto"/>
              </w:rPr>
            </w:pPr>
          </w:p>
        </w:tc>
        <w:tc>
          <w:tcPr>
            <w:tcW w:w="306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30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tcBorders>
              <w:bottom w:val="single" w:sz="8" w:color="9A9A9A"/>
            </w:tcBorders>
          </w:tcPr>
          <w:p>
            <w:pPr>
              <w:spacing w:after="0"/>
              <w:rPr>
                <w:sz w:val="12"/>
                <w:szCs w:val="12"/>
                <w:color w:val="auto"/>
              </w:rPr>
            </w:pPr>
          </w:p>
        </w:tc>
        <w:tc>
          <w:tcPr>
            <w:tcW w:w="306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18" w:name="page119"/>
    <w:bookmarkEnd w:id="118"/>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-96520</wp:posOffset>
            </wp:positionV>
            <wp:extent cx="6875145" cy="891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75145" cy="891540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7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-96520</wp:posOffset>
            </wp:positionV>
            <wp:extent cx="6875145" cy="891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75145" cy="8915400"/>
                    </a:xfrm>
                    <a:prstGeom prst="rect">
                      <a:avLst/>
                    </a:prstGeom>
                    <a:noFill/>
                  </pic:spPr>
                </pic:pic>
              </a:graphicData>
            </a:graphic>
          </wp:anchor>
        </w:drawing>
      </w:r>
    </w:p>
    <w:sectPr>
      <w:pgSz w:w="11900" w:h="16838" w:orient="portrait"/>
      <w:cols w:equalWidth="0" w:num="1">
        <w:col w:w="10139"/>
      </w:cols>
      <w:pgMar w:left="3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lvl w:ilvl="1">
      <w:lvlJc w:val="left"/>
      <w:lvlText w:val="(%2)"/>
      <w:numFmt w:val="decimal"/>
      <w:start w:val="1"/>
    </w:lvl>
  </w:abstractNum>
  <w:abstractNum w:abstractNumId="4">
    <w:nsid w:val="E7FFA2B"/>
    <w:multiLevelType w:val="hybridMultilevel"/>
    <w:lvl w:ilvl="0">
      <w:lvlJc w:val="left"/>
      <w:lvlText w:val="%1."/>
      <w:numFmt w:val="decimal"/>
      <w:start w:val="1"/>
    </w:lvl>
    <w:lvl w:ilvl="1">
      <w:lvlJc w:val="left"/>
      <w:lvlText w:val="%2."/>
      <w:numFmt w:val="lowerLetter"/>
      <w:start w:val="1"/>
    </w:lvl>
  </w:abstractNum>
  <w:abstractNum w:abstractNumId="5">
    <w:nsid w:val="3C5991AA"/>
    <w:multiLevelType w:val="hybridMultilevel"/>
    <w:lvl w:ilvl="0">
      <w:lvlJc w:val="left"/>
      <w:lvlText w:val="%1."/>
      <w:numFmt w:val="decimal"/>
      <w:start w:val="4"/>
    </w:lvl>
    <w:lvl w:ilvl="1">
      <w:lvlJc w:val="left"/>
      <w:lvlText w:val="(%2)"/>
      <w:numFmt w:val="lowerLetter"/>
      <w:start w:val="1"/>
    </w:lvl>
  </w:abstractNum>
  <w:abstractNum w:abstractNumId="6">
    <w:nsid w:val="4BD8591A"/>
    <w:multiLevelType w:val="hybridMultilevel"/>
    <w:lvl w:ilvl="0">
      <w:lvlJc w:val="left"/>
      <w:lvlText w:val="%1"/>
      <w:numFmt w:val="decimal"/>
      <w:start w:val="1"/>
    </w:lvl>
    <w:lvl w:ilvl="1">
      <w:lvlJc w:val="left"/>
      <w:lvlText w:val="(%2)"/>
      <w:numFmt w:val="lowerRoman"/>
      <w:start w:val="1"/>
    </w:lvl>
  </w:abstractNum>
  <w:abstractNum w:abstractNumId="7">
    <w:nsid w:val="78DF6A55"/>
    <w:multiLevelType w:val="hybridMultilevel"/>
    <w:lvl w:ilvl="0">
      <w:lvlJc w:val="left"/>
      <w:lvlText w:val="%1."/>
      <w:numFmt w:val="decimal"/>
      <w:start w:val="5"/>
    </w:lvl>
    <w:lvl w:ilvl="1">
      <w:lvlJc w:val="left"/>
      <w:lvlText w:val="(%2)"/>
      <w:numFmt w:val="lowerRoman"/>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1)"/>
      <w:numFmt w:val="lowerRoman"/>
      <w:start w:val="2"/>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
      <w:numFmt w:val="bullet"/>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
      <w:numFmt w:val="bullet"/>
      <w:start w:val="1"/>
    </w:lvl>
  </w:abstractNum>
  <w:abstractNum w:abstractNumId="32">
    <w:nsid w:val="5046B5A9"/>
    <w:multiLevelType w:val="hybridMultilevel"/>
    <w:lvl w:ilvl="0">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lvl w:ilvl="1">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
      <w:numFmt w:val="bullet"/>
      <w:start w:val="1"/>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
      <w:numFmt w:val="bullet"/>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
      <w:numFmt w:val="bullet"/>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lvl w:ilvl="1">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
      <w:numFmt w:val="bullet"/>
      <w:start w:val="1"/>
    </w:lvl>
  </w:abstractNum>
  <w:abstractNum w:abstractNumId="46">
    <w:nsid w:val="BFFAE18"/>
    <w:multiLevelType w:val="hybridMultilevel"/>
    <w:lvl w:ilvl="0">
      <w:lvlJc w:val="left"/>
      <w:lvlText w:val="•"/>
      <w:numFmt w:val="bullet"/>
      <w:start w:val="1"/>
    </w:lvl>
  </w:abstractNum>
  <w:abstractNum w:abstractNumId="47">
    <w:nsid w:val="E3E47A8"/>
    <w:multiLevelType w:val="hybridMultilevel"/>
    <w:lvl w:ilvl="0">
      <w:lvlJc w:val="left"/>
      <w:lvlText w:val="•"/>
      <w:numFmt w:val="bullet"/>
      <w:start w:val="1"/>
    </w:lvl>
    <w:lvl w:ilvl="1">
      <w:lvlJc w:val="left"/>
      <w:lvlText w:val="•"/>
      <w:numFmt w:val="bullet"/>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1)"/>
      <w:numFmt w:val="decimal"/>
      <w:start w:val="1"/>
    </w:lvl>
  </w:abstractNum>
  <w:abstractNum w:abstractNumId="50">
    <w:nsid w:val="4BEE5A5B"/>
    <w:multiLevelType w:val="hybridMultilevel"/>
    <w:lvl w:ilvl="0">
      <w:lvlJc w:val="left"/>
      <w:lvlText w:val="•"/>
      <w:numFmt w:val="bullet"/>
      <w:start w:val="1"/>
    </w:lvl>
  </w:abstractNum>
  <w:abstractNum w:abstractNumId="51">
    <w:nsid w:val="5551B9F3"/>
    <w:multiLevelType w:val="hybridMultilevel"/>
    <w:lvl w:ilvl="0">
      <w:lvlJc w:val="left"/>
      <w:lvlText w:val="•"/>
      <w:numFmt w:val="bullet"/>
      <w:start w:val="1"/>
    </w:lvl>
  </w:abstractNum>
  <w:abstractNum w:abstractNumId="52">
    <w:nsid w:val="24F6AB8E"/>
    <w:multiLevelType w:val="hybridMultilevel"/>
    <w:lvl w:ilvl="0">
      <w:lvlJc w:val="left"/>
      <w:lvlText w:val="•"/>
      <w:numFmt w:val="bullet"/>
      <w:start w:val="1"/>
    </w:lvl>
  </w:abstractNum>
  <w:abstractNum w:abstractNumId="53">
    <w:nsid w:val="634C574C"/>
    <w:multiLevelType w:val="hybridMultilevel"/>
    <w:lvl w:ilvl="0">
      <w:lvlJc w:val="left"/>
      <w:lvlText w:val="(%1)"/>
      <w:numFmt w:val="decimal"/>
      <w:start w:val="1"/>
    </w:lvl>
  </w:abstractNum>
  <w:abstractNum w:abstractNumId="54">
    <w:nsid w:val="24E99DD7"/>
    <w:multiLevelType w:val="hybridMultilevel"/>
    <w:lvl w:ilvl="0">
      <w:lvlJc w:val="left"/>
      <w:lvlText w:val="(%1)"/>
      <w:numFmt w:val="decimal"/>
      <w:start w:val="1"/>
    </w:lvl>
  </w:abstractNum>
  <w:abstractNum w:abstractNumId="55">
    <w:nsid w:val="2A31B62D"/>
    <w:multiLevelType w:val="hybridMultilevel"/>
    <w:lvl w:ilvl="0">
      <w:lvlJc w:val="left"/>
      <w:lvlText w:val="(%1)"/>
      <w:numFmt w:val="decimal"/>
      <w:start w:val="1"/>
    </w:lvl>
  </w:abstractNum>
  <w:abstractNum w:abstractNumId="56">
    <w:nsid w:val="1849C29B"/>
    <w:multiLevelType w:val="hybridMultilevel"/>
    <w:lvl w:ilvl="0">
      <w:lvlJc w:val="left"/>
      <w:lvlText w:val="(%1)"/>
      <w:numFmt w:val="decimal"/>
      <w:start w:val="1"/>
    </w:lvl>
  </w:abstractNum>
  <w:abstractNum w:abstractNumId="57">
    <w:nsid w:val="7DFF9D09"/>
    <w:multiLevelType w:val="hybridMultilevel"/>
    <w:lvl w:ilvl="0">
      <w:lvlJc w:val="left"/>
      <w:lvlText w:val="•"/>
      <w:numFmt w:val="bullet"/>
      <w:start w:val="1"/>
    </w:lvl>
  </w:abstractNum>
  <w:abstractNum w:abstractNumId="58">
    <w:nsid w:val="754342"/>
    <w:multiLevelType w:val="hybridMultilevel"/>
    <w:lvl w:ilvl="0">
      <w:lvlJc w:val="left"/>
      <w:lvlText w:val="•"/>
      <w:numFmt w:val="bullet"/>
      <w:start w:val="1"/>
    </w:lvl>
  </w:abstractNum>
  <w:abstractNum w:abstractNumId="59">
    <w:nsid w:val="69E7F3E5"/>
    <w:multiLevelType w:val="hybridMultilevel"/>
    <w:lvl w:ilvl="0">
      <w:lvlJc w:val="left"/>
      <w:lvlText w:val="(%1)"/>
      <w:numFmt w:val="decimal"/>
      <w:start w:val="1"/>
    </w:lvl>
  </w:abstractNum>
  <w:abstractNum w:abstractNumId="60">
    <w:nsid w:val="2A6DE806"/>
    <w:multiLevelType w:val="hybridMultilevel"/>
    <w:lvl w:ilvl="0">
      <w:lvlJc w:val="left"/>
      <w:lvlText w:val="(%1)"/>
      <w:numFmt w:val="decimal"/>
      <w:start w:val="1"/>
    </w:lvl>
  </w:abstractNum>
  <w:abstractNum w:abstractNumId="61">
    <w:nsid w:val="1816F8C4"/>
    <w:multiLevelType w:val="hybridMultilevel"/>
    <w:lvl w:ilvl="0">
      <w:lvlJc w:val="left"/>
      <w:lvlText w:val="(%1)"/>
      <w:numFmt w:val="lowerLetter"/>
      <w:start w:val="1"/>
    </w:lvl>
  </w:abstractNum>
  <w:abstractNum w:abstractNumId="62">
    <w:nsid w:val="37DF2233"/>
    <w:multiLevelType w:val="hybridMultilevel"/>
    <w:lvl w:ilvl="0">
      <w:lvlJc w:val="left"/>
      <w:lvlText w:val="(%1)"/>
      <w:numFmt w:val="lowerLetter"/>
      <w:start w:val="4"/>
    </w:lvl>
  </w:abstractNum>
  <w:abstractNum w:abstractNumId="63">
    <w:nsid w:val="7AB49DAF"/>
    <w:multiLevelType w:val="hybridMultilevel"/>
    <w:lvl w:ilvl="0">
      <w:lvlJc w:val="left"/>
      <w:lvlText w:val="(%1)"/>
      <w:numFmt w:val="decimal"/>
      <w:start w:val="1"/>
    </w:lvl>
  </w:abstractNum>
  <w:abstractNum w:abstractNumId="64">
    <w:nsid w:val="759F82CD"/>
    <w:multiLevelType w:val="hybridMultilevel"/>
    <w:lvl w:ilvl="0">
      <w:lvlJc w:val="left"/>
      <w:lvlText w:val="(%1)"/>
      <w:numFmt w:val="decimal"/>
      <w:start w:val="1"/>
    </w:lvl>
  </w:abstractNum>
  <w:abstractNum w:abstractNumId="65">
    <w:nsid w:val="61E74EA3"/>
    <w:multiLevelType w:val="hybridMultilevel"/>
    <w:lvl w:ilvl="0">
      <w:lvlJc w:val="left"/>
      <w:lvlText w:val="(%1)"/>
      <w:numFmt w:val="decimal"/>
      <w:start w:val="16"/>
    </w:lvl>
  </w:abstractNum>
  <w:abstractNum w:abstractNumId="66">
    <w:nsid w:val="597B4D84"/>
    <w:multiLevelType w:val="hybridMultilevel"/>
    <w:lvl w:ilvl="0">
      <w:lvlJc w:val="left"/>
      <w:lvlText w:val="(%1)"/>
      <w:numFmt w:val="decimal"/>
      <w:start w:val="1"/>
    </w:lvl>
  </w:abstractNum>
  <w:abstractNum w:abstractNumId="67">
    <w:nsid w:val="F819E7F"/>
    <w:multiLevelType w:val="hybridMultilevel"/>
    <w:lvl w:ilvl="0">
      <w:lvlJc w:val="left"/>
      <w:lvlText w:val="(%1)"/>
      <w:numFmt w:val="decimal"/>
      <w:start w:val="1"/>
    </w:lvl>
  </w:abstractNum>
  <w:abstractNum w:abstractNumId="68">
    <w:nsid w:val="57C7D42D"/>
    <w:multiLevelType w:val="hybridMultilevel"/>
    <w:lvl w:ilvl="0">
      <w:lvlJc w:val="left"/>
      <w:lvlText w:val="(%1)"/>
      <w:numFmt w:val="decimal"/>
      <w:start w:val="3"/>
    </w:lvl>
  </w:abstractNum>
  <w:abstractNum w:abstractNumId="69">
    <w:nsid w:val="312167AD"/>
    <w:multiLevelType w:val="hybridMultilevel"/>
    <w:lvl w:ilvl="0">
      <w:lvlJc w:val="left"/>
      <w:lvlText w:val="(%1)"/>
      <w:numFmt w:val="decimal"/>
      <w:start w:val="1"/>
    </w:lvl>
  </w:abstractNum>
  <w:abstractNum w:abstractNumId="70">
    <w:nsid w:val="631B64D4"/>
    <w:multiLevelType w:val="hybridMultilevel"/>
    <w:lvl w:ilvl="0">
      <w:lvlJc w:val="left"/>
      <w:lvlText w:val="(%1)"/>
      <w:numFmt w:val="decimal"/>
      <w:start w:val="1"/>
    </w:lvl>
  </w:abstractNum>
  <w:abstractNum w:abstractNumId="71">
    <w:nsid w:val="78B5E776"/>
    <w:multiLevelType w:val="hybridMultilevel"/>
    <w:lvl w:ilvl="0">
      <w:lvlJc w:val="left"/>
      <w:lvlText w:val="(%1)"/>
      <w:numFmt w:val="decimal"/>
      <w:start w:val="5"/>
    </w:lvl>
  </w:abstractNum>
  <w:abstractNum w:abstractNumId="72">
    <w:nsid w:val="75486E47"/>
    <w:multiLevelType w:val="hybridMultilevel"/>
    <w:lvl w:ilvl="0">
      <w:lvlJc w:val="left"/>
      <w:lvlText w:val="(%1)"/>
      <w:numFmt w:val="decimal"/>
      <w:start w:val="1"/>
    </w:lvl>
  </w:abstractNum>
  <w:abstractNum w:abstractNumId="73">
    <w:nsid w:val="6E534CDE"/>
    <w:multiLevelType w:val="hybridMultilevel"/>
    <w:lvl w:ilvl="0">
      <w:lvlJc w:val="left"/>
      <w:lvlText w:val="(%1)"/>
      <w:numFmt w:val="decimal"/>
      <w:start w:val="1"/>
    </w:lvl>
  </w:abstractNum>
  <w:abstractNum w:abstractNumId="74">
    <w:nsid w:val="1A0DDE32"/>
    <w:multiLevelType w:val="hybridMultilevel"/>
    <w:lvl w:ilvl="0">
      <w:lvlJc w:val="left"/>
      <w:lvlText w:val="\endash "/>
      <w:numFmt w:val="bullet"/>
      <w:start w:val="1"/>
    </w:lvl>
  </w:abstractNum>
  <w:abstractNum w:abstractNumId="75">
    <w:nsid w:val="65968C1C"/>
    <w:multiLevelType w:val="hybridMultilevel"/>
    <w:lvl w:ilvl="0">
      <w:lvlJc w:val="left"/>
      <w:lvlText w:val="%1."/>
      <w:numFmt w:val="decimal"/>
      <w:start w:val="1"/>
    </w:lvl>
    <w:lvl w:ilvl="1">
      <w:lvlJc w:val="left"/>
      <w:lvlText w:val="•"/>
      <w:numFmt w:val="bullet"/>
      <w:start w:val="1"/>
    </w:lvl>
  </w:abstractNum>
  <w:abstractNum w:abstractNumId="76">
    <w:nsid w:val="46263DEC"/>
    <w:multiLevelType w:val="hybridMultilevel"/>
    <w:lvl w:ilvl="0">
      <w:lvlJc w:val="left"/>
      <w:lvlText w:val="%1."/>
      <w:numFmt w:val="decimal"/>
      <w:start w:val="2"/>
    </w:lvl>
    <w:lvl w:ilvl="1">
      <w:lvlJc w:val="left"/>
      <w:lvlText w:val="•"/>
      <w:numFmt w:val="bullet"/>
      <w:start w:val="1"/>
    </w:lvl>
  </w:abstractNum>
  <w:abstractNum w:abstractNumId="77">
    <w:nsid w:val="260D8C4A"/>
    <w:multiLevelType w:val="hybridMultilevel"/>
    <w:lvl w:ilvl="0">
      <w:lvlJc w:val="left"/>
      <w:lvlText w:val="•"/>
      <w:numFmt w:val="bullet"/>
      <w:start w:val="1"/>
    </w:lvl>
    <w:lvl w:ilvl="1">
      <w:lvlJc w:val="left"/>
      <w:lvlText w:val="•"/>
      <w:numFmt w:val="bullet"/>
      <w:start w:val="1"/>
    </w:lvl>
  </w:abstractNum>
  <w:abstractNum w:abstractNumId="78">
    <w:nsid w:val="73D4D3C4"/>
    <w:multiLevelType w:val="hybridMultilevel"/>
    <w:lvl w:ilvl="0">
      <w:lvlJc w:val="left"/>
      <w:lvlText w:val="(%1)"/>
      <w:numFmt w:val="decimal"/>
      <w:start w:val="1"/>
    </w:lvl>
  </w:abstractNum>
  <w:abstractNum w:abstractNumId="79">
    <w:nsid w:val="746F2E30"/>
    <w:multiLevelType w:val="hybridMultilevel"/>
    <w:lvl w:ilvl="0">
      <w:lvlJc w:val="left"/>
      <w:lvlText w:val="•"/>
      <w:numFmt w:val="bullet"/>
      <w:start w:val="1"/>
    </w:lvl>
  </w:abstractNum>
  <w:abstractNum w:abstractNumId="80">
    <w:nsid w:val="6FDE8AF6"/>
    <w:multiLevelType w:val="hybridMultilevel"/>
    <w:lvl w:ilvl="0">
      <w:lvlJc w:val="left"/>
      <w:lvlText w:val="•"/>
      <w:numFmt w:val="bullet"/>
      <w:start w:val="1"/>
    </w:lvl>
  </w:abstractNum>
  <w:abstractNum w:abstractNumId="81">
    <w:nsid w:val="3FC32E20"/>
    <w:multiLevelType w:val="hybridMultilevel"/>
    <w:lvl w:ilvl="0">
      <w:lvlJc w:val="left"/>
      <w:lvlText w:val="(%1)"/>
      <w:numFmt w:val="decimal"/>
      <w:start w:val="1"/>
    </w:lvl>
  </w:abstractNum>
  <w:abstractNum w:abstractNumId="82">
    <w:nsid w:val="49C0E823"/>
    <w:multiLevelType w:val="hybridMultilevel"/>
    <w:lvl w:ilvl="0">
      <w:lvlJc w:val="left"/>
      <w:lvlText w:val="1"/>
      <w:numFmt w:val="bullet"/>
      <w:start w:val="1"/>
    </w:lvl>
  </w:abstractNum>
  <w:abstractNum w:abstractNumId="83">
    <w:nsid w:val="14D53685"/>
    <w:multiLevelType w:val="hybridMultilevel"/>
    <w:lvl w:ilvl="0">
      <w:lvlJc w:val="left"/>
      <w:lvlText w:val="•"/>
      <w:numFmt w:val="bullet"/>
      <w:start w:val="1"/>
    </w:lvl>
  </w:abstractNum>
  <w:abstractNum w:abstractNumId="84">
    <w:nsid w:val="230F856C"/>
    <w:multiLevelType w:val="hybridMultilevel"/>
    <w:lvl w:ilvl="0">
      <w:lvlJc w:val="left"/>
      <w:lvlText w:val="*"/>
      <w:numFmt w:val="bullet"/>
      <w:start w:val="1"/>
    </w:lvl>
  </w:abstractNum>
  <w:abstractNum w:abstractNumId="85">
    <w:nsid w:val="6EAA85FB"/>
    <w:multiLevelType w:val="hybridMultilevel"/>
    <w:lvl w:ilvl="0">
      <w:lvlJc w:val="left"/>
      <w:lvlText w:val="(%1)"/>
      <w:numFmt w:val="decimal"/>
      <w:start w:val="1"/>
    </w:lvl>
  </w:abstractNum>
  <w:abstractNum w:abstractNumId="86">
    <w:nsid w:val="3F06ECB2"/>
    <w:multiLevelType w:val="hybridMultilevel"/>
    <w:lvl w:ilvl="0">
      <w:lvlJc w:val="left"/>
      <w:lvlText w:val="(%1)"/>
      <w:numFmt w:val="decimal"/>
      <w:start w:val="2"/>
    </w:lvl>
  </w:abstractNum>
  <w:abstractNum w:abstractNumId="87">
    <w:nsid w:val="3B594807"/>
    <w:multiLevelType w:val="hybridMultilevel"/>
    <w:lvl w:ilvl="0">
      <w:lvlJc w:val="left"/>
      <w:lvlText w:val="•"/>
      <w:numFmt w:val="bullet"/>
      <w:start w:val="1"/>
    </w:lvl>
  </w:abstractNum>
  <w:abstractNum w:abstractNumId="88">
    <w:nsid w:val="6CAA2304"/>
    <w:multiLevelType w:val="hybridMultilevel"/>
    <w:lvl w:ilvl="0">
      <w:lvlJc w:val="left"/>
      <w:lvlText w:val="•"/>
      <w:numFmt w:val="bullet"/>
      <w:start w:val="1"/>
    </w:lvl>
  </w:abstractNum>
  <w:abstractNum w:abstractNumId="89">
    <w:nsid w:val="3F7C2FF4"/>
    <w:multiLevelType w:val="hybridMultilevel"/>
    <w:lvl w:ilvl="0">
      <w:lvlJc w:val="left"/>
      <w:lvlText w:val="•"/>
      <w:numFmt w:val="bullet"/>
      <w:start w:val="1"/>
    </w:lvl>
  </w:abstractNum>
  <w:abstractNum w:abstractNumId="90">
    <w:nsid w:val="25413BEC"/>
    <w:multiLevelType w:val="hybridMultilevel"/>
    <w:lvl w:ilvl="0">
      <w:lvlJc w:val="left"/>
      <w:lvlText w:val="%1."/>
      <w:numFmt w:val="decimal"/>
      <w:start w:val="1"/>
    </w:lvl>
  </w:abstractNum>
  <w:abstractNum w:abstractNumId="91">
    <w:nsid w:val="17180B0B"/>
    <w:multiLevelType w:val="hybridMultilevel"/>
    <w:lvl w:ilvl="0">
      <w:lvlJc w:val="left"/>
      <w:lvlText w:val="(%1)"/>
      <w:numFmt w:val="lowerLetter"/>
      <w:start w:val="1"/>
    </w:lvl>
  </w:abstractNum>
  <w:abstractNum w:abstractNumId="92">
    <w:nsid w:val="579328B9"/>
    <w:multiLevelType w:val="hybridMultilevel"/>
    <w:lvl w:ilvl="0">
      <w:lvlJc w:val="left"/>
      <w:lvlText w:val="(%1)"/>
      <w:numFmt w:val="lowerLetter"/>
      <w:start w:val="12"/>
    </w:lvl>
  </w:abstractNum>
  <w:abstractNum w:abstractNumId="93">
    <w:nsid w:val="5D205E20"/>
    <w:multiLevelType w:val="hybridMultilevel"/>
    <w:lvl w:ilvl="0">
      <w:lvlJc w:val="left"/>
      <w:lvlText w:val="%1."/>
      <w:numFmt w:val="decimal"/>
      <w:start w:val="3"/>
    </w:lvl>
  </w:abstractNum>
  <w:abstractNum w:abstractNumId="94">
    <w:nsid w:val="11CCA8BA"/>
    <w:multiLevelType w:val="hybridMultilevel"/>
    <w:lvl w:ilvl="0">
      <w:lvlJc w:val="left"/>
      <w:lvlText w:val="(%1)"/>
      <w:numFmt w:val="lowerLetter"/>
      <w:start w:val="1"/>
    </w:lvl>
  </w:abstractNum>
  <w:abstractNum w:abstractNumId="95">
    <w:nsid w:val="4D32AB86"/>
    <w:multiLevelType w:val="hybridMultilevel"/>
    <w:lvl w:ilvl="0">
      <w:lvlJc w:val="left"/>
      <w:lvlText w:val="(%1)"/>
      <w:numFmt w:val="lowerLetter"/>
      <w:start w:val="1"/>
    </w:lvl>
  </w:abstractNum>
  <w:abstractNum w:abstractNumId="96">
    <w:nsid w:val="3F07ACC3"/>
    <w:multiLevelType w:val="hybridMultilevel"/>
    <w:lvl w:ilvl="0">
      <w:lvlJc w:val="left"/>
      <w:lvlText w:val="(%1)"/>
      <w:numFmt w:val="lowerLetter"/>
      <w:start w:val="1"/>
    </w:lvl>
  </w:abstractNum>
  <w:abstractNum w:abstractNumId="97">
    <w:nsid w:val="6B47F63E"/>
    <w:multiLevelType w:val="hybridMultilevel"/>
    <w:lvl w:ilvl="0">
      <w:lvlJc w:val="left"/>
      <w:lvlText w:val="%1."/>
      <w:numFmt w:val="decimal"/>
      <w:start w:val="5"/>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1"/>
    </w:lvl>
  </w:abstractNum>
  <w:abstractNum w:abstractNumId="100">
    <w:nsid w:val="1C695DEC"/>
    <w:multiLevelType w:val="hybridMultilevel"/>
    <w:lvl w:ilvl="0">
      <w:lvlJc w:val="left"/>
      <w:lvlText w:val="(%1)"/>
      <w:numFmt w:val="lowerLetter"/>
      <w:start w:val="2"/>
    </w:lvl>
  </w:abstractNum>
  <w:abstractNum w:abstractNumId="101">
    <w:nsid w:val="3FCFAED9"/>
    <w:multiLevelType w:val="hybridMultilevel"/>
    <w:lvl w:ilvl="0">
      <w:lvlJc w:val="left"/>
      <w:lvlText w:val="%1."/>
      <w:numFmt w:val="decimal"/>
      <w:start w:val="6"/>
    </w:lvl>
  </w:abstractNum>
  <w:abstractNum w:abstractNumId="102">
    <w:nsid w:val="F856867"/>
    <w:multiLevelType w:val="hybridMultilevel"/>
    <w:lvl w:ilvl="0">
      <w:lvlJc w:val="left"/>
      <w:lvlText w:val="(%1)"/>
      <w:numFmt w:val="lowerLetter"/>
      <w:start w:val="1"/>
    </w:lvl>
  </w:abstractNum>
  <w:abstractNum w:abstractNumId="103">
    <w:nsid w:val="11B1CC33"/>
    <w:multiLevelType w:val="hybridMultilevel"/>
    <w:lvl w:ilvl="0">
      <w:lvlJc w:val="left"/>
      <w:lvlText w:val="%1"/>
      <w:numFmt w:val="decimal"/>
      <w:start w:val="1"/>
    </w:lvl>
    <w:lvl w:ilvl="1">
      <w:lvlJc w:val="left"/>
      <w:lvlText w:val="(%2)"/>
      <w:numFmt w:val="lowerLetter"/>
      <w:start w:val="1"/>
    </w:lvl>
  </w:abstractNum>
  <w:abstractNum w:abstractNumId="104">
    <w:nsid w:val="2E22FBB7"/>
    <w:multiLevelType w:val="hybridMultilevel"/>
    <w:lvl w:ilvl="0">
      <w:lvlJc w:val="left"/>
      <w:lvlText w:val="%1."/>
      <w:numFmt w:val="decimal"/>
      <w:start w:val="7"/>
    </w:lvl>
    <w:lvl w:ilvl="1">
      <w:lvlJc w:val="left"/>
      <w:lvlText w:val="%2"/>
      <w:numFmt w:val="lowerLetter"/>
      <w:start w:val="1"/>
    </w:lvl>
  </w:abstractNum>
  <w:abstractNum w:abstractNumId="105">
    <w:nsid w:val="29934699"/>
    <w:multiLevelType w:val="hybridMultilevel"/>
    <w:lvl w:ilvl="0">
      <w:lvlJc w:val="left"/>
      <w:lvlText w:val="(%1)"/>
      <w:numFmt w:val="lowerLetter"/>
      <w:start w:val="1"/>
    </w:lvl>
  </w:abstractNum>
  <w:abstractNum w:abstractNumId="106">
    <w:nsid w:val="77485850"/>
    <w:multiLevelType w:val="hybridMultilevel"/>
    <w:lvl w:ilvl="0">
      <w:lvlJc w:val="left"/>
      <w:lvlText w:val="%1."/>
      <w:numFmt w:val="decimal"/>
      <w:start w:val="8"/>
    </w:lvl>
  </w:abstractNum>
  <w:abstractNum w:abstractNumId="107">
    <w:nsid w:val="744939A3"/>
    <w:multiLevelType w:val="hybridMultilevel"/>
    <w:lvl w:ilvl="0">
      <w:lvlJc w:val="left"/>
      <w:lvlText w:val="%1."/>
      <w:numFmt w:val="decimal"/>
      <w:start w:val="9"/>
    </w:lvl>
  </w:abstractNum>
  <w:abstractNum w:abstractNumId="108">
    <w:nsid w:val="4FA0D2E3"/>
    <w:multiLevelType w:val="hybridMultilevel"/>
    <w:lvl w:ilvl="0">
      <w:lvlJc w:val="left"/>
      <w:lvlText w:val="%1."/>
      <w:numFmt w:val="decimal"/>
      <w:start w:val="10"/>
    </w:lvl>
  </w:abstractNum>
  <w:abstractNum w:abstractNumId="109">
    <w:nsid w:val="6B1D2C14"/>
    <w:multiLevelType w:val="hybridMultilevel"/>
    <w:lvl w:ilvl="0">
      <w:lvlJc w:val="left"/>
      <w:lvlText w:val="%1."/>
      <w:numFmt w:val="decimal"/>
      <w:start w:val="11"/>
    </w:lvl>
  </w:abstractNum>
  <w:abstractNum w:abstractNumId="110">
    <w:nsid w:val="68B867D3"/>
    <w:multiLevelType w:val="hybridMultilevel"/>
    <w:lvl w:ilvl="0">
      <w:lvlJc w:val="left"/>
      <w:lvlText w:val="(%1)"/>
      <w:numFmt w:val="lowerLetter"/>
      <w:start w:val="1"/>
    </w:lvl>
    <w:lvl w:ilvl="1">
      <w:lvlJc w:val="left"/>
      <w:lvlText w:val="(%2)"/>
      <w:numFmt w:val="lowerRoman"/>
      <w:start w:val="1"/>
    </w:lvl>
  </w:abstractNum>
  <w:abstractNum w:abstractNumId="111">
    <w:nsid w:val="3F7F5DD9"/>
    <w:multiLevelType w:val="hybridMultilevel"/>
    <w:lvl w:ilvl="0">
      <w:lvlJc w:val="left"/>
      <w:lvlText w:val="%1."/>
      <w:numFmt w:val="decimal"/>
      <w:start w:val="12"/>
    </w:lvl>
  </w:abstractNum>
  <w:abstractNum w:abstractNumId="112">
    <w:nsid w:val="2AE05A34"/>
    <w:multiLevelType w:val="hybridMultilevel"/>
    <w:lvl w:ilvl="0">
      <w:lvlJc w:val="left"/>
      <w:lvlText w:val="(%1)"/>
      <w:numFmt w:val="lowerLetter"/>
      <w:start w:val="1"/>
    </w:lvl>
  </w:abstractNum>
  <w:abstractNum w:abstractNumId="113">
    <w:nsid w:val="32794FF7"/>
    <w:multiLevelType w:val="hybridMultilevel"/>
    <w:lvl w:ilvl="0">
      <w:lvlJc w:val="left"/>
      <w:lvlText w:val="%1."/>
      <w:numFmt w:val="decimal"/>
      <w:start w:val="13"/>
    </w:lvl>
  </w:abstractNum>
  <w:abstractNum w:abstractNumId="114">
    <w:nsid w:val="5454945E"/>
    <w:multiLevelType w:val="hybridMultilevel"/>
    <w:lvl w:ilvl="0">
      <w:lvlJc w:val="left"/>
      <w:lvlText w:val="(%1)"/>
      <w:numFmt w:val="lowerLetter"/>
      <w:start w:val="1"/>
    </w:lvl>
  </w:abstractNum>
  <w:abstractNum w:abstractNumId="115">
    <w:nsid w:val="4DEFDFA0"/>
    <w:multiLevelType w:val="hybridMultilevel"/>
    <w:lvl w:ilvl="0">
      <w:lvlJc w:val="left"/>
      <w:lvlText w:val="(%1)"/>
      <w:numFmt w:val="lowerLetter"/>
      <w:start w:val="1"/>
    </w:lvl>
  </w:abstractNum>
  <w:abstractNum w:abstractNumId="116">
    <w:nsid w:val="2123D5F2"/>
    <w:multiLevelType w:val="hybridMultilevel"/>
    <w:lvl w:ilvl="0">
      <w:lvlJc w:val="left"/>
      <w:lvlText w:val="(%1)"/>
      <w:numFmt w:val="lowerLetter"/>
      <w:start w:val="1"/>
    </w:lvl>
  </w:abstractNum>
  <w:abstractNum w:abstractNumId="117">
    <w:nsid w:val="135B8110"/>
    <w:multiLevelType w:val="hybridMultilevel"/>
    <w:lvl w:ilvl="0">
      <w:lvlJc w:val="left"/>
      <w:lvlText w:val="%1."/>
      <w:numFmt w:val="decimal"/>
      <w:start w:val="15"/>
    </w:lvl>
  </w:abstractNum>
  <w:abstractNum w:abstractNumId="118">
    <w:nsid w:val="94927A8"/>
    <w:multiLevelType w:val="hybridMultilevel"/>
    <w:lvl w:ilvl="0">
      <w:lvlJc w:val="left"/>
      <w:lvlText w:val="(%1)"/>
      <w:numFmt w:val="lowerLetter"/>
      <w:start w:val="1"/>
    </w:lvl>
  </w:abstractNum>
  <w:abstractNum w:abstractNumId="119">
    <w:nsid w:val="DCDF8F6"/>
    <w:multiLevelType w:val="hybridMultilevel"/>
    <w:lvl w:ilvl="0">
      <w:lvlJc w:val="left"/>
      <w:lvlText w:val="%1."/>
      <w:numFmt w:val="decimal"/>
      <w:start w:val="16"/>
    </w:lvl>
  </w:abstractNum>
  <w:abstractNum w:abstractNumId="120">
    <w:nsid w:val="52D7B105"/>
    <w:multiLevelType w:val="hybridMultilevel"/>
    <w:lvl w:ilvl="0">
      <w:lvlJc w:val="left"/>
      <w:lvlText w:val="(%1)"/>
      <w:numFmt w:val="lowerLetter"/>
      <w:start w:val="1"/>
    </w:lvl>
  </w:abstractNum>
  <w:abstractNum w:abstractNumId="121">
    <w:nsid w:val="2E8A6394"/>
    <w:multiLevelType w:val="hybridMultilevel"/>
    <w:lvl w:ilvl="0">
      <w:lvlJc w:val="left"/>
      <w:lvlText w:val="%1."/>
      <w:numFmt w:val="decimal"/>
      <w:start w:val="17"/>
    </w:lvl>
  </w:abstractNum>
  <w:abstractNum w:abstractNumId="122">
    <w:nsid w:val="24E60401"/>
    <w:multiLevelType w:val="hybridMultilevel"/>
    <w:lvl w:ilvl="0">
      <w:lvlJc w:val="left"/>
      <w:lvlText w:val="(%1)"/>
      <w:numFmt w:val="lowerLetter"/>
      <w:start w:val="1"/>
    </w:lvl>
  </w:abstractNum>
  <w:abstractNum w:abstractNumId="123">
    <w:nsid w:val="2A6AD9BE"/>
    <w:multiLevelType w:val="hybridMultilevel"/>
    <w:lvl w:ilvl="0">
      <w:lvlJc w:val="left"/>
      <w:lvlText w:val="%1."/>
      <w:numFmt w:val="decimal"/>
      <w:start w:val="18"/>
    </w:lvl>
  </w:abstractNum>
  <w:abstractNum w:abstractNumId="124">
    <w:nsid w:val="BAAC1B4"/>
    <w:multiLevelType w:val="hybridMultilevel"/>
    <w:lvl w:ilvl="0">
      <w:lvlJc w:val="left"/>
      <w:lvlText w:val="(%1)"/>
      <w:numFmt w:val="lowerLetter"/>
      <w:start w:val="1"/>
    </w:lvl>
  </w:abstractNum>
  <w:abstractNum w:abstractNumId="125">
    <w:nsid w:val="36B2ACBC"/>
    <w:multiLevelType w:val="hybridMultilevel"/>
    <w:lvl w:ilvl="0">
      <w:lvlJc w:val="left"/>
      <w:lvlText w:val="(%1)"/>
      <w:numFmt w:val="lowerLetter"/>
      <w:start w:val="1"/>
    </w:lvl>
  </w:abstractNum>
  <w:abstractNum w:abstractNumId="126">
    <w:nsid w:val="779D8544"/>
    <w:multiLevelType w:val="hybridMultilevel"/>
    <w:lvl w:ilvl="0">
      <w:lvlJc w:val="left"/>
      <w:lvlText w:val="(%1)"/>
      <w:numFmt w:val="lowerLetter"/>
      <w:start w:val="1"/>
    </w:lvl>
  </w:abstractNum>
  <w:abstractNum w:abstractNumId="127">
    <w:nsid w:val="4AB26E78"/>
    <w:multiLevelType w:val="hybridMultilevel"/>
    <w:lvl w:ilvl="0">
      <w:lvlJc w:val="left"/>
      <w:lvlText w:val="(%1)"/>
      <w:numFmt w:val="lowerLetter"/>
      <w:start w:val="1"/>
    </w:lvl>
  </w:abstractNum>
  <w:abstractNum w:abstractNumId="128">
    <w:nsid w:val="21FAA2FA"/>
    <w:multiLevelType w:val="hybridMultilevel"/>
    <w:lvl w:ilvl="0">
      <w:lvlJc w:val="left"/>
      <w:lvlText w:val="(%1)"/>
      <w:numFmt w:val="lowerLetter"/>
      <w:start w:val="1"/>
    </w:lvl>
    <w:lvl w:ilvl="1">
      <w:lvlJc w:val="left"/>
      <w:lvlText w:val="(%2)"/>
      <w:numFmt w:val="lowerRoman"/>
      <w:start w:val="1"/>
    </w:lvl>
  </w:abstractNum>
  <w:abstractNum w:abstractNumId="129">
    <w:nsid w:val="5451CF49"/>
    <w:multiLevelType w:val="hybridMultilevel"/>
    <w:lvl w:ilvl="0">
      <w:lvlJc w:val="left"/>
      <w:lvlText w:val="%1."/>
      <w:numFmt w:val="decimal"/>
      <w:start w:val="19"/>
    </w:lvl>
  </w:abstractNum>
  <w:abstractNum w:abstractNumId="130">
    <w:nsid w:val="6181EF69"/>
    <w:multiLevelType w:val="hybridMultilevel"/>
    <w:lvl w:ilvl="0">
      <w:lvlJc w:val="left"/>
      <w:lvlText w:val="(%1)"/>
      <w:numFmt w:val="lowerLetter"/>
      <w:start w:val="1"/>
    </w:lvl>
  </w:abstractNum>
  <w:abstractNum w:abstractNumId="131">
    <w:nsid w:val="3E6400E6"/>
    <w:multiLevelType w:val="hybridMultilevel"/>
    <w:lvl w:ilvl="0">
      <w:lvlJc w:val="left"/>
      <w:lvlText w:val="(%1)"/>
      <w:numFmt w:val="lowerLetter"/>
      <w:start w:val="1"/>
    </w:lvl>
  </w:abstractNum>
  <w:abstractNum w:abstractNumId="132">
    <w:nsid w:val="14217E23"/>
    <w:multiLevelType w:val="hybridMultilevel"/>
    <w:lvl w:ilvl="0">
      <w:lvlJc w:val="left"/>
      <w:lvlText w:val="%1."/>
      <w:numFmt w:val="decimal"/>
      <w:start w:val="20"/>
    </w:lvl>
  </w:abstractNum>
  <w:abstractNum w:abstractNumId="133">
    <w:nsid w:val="710757D0"/>
    <w:multiLevelType w:val="hybridMultilevel"/>
    <w:lvl w:ilvl="0">
      <w:lvlJc w:val="left"/>
      <w:lvlText w:val="(%1)"/>
      <w:numFmt w:val="lowerLetter"/>
      <w:start w:val="1"/>
    </w:lvl>
    <w:lvl w:ilvl="1">
      <w:lvlJc w:val="left"/>
      <w:lvlText w:val="(%2)"/>
      <w:numFmt w:val="lowerRoman"/>
      <w:start w:val="1"/>
    </w:lvl>
  </w:abstractNum>
  <w:abstractNum w:abstractNumId="134">
    <w:nsid w:val="5015CD1A"/>
    <w:multiLevelType w:val="hybridMultilevel"/>
    <w:lvl w:ilvl="0">
      <w:lvlJc w:val="left"/>
      <w:lvlText w:val="(%1)"/>
      <w:numFmt w:val="lowerLetter"/>
      <w:start w:val="1"/>
    </w:lvl>
  </w:abstractNum>
  <w:abstractNum w:abstractNumId="135">
    <w:nsid w:val="424479DA"/>
    <w:multiLevelType w:val="hybridMultilevel"/>
    <w:lvl w:ilvl="0">
      <w:lvlJc w:val="left"/>
      <w:lvlText w:val="%1."/>
      <w:numFmt w:val="decimal"/>
      <w:start w:val="21"/>
    </w:lvl>
  </w:abstractNum>
  <w:abstractNum w:abstractNumId="136">
    <w:nsid w:val="1A9A9E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7">
    <w:nsid w:val="475E256A"/>
    <w:multiLevelType w:val="hybridMultilevel"/>
    <w:lvl w:ilvl="0">
      <w:lvlJc w:val="left"/>
      <w:lvlText w:val="(%1)"/>
      <w:numFmt w:val="lowerLetter"/>
      <w:start w:val="1"/>
    </w:lvl>
  </w:abstractNum>
  <w:abstractNum w:abstractNumId="138">
    <w:nsid w:val="368DB37E"/>
    <w:multiLevelType w:val="hybridMultilevel"/>
    <w:lvl w:ilvl="0">
      <w:lvlJc w:val="left"/>
      <w:lvlText w:val="(%1)"/>
      <w:numFmt w:val="lowerLetter"/>
      <w:start w:val="1"/>
    </w:lvl>
    <w:lvl w:ilvl="1">
      <w:lvlJc w:val="left"/>
      <w:lvlText w:val="(%2)"/>
      <w:numFmt w:val="lowerRoman"/>
      <w:start w:val="1"/>
    </w:lvl>
  </w:abstractNum>
  <w:abstractNum w:abstractNumId="139">
    <w:nsid w:val="6A3B714C"/>
    <w:multiLevelType w:val="hybridMultilevel"/>
    <w:lvl w:ilvl="0">
      <w:lvlJc w:val="left"/>
      <w:lvlText w:val="(%1)"/>
      <w:numFmt w:val="lowerRoman"/>
      <w:start w:val="1"/>
    </w:lvl>
  </w:abstractNum>
  <w:abstractNum w:abstractNumId="140">
    <w:nsid w:val="327B517E"/>
    <w:multiLevelType w:val="hybridMultilevel"/>
    <w:lvl w:ilvl="0">
      <w:lvlJc w:val="left"/>
      <w:lvlText w:val="%1."/>
      <w:numFmt w:val="decimal"/>
      <w:start w:val="22"/>
    </w:lvl>
  </w:abstractNum>
  <w:abstractNum w:abstractNumId="141">
    <w:nsid w:val="1F461B5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29BACF25"/>
    <w:multiLevelType w:val="hybridMultilevel"/>
    <w:lvl w:ilvl="0">
      <w:lvlJc w:val="left"/>
      <w:lvlText w:val="(%1)"/>
      <w:numFmt w:val="lowerLetter"/>
      <w:start w:val="1"/>
    </w:lvl>
  </w:abstractNum>
  <w:abstractNum w:abstractNumId="143">
    <w:nsid w:val="5D5BABB3"/>
    <w:multiLevelType w:val="hybridMultilevel"/>
    <w:lvl w:ilvl="0">
      <w:lvlJc w:val="left"/>
      <w:lvlText w:val="(%1)"/>
      <w:numFmt w:val="lowerLetter"/>
      <w:start w:val="2"/>
    </w:lvl>
  </w:abstractNum>
  <w:abstractNum w:abstractNumId="144">
    <w:nsid w:val="51BF6B48"/>
    <w:multiLevelType w:val="hybridMultilevel"/>
    <w:lvl w:ilvl="0">
      <w:lvlJc w:val="left"/>
      <w:lvlText w:val="(%1)"/>
      <w:numFmt w:val="lowerLetter"/>
      <w:start w:val="1"/>
    </w:lvl>
    <w:lvl w:ilvl="1">
      <w:lvlJc w:val="left"/>
      <w:lvlText w:val="(%2)"/>
      <w:numFmt w:val="lowerRoman"/>
      <w:start w:val="1"/>
    </w:lvl>
  </w:abstractNum>
  <w:abstractNum w:abstractNumId="145">
    <w:nsid w:val="7E0F6384"/>
    <w:multiLevelType w:val="hybridMultilevel"/>
    <w:lvl w:ilvl="0">
      <w:lvlJc w:val="left"/>
      <w:lvlText w:val="(%1)"/>
      <w:numFmt w:val="lowerLetter"/>
      <w:start w:val="2"/>
    </w:lvl>
    <w:lvl w:ilvl="1">
      <w:lvlJc w:val="left"/>
      <w:lvlText w:val="(%2)"/>
      <w:numFmt w:val="lowerRoman"/>
      <w:start w:val="1"/>
    </w:lvl>
  </w:abstractNum>
  <w:abstractNum w:abstractNumId="146">
    <w:nsid w:val="2B4B8B53"/>
    <w:multiLevelType w:val="hybridMultilevel"/>
    <w:lvl w:ilvl="0">
      <w:lvlJc w:val="left"/>
      <w:lvlText w:val="(%1)"/>
      <w:numFmt w:val="lowerLetter"/>
      <w:start w:val="1"/>
    </w:lvl>
  </w:abstractNum>
  <w:abstractNum w:abstractNumId="147">
    <w:nsid w:val="72E3413A"/>
    <w:multiLevelType w:val="hybridMultilevel"/>
    <w:lvl w:ilvl="0">
      <w:lvlJc w:val="left"/>
      <w:lvlText w:val="(%1)"/>
      <w:numFmt w:val="lowerLetter"/>
      <w:start w:val="1"/>
    </w:lvl>
  </w:abstractNum>
  <w:abstractNum w:abstractNumId="148">
    <w:nsid w:val="116AE494"/>
    <w:multiLevelType w:val="hybridMultilevel"/>
    <w:lvl w:ilvl="0">
      <w:lvlJc w:val="left"/>
      <w:lvlText w:val="(%1)"/>
      <w:numFmt w:val="lowerLetter"/>
      <w:start w:val="1"/>
    </w:lvl>
  </w:abstractNum>
  <w:abstractNum w:abstractNumId="149">
    <w:nsid w:val="3494B2FB"/>
    <w:multiLevelType w:val="hybridMultilevel"/>
    <w:lvl w:ilvl="0">
      <w:lvlJc w:val="left"/>
      <w:lvlText w:val="%1."/>
      <w:numFmt w:val="decimal"/>
      <w:start w:val="23"/>
    </w:lvl>
  </w:abstractNum>
  <w:abstractNum w:abstractNumId="150">
    <w:nsid w:val="B13A31"/>
    <w:multiLevelType w:val="hybridMultilevel"/>
    <w:lvl w:ilvl="0">
      <w:lvlJc w:val="left"/>
      <w:lvlText w:val="%1."/>
      <w:numFmt w:val="decimal"/>
      <w:start w:val="24"/>
    </w:lvl>
  </w:abstractNum>
  <w:abstractNum w:abstractNumId="151">
    <w:nsid w:val="64429599"/>
    <w:multiLevelType w:val="hybridMultilevel"/>
    <w:lvl w:ilvl="0">
      <w:lvlJc w:val="left"/>
      <w:lvlText w:val="(%1)"/>
      <w:numFmt w:val="lowerLetter"/>
      <w:start w:val="1"/>
    </w:lvl>
  </w:abstractNum>
  <w:abstractNum w:abstractNumId="152">
    <w:nsid w:val="631F1690"/>
    <w:multiLevelType w:val="hybridMultilevel"/>
    <w:lvl w:ilvl="0">
      <w:lvlJc w:val="left"/>
      <w:lvlText w:val="(%1)"/>
      <w:numFmt w:val="lowerLetter"/>
      <w:start w:val="1"/>
    </w:lvl>
  </w:abstractNum>
  <w:abstractNum w:abstractNumId="153">
    <w:nsid w:val="25973E32"/>
    <w:multiLevelType w:val="hybridMultilevel"/>
    <w:lvl w:ilvl="0">
      <w:lvlJc w:val="left"/>
      <w:lvlText w:val="(%1)"/>
      <w:numFmt w:val="lowerLetter"/>
      <w:start w:val="1"/>
    </w:lvl>
  </w:abstractNum>
  <w:abstractNum w:abstractNumId="154">
    <w:nsid w:val="EAD6F57"/>
    <w:multiLevelType w:val="hybridMultilevel"/>
    <w:lvl w:ilvl="0">
      <w:lvlJc w:val="left"/>
      <w:lvlText w:val="(%1)"/>
      <w:numFmt w:val="lowerLetter"/>
      <w:start w:val="1"/>
    </w:lvl>
    <w:lvl w:ilvl="1">
      <w:lvlJc w:val="left"/>
      <w:lvlText w:val="(%2)"/>
      <w:numFmt w:val="lowerRoman"/>
      <w:start w:val="1"/>
    </w:lvl>
  </w:abstractNum>
  <w:abstractNum w:abstractNumId="155">
    <w:nsid w:val="6EC9D844"/>
    <w:multiLevelType w:val="hybridMultilevel"/>
    <w:lvl w:ilvl="0">
      <w:lvlJc w:val="left"/>
      <w:lvlText w:val="(%1)"/>
      <w:numFmt w:val="lowerLetter"/>
      <w:start w:val="1"/>
    </w:lvl>
  </w:abstractNum>
  <w:abstractNum w:abstractNumId="156">
    <w:nsid w:val="5C49EAEE"/>
    <w:multiLevelType w:val="hybridMultilevel"/>
    <w:lvl w:ilvl="0">
      <w:lvlJc w:val="left"/>
      <w:lvlText w:val="(%1)"/>
      <w:numFmt w:val="lowerLetter"/>
      <w:start w:val="2"/>
    </w:lvl>
  </w:abstractNum>
  <w:abstractNum w:abstractNumId="157">
    <w:nsid w:val="64AF49B"/>
    <w:multiLevelType w:val="hybridMultilevel"/>
    <w:lvl w:ilvl="0">
      <w:lvlJc w:val="left"/>
      <w:lvlText w:val="(%1)"/>
      <w:numFmt w:val="lowerRoman"/>
      <w:start w:val="1"/>
    </w:lvl>
  </w:abstractNum>
  <w:abstractNum w:abstractNumId="158">
    <w:nsid w:val="397C46BC"/>
    <w:multiLevelType w:val="hybridMultilevel"/>
    <w:lvl w:ilvl="0">
      <w:lvlJc w:val="left"/>
      <w:lvlText w:val="(%1)"/>
      <w:numFmt w:val="lowerLetter"/>
      <w:start w:val="3"/>
    </w:lvl>
  </w:abstractNum>
  <w:abstractNum w:abstractNumId="159">
    <w:nsid w:val="7E448DE9"/>
    <w:multiLevelType w:val="hybridMultilevel"/>
    <w:lvl w:ilvl="0">
      <w:lvlJc w:val="left"/>
      <w:lvlText w:val="(%1)"/>
      <w:numFmt w:val="lowerLetter"/>
      <w:start w:val="1"/>
    </w:lvl>
  </w:abstractNum>
  <w:abstractNum w:abstractNumId="160">
    <w:nsid w:val="5A9CC3E5"/>
    <w:multiLevelType w:val="hybridMultilevel"/>
    <w:lvl w:ilvl="0">
      <w:lvlJc w:val="left"/>
      <w:lvlText w:val="%1."/>
      <w:numFmt w:val="decimal"/>
      <w:start w:val="25"/>
    </w:lvl>
  </w:abstractNum>
  <w:abstractNum w:abstractNumId="161">
    <w:nsid w:val="1AFE3625"/>
    <w:multiLevelType w:val="hybridMultilevel"/>
    <w:lvl w:ilvl="0">
      <w:lvlJc w:val="left"/>
      <w:lvlText w:val="%1."/>
      <w:numFmt w:val="decimal"/>
      <w:start w:val="26"/>
    </w:lvl>
  </w:abstractNum>
  <w:abstractNum w:abstractNumId="162">
    <w:nsid w:val="3CA88ECF"/>
    <w:multiLevelType w:val="hybridMultilevel"/>
    <w:lvl w:ilvl="0">
      <w:lvlJc w:val="left"/>
      <w:lvlText w:val="%1."/>
      <w:numFmt w:val="decimal"/>
      <w:start w:val="28"/>
    </w:lvl>
  </w:abstractNum>
  <w:abstractNum w:abstractNumId="163">
    <w:nsid w:val="6EBE4208"/>
    <w:multiLevelType w:val="hybridMultilevel"/>
    <w:lvl w:ilvl="0">
      <w:lvlJc w:val="left"/>
      <w:lvlText w:val="%1."/>
      <w:numFmt w:val="decimal"/>
      <w:start w:val="29"/>
    </w:lvl>
  </w:abstractNum>
  <w:abstractNum w:abstractNumId="164">
    <w:nsid w:val="C058DF5"/>
    <w:multiLevelType w:val="hybridMultilevel"/>
    <w:lvl w:ilvl="0">
      <w:lvlJc w:val="left"/>
      <w:lvlText w:val="(%1)"/>
      <w:numFmt w:val="lowerLetter"/>
      <w:start w:val="1"/>
    </w:lvl>
  </w:abstractNum>
  <w:abstractNum w:abstractNumId="165">
    <w:nsid w:val="CBE5BE9"/>
    <w:multiLevelType w:val="hybridMultilevel"/>
    <w:lvl w:ilvl="0">
      <w:lvlJc w:val="left"/>
      <w:lvlText w:val="%1."/>
      <w:numFmt w:val="decimal"/>
      <w:start w:val="30"/>
    </w:lvl>
    <w:lvl w:ilvl="1">
      <w:lvlJc w:val="left"/>
      <w:lvlText w:val="(%2)"/>
      <w:numFmt w:val="lowerLetter"/>
      <w:start w:val="1"/>
    </w:lvl>
  </w:abstractNum>
  <w:abstractNum w:abstractNumId="166">
    <w:nsid w:val="3102BBE2"/>
    <w:multiLevelType w:val="hybridMultilevel"/>
    <w:lvl w:ilvl="0">
      <w:lvlJc w:val="left"/>
      <w:lvlText w:val="(%1)"/>
      <w:numFmt w:val="lowerLetter"/>
      <w:start w:val="6"/>
    </w:lvl>
  </w:abstractNum>
  <w:abstractNum w:abstractNumId="167">
    <w:nsid w:val="26A02C5E"/>
    <w:multiLevelType w:val="hybridMultilevel"/>
    <w:lvl w:ilvl="0">
      <w:lvlJc w:val="left"/>
      <w:lvlText w:val="%1."/>
      <w:numFmt w:val="decimal"/>
      <w:start w:val="31"/>
    </w:lvl>
  </w:abstractNum>
  <w:abstractNum w:abstractNumId="168">
    <w:nsid w:val="541C8153"/>
    <w:multiLevelType w:val="hybridMultilevel"/>
    <w:lvl w:ilvl="0">
      <w:lvlJc w:val="left"/>
      <w:lvlText w:val="%1."/>
      <w:numFmt w:val="decimal"/>
      <w:start w:val="32"/>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lowerRoman"/>
      <w:start w:val="1"/>
    </w:lvl>
  </w:abstractNum>
  <w:abstractNum w:abstractNumId="171">
    <w:nsid w:val="697D2D2"/>
    <w:multiLevelType w:val="hybridMultilevel"/>
    <w:lvl w:ilvl="0">
      <w:lvlJc w:val="left"/>
      <w:lvlText w:val="(%1)"/>
      <w:numFmt w:val="lowerLetter"/>
      <w:start w:val="1"/>
    </w:lvl>
  </w:abstractNum>
  <w:abstractNum w:abstractNumId="172">
    <w:nsid w:val="6D68AB2"/>
    <w:multiLevelType w:val="hybridMultilevel"/>
    <w:lvl w:ilvl="0">
      <w:lvlJc w:val="left"/>
      <w:lvlText w:val="(%1)"/>
      <w:numFmt w:val="lowerLetter"/>
      <w:start w:val="3"/>
    </w:lvl>
    <w:lvl w:ilvl="1">
      <w:lvlJc w:val="left"/>
      <w:lvlText w:val="(%2)"/>
      <w:numFmt w:val="lowerRoman"/>
      <w:start w:val="1"/>
    </w:lvl>
  </w:abstractNum>
  <w:abstractNum w:abstractNumId="173">
    <w:nsid w:val="3A966CD0"/>
    <w:multiLevelType w:val="hybridMultilevel"/>
    <w:lvl w:ilvl="0">
      <w:lvlJc w:val="left"/>
      <w:lvlText w:val="(%1)"/>
      <w:numFmt w:val="lowerLetter"/>
      <w:start w:val="1"/>
    </w:lvl>
  </w:abstractNum>
  <w:abstractNum w:abstractNumId="174">
    <w:nsid w:val="63F37E85"/>
    <w:multiLevelType w:val="hybridMultilevel"/>
    <w:lvl w:ilvl="0">
      <w:lvlJc w:val="left"/>
      <w:lvlText w:val="(%1)"/>
      <w:numFmt w:val="lowerLetter"/>
      <w:start w:val="1"/>
    </w:lvl>
  </w:abstractNum>
  <w:abstractNum w:abstractNumId="175">
    <w:nsid w:val="5895F5FA"/>
    <w:multiLevelType w:val="hybridMultilevel"/>
    <w:lvl w:ilvl="0">
      <w:lvlJc w:val="left"/>
      <w:lvlText w:val="(%1)"/>
      <w:numFmt w:val="lowerLetter"/>
      <w:start w:val="1"/>
    </w:lvl>
  </w:abstractNum>
  <w:abstractNum w:abstractNumId="176">
    <w:nsid w:val="38A5D054"/>
    <w:multiLevelType w:val="hybridMultilevel"/>
    <w:lvl w:ilvl="0">
      <w:lvlJc w:val="left"/>
      <w:lvlText w:val="(%1)"/>
      <w:numFmt w:val="lowerLetter"/>
      <w:start w:val="1"/>
    </w:lvl>
  </w:abstractNum>
  <w:abstractNum w:abstractNumId="177">
    <w:nsid w:val="F3F09D8"/>
    <w:multiLevelType w:val="hybridMultilevel"/>
    <w:lvl w:ilvl="0">
      <w:lvlJc w:val="left"/>
      <w:lvlText w:val="(%1)"/>
      <w:numFmt w:val="lowerLetter"/>
      <w:start w:val="1"/>
    </w:lvl>
  </w:abstractNum>
  <w:abstractNum w:abstractNumId="178">
    <w:nsid w:val="4B793735"/>
    <w:multiLevelType w:val="hybridMultilevel"/>
    <w:lvl w:ilvl="0">
      <w:lvlJc w:val="left"/>
      <w:lvlText w:val="%1"/>
      <w:numFmt w:val="decimal"/>
      <w:start w:val="1"/>
    </w:lvl>
    <w:lvl w:ilvl="1">
      <w:lvlJc w:val="left"/>
      <w:lvlText w:val="(%2)"/>
      <w:numFmt w:val="lowerLetter"/>
      <w:start w:val="2"/>
    </w:lvl>
  </w:abstractNum>
  <w:abstractNum w:abstractNumId="179">
    <w:nsid w:val="4A10B4E8"/>
    <w:multiLevelType w:val="hybridMultilevel"/>
    <w:lvl w:ilvl="0">
      <w:lvlJc w:val="left"/>
      <w:lvlText w:val="%1."/>
      <w:numFmt w:val="decimal"/>
      <w:start w:val="33"/>
    </w:lvl>
    <w:lvl w:ilvl="1">
      <w:lvlJc w:val="left"/>
      <w:lvlText w:val="%2"/>
      <w:numFmt w:val="lowerLetter"/>
      <w:start w:val="1"/>
    </w:lvl>
  </w:abstractNum>
  <w:abstractNum w:abstractNumId="180">
    <w:nsid w:val="43D3BCD4"/>
    <w:multiLevelType w:val="hybridMultilevel"/>
    <w:lvl w:ilvl="0">
      <w:lvlJc w:val="left"/>
      <w:lvlText w:val="(%1)"/>
      <w:numFmt w:val="lowerLetter"/>
      <w:start w:val="1"/>
    </w:lvl>
  </w:abstractNum>
  <w:abstractNum w:abstractNumId="181">
    <w:nsid w:val="4C2A7166"/>
    <w:multiLevelType w:val="hybridMultilevel"/>
    <w:lvl w:ilvl="0">
      <w:lvlJc w:val="left"/>
      <w:lvlText w:val="%1."/>
      <w:numFmt w:val="decimal"/>
      <w:start w:val="34"/>
    </w:lvl>
  </w:abstractNum>
  <w:abstractNum w:abstractNumId="182">
    <w:nsid w:val="2E534A82"/>
    <w:multiLevelType w:val="hybridMultilevel"/>
    <w:lvl w:ilvl="0">
      <w:lvlJc w:val="left"/>
      <w:lvlText w:val="(%1)"/>
      <w:numFmt w:val="lowerLetter"/>
      <w:start w:val="1"/>
    </w:lvl>
  </w:abstractNum>
  <w:abstractNum w:abstractNumId="183">
    <w:nsid w:val="26F2D364"/>
    <w:multiLevelType w:val="hybridMultilevel"/>
    <w:lvl w:ilvl="0">
      <w:lvlJc w:val="left"/>
      <w:lvlText w:val="%1."/>
      <w:numFmt w:val="decimal"/>
      <w:start w:val="35"/>
    </w:lvl>
  </w:abstractNum>
  <w:abstractNum w:abstractNumId="184">
    <w:nsid w:val="71C1AF98"/>
    <w:multiLevelType w:val="hybridMultilevel"/>
    <w:lvl w:ilvl="0">
      <w:lvlJc w:val="left"/>
      <w:lvlText w:val="(%1)"/>
      <w:numFmt w:val="lowerLetter"/>
      <w:start w:val="1"/>
    </w:lvl>
  </w:abstractNum>
  <w:abstractNum w:abstractNumId="185">
    <w:nsid w:val="3D00B9D9"/>
    <w:multiLevelType w:val="hybridMultilevel"/>
    <w:lvl w:ilvl="0">
      <w:lvlJc w:val="left"/>
      <w:lvlText w:val="%1."/>
      <w:numFmt w:val="decimal"/>
      <w:start w:val="37"/>
    </w:lvl>
  </w:abstractNum>
  <w:abstractNum w:abstractNumId="186">
    <w:nsid w:val="15BCABA8"/>
    <w:multiLevelType w:val="hybridMultilevel"/>
    <w:lvl w:ilvl="0">
      <w:lvlJc w:val="left"/>
      <w:lvlText w:val="(%1)"/>
      <w:numFmt w:val="lowerLetter"/>
      <w:start w:val="1"/>
    </w:lvl>
  </w:abstractNum>
  <w:abstractNum w:abstractNumId="187">
    <w:nsid w:val="4E0B9A87"/>
    <w:multiLevelType w:val="hybridMultilevel"/>
    <w:lvl w:ilvl="0">
      <w:lvlJc w:val="left"/>
      <w:lvlText w:val="%1."/>
      <w:numFmt w:val="decimal"/>
      <w:start w:val="38"/>
    </w:lvl>
  </w:abstractNum>
  <w:abstractNum w:abstractNumId="188">
    <w:nsid w:val="434BAE75"/>
    <w:multiLevelType w:val="hybridMultilevel"/>
    <w:lvl w:ilvl="0">
      <w:lvlJc w:val="left"/>
      <w:lvlText w:val="(%1)"/>
      <w:numFmt w:val="lowerLetter"/>
      <w:start w:val="1"/>
    </w:lvl>
  </w:abstractNum>
  <w:abstractNum w:abstractNumId="189">
    <w:nsid w:val="4F38F265"/>
    <w:multiLevelType w:val="hybridMultilevel"/>
    <w:lvl w:ilvl="0">
      <w:lvlJc w:val="left"/>
      <w:lvlText w:val="(%1)"/>
      <w:numFmt w:val="lowerLetter"/>
      <w:start w:val="1"/>
    </w:lvl>
  </w:abstractNum>
  <w:abstractNum w:abstractNumId="190">
    <w:nsid w:val="4C502870"/>
    <w:multiLevelType w:val="hybridMultilevel"/>
    <w:lvl w:ilvl="0">
      <w:lvlJc w:val="left"/>
      <w:lvlText w:val="(%1)"/>
      <w:numFmt w:val="lowerLetter"/>
      <w:start w:val="1"/>
    </w:lvl>
  </w:abstractNum>
  <w:abstractNum w:abstractNumId="191">
    <w:nsid w:val="1DE8725A"/>
    <w:multiLevelType w:val="hybridMultilevel"/>
    <w:lvl w:ilvl="0">
      <w:lvlJc w:val="left"/>
      <w:lvlText w:val="(%1)"/>
      <w:numFmt w:val="lowerLetter"/>
      <w:start w:val="1"/>
    </w:lvl>
  </w:abstractNum>
  <w:abstractNum w:abstractNumId="192">
    <w:nsid w:val="6A37288A"/>
    <w:multiLevelType w:val="hybridMultilevel"/>
    <w:lvl w:ilvl="0">
      <w:lvlJc w:val="left"/>
      <w:lvlText w:val="(%1)"/>
      <w:numFmt w:val="lowerLetter"/>
      <w:start w:val="1"/>
    </w:lvl>
  </w:abstractNum>
  <w:abstractNum w:abstractNumId="193">
    <w:nsid w:val="8F8B73F"/>
    <w:multiLevelType w:val="hybridMultilevel"/>
    <w:lvl w:ilvl="0">
      <w:lvlJc w:val="left"/>
      <w:lvlText w:val="%1."/>
      <w:numFmt w:val="decimal"/>
      <w:start w:val="39"/>
    </w:lvl>
  </w:abstractNum>
  <w:abstractNum w:abstractNumId="194">
    <w:nsid w:val="CA6B462"/>
    <w:multiLevelType w:val="hybridMultilevel"/>
    <w:lvl w:ilvl="0">
      <w:lvlJc w:val="left"/>
      <w:lvlText w:val="(%1)"/>
      <w:numFmt w:val="lowerLetter"/>
      <w:start w:val="1"/>
    </w:lvl>
  </w:abstractNum>
  <w:abstractNum w:abstractNumId="195">
    <w:nsid w:val="763CB680"/>
    <w:multiLevelType w:val="hybridMultilevel"/>
    <w:lvl w:ilvl="0">
      <w:lvlJc w:val="left"/>
      <w:lvlText w:val="(%1)"/>
      <w:numFmt w:val="lowerRoman"/>
      <w:start w:val="1"/>
    </w:lvl>
  </w:abstractNum>
  <w:abstractNum w:abstractNumId="196">
    <w:nsid w:val="15B71329"/>
    <w:multiLevelType w:val="hybridMultilevel"/>
    <w:lvl w:ilvl="0">
      <w:lvlJc w:val="left"/>
      <w:lvlText w:val="%1"/>
      <w:numFmt w:val="decimal"/>
      <w:start w:val="1"/>
    </w:lvl>
    <w:lvl w:ilvl="1">
      <w:lvlJc w:val="left"/>
      <w:lvlText w:val="(%2)"/>
      <w:numFmt w:val="lowerLetter"/>
      <w:start w:val="2"/>
    </w:lvl>
  </w:abstractNum>
  <w:abstractNum w:abstractNumId="197">
    <w:nsid w:val="3DA97044"/>
    <w:multiLevelType w:val="hybridMultilevel"/>
    <w:lvl w:ilvl="0">
      <w:lvlJc w:val="left"/>
      <w:lvlText w:val="%1."/>
      <w:numFmt w:val="decimal"/>
      <w:start w:val="40"/>
    </w:lvl>
    <w:lvl w:ilvl="1">
      <w:lvlJc w:val="left"/>
      <w:lvlText w:val="%2"/>
      <w:numFmt w:val="lowerLetter"/>
      <w:start w:val="1"/>
    </w:lvl>
  </w:abstractNum>
  <w:abstractNum w:abstractNumId="198">
    <w:nsid w:val="1CDCE2DE"/>
    <w:multiLevelType w:val="hybridMultilevel"/>
    <w:lvl w:ilvl="0">
      <w:lvlJc w:val="left"/>
      <w:lvlText w:val="(%1)"/>
      <w:numFmt w:val="lowerLetter"/>
      <w:start w:val="1"/>
    </w:lvl>
  </w:abstractNum>
  <w:abstractNum w:abstractNumId="199">
    <w:nsid w:val="69D3947C"/>
    <w:multiLevelType w:val="hybridMultilevel"/>
    <w:lvl w:ilvl="0">
      <w:lvlJc w:val="left"/>
      <w:lvlText w:val="(%1)"/>
      <w:numFmt w:val="lowerLetter"/>
      <w:start w:val="2"/>
    </w:lvl>
    <w:lvl w:ilvl="1">
      <w:lvlJc w:val="left"/>
      <w:lvlText w:val="(%2)"/>
      <w:numFmt w:val="lowerRoman"/>
      <w:start w:val="1"/>
    </w:lvl>
  </w:abstractNum>
  <w:abstractNum w:abstractNumId="200">
    <w:nsid w:val="2539DFA5"/>
    <w:multiLevelType w:val="hybridMultilevel"/>
    <w:lvl w:ilvl="0">
      <w:lvlJc w:val="left"/>
      <w:lvlText w:val="(%1)"/>
      <w:numFmt w:val="lowerLetter"/>
      <w:start w:val="7"/>
    </w:lvl>
  </w:abstractNum>
  <w:abstractNum w:abstractNumId="201">
    <w:nsid w:val="2DB88089"/>
    <w:multiLevelType w:val="hybridMultilevel"/>
    <w:lvl w:ilvl="0">
      <w:lvlJc w:val="left"/>
      <w:lvlText w:val="(%1)"/>
      <w:numFmt w:val="lowerLetter"/>
      <w:start w:val="1"/>
    </w:lvl>
  </w:abstractNum>
  <w:abstractNum w:abstractNumId="202">
    <w:nsid w:val="706B674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3">
    <w:nsid w:val="2C106A57"/>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abstractNum>
  <w:abstractNum w:abstractNumId="204">
    <w:nsid w:val="684EED59"/>
    <w:multiLevelType w:val="hybridMultilevel"/>
    <w:lvl w:ilvl="0">
      <w:lvlJc w:val="left"/>
      <w:lvlText w:val="%1."/>
      <w:numFmt w:val="decimal"/>
      <w:start w:val="42"/>
    </w:lvl>
  </w:abstractNum>
  <w:abstractNum w:abstractNumId="205">
    <w:nsid w:val="545EE5D3"/>
    <w:multiLevelType w:val="hybridMultilevel"/>
    <w:lvl w:ilvl="0">
      <w:lvlJc w:val="left"/>
      <w:lvlText w:val="%1"/>
      <w:numFmt w:val="decimal"/>
      <w:start w:val="1"/>
    </w:lvl>
    <w:lvl w:ilvl="1">
      <w:lvlJc w:val="left"/>
      <w:lvlText w:val="(%2)"/>
      <w:numFmt w:val="lowerLetter"/>
      <w:start w:val="1"/>
    </w:lvl>
  </w:abstractNum>
  <w:abstractNum w:abstractNumId="206">
    <w:nsid w:val="4A66051"/>
    <w:multiLevelType w:val="hybridMultilevel"/>
    <w:lvl w:ilvl="0">
      <w:lvlJc w:val="left"/>
      <w:lvlText w:val="%1."/>
      <w:numFmt w:val="decimal"/>
      <w:start w:val="44"/>
    </w:lvl>
    <w:lvl w:ilvl="1">
      <w:lvlJc w:val="left"/>
      <w:lvlText w:val="%2"/>
      <w:numFmt w:val="lowerLetter"/>
      <w:start w:val="1"/>
    </w:lvl>
  </w:abstractNum>
  <w:abstractNum w:abstractNumId="207">
    <w:nsid w:val="20F4BDAD"/>
    <w:multiLevelType w:val="hybridMultilevel"/>
    <w:lvl w:ilvl="0">
      <w:lvlJc w:val="left"/>
      <w:lvlText w:val="%1."/>
      <w:numFmt w:val="decimal"/>
      <w:start w:val="45"/>
    </w:lvl>
  </w:abstractNum>
  <w:abstractNum w:abstractNumId="208">
    <w:nsid w:val="639DEFAC"/>
    <w:multiLevelType w:val="hybridMultilevel"/>
    <w:lvl w:ilvl="0">
      <w:lvlJc w:val="left"/>
      <w:lvlText w:val="(%1)"/>
      <w:numFmt w:val="lowerLetter"/>
      <w:start w:val="1"/>
    </w:lvl>
  </w:abstractNum>
  <w:abstractNum w:abstractNumId="209">
    <w:nsid w:val="501F9786"/>
    <w:multiLevelType w:val="hybridMultilevel"/>
    <w:lvl w:ilvl="0">
      <w:lvlJc w:val="left"/>
      <w:lvlText w:val="(%1)"/>
      <w:numFmt w:val="lowerRoman"/>
      <w:start w:val="1"/>
    </w:lvl>
  </w:abstractNum>
  <w:abstractNum w:abstractNumId="210">
    <w:nsid w:val="6B057295"/>
    <w:multiLevelType w:val="hybridMultilevel"/>
    <w:lvl w:ilvl="0">
      <w:lvlJc w:val="left"/>
      <w:lvlText w:val="(%1)"/>
      <w:numFmt w:val="lowerLetter"/>
      <w:start w:val="1"/>
    </w:lvl>
  </w:abstractNum>
  <w:abstractNum w:abstractNumId="211">
    <w:nsid w:val="2771AC80"/>
    <w:multiLevelType w:val="hybridMultilevel"/>
    <w:lvl w:ilvl="0">
      <w:lvlJc w:val="left"/>
      <w:lvlText w:val="(%1)"/>
      <w:numFmt w:val="lowerLetter"/>
      <w:start w:val="1"/>
    </w:lvl>
  </w:abstractNum>
  <w:abstractNum w:abstractNumId="212">
    <w:nsid w:val="1C4A08EC"/>
    <w:multiLevelType w:val="hybridMultilevel"/>
    <w:lvl w:ilvl="0">
      <w:lvlJc w:val="left"/>
      <w:lvlText w:val="(%1)"/>
      <w:numFmt w:val="lowerLetter"/>
      <w:start w:val="1"/>
    </w:lvl>
  </w:abstractNum>
  <w:abstractNum w:abstractNumId="213">
    <w:nsid w:val="1958BD17"/>
    <w:multiLevelType w:val="hybridMultilevel"/>
    <w:lvl w:ilvl="0">
      <w:lvlJc w:val="left"/>
      <w:lvlText w:val="%1."/>
      <w:numFmt w:val="decimal"/>
      <w:start w:val="46"/>
    </w:lvl>
  </w:abstractNum>
  <w:abstractNum w:abstractNumId="214">
    <w:nsid w:val="4E647FE4"/>
    <w:multiLevelType w:val="hybridMultilevel"/>
    <w:lvl w:ilvl="0">
      <w:lvlJc w:val="left"/>
      <w:lvlText w:val="(%1)"/>
      <w:numFmt w:val="lowerLetter"/>
      <w:start w:val="1"/>
    </w:lvl>
  </w:abstractNum>
  <w:abstractNum w:abstractNumId="215">
    <w:nsid w:val="E0BB885"/>
    <w:multiLevelType w:val="hybridMultilevel"/>
    <w:lvl w:ilvl="0">
      <w:lvlJc w:val="left"/>
      <w:lvlText w:val="(%1)"/>
      <w:numFmt w:val="lowerLetter"/>
      <w:start w:val="1"/>
    </w:lvl>
  </w:abstractNum>
  <w:abstractNum w:abstractNumId="216">
    <w:nsid w:val="565976F1"/>
    <w:multiLevelType w:val="hybridMultilevel"/>
    <w:lvl w:ilvl="0">
      <w:lvlJc w:val="left"/>
      <w:lvlText w:val="(%1)"/>
      <w:numFmt w:val="lowerRoman"/>
      <w:start w:val="1"/>
    </w:lvl>
  </w:abstractNum>
  <w:abstractNum w:abstractNumId="217">
    <w:nsid w:val="64212B8C"/>
    <w:multiLevelType w:val="hybridMultilevel"/>
    <w:lvl w:ilvl="0">
      <w:lvlJc w:val="left"/>
      <w:lvlText w:val="%1."/>
      <w:numFmt w:val="decimal"/>
      <w:start w:val="47"/>
    </w:lvl>
  </w:abstractNum>
  <w:abstractNum w:abstractNumId="218">
    <w:nsid w:val="5C17530C"/>
    <w:multiLevelType w:val="hybridMultilevel"/>
    <w:lvl w:ilvl="0">
      <w:lvlJc w:val="left"/>
      <w:lvlText w:val="(%1)"/>
      <w:numFmt w:val="lowerLetter"/>
      <w:start w:val="1"/>
    </w:lvl>
  </w:abstractNum>
  <w:abstractNum w:abstractNumId="219">
    <w:nsid w:val="19A52566"/>
    <w:multiLevelType w:val="hybridMultilevel"/>
    <w:lvl w:ilvl="0">
      <w:lvlJc w:val="left"/>
      <w:lvlText w:val="%1."/>
      <w:numFmt w:val="decimal"/>
      <w:start w:val="48"/>
    </w:lvl>
  </w:abstractNum>
  <w:abstractNum w:abstractNumId="220">
    <w:nsid w:val="335A1DF1"/>
    <w:multiLevelType w:val="hybridMultilevel"/>
    <w:lvl w:ilvl="0">
      <w:lvlJc w:val="left"/>
      <w:lvlText w:val="(%1)"/>
      <w:numFmt w:val="lowerLetter"/>
      <w:start w:val="1"/>
    </w:lvl>
    <w:lvl w:ilvl="1">
      <w:lvlJc w:val="left"/>
      <w:lvlText w:val="(%2)"/>
      <w:numFmt w:val="lowerRoman"/>
      <w:start w:val="1"/>
    </w:lvl>
  </w:abstractNum>
  <w:abstractNum w:abstractNumId="221">
    <w:nsid w:val="28677B7C"/>
    <w:multiLevelType w:val="hybridMultilevel"/>
    <w:lvl w:ilvl="0">
      <w:lvlJc w:val="left"/>
      <w:lvlText w:val="%1."/>
      <w:numFmt w:val="decimal"/>
      <w:start w:val="49"/>
    </w:lvl>
  </w:abstractNum>
  <w:abstractNum w:abstractNumId="222">
    <w:nsid w:val="378D97C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2020-05-08T14:19:11Z</dcterms:created>
  <dcterms:modified xsi:type="dcterms:W3CDTF">2020-05-08T14:19:11Z</dcterms:modified>
</cp:coreProperties>
</file>