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23"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ind w:right="300"/>
        <w:spacing w:after="0" w:line="255"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September 3, 2025, the Board of Directors (the “Board”) of LivaNova PLC (the “Company”) appointed Donald Zurbay to the Board and as a member of the Audit and Compliance Committee of the Board. His term begins September 4, 2025.</w:t>
      </w:r>
    </w:p>
    <w:p>
      <w:pPr>
        <w:spacing w:after="0" w:line="1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Mr. Zurbay has served in numerous key leadership positions at different healthcare companies over the past 20 years. Most recently, Mr. Zurbay was the President, Chief Executive Officer and a member of the board of directors of Patterson Companies, Inc. (“Patterson Companies”), a distributor of dental and animal health products and services, from October 2022 until May 2025. Prior to that time, Mr. Zurbay served as the Chief Financial Officer of</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Patterson Companies from June 2018 to October 2022. Prior to working at Patterson Companies, Mr. Zurbay spent 13 years with St. Jude Medical, Inc., formerly a global medical device company, where he served in various leadership roles including Vice President and Corporate Controller from March 2004 to August 2012, and Chief Financial Officer from August 2012 to February 2017.</w:t>
      </w:r>
    </w:p>
    <w:p>
      <w:pPr>
        <w:spacing w:after="0" w:line="19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Consistent with the Company’s other non-executive directors, Mr. Zurbay will be compensated in accordance with the Company’s Remuneration Policy (the “Policy”). In connection with this appointment and pursuant to the Policy, Mr. Zurbay will receive an annual board retainer fee of $70,000, an Audit and Compliance Committee annual member fee of $15,000, and an annual, service-based restricted stock award grant with a fair market value of $185,000, in each case prorated for his service until the 2026 Annual General Meeting.</w:t>
      </w:r>
    </w:p>
    <w:p>
      <w:pPr>
        <w:spacing w:after="0" w:line="19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There is no arrangement or understanding between Mr. Zurbay and any other person pursuant to which Mr. Zurbay was selected as a director. In addition, Mr. Zurbay is not, and has not been since January 1, 2024, a participant in any transaction involving the Company, and Mr. Zurbay is not a participant in any proposed transaction with the Company, in each case, required to be disclosed pursuant to Item 404(a) of Regulation S-K.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580"/>
        <w:spacing w:after="0"/>
        <w:tabs>
          <w:tab w:leader="none" w:pos="5560" w:val="left"/>
        </w:tabs>
        <w:rPr>
          <w:sz w:val="20"/>
          <w:szCs w:val="20"/>
          <w:color w:val="auto"/>
        </w:rPr>
      </w:pPr>
      <w:r>
        <w:rPr>
          <w:rFonts w:ascii="Times New Roman" w:cs="Times New Roman" w:eastAsia="Times New Roman" w:hAnsi="Times New Roman"/>
          <w:sz w:val="18"/>
          <w:szCs w:val="18"/>
          <w:color w:val="auto"/>
        </w:rPr>
        <w:t>Date: September 4, 2025</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Hutchinson</w:t>
      </w:r>
    </w:p>
    <w:p>
      <w:pPr>
        <w:spacing w:after="0" w:line="63" w:lineRule="exact"/>
        <w:rPr>
          <w:sz w:val="20"/>
          <w:szCs w:val="20"/>
          <w:color w:val="auto"/>
        </w:rPr>
      </w:pPr>
    </w:p>
    <w:p>
      <w:pPr>
        <w:jc w:val="right"/>
        <w:ind w:right="358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SVP, Company Secretary &amp; Chief Legal Officer</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2025-09-04T08:08:22Z</dcterms:created>
  <dcterms:modified xsi:type="dcterms:W3CDTF">2025-09-04T08:08:22Z</dcterms:modified>
</cp:coreProperties>
</file>