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0"/>
          <w:szCs w:val="20"/>
          <w:b w:val="1"/>
          <w:bCs w:val="1"/>
          <w:color w:val="auto"/>
        </w:rPr>
        <w:t>UNITED STATES</w:t>
      </w:r>
    </w:p>
    <w:p>
      <w:pPr>
        <w:jc w:val="center"/>
        <w:ind w:right="-79"/>
        <w:spacing w:after="0" w:line="199" w:lineRule="auto"/>
        <w:rPr>
          <w:sz w:val="20"/>
          <w:szCs w:val="20"/>
          <w:color w:val="auto"/>
        </w:rPr>
      </w:pPr>
      <w:r>
        <w:rPr>
          <w:rFonts w:ascii="Arial" w:cs="Arial" w:eastAsia="Arial" w:hAnsi="Arial"/>
          <w:sz w:val="20"/>
          <w:szCs w:val="20"/>
          <w:b w:val="1"/>
          <w:bCs w:val="1"/>
          <w:color w:val="auto"/>
        </w:rPr>
        <w:t>SECURITIES AND EXCHANGE COMMISSION</w:t>
      </w:r>
    </w:p>
    <w:p>
      <w:pPr>
        <w:jc w:val="center"/>
        <w:ind w:right="-79"/>
        <w:spacing w:after="0" w:line="200"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1"/>
          <w:szCs w:val="11"/>
          <w:color w:val="auto"/>
        </w:rPr>
        <w:t>_________________________</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10-Q</w:t>
      </w:r>
    </w:p>
    <w:p>
      <w:pPr>
        <w:spacing w:after="0" w:line="158"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ind w:left="1180" w:right="6160"/>
        <w:spacing w:after="0" w:line="316" w:lineRule="auto"/>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OF THE SECURITIES EXCHANGE ACT OF 1934 </w:t>
      </w:r>
      <w:r>
        <w:rPr>
          <w:rFonts w:ascii="Arial" w:cs="Arial" w:eastAsia="Arial" w:hAnsi="Arial"/>
          <w:sz w:val="17"/>
          <w:szCs w:val="17"/>
          <w:color w:val="auto"/>
        </w:rPr>
        <w:t>For the quarterly period ended March 31, 2018</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47"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_______________ to _______________</w:t>
      </w:r>
    </w:p>
    <w:p>
      <w:pPr>
        <w:spacing w:after="0" w:line="145"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4980" w:type="dxa"/>
            <w:vAlign w:val="bottom"/>
          </w:tcPr>
          <w:p>
            <w:pPr>
              <w:jc w:val="center"/>
              <w:ind w:right="1678"/>
              <w:spacing w:after="0"/>
              <w:rPr>
                <w:sz w:val="20"/>
                <w:szCs w:val="20"/>
                <w:color w:val="auto"/>
              </w:rPr>
            </w:pPr>
            <w:r>
              <w:rPr>
                <w:rFonts w:ascii="Arial" w:cs="Arial" w:eastAsia="Arial" w:hAnsi="Arial"/>
                <w:sz w:val="16"/>
                <w:szCs w:val="16"/>
                <w:b w:val="1"/>
                <w:bCs w:val="1"/>
                <w:color w:val="auto"/>
                <w:w w:val="91"/>
              </w:rPr>
              <w:t>Commission file number: 001-37599</w:t>
            </w:r>
          </w:p>
        </w:tc>
        <w:tc>
          <w:tcPr>
            <w:tcW w:w="0" w:type="dxa"/>
            <w:vAlign w:val="bottom"/>
          </w:tcPr>
          <w:p>
            <w:pPr>
              <w:spacing w:after="0"/>
              <w:rPr>
                <w:sz w:val="1"/>
                <w:szCs w:val="1"/>
                <w:color w:val="auto"/>
              </w:rPr>
            </w:pPr>
          </w:p>
        </w:tc>
      </w:tr>
      <w:tr>
        <w:trPr>
          <w:trHeight w:val="1091"/>
        </w:trPr>
        <w:tc>
          <w:tcPr>
            <w:tcW w:w="2360" w:type="dxa"/>
            <w:vAlign w:val="bottom"/>
          </w:tcPr>
          <w:p>
            <w:pPr>
              <w:spacing w:after="0"/>
              <w:rPr>
                <w:sz w:val="24"/>
                <w:szCs w:val="24"/>
                <w:color w:val="auto"/>
              </w:rPr>
            </w:pPr>
          </w:p>
        </w:tc>
        <w:tc>
          <w:tcPr>
            <w:tcW w:w="4980" w:type="dxa"/>
            <w:vAlign w:val="bottom"/>
          </w:tcPr>
          <w:p>
            <w:pPr>
              <w:jc w:val="center"/>
              <w:ind w:right="1678"/>
              <w:spacing w:after="0"/>
              <w:rPr>
                <w:sz w:val="20"/>
                <w:szCs w:val="20"/>
                <w:color w:val="auto"/>
              </w:rPr>
            </w:pPr>
            <w:r>
              <w:rPr>
                <w:rFonts w:ascii="Arial" w:cs="Arial" w:eastAsia="Arial" w:hAnsi="Arial"/>
                <w:sz w:val="29"/>
                <w:szCs w:val="29"/>
                <w:b w:val="1"/>
                <w:bCs w:val="1"/>
                <w:color w:val="auto"/>
                <w:w w:val="95"/>
              </w:rPr>
              <w:t>LivaNova PLC</w:t>
            </w:r>
          </w:p>
        </w:tc>
        <w:tc>
          <w:tcPr>
            <w:tcW w:w="0" w:type="dxa"/>
            <w:vAlign w:val="bottom"/>
          </w:tcPr>
          <w:p>
            <w:pPr>
              <w:spacing w:after="0"/>
              <w:rPr>
                <w:sz w:val="1"/>
                <w:szCs w:val="1"/>
                <w:color w:val="auto"/>
              </w:rPr>
            </w:pPr>
          </w:p>
        </w:tc>
      </w:tr>
      <w:tr>
        <w:trPr>
          <w:trHeight w:val="226"/>
        </w:trPr>
        <w:tc>
          <w:tcPr>
            <w:tcW w:w="2360" w:type="dxa"/>
            <w:vAlign w:val="bottom"/>
          </w:tcPr>
          <w:p>
            <w:pPr>
              <w:spacing w:after="0"/>
              <w:rPr>
                <w:sz w:val="19"/>
                <w:szCs w:val="19"/>
                <w:color w:val="auto"/>
              </w:rPr>
            </w:pPr>
          </w:p>
        </w:tc>
        <w:tc>
          <w:tcPr>
            <w:tcW w:w="4980" w:type="dxa"/>
            <w:vAlign w:val="bottom"/>
          </w:tcPr>
          <w:p>
            <w:pPr>
              <w:jc w:val="center"/>
              <w:ind w:right="167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378"/>
        </w:trPr>
        <w:tc>
          <w:tcPr>
            <w:tcW w:w="236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England and Wales</w:t>
            </w:r>
          </w:p>
        </w:tc>
        <w:tc>
          <w:tcPr>
            <w:tcW w:w="4980" w:type="dxa"/>
            <w:vAlign w:val="bottom"/>
          </w:tcPr>
          <w:p>
            <w:pPr>
              <w:jc w:val="right"/>
              <w:ind w:right="98"/>
              <w:spacing w:after="0"/>
              <w:rPr>
                <w:sz w:val="20"/>
                <w:szCs w:val="20"/>
                <w:color w:val="auto"/>
              </w:rPr>
            </w:pPr>
            <w:r>
              <w:rPr>
                <w:rFonts w:ascii="Arial" w:cs="Arial" w:eastAsia="Arial" w:hAnsi="Arial"/>
                <w:sz w:val="14"/>
                <w:szCs w:val="14"/>
                <w:b w:val="1"/>
                <w:bCs w:val="1"/>
                <w:color w:val="auto"/>
              </w:rPr>
              <w:t>98-1268150</w:t>
            </w:r>
          </w:p>
        </w:tc>
        <w:tc>
          <w:tcPr>
            <w:tcW w:w="0" w:type="dxa"/>
            <w:vAlign w:val="bottom"/>
          </w:tcPr>
          <w:p>
            <w:pPr>
              <w:spacing w:after="0"/>
              <w:rPr>
                <w:sz w:val="1"/>
                <w:szCs w:val="1"/>
                <w:color w:val="auto"/>
              </w:rPr>
            </w:pPr>
          </w:p>
        </w:tc>
      </w:tr>
      <w:tr>
        <w:trPr>
          <w:trHeight w:val="169"/>
        </w:trPr>
        <w:tc>
          <w:tcPr>
            <w:tcW w:w="2360" w:type="dxa"/>
            <w:vAlign w:val="bottom"/>
          </w:tcPr>
          <w:p>
            <w:pPr>
              <w:jc w:val="center"/>
              <w:ind w:right="48"/>
              <w:spacing w:after="0"/>
              <w:rPr>
                <w:sz w:val="20"/>
                <w:szCs w:val="20"/>
                <w:color w:val="auto"/>
              </w:rPr>
            </w:pPr>
            <w:r>
              <w:rPr>
                <w:rFonts w:ascii="Arial" w:cs="Arial" w:eastAsia="Arial" w:hAnsi="Arial"/>
                <w:sz w:val="14"/>
                <w:szCs w:val="14"/>
                <w:i w:val="1"/>
                <w:iCs w:val="1"/>
                <w:color w:val="auto"/>
                <w:w w:val="95"/>
              </w:rPr>
              <w:t>(State or other jurisdiction of</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1"/>
              </w:rPr>
              <w:t>(I.R.S. Employer</w:t>
            </w:r>
          </w:p>
        </w:tc>
        <w:tc>
          <w:tcPr>
            <w:tcW w:w="0" w:type="dxa"/>
            <w:vAlign w:val="bottom"/>
          </w:tcPr>
          <w:p>
            <w:pPr>
              <w:spacing w:after="0"/>
              <w:rPr>
                <w:sz w:val="1"/>
                <w:szCs w:val="1"/>
                <w:color w:val="auto"/>
              </w:rPr>
            </w:pPr>
          </w:p>
        </w:tc>
      </w:tr>
      <w:tr>
        <w:trPr>
          <w:trHeight w:val="182"/>
        </w:trPr>
        <w:tc>
          <w:tcPr>
            <w:tcW w:w="2360" w:type="dxa"/>
            <w:vAlign w:val="bottom"/>
          </w:tcPr>
          <w:p>
            <w:pPr>
              <w:jc w:val="center"/>
              <w:ind w:right="68"/>
              <w:spacing w:after="0"/>
              <w:rPr>
                <w:sz w:val="20"/>
                <w:szCs w:val="20"/>
                <w:color w:val="auto"/>
              </w:rPr>
            </w:pPr>
            <w:r>
              <w:rPr>
                <w:rFonts w:ascii="Arial" w:cs="Arial" w:eastAsia="Arial" w:hAnsi="Arial"/>
                <w:sz w:val="14"/>
                <w:szCs w:val="14"/>
                <w:i w:val="1"/>
                <w:iCs w:val="1"/>
                <w:color w:val="auto"/>
                <w:w w:val="97"/>
              </w:rPr>
              <w:t>incorporation or organization)</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65"/>
        </w:trPr>
        <w:tc>
          <w:tcPr>
            <w:tcW w:w="236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20 Eastbourne Terrace</w:t>
            </w:r>
          </w:p>
        </w:tc>
        <w:tc>
          <w:tcPr>
            <w:tcW w:w="4980" w:type="dxa"/>
            <w:vAlign w:val="bottom"/>
            <w:vMerge w:val="restart"/>
          </w:tcPr>
          <w:p>
            <w:pPr>
              <w:jc w:val="center"/>
              <w:ind w:left="3838"/>
              <w:spacing w:after="0"/>
              <w:rPr>
                <w:sz w:val="20"/>
                <w:szCs w:val="20"/>
                <w:color w:val="auto"/>
              </w:rPr>
            </w:pPr>
            <w:r>
              <w:rPr>
                <w:rFonts w:ascii="Arial" w:cs="Arial" w:eastAsia="Arial" w:hAnsi="Arial"/>
                <w:sz w:val="14"/>
                <w:szCs w:val="14"/>
                <w:b w:val="1"/>
                <w:bCs w:val="1"/>
                <w:color w:val="auto"/>
              </w:rPr>
              <w:t>W2 6LG</w:t>
            </w:r>
          </w:p>
        </w:tc>
        <w:tc>
          <w:tcPr>
            <w:tcW w:w="0" w:type="dxa"/>
            <w:vAlign w:val="bottom"/>
          </w:tcPr>
          <w:p>
            <w:pPr>
              <w:spacing w:after="0"/>
              <w:rPr>
                <w:sz w:val="1"/>
                <w:szCs w:val="1"/>
                <w:color w:val="auto"/>
              </w:rPr>
            </w:pPr>
          </w:p>
        </w:tc>
      </w:tr>
      <w:tr>
        <w:trPr>
          <w:trHeight w:val="186"/>
        </w:trPr>
        <w:tc>
          <w:tcPr>
            <w:tcW w:w="236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London, United Kingdom</w:t>
            </w:r>
          </w:p>
        </w:tc>
        <w:tc>
          <w:tcPr>
            <w:tcW w:w="4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jc w:val="center"/>
              <w:ind w:right="4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4980" w:type="dxa"/>
            <w:vAlign w:val="bottom"/>
          </w:tcPr>
          <w:p>
            <w:pPr>
              <w:jc w:val="center"/>
              <w:ind w:left="3838"/>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-1646555</wp:posOffset>
            </wp:positionV>
            <wp:extent cx="207518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462915"/>
                    </a:xfrm>
                    <a:prstGeom prst="rect">
                      <a:avLst/>
                    </a:prstGeom>
                    <a:noFill/>
                  </pic:spPr>
                </pic:pic>
              </a:graphicData>
            </a:graphic>
          </wp:anchor>
        </w:drawing>
      </w:r>
    </w:p>
    <w:p>
      <w:pPr>
        <w:spacing w:after="0" w:line="212" w:lineRule="exact"/>
        <w:rPr>
          <w:sz w:val="24"/>
          <w:szCs w:val="24"/>
          <w:color w:val="auto"/>
        </w:rPr>
      </w:pPr>
    </w:p>
    <w:p>
      <w:pPr>
        <w:jc w:val="center"/>
        <w:ind w:right="5660"/>
        <w:spacing w:after="0"/>
        <w:rPr>
          <w:sz w:val="20"/>
          <w:szCs w:val="20"/>
          <w:color w:val="auto"/>
        </w:rPr>
      </w:pPr>
      <w:r>
        <w:rPr>
          <w:rFonts w:ascii="Arial" w:cs="Arial" w:eastAsia="Arial" w:hAnsi="Arial"/>
          <w:sz w:val="14"/>
          <w:szCs w:val="14"/>
          <w:b w:val="1"/>
          <w:bCs w:val="1"/>
          <w:color w:val="auto"/>
        </w:rPr>
        <w:t>(44) (0) 20 3325 0660</w:t>
      </w:r>
    </w:p>
    <w:p>
      <w:pPr>
        <w:spacing w:after="0" w:line="46" w:lineRule="exact"/>
        <w:rPr>
          <w:sz w:val="24"/>
          <w:szCs w:val="24"/>
          <w:color w:val="auto"/>
        </w:rPr>
      </w:pPr>
    </w:p>
    <w:p>
      <w:pPr>
        <w:jc w:val="center"/>
        <w:ind w:right="566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72" w:lineRule="exact"/>
        <w:rPr>
          <w:sz w:val="24"/>
          <w:szCs w:val="24"/>
          <w:color w:val="auto"/>
        </w:rPr>
      </w:pPr>
    </w:p>
    <w:p>
      <w:pPr>
        <w:ind w:left="27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77" w:lineRule="exact"/>
        <w:rPr>
          <w:sz w:val="24"/>
          <w:szCs w:val="24"/>
          <w:color w:val="auto"/>
        </w:rPr>
      </w:pPr>
    </w:p>
    <w:p>
      <w:pPr>
        <w:ind w:left="1460"/>
        <w:spacing w:after="0"/>
        <w:tabs>
          <w:tab w:leader="none" w:pos="7480" w:val="left"/>
        </w:tabs>
        <w:rPr>
          <w:sz w:val="20"/>
          <w:szCs w:val="20"/>
          <w:color w:val="auto"/>
        </w:rPr>
      </w:pPr>
      <w:r>
        <w:rPr>
          <w:rFonts w:ascii="Arial" w:cs="Arial" w:eastAsia="Arial" w:hAnsi="Arial"/>
          <w:sz w:val="14"/>
          <w:szCs w:val="14"/>
          <w:b w:val="1"/>
          <w:bCs w:val="1"/>
          <w:color w:val="auto"/>
        </w:rPr>
        <w:t>Ordinary Shares — £1.00 par value per share</w:t>
      </w:r>
      <w:r>
        <w:rPr>
          <w:sz w:val="20"/>
          <w:szCs w:val="20"/>
          <w:color w:val="auto"/>
        </w:rPr>
        <w:tab/>
      </w:r>
      <w:r>
        <w:rPr>
          <w:rFonts w:ascii="Arial" w:cs="Arial" w:eastAsia="Arial" w:hAnsi="Arial"/>
          <w:sz w:val="13"/>
          <w:szCs w:val="13"/>
          <w:b w:val="1"/>
          <w:bCs w:val="1"/>
          <w:color w:val="auto"/>
        </w:rPr>
        <w:t>The NASDAQ Stock Market LLC</w:t>
      </w:r>
    </w:p>
    <w:p>
      <w:pPr>
        <w:spacing w:after="0" w:line="46" w:lineRule="exact"/>
        <w:rPr>
          <w:sz w:val="24"/>
          <w:szCs w:val="24"/>
          <w:color w:val="auto"/>
        </w:rPr>
      </w:pPr>
    </w:p>
    <w:p>
      <w:pPr>
        <w:ind w:left="2060"/>
        <w:spacing w:after="0"/>
        <w:tabs>
          <w:tab w:leader="none" w:pos="7200" w:val="left"/>
        </w:tabs>
        <w:rPr>
          <w:sz w:val="20"/>
          <w:szCs w:val="20"/>
          <w:color w:val="auto"/>
        </w:rPr>
      </w:pPr>
      <w:r>
        <w:rPr>
          <w:rFonts w:ascii="Arial" w:cs="Arial" w:eastAsia="Arial" w:hAnsi="Arial"/>
          <w:sz w:val="14"/>
          <w:szCs w:val="14"/>
          <w:i w:val="1"/>
          <w:iCs w:val="1"/>
          <w:color w:val="auto"/>
        </w:rPr>
        <w:t>Title of Each Class of Stock</w:t>
      </w:r>
      <w:r>
        <w:rPr>
          <w:sz w:val="20"/>
          <w:szCs w:val="20"/>
          <w:color w:val="auto"/>
        </w:rPr>
        <w:tab/>
      </w:r>
      <w:r>
        <w:rPr>
          <w:rFonts w:ascii="Arial" w:cs="Arial" w:eastAsia="Arial" w:hAnsi="Arial"/>
          <w:sz w:val="12"/>
          <w:szCs w:val="12"/>
          <w:i w:val="1"/>
          <w:iCs w:val="1"/>
          <w:color w:val="auto"/>
        </w:rPr>
        <w:t>Name of Each Exchange on Which Registered</w:t>
      </w:r>
    </w:p>
    <w:p>
      <w:pPr>
        <w:spacing w:after="0" w:line="18" w:lineRule="exact"/>
        <w:rPr>
          <w:sz w:val="24"/>
          <w:szCs w:val="24"/>
          <w:color w:val="auto"/>
        </w:rPr>
      </w:pPr>
    </w:p>
    <w:p>
      <w:pPr>
        <w:ind w:left="276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w:t>
      </w:r>
    </w:p>
    <w:p>
      <w:pPr>
        <w:spacing w:after="0" w:line="100" w:lineRule="exact"/>
        <w:rPr>
          <w:sz w:val="24"/>
          <w:szCs w:val="24"/>
          <w:color w:val="auto"/>
        </w:rPr>
      </w:pPr>
    </w:p>
    <w:p>
      <w:pPr>
        <w:ind w:right="160" w:firstLine="1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51" w:lineRule="exact"/>
        <w:rPr>
          <w:sz w:val="24"/>
          <w:szCs w:val="24"/>
          <w:color w:val="auto"/>
        </w:rPr>
      </w:pPr>
    </w:p>
    <w:p>
      <w:pPr>
        <w:ind w:firstLine="162"/>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pacing w:after="0" w:line="51" w:lineRule="exact"/>
        <w:rPr>
          <w:sz w:val="24"/>
          <w:szCs w:val="24"/>
          <w:color w:val="auto"/>
        </w:rPr>
      </w:pPr>
    </w:p>
    <w:p>
      <w:pPr>
        <w:ind w:right="42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760" w:right="299" w:bottom="1440" w:gutter="0" w:footer="0" w:header="0"/>
        </w:sectPr>
      </w:pPr>
    </w:p>
    <w:p>
      <w:pPr>
        <w:spacing w:after="0" w:line="348"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5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Pr>
          <w:p>
            <w:pPr>
              <w:ind w:left="900"/>
              <w:spacing w:after="0"/>
              <w:rPr>
                <w:sz w:val="20"/>
                <w:szCs w:val="20"/>
                <w:color w:val="auto"/>
              </w:rPr>
            </w:pPr>
            <w:r>
              <w:rPr>
                <w:rFonts w:ascii="Arial" w:cs="Arial" w:eastAsia="Arial" w:hAnsi="Arial"/>
                <w:sz w:val="16"/>
                <w:szCs w:val="16"/>
                <w:color w:val="auto"/>
              </w:rPr>
              <w:t>Accelerated filer</w:t>
            </w:r>
          </w:p>
        </w:tc>
      </w:tr>
      <w:tr>
        <w:trPr>
          <w:trHeight w:val="514"/>
        </w:trPr>
        <w:tc>
          <w:tcPr>
            <w:tcW w:w="2220" w:type="dxa"/>
            <w:vAlign w:val="bottom"/>
          </w:tcPr>
          <w:p>
            <w:pPr>
              <w:spacing w:after="0"/>
              <w:rPr>
                <w:sz w:val="20"/>
                <w:szCs w:val="20"/>
                <w:color w:val="auto"/>
              </w:rPr>
            </w:pPr>
            <w:r>
              <w:rPr>
                <w:rFonts w:ascii="Arial" w:cs="Arial" w:eastAsia="Arial" w:hAnsi="Arial"/>
                <w:sz w:val="16"/>
                <w:szCs w:val="16"/>
                <w:color w:val="auto"/>
              </w:rPr>
              <w:t>Non-accelerated filer</w:t>
            </w:r>
          </w:p>
        </w:tc>
        <w:tc>
          <w:tcPr>
            <w:tcW w:w="45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(Do not check if a smaller reporting company)</w:t>
            </w:r>
          </w:p>
        </w:tc>
        <w:tc>
          <w:tcPr>
            <w:tcW w:w="2660" w:type="dxa"/>
            <w:vAlign w:val="bottom"/>
          </w:tcPr>
          <w:p>
            <w:pPr>
              <w:ind w:left="900"/>
              <w:spacing w:after="0"/>
              <w:rPr>
                <w:sz w:val="20"/>
                <w:szCs w:val="20"/>
                <w:color w:val="auto"/>
              </w:rPr>
            </w:pPr>
            <w:r>
              <w:rPr>
                <w:rFonts w:ascii="Arial" w:cs="Arial" w:eastAsia="Arial" w:hAnsi="Arial"/>
                <w:sz w:val="16"/>
                <w:szCs w:val="16"/>
                <w:color w:val="auto"/>
                <w:w w:val="90"/>
              </w:rPr>
              <w:t>Smaller reporting company</w:t>
            </w:r>
          </w:p>
        </w:tc>
      </w:tr>
      <w:tr>
        <w:trPr>
          <w:trHeight w:val="283"/>
        </w:trPr>
        <w:tc>
          <w:tcPr>
            <w:tcW w:w="22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5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Pr>
          <w:p>
            <w:pPr>
              <w:spacing w:after="0"/>
              <w:rPr>
                <w:sz w:val="24"/>
                <w:szCs w:val="24"/>
                <w:color w:val="auto"/>
              </w:rPr>
            </w:pPr>
          </w:p>
        </w:tc>
      </w:tr>
    </w:tbl>
    <w:p>
      <w:pPr>
        <w:spacing w:after="0" w:line="105" w:lineRule="exact"/>
        <w:rPr>
          <w:sz w:val="24"/>
          <w:szCs w:val="24"/>
          <w:color w:val="auto"/>
        </w:rPr>
      </w:pPr>
    </w:p>
    <w:p>
      <w:pPr>
        <w:ind w:left="4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6" w:lineRule="exact"/>
        <w:rPr>
          <w:sz w:val="24"/>
          <w:szCs w:val="24"/>
          <w:color w:val="auto"/>
        </w:rPr>
      </w:pPr>
    </w:p>
    <w:p>
      <w:pPr>
        <w:ind w:left="180"/>
        <w:spacing w:after="0" w:line="161" w:lineRule="exact"/>
        <w:tabs>
          <w:tab w:leader="none" w:pos="66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1"/>
          <w:szCs w:val="11"/>
          <w:color w:val="auto"/>
        </w:rPr>
        <w:t>☑</w:t>
      </w:r>
    </w:p>
    <w:p>
      <w:pPr>
        <w:spacing w:after="0" w:line="192" w:lineRule="exact"/>
        <w:rPr>
          <w:sz w:val="24"/>
          <w:szCs w:val="24"/>
          <w:color w:val="auto"/>
        </w:rPr>
      </w:pPr>
    </w:p>
    <w:p>
      <w:pPr>
        <w:ind w:left="2580"/>
        <w:spacing w:after="0"/>
        <w:tabs>
          <w:tab w:leader="none" w:pos="7440" w:val="left"/>
        </w:tabs>
        <w:rPr>
          <w:sz w:val="20"/>
          <w:szCs w:val="20"/>
          <w:color w:val="auto"/>
        </w:rPr>
      </w:pPr>
      <w:r>
        <w:rPr>
          <w:rFonts w:ascii="Arial" w:cs="Arial" w:eastAsia="Arial" w:hAnsi="Arial"/>
          <w:sz w:val="16"/>
          <w:szCs w:val="16"/>
          <w:i w:val="1"/>
          <w:iCs w:val="1"/>
          <w:color w:val="auto"/>
        </w:rPr>
        <w:t>Class</w:t>
      </w:r>
      <w:r>
        <w:rPr>
          <w:sz w:val="20"/>
          <w:szCs w:val="20"/>
          <w:color w:val="auto"/>
        </w:rPr>
        <w:tab/>
      </w:r>
      <w:r>
        <w:rPr>
          <w:rFonts w:ascii="Arial" w:cs="Arial" w:eastAsia="Arial" w:hAnsi="Arial"/>
          <w:sz w:val="16"/>
          <w:szCs w:val="16"/>
          <w:i w:val="1"/>
          <w:iCs w:val="1"/>
          <w:color w:val="auto"/>
        </w:rPr>
        <w:t>Outstanding at April 26, 2018</w:t>
      </w:r>
    </w:p>
    <w:p>
      <w:pPr>
        <w:spacing w:after="0" w:line="64" w:lineRule="exact"/>
        <w:rPr>
          <w:sz w:val="24"/>
          <w:szCs w:val="24"/>
          <w:color w:val="auto"/>
        </w:rPr>
      </w:pPr>
    </w:p>
    <w:p>
      <w:pPr>
        <w:ind w:left="1520"/>
        <w:spacing w:after="0"/>
        <w:tabs>
          <w:tab w:leader="none" w:pos="8100" w:val="left"/>
        </w:tabs>
        <w:rPr>
          <w:sz w:val="20"/>
          <w:szCs w:val="20"/>
          <w:color w:val="auto"/>
        </w:rPr>
      </w:pPr>
      <w:r>
        <w:rPr>
          <w:rFonts w:ascii="Arial" w:cs="Arial" w:eastAsia="Arial" w:hAnsi="Arial"/>
          <w:sz w:val="14"/>
          <w:szCs w:val="14"/>
          <w:color w:val="auto"/>
        </w:rPr>
        <w:t>Ordinary Shares - £1.00 par value per share</w:t>
      </w:r>
      <w:r>
        <w:rPr>
          <w:sz w:val="20"/>
          <w:szCs w:val="20"/>
          <w:color w:val="auto"/>
        </w:rPr>
        <w:tab/>
      </w:r>
      <w:r>
        <w:rPr>
          <w:rFonts w:ascii="Arial" w:cs="Arial" w:eastAsia="Arial" w:hAnsi="Arial"/>
          <w:sz w:val="12"/>
          <w:szCs w:val="12"/>
          <w:color w:val="auto"/>
        </w:rPr>
        <w:t>48,435,677</w:t>
      </w:r>
    </w:p>
    <w:p>
      <w:pPr>
        <w:spacing w:after="0" w:line="262" w:lineRule="exact"/>
        <w:rPr>
          <w:sz w:val="24"/>
          <w:szCs w:val="24"/>
          <w:color w:val="auto"/>
        </w:rPr>
      </w:pPr>
    </w:p>
    <w:p>
      <w:pPr>
        <w:ind w:left="576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br w:type="column"/>
      </w:r>
    </w:p>
    <w:p>
      <w:pPr>
        <w:spacing w:after="0" w:line="3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6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180" w:space="180"/>
            <w:col w:w="1000"/>
          </w:cols>
          <w:pgMar w:left="240" w:top="760"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LIVANOVA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20" w:type="dxa"/>
            <w:vAlign w:val="bottom"/>
            <w:gridSpan w:val="9"/>
          </w:tcPr>
          <w:p>
            <w:pPr>
              <w:jc w:val="center"/>
              <w:ind w:right="300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PAGE NO.</w:t>
            </w: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Note About Forward Looking Statements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0000EE"/>
            </w:tcBorders>
            <w:gridSpan w:val="12"/>
            <w:shd w:val="clear" w:color="auto" w:fill="CCEEFF"/>
          </w:tcPr>
          <w:p>
            <w:pPr>
              <w:spacing w:after="0" w:line="20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4940" w:type="dxa"/>
            <w:vAlign w:val="bottom"/>
            <w:tcBorders>
              <w:bottom w:val="single" w:sz="8" w:color="CCEEFF"/>
            </w:tcBorders>
            <w:gridSpan w:val="5"/>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40" w:type="dxa"/>
            <w:vAlign w:val="bottom"/>
            <w:tcBorders>
              <w:bottom w:val="single" w:sz="8" w:color="0000EE"/>
              <w:right w:val="single" w:sz="8" w:color="CCEEFF"/>
            </w:tcBorders>
            <w:shd w:val="clear" w:color="auto" w:fill="CCEEFF"/>
          </w:tcPr>
          <w:p>
            <w:pPr>
              <w:jc w:val="center"/>
              <w:spacing w:after="0" w:line="20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360" w:type="dxa"/>
            <w:vAlign w:val="bottom"/>
            <w:gridSpan w:val="14"/>
            <w:shd w:val="clear" w:color="auto" w:fill="CCEEFF"/>
          </w:tcPr>
          <w:p>
            <w:pPr>
              <w:spacing w:after="0" w:line="202"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4840" w:type="dxa"/>
            <w:vAlign w:val="bottom"/>
            <w:gridSpan w:val="3"/>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gridSpan w:val="14"/>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4840" w:type="dxa"/>
            <w:vAlign w:val="bottom"/>
            <w:gridSpan w:val="3"/>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43</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95"/>
        </w:trPr>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20" w:type="dxa"/>
            <w:vAlign w:val="bottom"/>
            <w:tcBorders>
              <w:bottom w:val="single" w:sz="8" w:color="CCEEFF"/>
            </w:tcBorders>
            <w:gridSpan w:val="9"/>
            <w:shd w:val="clear" w:color="auto" w:fill="CCEEFF"/>
          </w:tcPr>
          <w:p>
            <w:pPr>
              <w:jc w:val="center"/>
              <w:ind w:right="3020"/>
              <w:spacing w:after="0"/>
              <w:rPr>
                <w:sz w:val="20"/>
                <w:szCs w:val="20"/>
                <w:color w:val="auto"/>
              </w:rPr>
            </w:pPr>
            <w:r>
              <w:rPr>
                <w:rFonts w:ascii="Arial" w:cs="Arial" w:eastAsia="Arial" w:hAnsi="Arial"/>
                <w:sz w:val="18"/>
                <w:szCs w:val="18"/>
                <w:b w:val="1"/>
                <w:bCs w:val="1"/>
                <w:color w:val="auto"/>
              </w:rPr>
              <w:t>PART II. OTHER INFORMATION</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r>
      <w:tr>
        <w:trPr>
          <w:trHeight w:val="196"/>
        </w:trPr>
        <w:tc>
          <w:tcPr>
            <w:tcW w:w="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3"/>
          </w:tcPr>
          <w:p>
            <w:pPr>
              <w:spacing w:after="0" w:line="163" w:lineRule="exact"/>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40" w:type="dxa"/>
            <w:vAlign w:val="bottom"/>
            <w:tcBorders>
              <w:top w:val="single" w:sz="8" w:color="auto"/>
            </w:tcBorders>
          </w:tcPr>
          <w:p>
            <w:pPr>
              <w:spacing w:after="0"/>
              <w:rPr>
                <w:sz w:val="17"/>
                <w:szCs w:val="17"/>
                <w:color w:val="auto"/>
              </w:rPr>
            </w:pPr>
          </w:p>
        </w:tc>
        <w:tc>
          <w:tcPr>
            <w:tcW w:w="9200" w:type="dxa"/>
            <w:vAlign w:val="bottom"/>
            <w:tcBorders>
              <w:top w:val="single" w:sz="8" w:color="auto"/>
            </w:tcBorders>
            <w:gridSpan w:val="17"/>
          </w:tcPr>
          <w:p>
            <w:pPr>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720" w:type="dxa"/>
            <w:vAlign w:val="bottom"/>
            <w:tcBorders>
              <w:top w:val="single" w:sz="8" w:color="CCEEFF"/>
            </w:tcBorders>
            <w:gridSpan w:val="3"/>
          </w:tcPr>
          <w:p>
            <w:pPr>
              <w:jc w:val="center"/>
              <w:ind w:left="450"/>
              <w:spacing w:after="0" w:line="163"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tcBorders>
              <w:top w:val="single" w:sz="8" w:color="CCEEFF"/>
            </w:tcBorders>
          </w:tcPr>
          <w:p>
            <w:pPr>
              <w:spacing w:after="0"/>
              <w:rPr>
                <w:sz w:val="17"/>
                <w:szCs w:val="17"/>
                <w:color w:val="auto"/>
              </w:rPr>
            </w:pPr>
          </w:p>
        </w:tc>
      </w:tr>
      <w:tr>
        <w:trPr>
          <w:trHeight w:val="41"/>
        </w:trPr>
        <w:tc>
          <w:tcPr>
            <w:tcW w:w="40" w:type="dxa"/>
            <w:vAlign w:val="bottom"/>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20" w:type="dxa"/>
            <w:vAlign w:val="bottom"/>
          </w:tcPr>
          <w:p>
            <w:pPr>
              <w:spacing w:after="0"/>
              <w:rPr>
                <w:sz w:val="3"/>
                <w:szCs w:val="3"/>
                <w:color w:val="auto"/>
              </w:rPr>
            </w:pPr>
          </w:p>
        </w:tc>
      </w:tr>
      <w:tr>
        <w:trPr>
          <w:trHeight w:val="203"/>
        </w:trPr>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1A</w:t>
              </w:r>
            </w:hyperlink>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80" w:type="dxa"/>
            <w:vAlign w:val="bottom"/>
            <w:gridSpan w:val="2"/>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2</w:t>
              </w:r>
            </w:hyperlink>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gridSpan w:val="17"/>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56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5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3</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Defaults Upon Senior Securities</w:t>
              </w:r>
            </w:hyperlink>
          </w:p>
        </w:tc>
        <w:tc>
          <w:tcPr>
            <w:tcW w:w="6880" w:type="dxa"/>
            <w:vAlign w:val="bottom"/>
            <w:gridSpan w:val="11"/>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4</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gridSpan w:val="6"/>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6880" w:type="dxa"/>
            <w:vAlign w:val="bottom"/>
            <w:gridSpan w:val="11"/>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5</w:t>
              </w:r>
            </w:hyperlink>
          </w:p>
        </w:tc>
        <w:tc>
          <w:tcPr>
            <w:tcW w:w="54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0" w:type="dxa"/>
            <w:vAlign w:val="bottom"/>
            <w:gridSpan w:val="17"/>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720" w:type="dxa"/>
            <w:vAlign w:val="bottom"/>
            <w:tcBorders>
              <w:right w:val="single" w:sz="8" w:color="CCEEFF"/>
            </w:tcBorders>
            <w:gridSpan w:val="3"/>
            <w:shd w:val="clear" w:color="auto" w:fill="CCEEFF"/>
          </w:tcPr>
          <w:p>
            <w:pPr>
              <w:jc w:val="center"/>
              <w:ind w:left="45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line="202"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Item 6</w:t>
              </w:r>
            </w:hyperlink>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line="202"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7900" w:type="dxa"/>
            <w:vAlign w:val="bottom"/>
            <w:gridSpan w:val="14"/>
          </w:tcPr>
          <w:p>
            <w:pPr>
              <w:spacing w:after="0"/>
              <w:rPr>
                <w:sz w:val="17"/>
                <w:szCs w:val="17"/>
                <w:color w:val="auto"/>
              </w:rPr>
            </w:pPr>
          </w:p>
        </w:tc>
        <w:tc>
          <w:tcPr>
            <w:tcW w:w="720" w:type="dxa"/>
            <w:vAlign w:val="bottom"/>
            <w:gridSpan w:val="3"/>
          </w:tcPr>
          <w:p>
            <w:pPr>
              <w:jc w:val="center"/>
              <w:ind w:left="45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59" w:lineRule="exact"/>
        <w:rPr>
          <w:sz w:val="20"/>
          <w:szCs w:val="20"/>
          <w:color w:val="auto"/>
        </w:rPr>
      </w:pPr>
    </w:p>
    <w:p>
      <w:pPr>
        <w:ind w:left="660" w:right="14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the VITARIA</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System and our proprietary pulse generator products: Model 102 (Pulse</w:t>
      </w:r>
      <w:r>
        <w:rPr>
          <w:rFonts w:ascii="Arial" w:cs="Arial" w:eastAsia="Arial" w:hAnsi="Arial"/>
          <w:sz w:val="28"/>
          <w:szCs w:val="28"/>
          <w:color w:val="auto"/>
          <w:vertAlign w:val="superscript"/>
        </w:rPr>
        <w:t>®</w:t>
      </w:r>
      <w:r>
        <w:rPr>
          <w:rFonts w:ascii="Arial" w:cs="Arial" w:eastAsia="Arial" w:hAnsi="Arial"/>
          <w:sz w:val="18"/>
          <w:szCs w:val="18"/>
          <w:color w:val="auto"/>
        </w:rPr>
        <w:t>), Model 102R (Pulse Duo</w:t>
      </w:r>
      <w:r>
        <w:rPr>
          <w:rFonts w:ascii="Arial" w:cs="Arial" w:eastAsia="Arial" w:hAnsi="Arial"/>
          <w:sz w:val="28"/>
          <w:szCs w:val="28"/>
          <w:color w:val="auto"/>
          <w:vertAlign w:val="superscript"/>
        </w:rPr>
        <w:t>®</w:t>
      </w:r>
      <w:r>
        <w:rPr>
          <w:rFonts w:ascii="Arial" w:cs="Arial" w:eastAsia="Arial" w:hAnsi="Arial"/>
          <w:sz w:val="18"/>
          <w:szCs w:val="18"/>
          <w:color w:val="auto"/>
        </w:rPr>
        <w:t>), Model 103 (Demipulse</w:t>
      </w:r>
      <w:r>
        <w:rPr>
          <w:rFonts w:ascii="Arial" w:cs="Arial" w:eastAsia="Arial" w:hAnsi="Arial"/>
          <w:sz w:val="28"/>
          <w:szCs w:val="28"/>
          <w:color w:val="auto"/>
          <w:vertAlign w:val="superscript"/>
        </w:rPr>
        <w:t>®</w:t>
      </w:r>
      <w:r>
        <w:rPr>
          <w:rFonts w:ascii="Arial" w:cs="Arial" w:eastAsia="Arial" w:hAnsi="Arial"/>
          <w:sz w:val="18"/>
          <w:szCs w:val="18"/>
          <w:color w:val="auto"/>
        </w:rPr>
        <w:t>), Model 104 (Demipulse Duo</w:t>
      </w:r>
      <w:r>
        <w:rPr>
          <w:rFonts w:ascii="Arial" w:cs="Arial" w:eastAsia="Arial" w:hAnsi="Arial"/>
          <w:sz w:val="28"/>
          <w:szCs w:val="28"/>
          <w:color w:val="auto"/>
          <w:vertAlign w:val="superscript"/>
        </w:rPr>
        <w:t>®</w:t>
      </w:r>
      <w:r>
        <w:rPr>
          <w:rFonts w:ascii="Arial" w:cs="Arial" w:eastAsia="Arial" w:hAnsi="Arial"/>
          <w:sz w:val="18"/>
          <w:szCs w:val="18"/>
          <w:color w:val="auto"/>
        </w:rPr>
        <w:t>), Model 105 (AspireHC</w:t>
      </w:r>
      <w:r>
        <w:rPr>
          <w:rFonts w:ascii="Arial" w:cs="Arial" w:eastAsia="Arial" w:hAnsi="Arial"/>
          <w:sz w:val="28"/>
          <w:szCs w:val="28"/>
          <w:color w:val="auto"/>
          <w:vertAlign w:val="superscript"/>
        </w:rPr>
        <w:t>®</w:t>
      </w:r>
      <w:r>
        <w:rPr>
          <w:rFonts w:ascii="Arial" w:cs="Arial" w:eastAsia="Arial" w:hAnsi="Arial"/>
          <w:sz w:val="18"/>
          <w:szCs w:val="18"/>
          <w:color w:val="auto"/>
        </w:rPr>
        <w:t>), Model 106 (AspireSR</w:t>
      </w:r>
      <w:r>
        <w:rPr>
          <w:rFonts w:ascii="Arial" w:cs="Arial" w:eastAsia="Arial" w:hAnsi="Arial"/>
          <w:sz w:val="28"/>
          <w:szCs w:val="28"/>
          <w:color w:val="auto"/>
          <w:vertAlign w:val="superscript"/>
        </w:rPr>
        <w:t>®</w:t>
      </w:r>
      <w:r>
        <w:rPr>
          <w:rFonts w:ascii="Arial" w:cs="Arial" w:eastAsia="Arial" w:hAnsi="Arial"/>
          <w:sz w:val="18"/>
          <w:szCs w:val="18"/>
          <w:color w:val="auto"/>
        </w:rPr>
        <w:t>) and Model 1000 (SenTiva™).</w:t>
      </w:r>
    </w:p>
    <w:p>
      <w:pPr>
        <w:spacing w:after="0" w:line="1" w:lineRule="exact"/>
        <w:rPr>
          <w:rFonts w:ascii="Arial" w:cs="Arial" w:eastAsia="Arial" w:hAnsi="Arial"/>
          <w:sz w:val="18"/>
          <w:szCs w:val="18"/>
          <w:color w:val="auto"/>
        </w:rPr>
      </w:pPr>
    </w:p>
    <w:p>
      <w:pPr>
        <w:ind w:left="660" w:hanging="328"/>
        <w:spacing w:after="0" w:line="21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perfusion systems and products: Inspire</w:t>
      </w:r>
      <w:r>
        <w:rPr>
          <w:rFonts w:ascii="Arial" w:cs="Arial" w:eastAsia="Arial" w:hAnsi="Arial"/>
          <w:sz w:val="28"/>
          <w:szCs w:val="28"/>
          <w:color w:val="auto"/>
          <w:vertAlign w:val="superscript"/>
        </w:rPr>
        <w:t>®</w:t>
      </w:r>
      <w:r>
        <w:rPr>
          <w:rFonts w:ascii="Arial" w:cs="Arial" w:eastAsia="Arial" w:hAnsi="Arial"/>
          <w:sz w:val="18"/>
          <w:szCs w:val="18"/>
          <w:color w:val="auto"/>
        </w:rPr>
        <w:t>, Heartlink</w:t>
      </w:r>
      <w:r>
        <w:rPr>
          <w:rFonts w:ascii="Arial" w:cs="Arial" w:eastAsia="Arial" w:hAnsi="Arial"/>
          <w:sz w:val="28"/>
          <w:szCs w:val="28"/>
          <w:color w:val="auto"/>
          <w:vertAlign w:val="superscript"/>
        </w:rPr>
        <w:t>®</w:t>
      </w:r>
      <w:r>
        <w:rPr>
          <w:rFonts w:ascii="Arial" w:cs="Arial" w:eastAsia="Arial" w:hAnsi="Arial"/>
          <w:sz w:val="18"/>
          <w:szCs w:val="18"/>
          <w:color w:val="auto"/>
        </w:rPr>
        <w:t>, Connect™, XTRA</w:t>
      </w:r>
      <w:r>
        <w:rPr>
          <w:rFonts w:ascii="Arial" w:cs="Arial" w:eastAsia="Arial" w:hAnsi="Arial"/>
          <w:sz w:val="28"/>
          <w:szCs w:val="28"/>
          <w:color w:val="auto"/>
          <w:vertAlign w:val="superscript"/>
        </w:rPr>
        <w:t>®</w:t>
      </w:r>
      <w:r>
        <w:rPr>
          <w:rFonts w:ascii="Arial" w:cs="Arial" w:eastAsia="Arial" w:hAnsi="Arial"/>
          <w:sz w:val="18"/>
          <w:szCs w:val="18"/>
          <w:color w:val="auto"/>
        </w:rPr>
        <w:t>, S5</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Revolution</w:t>
      </w:r>
      <w:r>
        <w:rPr>
          <w:rFonts w:ascii="Arial" w:cs="Arial" w:eastAsia="Arial" w:hAnsi="Arial"/>
          <w:sz w:val="28"/>
          <w:szCs w:val="28"/>
          <w:color w:val="auto"/>
          <w:vertAlign w:val="superscript"/>
        </w:rPr>
        <w:t>®</w:t>
      </w:r>
    </w:p>
    <w:p>
      <w:pPr>
        <w:ind w:left="660" w:right="120" w:hanging="328"/>
        <w:spacing w:after="0" w:line="22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Trademarks for our line of surgical tissue and mechanical valve replacements and repair products: Mitroflow</w:t>
      </w:r>
      <w:r>
        <w:rPr>
          <w:rFonts w:ascii="Arial" w:cs="Arial" w:eastAsia="Arial" w:hAnsi="Arial"/>
          <w:sz w:val="25"/>
          <w:szCs w:val="25"/>
          <w:color w:val="auto"/>
          <w:vertAlign w:val="superscript"/>
        </w:rPr>
        <w:t>®</w:t>
      </w:r>
      <w:r>
        <w:rPr>
          <w:rFonts w:ascii="Arial" w:cs="Arial" w:eastAsia="Arial" w:hAnsi="Arial"/>
          <w:sz w:val="16"/>
          <w:szCs w:val="16"/>
          <w:color w:val="auto"/>
        </w:rPr>
        <w:t>, Crown PRT</w:t>
      </w:r>
      <w:r>
        <w:rPr>
          <w:rFonts w:ascii="Arial" w:cs="Arial" w:eastAsia="Arial" w:hAnsi="Arial"/>
          <w:sz w:val="25"/>
          <w:szCs w:val="25"/>
          <w:color w:val="auto"/>
          <w:vertAlign w:val="superscript"/>
        </w:rPr>
        <w:t>®</w:t>
      </w:r>
      <w:r>
        <w:rPr>
          <w:rFonts w:ascii="Arial" w:cs="Arial" w:eastAsia="Arial" w:hAnsi="Arial"/>
          <w:sz w:val="16"/>
          <w:szCs w:val="16"/>
          <w:color w:val="auto"/>
        </w:rPr>
        <w:t>, Solo Smart™, Perceval</w:t>
      </w:r>
      <w:r>
        <w:rPr>
          <w:rFonts w:ascii="Arial" w:cs="Arial" w:eastAsia="Arial" w:hAnsi="Arial"/>
          <w:sz w:val="25"/>
          <w:szCs w:val="25"/>
          <w:color w:val="auto"/>
          <w:vertAlign w:val="superscript"/>
        </w:rPr>
        <w:t>®</w:t>
      </w:r>
      <w:r>
        <w:rPr>
          <w:rFonts w:ascii="Arial" w:cs="Arial" w:eastAsia="Arial" w:hAnsi="Arial"/>
          <w:sz w:val="16"/>
          <w:szCs w:val="16"/>
          <w:color w:val="auto"/>
        </w:rPr>
        <w:t>, Top Hat</w:t>
      </w:r>
      <w:r>
        <w:rPr>
          <w:rFonts w:ascii="Arial" w:cs="Arial" w:eastAsia="Arial" w:hAnsi="Arial"/>
          <w:sz w:val="25"/>
          <w:szCs w:val="25"/>
          <w:color w:val="auto"/>
          <w:vertAlign w:val="superscript"/>
        </w:rPr>
        <w:t>®</w:t>
      </w:r>
      <w:r>
        <w:rPr>
          <w:rFonts w:ascii="Arial" w:cs="Arial" w:eastAsia="Arial" w:hAnsi="Arial"/>
          <w:sz w:val="16"/>
          <w:szCs w:val="16"/>
          <w:color w:val="auto"/>
        </w:rPr>
        <w:t>, Reduced Series Aortic Valves™, Carbomedics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Carbo-Seal</w:t>
      </w:r>
      <w:r>
        <w:rPr>
          <w:rFonts w:ascii="Arial" w:cs="Arial" w:eastAsia="Arial" w:hAnsi="Arial"/>
          <w:sz w:val="25"/>
          <w:szCs w:val="25"/>
          <w:color w:val="auto"/>
          <w:vertAlign w:val="superscript"/>
        </w:rPr>
        <w:t>®</w:t>
      </w:r>
      <w:r>
        <w:rPr>
          <w:rFonts w:ascii="Arial" w:cs="Arial" w:eastAsia="Arial" w:hAnsi="Arial"/>
          <w:sz w:val="16"/>
          <w:szCs w:val="16"/>
          <w:color w:val="auto"/>
        </w:rPr>
        <w:t>, Carbo-Seal Valsalva</w:t>
      </w:r>
      <w:r>
        <w:rPr>
          <w:rFonts w:ascii="Arial" w:cs="Arial" w:eastAsia="Arial" w:hAnsi="Arial"/>
          <w:sz w:val="25"/>
          <w:szCs w:val="25"/>
          <w:color w:val="auto"/>
          <w:vertAlign w:val="superscript"/>
        </w:rPr>
        <w:t>®</w:t>
      </w:r>
      <w:r>
        <w:rPr>
          <w:rFonts w:ascii="Arial" w:cs="Arial" w:eastAsia="Arial" w:hAnsi="Arial"/>
          <w:sz w:val="16"/>
          <w:szCs w:val="16"/>
          <w:color w:val="auto"/>
        </w:rPr>
        <w:t>, Carbomedics</w:t>
      </w:r>
      <w:r>
        <w:rPr>
          <w:rFonts w:ascii="Arial" w:cs="Arial" w:eastAsia="Arial" w:hAnsi="Arial"/>
          <w:sz w:val="25"/>
          <w:szCs w:val="25"/>
          <w:color w:val="auto"/>
          <w:vertAlign w:val="superscript"/>
        </w:rPr>
        <w:t>®</w:t>
      </w:r>
      <w:r>
        <w:rPr>
          <w:rFonts w:ascii="Arial" w:cs="Arial" w:eastAsia="Arial" w:hAnsi="Arial"/>
          <w:sz w:val="16"/>
          <w:szCs w:val="16"/>
          <w:color w:val="auto"/>
        </w:rPr>
        <w:t>Standard™, Orbis™ and Optiform</w:t>
      </w:r>
      <w:r>
        <w:rPr>
          <w:rFonts w:ascii="Arial" w:cs="Arial" w:eastAsia="Arial" w:hAnsi="Arial"/>
          <w:sz w:val="25"/>
          <w:szCs w:val="25"/>
          <w:color w:val="auto"/>
          <w:vertAlign w:val="superscript"/>
        </w:rPr>
        <w:t>®</w:t>
      </w:r>
      <w:r>
        <w:rPr>
          <w:rFonts w:ascii="Arial" w:cs="Arial" w:eastAsia="Arial" w:hAnsi="Arial"/>
          <w:sz w:val="16"/>
          <w:szCs w:val="16"/>
          <w:color w:val="auto"/>
        </w:rPr>
        <w:t>, Memo 3D</w:t>
      </w:r>
      <w:r>
        <w:rPr>
          <w:rFonts w:ascii="Arial" w:cs="Arial" w:eastAsia="Arial" w:hAnsi="Arial"/>
          <w:sz w:val="25"/>
          <w:szCs w:val="25"/>
          <w:color w:val="auto"/>
          <w:vertAlign w:val="superscript"/>
        </w:rPr>
        <w:t>®</w:t>
      </w:r>
      <w:r>
        <w:rPr>
          <w:rFonts w:ascii="Arial" w:cs="Arial" w:eastAsia="Arial" w:hAnsi="Arial"/>
          <w:sz w:val="16"/>
          <w:szCs w:val="16"/>
          <w:color w:val="auto"/>
        </w:rPr>
        <w:t>, Memo 3D ReChord™, AnnuloFlo</w:t>
      </w:r>
      <w:r>
        <w:rPr>
          <w:rFonts w:ascii="Arial" w:cs="Arial" w:eastAsia="Arial" w:hAnsi="Arial"/>
          <w:sz w:val="25"/>
          <w:szCs w:val="25"/>
          <w:color w:val="auto"/>
          <w:vertAlign w:val="superscript"/>
        </w:rPr>
        <w:t>®</w:t>
      </w:r>
      <w:r>
        <w:rPr>
          <w:rFonts w:ascii="Arial" w:cs="Arial" w:eastAsia="Arial" w:hAnsi="Arial"/>
          <w:sz w:val="16"/>
          <w:szCs w:val="16"/>
          <w:color w:val="auto"/>
        </w:rPr>
        <w:t>, AnnuloFlex</w:t>
      </w:r>
      <w:r>
        <w:rPr>
          <w:rFonts w:ascii="Arial" w:cs="Arial" w:eastAsia="Arial" w:hAnsi="Arial"/>
          <w:sz w:val="25"/>
          <w:szCs w:val="25"/>
          <w:color w:val="auto"/>
          <w:vertAlign w:val="superscript"/>
        </w:rPr>
        <w:t>®</w:t>
      </w:r>
      <w:r>
        <w:rPr>
          <w:rFonts w:ascii="Arial" w:cs="Arial" w:eastAsia="Arial" w:hAnsi="Arial"/>
          <w:sz w:val="16"/>
          <w:szCs w:val="16"/>
          <w:color w:val="auto"/>
        </w:rPr>
        <w:t>, Bicarbon Slimline™, Bicarbon Filtline™ and Bicarbon Overline</w:t>
      </w:r>
      <w:r>
        <w:rPr>
          <w:rFonts w:ascii="Arial" w:cs="Arial" w:eastAsia="Arial" w:hAnsi="Arial"/>
          <w:sz w:val="25"/>
          <w:szCs w:val="25"/>
          <w:color w:val="auto"/>
          <w:vertAlign w:val="superscript"/>
        </w:rPr>
        <w:t>®</w:t>
      </w:r>
      <w:r>
        <w:rPr>
          <w:rFonts w:ascii="Arial" w:cs="Arial" w:eastAsia="Arial" w:hAnsi="Arial"/>
          <w:sz w:val="16"/>
          <w:szCs w:val="16"/>
          <w:color w:val="auto"/>
        </w:rPr>
        <w:t>.</w:t>
      </w:r>
    </w:p>
    <w:p>
      <w:pPr>
        <w:spacing w:after="0" w:line="24" w:lineRule="exact"/>
        <w:rPr>
          <w:sz w:val="20"/>
          <w:szCs w:val="20"/>
          <w:color w:val="auto"/>
        </w:rPr>
      </w:pPr>
    </w:p>
    <w:p>
      <w:pPr>
        <w:ind w:right="120" w:firstLine="162"/>
        <w:spacing w:after="0" w:line="291" w:lineRule="auto"/>
        <w:rPr>
          <w:sz w:val="20"/>
          <w:szCs w:val="20"/>
          <w:color w:val="auto"/>
        </w:rPr>
      </w:pPr>
      <w:r>
        <w:rPr>
          <w:rFonts w:ascii="Arial" w:cs="Arial" w:eastAsia="Arial" w:hAnsi="Arial"/>
          <w:sz w:val="16"/>
          <w:szCs w:val="16"/>
          <w:color w:val="auto"/>
        </w:rPr>
        <w:t>These trademarks and tradenames are the property of LivaNova or the property of our consolidated subsidiaries and are protected under applicable intellectual property laws. Solely for convenience, our trademarks and tradenames referred to in this Quarterly Report on Form 10-Q may appear without the</w:t>
      </w:r>
    </w:p>
    <w:p>
      <w:pPr>
        <w:ind w:right="300" w:firstLine="8"/>
        <w:spacing w:after="0" w:line="261" w:lineRule="auto"/>
        <w:tabs>
          <w:tab w:leader="none" w:pos="182" w:val="left"/>
        </w:tabs>
        <w:numPr>
          <w:ilvl w:val="0"/>
          <w:numId w:val="4"/>
        </w:numPr>
        <w:rPr>
          <w:rFonts w:ascii="Arial" w:cs="Arial" w:eastAsia="Arial" w:hAnsi="Arial"/>
          <w:sz w:val="18"/>
          <w:szCs w:val="18"/>
          <w:color w:val="auto"/>
        </w:rPr>
      </w:pPr>
      <w:r>
        <w:rPr>
          <w:rFonts w:ascii="Arial" w:cs="Arial" w:eastAsia="Arial" w:hAnsi="Arial"/>
          <w:sz w:val="18"/>
          <w:szCs w:val="18"/>
          <w:color w:val="auto"/>
        </w:rPr>
        <w:t>or ™ symbols, but such references are not intended to indicate in any way that we will not assert, to the fullest extent under applicable law, our rights to these trademarks and tradenames.</w:t>
      </w:r>
    </w:p>
    <w:p>
      <w:pPr>
        <w:spacing w:after="0" w:line="18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Certain statements in this Quarterly Report on Form 10-Q, other than purely historical information, are “forward-looking statements” within the meaning of the Private Securities Litigation Reform Act of 1995, Section 27A of the Securities Act of 1933 (the “Securities Act”)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our business:</w:t>
      </w:r>
    </w:p>
    <w:p>
      <w:pPr>
        <w:spacing w:after="0" w:line="158" w:lineRule="exact"/>
        <w:rPr>
          <w:sz w:val="20"/>
          <w:szCs w:val="20"/>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117" w:lineRule="exact"/>
        <w:rPr>
          <w:rFonts w:ascii="Arial" w:cs="Arial" w:eastAsia="Arial" w:hAnsi="Arial"/>
          <w:sz w:val="18"/>
          <w:szCs w:val="18"/>
          <w:color w:val="auto"/>
        </w:rPr>
      </w:pPr>
    </w:p>
    <w:p>
      <w:pPr>
        <w:ind w:left="580" w:right="40" w:hanging="329"/>
        <w:spacing w:after="0" w:line="25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8"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obtain or maintain coverage and reimbursement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580" w:right="40" w:hanging="329"/>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 liability, intellectual property, shareholder-related, environmental-related, income tax and other litigation, disputes, losses and costs;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comply with applicable U.S. domestic laws and regulations, including federal and state privacy and security laws and regulations;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non-U.S. law and regulations;</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42" w:right="259" w:bottom="1440" w:gutter="0" w:footer="0" w:header="0"/>
        </w:sectPr>
      </w:pPr>
    </w:p>
    <w:bookmarkStart w:id="3" w:name="page4"/>
    <w:bookmarkEnd w:id="3"/>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new acquisitions to further our strategic objectives or strengthen our existing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accounting rules that adversely affect the characterization of our consolidated financial position, results of operations or cash flows;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the implementation of Brexit;</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Other factors that could cause our actual results to differ from our projected results are described in (1) “Part II, Item 1A. Risk Factors” and elsewhere in this Quarterly Report on Form 10-Q, (2) our Annual Report on Form 10-K for the fiscal year ended December 31, 2017 (“2017 Form 10-K”), (3) our reports and registration statements filed and furnished from time to time with the Securities and Exchange Commission (“SEC”) and (4) other announcements we make from time to time.</w:t>
      </w:r>
    </w:p>
    <w:p>
      <w:pPr>
        <w:spacing w:after="0" w:line="79"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three months ended March 31, 2018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2017 Form 10-K.</w:t>
      </w:r>
    </w:p>
    <w:p>
      <w:pPr>
        <w:spacing w:after="0" w:line="17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Financial Information and Currency of Financial Statements</w:t>
      </w:r>
    </w:p>
    <w:p>
      <w:pPr>
        <w:spacing w:after="0" w:line="162"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All of the financial information included in this quarterly report has been prepared in accordance with accounting principles generally accepted in the United States, or U.S. GAAP. The reporting currency of our condensed consolidated financial statements is U.S. dollars.</w:t>
      </w:r>
    </w:p>
    <w:p>
      <w:pPr>
        <w:spacing w:after="0" w:line="27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692" w:right="3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Financial Statements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760" w:type="dxa"/>
            <w:vAlign w:val="bottom"/>
            <w:gridSpan w:val="5"/>
          </w:tcPr>
          <w:p>
            <w:pPr>
              <w:jc w:val="right"/>
              <w:ind w:right="5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6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250,398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226,825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84,598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79,968</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162,085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147,649</w:t>
            </w: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104,161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87,340</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20,386</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2,186</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8,801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7,960</w:t>
            </w: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149,555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127,902</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Operating income from continuing operations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12,530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19,747</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(2,315)</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 of ImThera Medical, Inc.</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3,173</w:t>
            </w: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tax</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20,878</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5,655</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Net income from continuing operations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17,822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13,227</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from discontinued operations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13,273</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11,271</w:t>
            </w:r>
          </w:p>
        </w:tc>
      </w:tr>
      <w:tr>
        <w:trPr>
          <w:trHeight w:val="325"/>
        </w:trPr>
        <w:tc>
          <w:tcPr>
            <w:tcW w:w="76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Basic income (loss) per share:</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7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share:</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0.27</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37"/>
        </w:trPr>
        <w:tc>
          <w:tcPr>
            <w:tcW w:w="766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0.23</w:t>
            </w:r>
          </w:p>
        </w:tc>
      </w:tr>
      <w:tr>
        <w:trPr>
          <w:trHeight w:val="67"/>
        </w:trPr>
        <w:tc>
          <w:tcPr>
            <w:tcW w:w="766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318"/>
        </w:trPr>
        <w:tc>
          <w:tcPr>
            <w:tcW w:w="76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Shares used in computing basic income (loss) per share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48,324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48,067</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used in computing diluted income (loss) per share</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49,187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48,178</w:t>
            </w:r>
          </w:p>
        </w:tc>
      </w:tr>
      <w:tr>
        <w:trPr>
          <w:trHeight w:val="27"/>
        </w:trPr>
        <w:tc>
          <w:tcPr>
            <w:tcW w:w="7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3" w:right="23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52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13,273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11,271</w:t>
            </w: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(loss) gains on derivatives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724</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10,553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15,430</w:t>
            </w:r>
          </w:p>
        </w:tc>
      </w:tr>
      <w:tr>
        <w:trPr>
          <w:trHeight w:val="27"/>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22,871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24,792</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88" w:right="239" w:bottom="1440" w:gutter="0" w:footer="0" w:header="0"/>
        </w:sectPr>
      </w:pPr>
    </w:p>
    <w:bookmarkStart w:id="6" w:name="page7"/>
    <w:bookmarkEnd w:id="6"/>
    <w:p>
      <w:pPr>
        <w:jc w:val="center"/>
        <w:ind w:right="-19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(In thousands, except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March 31, 2018</w:t>
            </w:r>
          </w:p>
        </w:tc>
        <w:tc>
          <w:tcPr>
            <w:tcW w:w="22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i w:val="1"/>
                <w:iCs w:val="1"/>
                <w:color w:val="auto"/>
              </w:rPr>
              <w:t>Current Assets:</w:t>
            </w:r>
          </w:p>
        </w:tc>
        <w:tc>
          <w:tcPr>
            <w:tcW w:w="2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93,615</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279,828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282,145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144,470</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Prepaid and refundable taxes</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47,061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46,274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13,628</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Assets of discontinued operations</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257,140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250,689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39,037</w:t>
            </w:r>
          </w:p>
        </w:tc>
        <w:tc>
          <w:tcPr>
            <w:tcW w:w="0" w:type="dxa"/>
            <w:vAlign w:val="bottom"/>
          </w:tcPr>
          <w:p>
            <w:pPr>
              <w:spacing w:after="0"/>
              <w:rPr>
                <w:sz w:val="1"/>
                <w:szCs w:val="1"/>
                <w:color w:val="auto"/>
              </w:rPr>
            </w:pPr>
          </w:p>
        </w:tc>
      </w:tr>
      <w:tr>
        <w:trPr>
          <w:trHeight w:val="217"/>
        </w:trPr>
        <w:tc>
          <w:tcPr>
            <w:tcW w:w="74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848,071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869,858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192,359</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875,564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784,242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691,994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535,397</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22,084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34,492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11,559</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6,561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75,984</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2,704,876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2,503,891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Current debt obligations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119,708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84,034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85,915</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Accrued liabilities and other</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81,748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78,942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12,826</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Accrued employee compensation and related benefits</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70,980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66,224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Liabilities of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78,075</w:t>
            </w:r>
          </w:p>
        </w:tc>
        <w:tc>
          <w:tcPr>
            <w:tcW w:w="0" w:type="dxa"/>
            <w:vAlign w:val="bottom"/>
          </w:tcPr>
          <w:p>
            <w:pPr>
              <w:spacing w:after="0"/>
              <w:rPr>
                <w:sz w:val="1"/>
                <w:szCs w:val="1"/>
                <w:color w:val="auto"/>
              </w:rPr>
            </w:pPr>
          </w:p>
        </w:tc>
      </w:tr>
      <w:tr>
        <w:trPr>
          <w:trHeight w:val="217"/>
        </w:trPr>
        <w:tc>
          <w:tcPr>
            <w:tcW w:w="74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459,475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406,016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61,958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Deferred income taxes liability</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149,700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123,342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employee compensation and related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28,177</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183,978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69,084</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885,894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688,577</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Commitments and contingencies (Note 11)</w:t>
            </w: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440" w:type="dxa"/>
            <w:vAlign w:val="bottom"/>
          </w:tcPr>
          <w:p>
            <w:pPr>
              <w:ind w:left="40"/>
              <w:spacing w:after="0"/>
              <w:rPr>
                <w:sz w:val="20"/>
                <w:szCs w:val="20"/>
                <w:color w:val="auto"/>
              </w:rPr>
            </w:pPr>
            <w:r>
              <w:rPr>
                <w:rFonts w:ascii="Arial" w:cs="Arial" w:eastAsia="Arial" w:hAnsi="Arial"/>
                <w:sz w:val="16"/>
                <w:szCs w:val="16"/>
                <w:color w:val="auto"/>
                <w:w w:val="92"/>
              </w:rPr>
              <w:t>Ordinary Shares, £1.00 par value: unlimited shares authorized; 48,627,730 shares issued and 48,428,600 shares</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40"/>
              <w:spacing w:after="0"/>
              <w:rPr>
                <w:sz w:val="20"/>
                <w:szCs w:val="20"/>
                <w:color w:val="auto"/>
              </w:rPr>
            </w:pPr>
            <w:r>
              <w:rPr>
                <w:rFonts w:ascii="Arial" w:cs="Arial" w:eastAsia="Arial" w:hAnsi="Arial"/>
                <w:sz w:val="16"/>
                <w:szCs w:val="16"/>
                <w:color w:val="auto"/>
                <w:w w:val="93"/>
              </w:rPr>
              <w:t>outstanding at March 31, 2018; 48,290,276 shares issued and 48,287,346 shares outstanding at December 31,</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40" w:type="dxa"/>
            <w:vAlign w:val="bottom"/>
          </w:tcPr>
          <w:p>
            <w:pPr>
              <w:ind w:left="40"/>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7"/>
                <w:szCs w:val="17"/>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75,224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74,750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1,738,044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1,735,048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54,910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45,313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deficit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(39,664)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Treasury stock at cost, 199,130 shares at March 31, 2018 and 2,930 shares at December 31, 2017</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1,818,982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1,815,314</w:t>
            </w:r>
          </w:p>
        </w:tc>
        <w:tc>
          <w:tcPr>
            <w:tcW w:w="0" w:type="dxa"/>
            <w:vAlign w:val="bottom"/>
          </w:tcPr>
          <w:p>
            <w:pPr>
              <w:spacing w:after="0"/>
              <w:rPr>
                <w:sz w:val="1"/>
                <w:szCs w:val="1"/>
                <w:color w:val="auto"/>
              </w:rPr>
            </w:pPr>
          </w:p>
        </w:tc>
      </w:tr>
      <w:tr>
        <w:trPr>
          <w:trHeight w:val="244"/>
        </w:trPr>
        <w:tc>
          <w:tcPr>
            <w:tcW w:w="744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2,704,876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2,503,891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75" w:right="259" w:bottom="1440" w:gutter="0" w:footer="0" w:header="0"/>
        </w:sectPr>
      </w:pP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675" w:right="259" w:bottom="1440" w:gutter="0" w:footer="0" w:header="0"/>
          <w:type w:val="continuous"/>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760" w:type="dxa"/>
            <w:vAlign w:val="bottom"/>
            <w:gridSpan w:val="5"/>
          </w:tcPr>
          <w:p>
            <w:pPr>
              <w:jc w:val="right"/>
              <w:ind w:right="53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Non-cash items included in net income:</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8,802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Deferred income tax benefit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from equity method investments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Gain on acquisition of ImThera Medical, Inc.</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(11,484)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property, plant and equipment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Amortization of income taxes payable on inter-company transfers of property</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b w:val="1"/>
                <w:bCs w:val="1"/>
                <w:color w:val="auto"/>
              </w:rPr>
              <w:t>Changes in operating assets and liabilities:</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and non-current assets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(16,691)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Accounts payable and accrued current and non-current liabilities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5,697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reserve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20,393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33,207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Acquisition of ImThera Medical, Inc., net of cash acquired</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(77,629)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 and other</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Proceeds from sale of cost-method investment</w:t>
            </w: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to equity-method investees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Proceeds from asset sales</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(83,352)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(10,071)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Change in short-term borrowing, net</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15,503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short-term borrowing (maturities greater than 90 days)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Repayment of long-term debt obligations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32,047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2,261</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(28,651)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22,930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93,615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39,789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64,964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62,719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Unaudited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Basis of Presentation</w:t>
      </w:r>
    </w:p>
    <w:p>
      <w:pPr>
        <w:spacing w:after="0" w:line="110"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The accompanying condensed consolidated financial statements of LivaNova as of, and for the three months ended, March 31, 2018 and March 31, 2017, have been prepared in accordance with generally accepted accounting principles in the United States of America (“U.S.” and such principles, “U.S. GAAP”) for interim financial information and the instructions to Form 10-Q and Article 10 of Regulation S-X. The accompanying condensed consolidated balance sheet of LivaNova at December 31, 2017 has been derived from audited financial statements contained in our 2017 Form 10-K, but does not include all of the information and footnotes required by U.S. GAAP for complete financial statements. In the opinion of management, the condensed consolidated financial statements reflect all adjustments (consisting of normal recurring adjustments) considered necessary for a fair presentation of the operating results of LivaNova and its subsidiaries, for the three months ended March 31, 2018 and are not necessarily indicative of the results that may be expected for the year ending December 31, 2018. The financial information presented herein should be read in conjunction with the audited consolidated financial statements and notes thereto accompanying our 2017 Form 10-K.</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Sale of our Cardiac Rhythm Management Business Franchise</w:t>
      </w:r>
    </w:p>
    <w:p>
      <w:pPr>
        <w:spacing w:after="0" w:line="110" w:lineRule="exact"/>
        <w:rPr>
          <w:sz w:val="20"/>
          <w:szCs w:val="20"/>
          <w:color w:val="auto"/>
        </w:rPr>
      </w:pPr>
    </w:p>
    <w:p>
      <w:pPr>
        <w:ind w:right="140" w:firstLine="162"/>
        <w:spacing w:after="0" w:line="287" w:lineRule="auto"/>
        <w:rPr>
          <w:sz w:val="20"/>
          <w:szCs w:val="20"/>
          <w:color w:val="auto"/>
        </w:rPr>
      </w:pPr>
      <w:r>
        <w:rPr>
          <w:rFonts w:ascii="Arial" w:cs="Arial" w:eastAsia="Arial" w:hAnsi="Arial"/>
          <w:sz w:val="16"/>
          <w:szCs w:val="16"/>
          <w:color w:val="auto"/>
        </w:rPr>
        <w:t>On March 8, 2018 we entered into a definitive Stock and Asset Purchase Agreement (“Purchase Agreement”) with MicroPort Cardiac Rhythm B.V. and MicroPort Scientific Corporation for the sale of our Cardiac Rhythm Management (“CRM”) business franchise (the “CRM Sale”). The CRM Sale closed on April 30, 2018 for the purchase price of $190.0 million, in addition to certain customary closing adjustments. In conjunction with the CRM Sale, we have agreed to provide certain transition services following the closing of the transaction. Prior to the closing of the CRM Sale, a regional antitrust authority in France initiated an investigation into the French cardiac rhythm management market, and a subsidiary of the CRM business operating in Clamart, France is one of the companies being investigated. The subsidiary under investigation believes it is in full compliance with all applicable laws and is, and intends to continue, cooperating with the relevant authorities. Nevertheless, the Company has agreed to provide a limited indemnity to the purchasers of the CRM business of generally up to €16.5 million relating to such investigation. We concluded that the sale of CRM represents a strategic shift in our business that will have a major effect on future operations and financial results. As a result, we classified the operating results of CRM as discontinued operations in our condensed consolidated statements of income. The assets and liabilities of CRM are presented as assets or liabilities of discontinued operations on the condensed consolidated balance sheets at March 31, 2018 and December 31, 2017.</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 of Prior-Year Comparative Period Presentation</w:t>
      </w:r>
    </w:p>
    <w:p>
      <w:pPr>
        <w:spacing w:after="0" w:line="11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To conform the presentation in the condensed consolidated statement of cash flows for the three months ended March 31, 2017, to the presentation for the year ended December 31, 2017 in our 2017 Form 10-K, loans to cost and equity method investees of $5.3 million was reclassified to Investing Activities from Financing Activities.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w:t>
      </w:r>
    </w:p>
    <w:p>
      <w:pPr>
        <w:spacing w:after="0" w:line="11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Our significant accounting policies are detailed in "Note 2: Basis of Presentation, Use of Accounting Estimates and Significant Accounting Policies" of our 2017 Form 10-K.</w:t>
      </w:r>
    </w:p>
    <w:p>
      <w:pPr>
        <w:spacing w:after="0" w:line="62"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 xml:space="preserve">On January 1, 2018, we adopted ASC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Refer to “Note 2. Revenue Recognition.” We elected the cumulative effect transition method; however, we recognized no cumulative effect to the opening balance of retained earnings because the impact on the timing of when revenue is recognized within our Cardiac Surgery segment, specifically related to heart-lung machines and preventative maintenance contracts on cardiopulmonary equipment, was insignificant. The timing of revenue recognition for products and related revenue streams within our Neuromodulation segment and discontinued operations did not change.</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Revenue Recognition</w:t>
      </w:r>
    </w:p>
    <w:p>
      <w:pPr>
        <w:spacing w:after="0" w:line="116" w:lineRule="exact"/>
        <w:rPr>
          <w:sz w:val="20"/>
          <w:szCs w:val="20"/>
          <w:color w:val="auto"/>
        </w:rPr>
      </w:pPr>
    </w:p>
    <w:p>
      <w:pPr>
        <w:jc w:val="both"/>
        <w:ind w:right="140" w:firstLine="162"/>
        <w:spacing w:after="0" w:line="259" w:lineRule="auto"/>
        <w:rPr>
          <w:sz w:val="20"/>
          <w:szCs w:val="20"/>
          <w:color w:val="auto"/>
        </w:rPr>
      </w:pPr>
      <w:r>
        <w:rPr>
          <w:rFonts w:ascii="Arial" w:cs="Arial" w:eastAsia="Arial" w:hAnsi="Arial"/>
          <w:sz w:val="18"/>
          <w:szCs w:val="18"/>
          <w:color w:val="auto"/>
        </w:rPr>
        <w:t>We generate our revenue through contracts with customers that primarily consist of hospitals, healthcare institutions, distributors and other organizations. Revenue is measured based on consideration specified in a contract with a customer, and excludes amounts collected on behalf of third parties. We measure the consideration based upon the estimated amount to be received. The amount of consideration the Company ultimately receives varies depending upon the return terms, sales rebates,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88" w:right="259" w:bottom="1440" w:gutter="0" w:footer="0" w:header="0"/>
        </w:sectPr>
      </w:pPr>
    </w:p>
    <w:bookmarkStart w:id="9" w:name="page10"/>
    <w:bookmarkEnd w:id="9"/>
    <w:p>
      <w:pPr>
        <w:ind w:right="400"/>
        <w:spacing w:after="0" w:line="277" w:lineRule="auto"/>
        <w:rPr>
          <w:sz w:val="20"/>
          <w:szCs w:val="20"/>
          <w:color w:val="auto"/>
        </w:rPr>
      </w:pPr>
      <w:r>
        <w:rPr>
          <w:rFonts w:ascii="Arial" w:cs="Arial" w:eastAsia="Arial" w:hAnsi="Arial"/>
          <w:sz w:val="18"/>
          <w:szCs w:val="18"/>
          <w:color w:val="auto"/>
        </w:rPr>
        <w:t>discounts, and other incentives that the Company may offer, which are accounted for as variable consideration when estimating the amount of revenue to recognize. The estimate of variable consideration requires significant judgment.</w:t>
      </w:r>
    </w:p>
    <w:p>
      <w:pPr>
        <w:spacing w:after="0" w:line="62"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We have historically experienced a low rate of product returns and the total dollar value of product returns historically have not been significant to our financial statements.</w:t>
      </w:r>
    </w:p>
    <w:p>
      <w:pPr>
        <w:spacing w:after="0" w:line="62" w:lineRule="exact"/>
        <w:rPr>
          <w:sz w:val="20"/>
          <w:szCs w:val="20"/>
          <w:color w:val="auto"/>
        </w:rPr>
      </w:pPr>
    </w:p>
    <w:p>
      <w:pPr>
        <w:jc w:val="both"/>
        <w:ind w:right="20" w:firstLine="162"/>
        <w:spacing w:after="0" w:line="259" w:lineRule="auto"/>
        <w:rPr>
          <w:sz w:val="20"/>
          <w:szCs w:val="20"/>
          <w:color w:val="auto"/>
        </w:rPr>
      </w:pPr>
      <w:r>
        <w:rPr>
          <w:rFonts w:ascii="Arial" w:cs="Arial" w:eastAsia="Arial" w:hAnsi="Arial"/>
          <w:sz w:val="18"/>
          <w:szCs w:val="18"/>
          <w:color w:val="auto"/>
        </w:rPr>
        <w:t>The Company recognizes revenue when it satisfies a performance obligation by transferring the control of a product or service to a customer. Some of our contracts include the purchase of products and/or services. In such cases, we allocate the transaction price based upon the relative estimated stand-alone price of each product and/or service sold. We record state and local sales taxes net; that is, we exclude sales tax from revenue. Typically, our contracts do not have a significant financing component.</w:t>
      </w:r>
    </w:p>
    <w:p>
      <w:pPr>
        <w:spacing w:after="0" w:line="79" w:lineRule="exact"/>
        <w:rPr>
          <w:sz w:val="20"/>
          <w:szCs w:val="20"/>
          <w:color w:val="auto"/>
        </w:rPr>
      </w:pPr>
    </w:p>
    <w:p>
      <w:pPr>
        <w:jc w:val="both"/>
        <w:ind w:right="20" w:firstLine="162"/>
        <w:spacing w:after="0" w:line="312" w:lineRule="auto"/>
        <w:rPr>
          <w:sz w:val="20"/>
          <w:szCs w:val="20"/>
          <w:color w:val="auto"/>
        </w:rPr>
      </w:pPr>
      <w:r>
        <w:rPr>
          <w:rFonts w:ascii="Arial" w:cs="Arial" w:eastAsia="Arial" w:hAnsi="Arial"/>
          <w:sz w:val="16"/>
          <w:szCs w:val="16"/>
          <w:color w:val="auto"/>
        </w:rPr>
        <w:t>The Company incurs incremental commission fees paid to its sales force associated with the sale of products. The Company applies the practical expedient within ASC 606-10-50-22 and has elected to recognize the incremental costs of obtaining a contract as an expense when incurred if the amortization period of the asset the entity would otherwise recognize is one year or less. As a result, no commissions are capitalized as contract costs at March 31, 2018.</w:t>
      </w:r>
    </w:p>
    <w:p>
      <w:pPr>
        <w:spacing w:after="0" w:line="39"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The following is a description of the principal activities (separated by reportable segments) from which the Company generates its revenue. For more detailed information about our reportable segments including disaggregated revenue results by major product line and primary geographic markets, see “Note 15. Geographic and Segment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Cardiac Surgery Products and Services</w:t>
      </w:r>
    </w:p>
    <w:p>
      <w:pPr>
        <w:spacing w:after="0" w:line="117" w:lineRule="exact"/>
        <w:rPr>
          <w:sz w:val="20"/>
          <w:szCs w:val="20"/>
          <w:color w:val="auto"/>
        </w:rPr>
      </w:pPr>
    </w:p>
    <w:p>
      <w:pPr>
        <w:ind w:right="100" w:firstLine="162"/>
        <w:spacing w:after="0" w:line="308" w:lineRule="auto"/>
        <w:rPr>
          <w:sz w:val="20"/>
          <w:szCs w:val="20"/>
          <w:color w:val="auto"/>
        </w:rPr>
      </w:pPr>
      <w:r>
        <w:rPr>
          <w:rFonts w:ascii="Arial" w:cs="Arial" w:eastAsia="Arial" w:hAnsi="Arial"/>
          <w:sz w:val="17"/>
          <w:szCs w:val="17"/>
          <w:color w:val="auto"/>
        </w:rPr>
        <w:t>The Cardiac Surgery (“CS”) segment generates its revenue from the sale of cardiopulmonary equipment and related accessories, heart valves and technical repair and maintenance services. The CS segment has two primary product lines: cardiopulmonary equipment and heart valves.</w:t>
      </w:r>
    </w:p>
    <w:p>
      <w:pPr>
        <w:spacing w:after="0" w:line="38" w:lineRule="exact"/>
        <w:rPr>
          <w:sz w:val="20"/>
          <w:szCs w:val="20"/>
          <w:color w:val="auto"/>
        </w:rPr>
      </w:pPr>
    </w:p>
    <w:p>
      <w:pPr>
        <w:jc w:val="both"/>
        <w:ind w:right="520" w:firstLine="162"/>
        <w:spacing w:after="0" w:line="286" w:lineRule="auto"/>
        <w:rPr>
          <w:sz w:val="20"/>
          <w:szCs w:val="20"/>
          <w:color w:val="auto"/>
        </w:rPr>
      </w:pPr>
      <w:r>
        <w:rPr>
          <w:rFonts w:ascii="Arial" w:cs="Arial" w:eastAsia="Arial" w:hAnsi="Arial"/>
          <w:sz w:val="17"/>
          <w:szCs w:val="17"/>
          <w:color w:val="auto"/>
        </w:rPr>
        <w:t>Cardiopulmonary equipment and related accessories includes oxygenators, heart-lung machines, autotransfusion systems, perfusion tubing systems, cannulae and other related accessories. Heart valves include mechanical heart valves, tissue heart valves and related repair products. Technical services include installation, repair and maintenance of CS equipment under service contracts or upon customer request.</w:t>
      </w:r>
    </w:p>
    <w:p>
      <w:pPr>
        <w:spacing w:after="0" w:line="57"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Cardiopulmonary equipment and accessories may include performance obligations associated with assembly and installation of equipment. Accordingly, we allocate a portion of the sales prices to installation obligations and recognize that revenue when the service is provided. We recognize revenue for equipment and accessory product sales when the customer takes control of the equipment or product.</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Heart valve revenue is recognized when control passes to the customer.</w:t>
      </w:r>
    </w:p>
    <w:p>
      <w:pPr>
        <w:spacing w:after="0" w:line="117"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CS revenue and have been presented with the related equipment and accessories revenue.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Neuromodulation Products</w:t>
      </w:r>
    </w:p>
    <w:p>
      <w:pPr>
        <w:spacing w:after="0" w:line="117"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Our Neuromodulation (“NM”) segment generates its revenue from the sale of neuromodulation therapy systems for the treatment of drug-resistant epilepsy, treatment resistant depression and obstructive sleep apnea. The NM product line includes the VNS Therapy System, which consists of an implantable pulse generator, a lead that connects the generator to the vagus nerve, and other accessories. We recognize revenue for product sales when control passes to the customer.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Cardiac Rhythm Management Products</w:t>
      </w:r>
    </w:p>
    <w:p>
      <w:pPr>
        <w:spacing w:after="0" w:line="117" w:lineRule="exact"/>
        <w:rPr>
          <w:sz w:val="20"/>
          <w:szCs w:val="20"/>
          <w:color w:val="auto"/>
        </w:rPr>
      </w:pPr>
    </w:p>
    <w:p>
      <w:pPr>
        <w:ind w:right="540" w:firstLine="162"/>
        <w:spacing w:after="0" w:line="342" w:lineRule="auto"/>
        <w:rPr>
          <w:sz w:val="20"/>
          <w:szCs w:val="20"/>
          <w:color w:val="auto"/>
        </w:rPr>
      </w:pPr>
      <w:r>
        <w:rPr>
          <w:rFonts w:ascii="Arial" w:cs="Arial" w:eastAsia="Arial" w:hAnsi="Arial"/>
          <w:sz w:val="16"/>
          <w:szCs w:val="16"/>
          <w:color w:val="auto"/>
        </w:rPr>
        <w:t>CRM generates its revenue from the sale of products for the diagnosis, treatment, and management of heart rhythm disorders and heart failure. CRM devices include high-voltage defibrillators and low-voltage pacemakers. We recognize revenue for product sales when control passes to the customer.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Contract Balances</w:t>
      </w:r>
    </w:p>
    <w:p>
      <w:pPr>
        <w:spacing w:after="0" w:line="158"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Due to the nature of our products and services, revenue producing activities may result in contract assets and contract liabilities which are insignificant to our financial position and results of operations. These activities relate primarily to CS technical services contracts for short-term and multi-year service agreements. Contract assets are primarily comprised of unbilled revenues, which occur when a performance obligation has been completed, but not billed to the customer. Contract liabilities are made up of deferred revenue, which occurs when a customer pays for a service, before a performance obligation has been completed. Contract assets are included within prepaid expenses and other current assets in the condensed</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ind w:right="220"/>
        <w:spacing w:after="0" w:line="264" w:lineRule="auto"/>
        <w:rPr>
          <w:sz w:val="20"/>
          <w:szCs w:val="20"/>
          <w:color w:val="auto"/>
        </w:rPr>
      </w:pPr>
      <w:r>
        <w:rPr>
          <w:rFonts w:ascii="Arial" w:cs="Arial" w:eastAsia="Arial" w:hAnsi="Arial"/>
          <w:sz w:val="18"/>
          <w:szCs w:val="18"/>
          <w:color w:val="auto"/>
        </w:rPr>
        <w:t>consolidated balance sheets and were insignificant at March 31, 2018 and December 31, 2017, respectively. As of March 31, 2018 and December 31, 2017, contract liabilities of $4.2 million and $3.8 million, respectively, are included within accrued liabilities and other and other long-term liabilities in the condensed consolidated balance sheet.</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Business Combinations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ImThera Medical, Inc. Acquisition</w:t>
      </w:r>
    </w:p>
    <w:p>
      <w:pPr>
        <w:spacing w:after="0" w:line="110" w:lineRule="exact"/>
        <w:rPr>
          <w:sz w:val="20"/>
          <w:szCs w:val="20"/>
          <w:color w:val="auto"/>
        </w:rPr>
      </w:pPr>
    </w:p>
    <w:p>
      <w:pPr>
        <w:jc w:val="both"/>
        <w:ind w:right="380" w:firstLine="162"/>
        <w:spacing w:after="0" w:line="264" w:lineRule="auto"/>
        <w:rPr>
          <w:sz w:val="20"/>
          <w:szCs w:val="20"/>
          <w:color w:val="auto"/>
        </w:rPr>
      </w:pPr>
      <w:r>
        <w:rPr>
          <w:rFonts w:ascii="Arial" w:cs="Arial" w:eastAsia="Arial" w:hAnsi="Arial"/>
          <w:sz w:val="18"/>
          <w:szCs w:val="18"/>
          <w:color w:val="auto"/>
        </w:rPr>
        <w:t>On January 16, 2018, we acquired the remaining 86% outstanding interests in ImThera Medical, Inc. (“ImThera”) for cash consideration of up to $225 million. Cash consideration of $78.3 million was paid at closing with the balance to be paid based on achievement of a certain regulatory milestone and a sales-based earnout.</w:t>
      </w:r>
    </w:p>
    <w:p>
      <w:pPr>
        <w:spacing w:after="0" w:line="73"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Headquartered in San Diego, California, ImThera manufactures an implantable device for the treatment of obstructive sleep apnea that stimulates multiple tongue muscles via the hypoglossal nerve, which opens the airway while a patient is sleeping. ImThera has a commercial presence in the European market, and we will be advancing ImThera’s enrollment in a FDA pivotal study.</w:t>
      </w:r>
    </w:p>
    <w:p>
      <w:pPr>
        <w:spacing w:after="0" w:line="73" w:lineRule="exact"/>
        <w:rPr>
          <w:sz w:val="20"/>
          <w:szCs w:val="20"/>
          <w:color w:val="auto"/>
        </w:rPr>
      </w:pPr>
    </w:p>
    <w:p>
      <w:pPr>
        <w:ind w:right="680" w:firstLine="162"/>
        <w:spacing w:after="0" w:line="277" w:lineRule="auto"/>
        <w:rPr>
          <w:sz w:val="20"/>
          <w:szCs w:val="20"/>
          <w:color w:val="auto"/>
        </w:rPr>
      </w:pPr>
      <w:r>
        <w:rPr>
          <w:rFonts w:ascii="Arial" w:cs="Arial" w:eastAsia="Arial" w:hAnsi="Arial"/>
          <w:sz w:val="18"/>
          <w:szCs w:val="18"/>
          <w:color w:val="auto"/>
        </w:rPr>
        <w:t>The following table presents the acquisition date fair value of the consideration transferred and the fair value of our interest in ImThera prior to the acquisition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78,332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113,273</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of our interest in ImThera prior to the acquisition </w:t>
            </w:r>
            <w:r>
              <w:rPr>
                <w:rFonts w:ascii="Arial" w:cs="Arial" w:eastAsia="Arial" w:hAnsi="Arial"/>
                <w:sz w:val="25"/>
                <w:szCs w:val="25"/>
                <w:color w:val="auto"/>
                <w:vertAlign w:val="superscript"/>
              </w:rPr>
              <w:t>(1)</w:t>
            </w:r>
          </w:p>
        </w:tc>
        <w:tc>
          <w:tcPr>
            <w:tcW w:w="8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25,580</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consideration transferred</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217,185</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40" w:hanging="328"/>
        <w:spacing w:after="0" w:line="305"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5"/>
          <w:szCs w:val="15"/>
          <w:color w:val="auto"/>
        </w:rPr>
        <w:t>The fair value of our previously-held interest in ImThera was determined based on the fair value of total consideration transferred and application of a discount for lack of control. As a result, we recognized a gain of $11.5 million for the fair value in excess of our carrying value of $14.1 million. The gain is reflected as “Gain on acquisition of ImThera Medical, Inc.” on our condensed consolidated statement of income for the three months ended March 31, 2018.</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preliminary purchase price allocation at fair value for the ImThera acquisition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In-process research and development </w:t>
            </w:r>
            <w:r>
              <w:rPr>
                <w:rFonts w:ascii="Arial" w:cs="Arial" w:eastAsia="Arial" w:hAnsi="Arial"/>
                <w:sz w:val="25"/>
                <w:szCs w:val="25"/>
                <w:color w:val="auto"/>
                <w:vertAlign w:val="superscript"/>
              </w:rPr>
              <w:t>(1)</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151,605</w:t>
            </w: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Developed technology </w:t>
            </w:r>
            <w:r>
              <w:rPr>
                <w:rFonts w:ascii="Arial" w:cs="Arial" w:eastAsia="Arial" w:hAnsi="Arial"/>
                <w:sz w:val="25"/>
                <w:szCs w:val="25"/>
                <w:color w:val="auto"/>
                <w:vertAlign w:val="superscript"/>
              </w:rPr>
              <w:t>(1)</w:t>
            </w:r>
          </w:p>
        </w:tc>
        <w:tc>
          <w:tcPr>
            <w:tcW w:w="8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5,661</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87,063</w:t>
            </w: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Deferred income tax liabilities, net </w:t>
            </w:r>
            <w:r>
              <w:rPr>
                <w:rFonts w:ascii="Arial" w:cs="Arial" w:eastAsia="Arial" w:hAnsi="Arial"/>
                <w:sz w:val="25"/>
                <w:szCs w:val="25"/>
                <w:color w:val="auto"/>
                <w:vertAlign w:val="superscript"/>
              </w:rPr>
              <w:t>(2)</w:t>
            </w:r>
          </w:p>
        </w:tc>
        <w:tc>
          <w:tcPr>
            <w:tcW w:w="8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(27,980)</w:t>
            </w: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and liabilities, net</w:t>
            </w: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217,185</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80" w:hanging="328"/>
        <w:spacing w:after="0" w:line="266"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6"/>
          <w:szCs w:val="16"/>
          <w:color w:val="auto"/>
        </w:rPr>
        <w:t>The amounts above are included in “Intangible assets, net” on the condensed consolidated balance sheet at March 31, 2018. Developed technology will be amortized over a remaining useful life of 20 years.</w:t>
      </w:r>
    </w:p>
    <w:p>
      <w:pPr>
        <w:spacing w:after="0" w:line="1" w:lineRule="exact"/>
        <w:rPr>
          <w:rFonts w:ascii="Arial" w:cs="Arial" w:eastAsia="Arial" w:hAnsi="Arial"/>
          <w:sz w:val="14"/>
          <w:szCs w:val="14"/>
          <w:color w:val="auto"/>
        </w:rPr>
      </w:pPr>
    </w:p>
    <w:p>
      <w:pPr>
        <w:ind w:left="660" w:right="220" w:hanging="328"/>
        <w:spacing w:after="0" w:line="28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6"/>
          <w:szCs w:val="16"/>
          <w:color w:val="auto"/>
        </w:rPr>
        <w:t>The amount includes a provisional estimate for deferred tax assets acquired and may be adjusted in future periods when we agree with positions taken in historical income tax returns.</w:t>
      </w:r>
    </w:p>
    <w:p>
      <w:pPr>
        <w:spacing w:after="0" w:line="171" w:lineRule="exact"/>
        <w:rPr>
          <w:sz w:val="20"/>
          <w:szCs w:val="20"/>
          <w:color w:val="auto"/>
        </w:rPr>
      </w:pPr>
    </w:p>
    <w:p>
      <w:pPr>
        <w:ind w:right="240" w:firstLine="162"/>
        <w:spacing w:after="0" w:line="308" w:lineRule="auto"/>
        <w:rPr>
          <w:sz w:val="20"/>
          <w:szCs w:val="20"/>
          <w:color w:val="auto"/>
        </w:rPr>
      </w:pPr>
      <w:r>
        <w:rPr>
          <w:rFonts w:ascii="Arial" w:cs="Arial" w:eastAsia="Arial" w:hAnsi="Arial"/>
          <w:sz w:val="17"/>
          <w:szCs w:val="17"/>
          <w:color w:val="auto"/>
        </w:rPr>
        <w:t>Goodwill arising from the ImThera acquisition, which is not deductible for tax purposes, primarily represents the synergies anticipated between ImThera and our existing neuromodulation business. The assets acquired, including goodwill, are recognized in our Neuromodulation segment.</w:t>
      </w:r>
    </w:p>
    <w:p>
      <w:pPr>
        <w:spacing w:after="0" w:line="38"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The results of the ImThera acquisition added $0.1 million in revenue and $1.0 million in operating losses during the three months ended March 31, 2018. Additionally, we recognized ImThera acquisition-related expenses of approximately $0.2 million for legal and valuation expenses during the three months ended March 31, 2018. These expenses are included within “Selling, general and administrative” expenses in the condensed consolidated statement of income. Pro forma financial information assuming the ImThera acquisition had occurred as of the beginning of the calendar year prior to the year of acquisition was not material for disclosure purposes.</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1" w:name="page12"/>
    <w:bookmarkEnd w:id="11"/>
    <w:p>
      <w:pPr>
        <w:ind w:right="220" w:firstLine="162"/>
        <w:spacing w:after="0" w:line="259" w:lineRule="auto"/>
        <w:rPr>
          <w:sz w:val="20"/>
          <w:szCs w:val="20"/>
          <w:color w:val="auto"/>
        </w:rPr>
      </w:pPr>
      <w:r>
        <w:rPr>
          <w:rFonts w:ascii="Arial" w:cs="Arial" w:eastAsia="Arial" w:hAnsi="Arial"/>
          <w:sz w:val="18"/>
          <w:szCs w:val="18"/>
          <w:color w:val="auto"/>
        </w:rPr>
        <w:t>The ImThera business combination involved contingent consideration arrangements composed of potential cash payments upon the achievement of a certain regulatory milestone and a sales-based earnout associated with sales of products covered by the purchase agreement. The sales-based earnout was valued using projected sales from our internal strategic plans. Both arrangements are Level 3 fair value measurements and include the following significant unobservable inputs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Fair value at</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January 16,</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460" w:type="dxa"/>
            <w:vAlign w:val="bottom"/>
          </w:tcPr>
          <w:p>
            <w:pPr>
              <w:ind w:left="860"/>
              <w:spacing w:after="0"/>
              <w:rPr>
                <w:sz w:val="20"/>
                <w:szCs w:val="20"/>
                <w:color w:val="auto"/>
              </w:rPr>
            </w:pPr>
            <w:r>
              <w:rPr>
                <w:rFonts w:ascii="Arial" w:cs="Arial" w:eastAsia="Arial" w:hAnsi="Arial"/>
                <w:sz w:val="18"/>
                <w:szCs w:val="18"/>
                <w:b w:val="1"/>
                <w:bCs w:val="1"/>
                <w:color w:val="auto"/>
              </w:rPr>
              <w:t>ImThera Acquisition</w:t>
            </w: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400" w:type="dxa"/>
            <w:vAlign w:val="bottom"/>
            <w:gridSpan w:val="2"/>
          </w:tcPr>
          <w:p>
            <w:pPr>
              <w:ind w:left="360"/>
              <w:spacing w:after="0"/>
              <w:rPr>
                <w:sz w:val="20"/>
                <w:szCs w:val="20"/>
                <w:color w:val="auto"/>
              </w:rPr>
            </w:pPr>
            <w:r>
              <w:rPr>
                <w:rFonts w:ascii="Arial" w:cs="Arial" w:eastAsia="Arial" w:hAnsi="Arial"/>
                <w:sz w:val="18"/>
                <w:szCs w:val="18"/>
                <w:b w:val="1"/>
                <w:bCs w:val="1"/>
                <w:color w:val="auto"/>
              </w:rPr>
              <w:t>Valuation Technique</w:t>
            </w:r>
          </w:p>
        </w:tc>
        <w:tc>
          <w:tcPr>
            <w:tcW w:w="2840" w:type="dxa"/>
            <w:vAlign w:val="bottom"/>
            <w:gridSpan w:val="2"/>
          </w:tcPr>
          <w:p>
            <w:pPr>
              <w:ind w:left="600"/>
              <w:spacing w:after="0"/>
              <w:rPr>
                <w:sz w:val="20"/>
                <w:szCs w:val="20"/>
                <w:color w:val="auto"/>
              </w:rPr>
            </w:pPr>
            <w:r>
              <w:rPr>
                <w:rFonts w:ascii="Arial" w:cs="Arial" w:eastAsia="Arial" w:hAnsi="Arial"/>
                <w:sz w:val="18"/>
                <w:szCs w:val="18"/>
                <w:b w:val="1"/>
                <w:bCs w:val="1"/>
                <w:color w:val="auto"/>
              </w:rPr>
              <w:t>Unobservable Input</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Ranges</w:t>
            </w:r>
          </w:p>
        </w:tc>
      </w:tr>
      <w:tr>
        <w:trPr>
          <w:trHeight w:val="27"/>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milestone-based payment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50,958</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Discounted cash flow</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- 4.7%</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- 2021</w:t>
            </w:r>
          </w:p>
        </w:tc>
      </w:tr>
      <w:tr>
        <w:trPr>
          <w:trHeight w:val="324"/>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Sales-based earnout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62,315</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Monte Carlo simulation</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Risk-adjusted discount rate</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11.5%</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Credit risk discount rate</w:t>
            </w: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740" w:type="dxa"/>
            <w:vAlign w:val="bottom"/>
          </w:tcPr>
          <w:p>
            <w:pPr>
              <w:ind w:left="20"/>
              <w:spacing w:after="0"/>
              <w:rPr>
                <w:sz w:val="20"/>
                <w:szCs w:val="20"/>
                <w:color w:val="auto"/>
              </w:rPr>
            </w:pPr>
            <w:r>
              <w:rPr>
                <w:rFonts w:ascii="Arial" w:cs="Arial" w:eastAsia="Arial" w:hAnsi="Arial"/>
                <w:sz w:val="18"/>
                <w:szCs w:val="18"/>
                <w:color w:val="auto"/>
              </w:rPr>
              <w:t>- 5.8%</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29.3%</w:t>
            </w:r>
          </w:p>
        </w:tc>
      </w:tr>
      <w:tr>
        <w:trPr>
          <w:trHeight w:val="243"/>
        </w:trPr>
        <w:tc>
          <w:tcPr>
            <w:tcW w:w="3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740" w:type="dxa"/>
            <w:vAlign w:val="bottom"/>
          </w:tcPr>
          <w:p>
            <w:pPr>
              <w:ind w:left="20"/>
              <w:spacing w:after="0"/>
              <w:rPr>
                <w:sz w:val="20"/>
                <w:szCs w:val="20"/>
                <w:color w:val="auto"/>
              </w:rPr>
            </w:pPr>
            <w:r>
              <w:rPr>
                <w:rFonts w:ascii="Arial" w:cs="Arial" w:eastAsia="Arial" w:hAnsi="Arial"/>
                <w:sz w:val="18"/>
                <w:szCs w:val="18"/>
                <w:color w:val="auto"/>
              </w:rPr>
              <w:t>- 95%</w:t>
            </w:r>
          </w:p>
        </w:tc>
      </w:tr>
      <w:tr>
        <w:trPr>
          <w:trHeight w:val="27"/>
        </w:trPr>
        <w:tc>
          <w:tcPr>
            <w:tcW w:w="3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years of earnout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- 2025</w:t>
            </w:r>
          </w:p>
        </w:tc>
      </w:tr>
      <w:tr>
        <w:trPr>
          <w:trHeight w:val="237"/>
        </w:trPr>
        <w:tc>
          <w:tcPr>
            <w:tcW w:w="34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113,273</w:t>
            </w: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Contingent Consideration Liability</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a reconciliation of the beginning and ending balance of the contingent consideration liability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33,973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Purchase price - ImThera contingent consideration</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113,273</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Changes in fair value</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673</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64"/>
        </w:trPr>
        <w:tc>
          <w:tcPr>
            <w:tcW w:w="91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at March 31, 2018 </w:t>
            </w:r>
            <w:r>
              <w:rPr>
                <w:rFonts w:ascii="Arial" w:cs="Arial" w:eastAsia="Arial" w:hAnsi="Arial"/>
                <w:sz w:val="25"/>
                <w:szCs w:val="25"/>
                <w:color w:val="auto"/>
                <w:vertAlign w:val="superscript"/>
              </w:rPr>
              <w:t>(1)</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147,805</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60" w:hanging="328"/>
        <w:spacing w:after="0" w:line="29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6"/>
          <w:szCs w:val="16"/>
          <w:color w:val="auto"/>
        </w:rPr>
        <w:t>The contingent consideration liability represents contingent payments related to four completed acquisitions: Cellplex PTY Ltd., Inversiones Drilltex SAS, Caisson Interventional, LLC and ImThera. Refer to “Note 8. Fair Value Measurements” and “Note 17. Supplemental Financial Information.”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Discontinued Operations</w:t>
      </w:r>
    </w:p>
    <w:p>
      <w:pPr>
        <w:spacing w:after="0" w:line="116"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On March 8, 2018 we entered into a definitive Purchase Agreement with MicroPort Cardiac Rhythm B.V. and MicroPort Scientific Corporation for the sale of our Cardiac Rhythm Management business franchise. The CRM Sale closed on April 30, 2018 for the purchase price of $190.0 million, in addition to certain customary closing adjustments. In conjunction with the CRM Sale, we have agreed to provide certain transition services following the closing of the transaction.</w:t>
      </w:r>
    </w:p>
    <w:p>
      <w:pPr>
        <w:spacing w:after="0" w:line="79"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CRM develops, manufactures and markets products for the diagnosis, treatment and management of heart rhythm disorders and heart failures. CRM products include high-voltage defibrillators, cardiac resynchronization therapy devices and low-voltage pacemakers. CRM has approximately 900 employees, with operations in Clamart, France; Saluggia, Italy; and Santo Domingo, Dominican Republic.</w:t>
      </w:r>
    </w:p>
    <w:p>
      <w:pPr>
        <w:spacing w:after="0" w:line="73"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We concluded that the sale of CRM represents a strategic shift in our business that will have a major effect on future operations and financial results. As a result, we classified the operating results of CRM as discontinued operations in our condensed consolidated statements of income. The assets and liabilities of CRM are presented as assets or liabilities of discontinued operations on the condensed consolidated balance sheets at March 31, 2018 and December 31, 2017.</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ind w:right="320" w:firstLine="162"/>
        <w:spacing w:after="0" w:line="277" w:lineRule="auto"/>
        <w:rPr>
          <w:sz w:val="20"/>
          <w:szCs w:val="20"/>
          <w:color w:val="auto"/>
        </w:rPr>
      </w:pPr>
      <w:r>
        <w:rPr>
          <w:rFonts w:ascii="Arial" w:cs="Arial" w:eastAsia="Arial" w:hAnsi="Arial"/>
          <w:sz w:val="18"/>
          <w:szCs w:val="18"/>
          <w:color w:val="auto"/>
        </w:rPr>
        <w:t>The following table represents assets and liabilities of CRM presented as assets and liabilities of discontinued operations on the 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64,684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55,411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54,097</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taxes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14,725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Prepaid and other assets</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3,498</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12,104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2,517</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97,379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92,966</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of discontinued operations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257,140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250,689</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84"/>
        </w:trPr>
        <w:tc>
          <w:tcPr>
            <w:tcW w:w="7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debt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28,400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26,501</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Taxes payable</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5,084</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30,753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Deferred income taxes liability</w:t>
            </w:r>
          </w:p>
        </w:tc>
        <w:tc>
          <w:tcPr>
            <w:tcW w:w="26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8,763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8,068</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Liabilities of discontinued operations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84,993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78,075</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The following table represents the financial results of CRM presented as net loss from discontinued operations in the condensed consolidated statements of income: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5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72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318"/>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60,107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58,280</w:t>
            </w:r>
          </w:p>
        </w:tc>
      </w:tr>
      <w:tr>
        <w:trPr>
          <w:trHeight w:val="108"/>
        </w:trPr>
        <w:tc>
          <w:tcPr>
            <w:tcW w:w="7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324"/>
        </w:trPr>
        <w:tc>
          <w:tcPr>
            <w:tcW w:w="72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34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22,138</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21,485</w:t>
            </w:r>
          </w:p>
        </w:tc>
      </w:tr>
      <w:tr>
        <w:trPr>
          <w:trHeight w:val="108"/>
        </w:trPr>
        <w:tc>
          <w:tcPr>
            <w:tcW w:w="7200" w:type="dxa"/>
            <w:vAlign w:val="bottom"/>
            <w:tcBorders>
              <w:bottom w:val="single" w:sz="8" w:color="CCEEFF"/>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318"/>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37,969</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36,795</w:t>
            </w:r>
          </w:p>
        </w:tc>
      </w:tr>
      <w:tr>
        <w:trPr>
          <w:trHeight w:val="108"/>
        </w:trPr>
        <w:tc>
          <w:tcPr>
            <w:tcW w:w="7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324"/>
        </w:trPr>
        <w:tc>
          <w:tcPr>
            <w:tcW w:w="72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31,826</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25,037</w:t>
            </w:r>
          </w:p>
        </w:tc>
      </w:tr>
      <w:tr>
        <w:trPr>
          <w:trHeight w:val="108"/>
        </w:trPr>
        <w:tc>
          <w:tcPr>
            <w:tcW w:w="7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324"/>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9,259</w:t>
            </w:r>
          </w:p>
        </w:tc>
      </w:tr>
      <w:tr>
        <w:trPr>
          <w:trHeight w:val="108"/>
        </w:trPr>
        <w:tc>
          <w:tcPr>
            <w:tcW w:w="7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324"/>
        </w:trPr>
        <w:tc>
          <w:tcPr>
            <w:tcW w:w="720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13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108"/>
        </w:trPr>
        <w:tc>
          <w:tcPr>
            <w:tcW w:w="7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324"/>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108"/>
        </w:trPr>
        <w:tc>
          <w:tcPr>
            <w:tcW w:w="7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324"/>
        </w:trPr>
        <w:tc>
          <w:tcPr>
            <w:tcW w:w="720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34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3,454</w:t>
            </w:r>
          </w:p>
        </w:tc>
      </w:tr>
      <w:tr>
        <w:trPr>
          <w:trHeight w:val="108"/>
        </w:trPr>
        <w:tc>
          <w:tcPr>
            <w:tcW w:w="7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324"/>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Revaluation of assets and liabilities held for sale</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08"/>
        </w:trPr>
        <w:tc>
          <w:tcPr>
            <w:tcW w:w="7200" w:type="dxa"/>
            <w:vAlign w:val="bottom"/>
            <w:shd w:val="clear" w:color="auto" w:fill="CCEEFF"/>
          </w:tcPr>
          <w:p>
            <w:pPr>
              <w:spacing w:after="0"/>
              <w:rPr>
                <w:sz w:val="9"/>
                <w:szCs w:val="9"/>
                <w:color w:val="auto"/>
              </w:rPr>
            </w:pPr>
          </w:p>
        </w:tc>
        <w:tc>
          <w:tcPr>
            <w:tcW w:w="13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spacing w:after="0"/>
              <w:rPr>
                <w:sz w:val="9"/>
                <w:szCs w:val="9"/>
                <w:color w:val="auto"/>
              </w:rPr>
            </w:pPr>
          </w:p>
        </w:tc>
      </w:tr>
      <w:tr>
        <w:trPr>
          <w:trHeight w:val="318"/>
        </w:trPr>
        <w:tc>
          <w:tcPr>
            <w:tcW w:w="72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34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42,545</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37,892</w:t>
            </w:r>
          </w:p>
        </w:tc>
      </w:tr>
      <w:tr>
        <w:trPr>
          <w:trHeight w:val="108"/>
        </w:trPr>
        <w:tc>
          <w:tcPr>
            <w:tcW w:w="7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324"/>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loss from discontinued operations</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108"/>
        </w:trPr>
        <w:tc>
          <w:tcPr>
            <w:tcW w:w="7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324"/>
        </w:trPr>
        <w:tc>
          <w:tcPr>
            <w:tcW w:w="7200" w:type="dxa"/>
            <w:vAlign w:val="bottom"/>
          </w:tcPr>
          <w:p>
            <w:pPr>
              <w:ind w:left="40"/>
              <w:spacing w:after="0"/>
              <w:rPr>
                <w:sz w:val="20"/>
                <w:szCs w:val="20"/>
                <w:color w:val="auto"/>
              </w:rPr>
            </w:pPr>
            <w:r>
              <w:rPr>
                <w:rFonts w:ascii="Arial" w:cs="Arial" w:eastAsia="Arial" w:hAnsi="Arial"/>
                <w:sz w:val="18"/>
                <w:szCs w:val="18"/>
                <w:color w:val="auto"/>
              </w:rPr>
              <w:t>Foreign exchange and other gains</w:t>
            </w:r>
          </w:p>
        </w:tc>
        <w:tc>
          <w:tcPr>
            <w:tcW w:w="134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108"/>
        </w:trPr>
        <w:tc>
          <w:tcPr>
            <w:tcW w:w="7200" w:type="dxa"/>
            <w:vAlign w:val="bottom"/>
            <w:tcBorders>
              <w:bottom w:val="single" w:sz="8" w:color="CCEEFF"/>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318"/>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from discontinued operations, before tax</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108"/>
        </w:trPr>
        <w:tc>
          <w:tcPr>
            <w:tcW w:w="7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324"/>
        </w:trPr>
        <w:tc>
          <w:tcPr>
            <w:tcW w:w="72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08"/>
        </w:trPr>
        <w:tc>
          <w:tcPr>
            <w:tcW w:w="7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324"/>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108"/>
        </w:trPr>
        <w:tc>
          <w:tcPr>
            <w:tcW w:w="7200" w:type="dxa"/>
            <w:vAlign w:val="bottom"/>
            <w:shd w:val="clear" w:color="auto" w:fill="CCEEFF"/>
          </w:tcPr>
          <w:p>
            <w:pPr>
              <w:spacing w:after="0"/>
              <w:rPr>
                <w:sz w:val="9"/>
                <w:szCs w:val="9"/>
                <w:color w:val="auto"/>
              </w:rPr>
            </w:pPr>
          </w:p>
        </w:tc>
        <w:tc>
          <w:tcPr>
            <w:tcW w:w="13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spacing w:after="0"/>
              <w:rPr>
                <w:sz w:val="9"/>
                <w:szCs w:val="9"/>
                <w:color w:val="auto"/>
              </w:rPr>
            </w:pPr>
          </w:p>
        </w:tc>
      </w:tr>
      <w:tr>
        <w:trPr>
          <w:trHeight w:val="318"/>
        </w:trPr>
        <w:tc>
          <w:tcPr>
            <w:tcW w:w="7200" w:type="dxa"/>
            <w:vAlign w:val="bottom"/>
          </w:tcPr>
          <w:p>
            <w:pPr>
              <w:ind w:left="280"/>
              <w:spacing w:after="0"/>
              <w:rPr>
                <w:sz w:val="20"/>
                <w:szCs w:val="20"/>
                <w:color w:val="auto"/>
              </w:rPr>
            </w:pPr>
            <w:r>
              <w:rPr>
                <w:rFonts w:ascii="Arial" w:cs="Arial" w:eastAsia="Arial" w:hAnsi="Arial"/>
                <w:sz w:val="18"/>
                <w:szCs w:val="18"/>
                <w:color w:val="auto"/>
              </w:rPr>
              <w:t>Net loss from discontinued operations</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24"/>
                <w:szCs w:val="24"/>
                <w:color w:val="auto"/>
              </w:rPr>
            </w:pP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(1,956)</w:t>
            </w:r>
          </w:p>
        </w:tc>
      </w:tr>
      <w:tr>
        <w:trPr>
          <w:trHeight w:val="108"/>
        </w:trPr>
        <w:tc>
          <w:tcPr>
            <w:tcW w:w="7200" w:type="dxa"/>
            <w:vAlign w:val="bottom"/>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20"/>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162"/>
        <w:spacing w:after="0" w:line="286" w:lineRule="auto"/>
        <w:rPr>
          <w:sz w:val="20"/>
          <w:szCs w:val="20"/>
          <w:color w:val="auto"/>
        </w:rPr>
      </w:pPr>
      <w:r>
        <w:rPr>
          <w:rFonts w:ascii="Arial" w:cs="Arial" w:eastAsia="Arial" w:hAnsi="Arial"/>
          <w:sz w:val="17"/>
          <w:szCs w:val="17"/>
          <w:color w:val="auto"/>
        </w:rPr>
        <w:t>Cash flows attributable to our discontinued operations are included in our condensed consolidated statements of cash flows. For the three months ended March 31, 2018 and 2017, CRM’s capital expenditures were $0.9 million and $1.7 million and stock-based compensation expense was $2.0 million and $0.1 million, respectively. For the three months ended March 31, 2017 depreciation and amortization was $3.9 million.</w:t>
      </w:r>
    </w:p>
    <w:p>
      <w:pPr>
        <w:sectPr>
          <w:pgSz w:w="11900" w:h="16838" w:orient="portrait"/>
          <w:cols w:equalWidth="0" w:num="1">
            <w:col w:w="11420"/>
          </w:cols>
          <w:pgMar w:left="240" w:top="692" w:right="239" w:bottom="352" w:gutter="0" w:footer="0" w:header="0"/>
        </w:sectPr>
      </w:pP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692" w:right="239" w:bottom="352"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Note 5. Restructuring</w:t>
      </w:r>
    </w:p>
    <w:p>
      <w:pPr>
        <w:spacing w:after="0" w:line="116" w:lineRule="exact"/>
        <w:rPr>
          <w:sz w:val="20"/>
          <w:szCs w:val="20"/>
          <w:color w:val="auto"/>
        </w:rPr>
      </w:pPr>
    </w:p>
    <w:p>
      <w:pPr>
        <w:ind w:right="260" w:firstLine="162"/>
        <w:spacing w:after="0" w:line="259" w:lineRule="auto"/>
        <w:rPr>
          <w:sz w:val="20"/>
          <w:szCs w:val="20"/>
          <w:color w:val="auto"/>
        </w:rPr>
      </w:pPr>
      <w:r>
        <w:rPr>
          <w:rFonts w:ascii="Arial" w:cs="Arial" w:eastAsia="Arial" w:hAnsi="Arial"/>
          <w:sz w:val="18"/>
          <w:szCs w:val="18"/>
          <w:color w:val="auto"/>
        </w:rPr>
        <w:t>Our 2015 and 2016 Reorganization Plans (the “Plans”) were initiated October 2015 and March 2016, respectively, in conjunction with the completion of the merger of Cyberonics and Sorin in October 2015. We initiated these plans to leverage economies of scale, streamline distribution and logistics and strengthen operational and administrative effectiveness in order to reduce overall costs. Costs associated with these plans were reported as ‘Restructuring expenses’ in our operating results in the condensed consolidated statements of income.</w:t>
      </w:r>
    </w:p>
    <w:p>
      <w:pPr>
        <w:spacing w:after="0" w:line="79"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In March 2017, we committed to a plan to sell our Suzhou Industrial Park facility in Shanghai, China. As a result of this exit plan we recorded an impairment of the building and equipment of $4.6 million and accrued $0.5 million of additional costs, primarily related to employee severance, during the three months ended March 31, 2017. In addition, the remaining carrying value of the land, building and equipment was reclassified to ‘Assets held for sale’ in March 2017, with a balance of $13.7 million as of March 31, 2018, on the condensed consolidated balance sheet. The sale of the Suzhou facility was completed in April 2018.</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estimate that these Plans will result in a net reduction of 324 personnel, of which 320 have occurred as of March 31, 2018.</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presents the Plans’ accruals, inventory obsolescence and other reserves, recorded in connection with the Reorganization Plans including the balances and activity related to the discontinued operations,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Employee Severance</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and Other Termination</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Costs</w:t>
            </w:r>
          </w:p>
        </w:tc>
        <w:tc>
          <w:tcPr>
            <w:tcW w:w="440" w:type="dxa"/>
            <w:vAlign w:val="bottom"/>
          </w:tcPr>
          <w:p>
            <w:pPr>
              <w:spacing w:after="0"/>
              <w:rPr>
                <w:sz w:val="20"/>
                <w:szCs w:val="20"/>
                <w:color w:val="auto"/>
              </w:rPr>
            </w:pPr>
          </w:p>
        </w:tc>
        <w:tc>
          <w:tcPr>
            <w:tcW w:w="1600" w:type="dxa"/>
            <w:vAlign w:val="bottom"/>
            <w:gridSpan w:val="2"/>
          </w:tcPr>
          <w:p>
            <w:pPr>
              <w:ind w:left="300"/>
              <w:spacing w:after="0"/>
              <w:rPr>
                <w:sz w:val="20"/>
                <w:szCs w:val="20"/>
                <w:color w:val="auto"/>
              </w:rPr>
            </w:pPr>
            <w:r>
              <w:rPr>
                <w:rFonts w:ascii="Arial" w:cs="Arial" w:eastAsia="Arial" w:hAnsi="Arial"/>
                <w:sz w:val="18"/>
                <w:szCs w:val="18"/>
                <w:b w:val="1"/>
                <w:bCs w:val="1"/>
                <w:color w:val="auto"/>
              </w:rPr>
              <w:t>Other</w:t>
            </w: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2,532</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and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3,426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6,044</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restructuring expense by reportable segment, with discontinued operations included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3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74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Cardiac Surgery </w:t>
            </w:r>
            <w:r>
              <w:rPr>
                <w:rFonts w:ascii="Arial" w:cs="Arial" w:eastAsia="Arial" w:hAnsi="Arial"/>
                <w:sz w:val="25"/>
                <w:szCs w:val="25"/>
                <w:color w:val="auto"/>
                <w:vertAlign w:val="superscript"/>
              </w:rPr>
              <w:t>(1)</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2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672</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Restructuring expense from continuing operations</w:t>
            </w:r>
          </w:p>
        </w:tc>
        <w:tc>
          <w:tcPr>
            <w:tcW w:w="1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10,030</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10,150</w:t>
            </w:r>
          </w:p>
        </w:tc>
      </w:tr>
      <w:tr>
        <w:trPr>
          <w:trHeight w:val="20"/>
        </w:trPr>
        <w:tc>
          <w:tcPr>
            <w:tcW w:w="7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640" w:hanging="328"/>
        <w:spacing w:after="0" w:line="29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Cardiac Surgery restructuring expense for the three months ended March 31, 2017 included building and equipment impairment and additional costs of $5.1 million related to the Suzhou, China facility exit plan.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Product Remediation Liability</w:t>
      </w:r>
    </w:p>
    <w:p>
      <w:pPr>
        <w:spacing w:after="0" w:line="116"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On December 29, 2015, we received an FDA Warning Letter (the “Warning Letter”) alleging certain violations of FDA regulations applicable to medical device manufacturing at our Munich, Germany and Arvada, Colorado facilities. On October 13, 2016, the Centers for Disease Control and Prevention (“CDC”) and FDA separately released safety notifications regarding the 3T Heater-Cooler devices in response to which the Company issued a Field Safety Notice Update for U.S. users of 3T Heater-Cooler devices to proactively and voluntarily contact facilities to facilitate implementation of the CDC and FDA recommendations.</w:t>
      </w:r>
    </w:p>
    <w:p>
      <w:pPr>
        <w:spacing w:after="0" w:line="80" w:lineRule="exact"/>
        <w:rPr>
          <w:sz w:val="20"/>
          <w:szCs w:val="20"/>
          <w:color w:val="auto"/>
        </w:rPr>
      </w:pPr>
    </w:p>
    <w:p>
      <w:pPr>
        <w:ind w:firstLine="162"/>
        <w:spacing w:after="0" w:line="302" w:lineRule="auto"/>
        <w:rPr>
          <w:sz w:val="20"/>
          <w:szCs w:val="20"/>
          <w:color w:val="auto"/>
        </w:rPr>
      </w:pPr>
      <w:r>
        <w:rPr>
          <w:rFonts w:ascii="Arial" w:cs="Arial" w:eastAsia="Arial" w:hAnsi="Arial"/>
          <w:sz w:val="16"/>
          <w:szCs w:val="16"/>
          <w:color w:val="auto"/>
        </w:rPr>
        <w:t>At December 31, 2016, we recognized a liability for a product remediation plan related to our 3T Heater-Cooler device (“3T device”). The remediation plan we developed consists primarily of a modification of the 3T device design to include internal sealing and the addition of a vacuum system to new and existing devices. These changes are intended to address regulatory actions and to reduce further the risk of possible dispersion of aerosols from 3T devices in the operating room. We concluded that it was probable that a liability had been incurred upon management’s approval of the plan and the commitments made by</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7" w:right="239" w:bottom="1440" w:gutter="0" w:footer="0" w:header="0"/>
        </w:sectPr>
      </w:pPr>
    </w:p>
    <w:bookmarkStart w:id="14" w:name="page15"/>
    <w:bookmarkEnd w:id="14"/>
    <w:p>
      <w:pPr>
        <w:ind w:right="40"/>
        <w:spacing w:after="0" w:line="276" w:lineRule="auto"/>
        <w:rPr>
          <w:sz w:val="20"/>
          <w:szCs w:val="20"/>
          <w:color w:val="auto"/>
        </w:rPr>
      </w:pPr>
      <w:r>
        <w:rPr>
          <w:rFonts w:ascii="Arial" w:cs="Arial" w:eastAsia="Arial" w:hAnsi="Arial"/>
          <w:sz w:val="17"/>
          <w:szCs w:val="17"/>
          <w:color w:val="auto"/>
        </w:rPr>
        <w:t>management to various regulatory authorities globally in November and December 2016, and furthermore, the cost associated with the plan was reasonably estimable. The deployment of this solution for commercially distributed devices has been dependent upon final validation and verification of the design changes and approval or clearance by regulatory authorities worldwide, including FDA clearance in the U.S.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64" w:lineRule="exact"/>
        <w:rPr>
          <w:sz w:val="20"/>
          <w:szCs w:val="20"/>
          <w:color w:val="auto"/>
        </w:rPr>
      </w:pPr>
    </w:p>
    <w:p>
      <w:pPr>
        <w:ind w:right="180" w:firstLine="162"/>
        <w:spacing w:after="0" w:line="290" w:lineRule="auto"/>
        <w:rPr>
          <w:sz w:val="20"/>
          <w:szCs w:val="20"/>
          <w:color w:val="auto"/>
        </w:rPr>
      </w:pPr>
      <w:r>
        <w:rPr>
          <w:rFonts w:ascii="Arial" w:cs="Arial" w:eastAsia="Arial" w:hAnsi="Arial"/>
          <w:sz w:val="16"/>
          <w:szCs w:val="16"/>
          <w:color w:val="auto"/>
        </w:rPr>
        <w:t>In April 2017, we obtained CE Mark in Europe for the design change of the 3T device and in May 2017 we completed our first vacuum and sealing upgrade on a customer-owned device. We are currently implementing the vacuum and sealing upgrade program in as many countries as possible throughout 2018 and beyond until all devices are upgraded. As part of the remediation plan, we also intend to perform a no-charge deep disinfection service (deep cleaning service) for 3T device users as we receive the required regulatory approvals. On April 12, 2018, the FDA agreed to allow us to move forward with the deep cleaning service in the U.S., adding to the growing list of countries around the world in which we offer this service. Finally, we are continuing to offer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began in the U.S. and is being made available progressively on a global basis, prioritizing and allocating devices to 3T device users based on pre-established criteria.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Changes in the carrying amount of the product remediation liability are as follows (in thousands):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35"/>
        </w:trPr>
        <w:tc>
          <w:tcPr>
            <w:tcW w:w="9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Remediation activity</w:t>
            </w: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(2,719)</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r>
      <w:tr>
        <w:trPr>
          <w:trHeight w:val="264"/>
        </w:trPr>
        <w:tc>
          <w:tcPr>
            <w:tcW w:w="91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at March 31, 2018 </w:t>
            </w:r>
            <w:r>
              <w:rPr>
                <w:rFonts w:ascii="Arial" w:cs="Arial" w:eastAsia="Arial" w:hAnsi="Arial"/>
                <w:sz w:val="25"/>
                <w:szCs w:val="25"/>
                <w:color w:val="auto"/>
                <w:vertAlign w:val="superscript"/>
              </w:rPr>
              <w:t>(1)</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25,581</w:t>
            </w: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300" w:hanging="328"/>
        <w:spacing w:after="0" w:line="27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8"/>
          <w:szCs w:val="18"/>
          <w:color w:val="auto"/>
        </w:rPr>
        <w:t>At March 31, 2018, the product remediation liability balance is held within ‘Accrued liabilities and other’ and ‘Other long-term liabilities’ on the condensed consolidated balance sheet. Refer to “Note 17. Supplemental Financial Information.”</w:t>
      </w:r>
    </w:p>
    <w:p>
      <w:pPr>
        <w:spacing w:after="0" w:line="8"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For further information, please refer to “Note 11. Commitments and Contingencies.” At this stage, we have recognized no liability with respect to any lawsuits related to the 3T device and our related legal costs are expensed as incurred.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Cost-Method Investments</w:t>
      </w:r>
    </w:p>
    <w:p>
      <w:pPr>
        <w:spacing w:after="0" w:line="110" w:lineRule="exact"/>
        <w:rPr>
          <w:sz w:val="20"/>
          <w:szCs w:val="20"/>
          <w:color w:val="auto"/>
        </w:rPr>
      </w:pPr>
    </w:p>
    <w:p>
      <w:pPr>
        <w:ind w:right="720" w:firstLine="162"/>
        <w:spacing w:after="0" w:line="277" w:lineRule="auto"/>
        <w:rPr>
          <w:sz w:val="20"/>
          <w:szCs w:val="20"/>
          <w:color w:val="auto"/>
        </w:rPr>
      </w:pPr>
      <w:r>
        <w:rPr>
          <w:rFonts w:ascii="Arial" w:cs="Arial" w:eastAsia="Arial" w:hAnsi="Arial"/>
          <w:sz w:val="18"/>
          <w:szCs w:val="18"/>
          <w:color w:val="auto"/>
        </w:rPr>
        <w:t>Our cost-method investments are included in ‘Investments’ in the condensed consolidated balance sheets and consist of our equity positions in the following privately-held companies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2018</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17,907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ImThera Medical, Inc.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12,900</w:t>
            </w: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Rainbow Medical Ltd. </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70"/>
        </w:trPr>
        <w:tc>
          <w:tcPr>
            <w:tcW w:w="6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MD Start II </w:t>
            </w:r>
            <w:r>
              <w:rPr>
                <w:rFonts w:ascii="Arial" w:cs="Arial" w:eastAsia="Arial" w:hAnsi="Arial"/>
                <w:sz w:val="25"/>
                <w:szCs w:val="25"/>
                <w:color w:val="auto"/>
                <w:vertAlign w:val="superscript"/>
              </w:rPr>
              <w:t>(4)</w:t>
            </w:r>
          </w:p>
        </w:tc>
        <w:tc>
          <w:tcPr>
            <w:tcW w:w="3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1,199</w:t>
            </w: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60" w:hanging="328"/>
        <w:spacing w:after="0" w:line="28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5"/>
          <w:szCs w:val="15"/>
          <w:color w:val="auto"/>
        </w:rPr>
        <w:t>Respicardia Inc. (“Respicardia”) is a privately funded U.S. company developing an implantable device designed to restore a more natural breathing pattern during sleep in patients with central sleep apnea ("CSA") by transvenously stimulating the phrenic nerve. We have a loan outstanding to Respicardia with a carrying amount of $0.4 million, as of March 31, 2018, which is included in ‘Prepaid expenses and other current assets’ on the condensed consolidated balance sheet.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6"/>
          <w:szCs w:val="16"/>
          <w:color w:val="auto"/>
        </w:rPr>
        <w:t>On January 16, 2018, we acquired the remaining outstanding interests in ImThera. Refer to “Note 3. Business Combinations”.</w:t>
      </w:r>
    </w:p>
    <w:p>
      <w:pPr>
        <w:spacing w:after="0" w:line="18" w:lineRule="exact"/>
        <w:rPr>
          <w:rFonts w:ascii="Arial" w:cs="Arial" w:eastAsia="Arial" w:hAnsi="Arial"/>
          <w:sz w:val="14"/>
          <w:szCs w:val="14"/>
          <w:color w:val="auto"/>
        </w:rPr>
      </w:pPr>
    </w:p>
    <w:p>
      <w:pPr>
        <w:ind w:left="700" w:hanging="368"/>
        <w:spacing w:after="0"/>
        <w:tabs>
          <w:tab w:leader="none" w:pos="700" w:val="left"/>
        </w:tabs>
        <w:numPr>
          <w:ilvl w:val="0"/>
          <w:numId w:val="12"/>
        </w:numPr>
        <w:rPr>
          <w:rFonts w:ascii="Arial" w:cs="Arial" w:eastAsia="Arial" w:hAnsi="Arial"/>
          <w:sz w:val="13"/>
          <w:szCs w:val="13"/>
          <w:color w:val="auto"/>
        </w:rPr>
      </w:pPr>
      <w:r>
        <w:rPr>
          <w:rFonts w:ascii="Arial" w:cs="Arial" w:eastAsia="Arial" w:hAnsi="Arial"/>
          <w:sz w:val="14"/>
          <w:szCs w:val="14"/>
          <w:color w:val="auto"/>
        </w:rPr>
        <w:t>Rainbow Medical Ltd. is a private Israeli venture capital company that seeds and grows companies developing medical devices in a diverse range of medical fields.</w:t>
      </w:r>
    </w:p>
    <w:p>
      <w:pPr>
        <w:spacing w:after="0" w:line="41" w:lineRule="exact"/>
        <w:rPr>
          <w:rFonts w:ascii="Arial" w:cs="Arial" w:eastAsia="Arial" w:hAnsi="Arial"/>
          <w:sz w:val="13"/>
          <w:szCs w:val="13"/>
          <w:color w:val="auto"/>
        </w:rPr>
      </w:pPr>
    </w:p>
    <w:p>
      <w:pPr>
        <w:ind w:left="660" w:hanging="328"/>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6"/>
          <w:szCs w:val="16"/>
          <w:color w:val="auto"/>
        </w:rPr>
        <w:t>MD Start II Rainbow Medical Ltd. is a private venture capital collaboration for the development of medical device technology in Europe.</w:t>
      </w: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Equity Method Investments</w:t>
      </w:r>
    </w:p>
    <w:p>
      <w:pPr>
        <w:spacing w:after="0" w:line="110" w:lineRule="exact"/>
        <w:rPr>
          <w:sz w:val="20"/>
          <w:szCs w:val="20"/>
          <w:color w:val="auto"/>
        </w:rPr>
      </w:pPr>
    </w:p>
    <w:p>
      <w:pPr>
        <w:ind w:right="640" w:firstLine="162"/>
        <w:spacing w:after="0" w:line="277" w:lineRule="auto"/>
        <w:rPr>
          <w:sz w:val="20"/>
          <w:szCs w:val="20"/>
          <w:color w:val="auto"/>
        </w:rPr>
      </w:pPr>
      <w:r>
        <w:rPr>
          <w:rFonts w:ascii="Arial" w:cs="Arial" w:eastAsia="Arial" w:hAnsi="Arial"/>
          <w:sz w:val="18"/>
          <w:szCs w:val="18"/>
          <w:color w:val="auto"/>
        </w:rPr>
        <w:t>Our equity-method investments are included in ‘Investments’ in the condensed consolidated balance sheets and consist of our equity position in the following entities (in thousands, except for percent ownership):</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040" w:type="dxa"/>
            <w:vAlign w:val="bottom"/>
          </w:tcPr>
          <w:p>
            <w:pPr>
              <w:spacing w:after="0"/>
              <w:rPr>
                <w:sz w:val="24"/>
                <w:szCs w:val="2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 xml:space="preserve">% Ownership </w:t>
            </w:r>
            <w:r>
              <w:rPr>
                <w:rFonts w:ascii="Arial" w:cs="Arial" w:eastAsia="Arial" w:hAnsi="Arial"/>
                <w:sz w:val="25"/>
                <w:szCs w:val="25"/>
                <w:b w:val="1"/>
                <w:bCs w:val="1"/>
                <w:color w:val="auto"/>
                <w:w w:val="90"/>
                <w:vertAlign w:val="superscript"/>
              </w:rPr>
              <w:t>(2)</w:t>
            </w:r>
          </w:p>
        </w:tc>
        <w:tc>
          <w:tcPr>
            <w:tcW w:w="300" w:type="dxa"/>
            <w:vAlign w:val="bottom"/>
          </w:tcPr>
          <w:p>
            <w:pPr>
              <w:spacing w:after="0"/>
              <w:rPr>
                <w:sz w:val="24"/>
                <w:szCs w:val="24"/>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2018</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r>
      <w:tr>
        <w:trPr>
          <w:trHeight w:val="264"/>
        </w:trPr>
        <w:tc>
          <w:tcPr>
            <w:tcW w:w="504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Highlife S.A.S. </w:t>
            </w:r>
            <w:r>
              <w:rPr>
                <w:rFonts w:ascii="Arial" w:cs="Arial" w:eastAsia="Arial" w:hAnsi="Arial"/>
                <w:sz w:val="25"/>
                <w:szCs w:val="25"/>
                <w:color w:val="auto"/>
                <w:vertAlign w:val="superscript"/>
              </w:rPr>
              <w:t>(1)</w:t>
            </w:r>
          </w:p>
        </w:tc>
        <w:tc>
          <w:tcPr>
            <w:tcW w:w="184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50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w:t>
            </w:r>
          </w:p>
        </w:tc>
      </w:tr>
      <w:tr>
        <w:trPr>
          <w:trHeight w:val="20"/>
        </w:trPr>
        <w:tc>
          <w:tcPr>
            <w:tcW w:w="5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60" w:hanging="328"/>
        <w:spacing w:after="0" w:line="266"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Highlife S.A.S is a privately held clinical-stage medical device company located in France and is focused on the development of a unique transcatheter mitral valve replacement system to treat patients with mitral regurgitation.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Ownership percentage as of March 31, 2018.</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Fair Value Measurements</w:t>
      </w:r>
    </w:p>
    <w:p>
      <w:pPr>
        <w:spacing w:after="0" w:line="116"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three months ended March 31, 2018.</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 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2018</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5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(foreign</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exchange rate "FX")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swaps)</w:t>
            </w:r>
          </w:p>
        </w:tc>
        <w:tc>
          <w:tcPr>
            <w:tcW w:w="20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freestanding instruments (FX)</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147,805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147,805</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153,425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1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3"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7"/>
          </w:tcPr>
          <w:p>
            <w:pPr>
              <w:jc w:val="center"/>
              <w:ind w:right="1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Fair Value as of</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2017</w:t>
            </w: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freestanding instruments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w w:val="97"/>
              </w:rPr>
              <w:t>Derivative liabilities - designated as cash flow hedges (interest rate</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swaps)</w:t>
            </w:r>
          </w:p>
        </w:tc>
        <w:tc>
          <w:tcPr>
            <w:tcW w:w="14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33,973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36,018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160" w:hanging="328"/>
        <w:spacing w:after="0" w:line="293"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The contingent consideration liability represents contingent payments related to four completed acquisitions: Cellplex PTY Ltd., Inversiones Drilltex SAS, Caisson Interventional, LLC and ImThera.</w:t>
      </w:r>
    </w:p>
    <w:p>
      <w:pPr>
        <w:spacing w:after="0" w:line="5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Our recurring fair value measurements, using significant unobservable inputs (Level 3), relate solely to our contingent consideration liability. Refer to “Note 3. Business Combinations” for additional details regarding the changes in the fair value of our contingent consideration liability.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Financing Arrangements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outstanding principal amount of long-term debt (in thousands, except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c>
          <w:tcPr>
            <w:tcW w:w="120" w:type="dxa"/>
            <w:vAlign w:val="bottom"/>
          </w:tcPr>
          <w:p>
            <w:pPr>
              <w:spacing w:after="0"/>
              <w:rPr>
                <w:sz w:val="20"/>
                <w:szCs w:val="20"/>
                <w:color w:val="auto"/>
              </w:rPr>
            </w:pPr>
          </w:p>
        </w:tc>
        <w:tc>
          <w:tcPr>
            <w:tcW w:w="2480" w:type="dxa"/>
            <w:vAlign w:val="bottom"/>
            <w:gridSpan w:val="2"/>
          </w:tcPr>
          <w:p>
            <w:pPr>
              <w:ind w:left="840"/>
              <w:spacing w:after="0"/>
              <w:rPr>
                <w:sz w:val="20"/>
                <w:szCs w:val="20"/>
                <w:color w:val="auto"/>
              </w:rPr>
            </w:pPr>
            <w:r>
              <w:rPr>
                <w:rFonts w:ascii="Arial" w:cs="Arial" w:eastAsia="Arial" w:hAnsi="Arial"/>
                <w:sz w:val="18"/>
                <w:szCs w:val="18"/>
                <w:b w:val="1"/>
                <w:bCs w:val="1"/>
                <w:color w:val="auto"/>
              </w:rPr>
              <w:t>Maturity</w:t>
            </w:r>
          </w:p>
        </w:tc>
        <w:tc>
          <w:tcPr>
            <w:tcW w:w="1900" w:type="dxa"/>
            <w:vAlign w:val="bottom"/>
          </w:tcPr>
          <w:p>
            <w:pPr>
              <w:jc w:val="right"/>
              <w:ind w:right="35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3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71,853</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69,893</w:t>
            </w:r>
          </w:p>
        </w:tc>
        <w:tc>
          <w:tcPr>
            <w:tcW w:w="120" w:type="dxa"/>
            <w:vAlign w:val="bottom"/>
            <w:shd w:val="clear" w:color="auto" w:fill="CCEEFF"/>
          </w:tcPr>
          <w:p>
            <w:pPr>
              <w:spacing w:after="0"/>
              <w:rPr>
                <w:sz w:val="22"/>
                <w:szCs w:val="22"/>
                <w:color w:val="auto"/>
              </w:rPr>
            </w:pP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2021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70"/>
        </w:trPr>
        <w:tc>
          <w:tcPr>
            <w:tcW w:w="3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Mediocredito Italiano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9,118</w:t>
            </w:r>
          </w:p>
        </w:tc>
        <w:tc>
          <w:tcPr>
            <w:tcW w:w="120" w:type="dxa"/>
            <w:vAlign w:val="bottom"/>
          </w:tcPr>
          <w:p>
            <w:pPr>
              <w:spacing w:after="0"/>
              <w:rPr>
                <w:sz w:val="23"/>
                <w:szCs w:val="23"/>
                <w:color w:val="auto"/>
              </w:rPr>
            </w:pP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2023</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0.50% - 3.10%</w:t>
            </w:r>
          </w:p>
        </w:tc>
      </w:tr>
      <w:tr>
        <w:trPr>
          <w:trHeight w:val="270"/>
        </w:trPr>
        <w:tc>
          <w:tcPr>
            <w:tcW w:w="3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Banca del Mezzogiorno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5,499</w:t>
            </w:r>
          </w:p>
        </w:tc>
        <w:tc>
          <w:tcPr>
            <w:tcW w:w="120" w:type="dxa"/>
            <w:vAlign w:val="bottom"/>
            <w:shd w:val="clear" w:color="auto" w:fill="CCEEFF"/>
          </w:tcPr>
          <w:p>
            <w:pPr>
              <w:spacing w:after="0"/>
              <w:rPr>
                <w:sz w:val="23"/>
                <w:szCs w:val="23"/>
                <w:color w:val="auto"/>
              </w:rPr>
            </w:pP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December 2019</w:t>
            </w:r>
          </w:p>
        </w:tc>
        <w:tc>
          <w:tcPr>
            <w:tcW w:w="1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0.50% - 3.15%</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Bpifrance (ex-Oséo)</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2019</w:t>
            </w:r>
          </w:p>
        </w:tc>
        <w:tc>
          <w:tcPr>
            <w:tcW w:w="19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 Wallonne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December 2023 and June 2033</w:t>
            </w:r>
          </w:p>
        </w:tc>
        <w:tc>
          <w:tcPr>
            <w:tcW w:w="1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0.00% - 2.45%</w:t>
            </w: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rPr>
              <w:t>Mediocredito Italiano - mortgages and other</w:t>
            </w:r>
          </w:p>
        </w:tc>
        <w:tc>
          <w:tcPr>
            <w:tcW w:w="16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9"/>
                <w:szCs w:val="19"/>
                <w:color w:val="auto"/>
              </w:rPr>
            </w:pP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September 2021 and September</w:t>
            </w:r>
          </w:p>
        </w:tc>
        <w:tc>
          <w:tcPr>
            <w:tcW w:w="1900" w:type="dxa"/>
            <w:vAlign w:val="bottom"/>
          </w:tcPr>
          <w:p>
            <w:pPr>
              <w:jc w:val="right"/>
              <w:ind w:right="90"/>
              <w:spacing w:after="0"/>
              <w:rPr>
                <w:sz w:val="20"/>
                <w:szCs w:val="20"/>
                <w:color w:val="auto"/>
              </w:rPr>
            </w:pPr>
            <w:r>
              <w:rPr>
                <w:rFonts w:ascii="Arial" w:cs="Arial" w:eastAsia="Arial" w:hAnsi="Arial"/>
                <w:sz w:val="18"/>
                <w:szCs w:val="18"/>
                <w:color w:val="auto"/>
              </w:rPr>
              <w:t>0.80% - 1.30%</w:t>
            </w:r>
          </w:p>
        </w:tc>
      </w:tr>
      <w:tr>
        <w:trPr>
          <w:trHeight w:val="230"/>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87,802</w:t>
            </w:r>
          </w:p>
        </w:tc>
        <w:tc>
          <w:tcPr>
            <w:tcW w:w="1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25,070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25,844</w:t>
            </w:r>
          </w:p>
        </w:tc>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63,651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61,958</w:t>
            </w:r>
          </w:p>
        </w:tc>
        <w:tc>
          <w:tcPr>
            <w:tcW w:w="1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bl>
    <w:p>
      <w:pPr>
        <w:spacing w:after="0" w:line="98" w:lineRule="exact"/>
        <w:rPr>
          <w:sz w:val="20"/>
          <w:szCs w:val="20"/>
          <w:color w:val="auto"/>
        </w:rPr>
      </w:pPr>
    </w:p>
    <w:p>
      <w:pPr>
        <w:ind w:left="660" w:right="280" w:hanging="328"/>
        <w:spacing w:after="0" w:line="266"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6"/>
          <w:szCs w:val="16"/>
          <w:color w:val="auto"/>
        </w:rPr>
        <w:t>The European Investment Bank (“EIB”) loan was obtained in July 2014 to support product development projects. The interest rate for the EIB loan is reset by the lender each quarter based on the Euribor. Interest payments are paid quarterly and principal payments are paid semi-annually.</w:t>
      </w:r>
    </w:p>
    <w:p>
      <w:pPr>
        <w:spacing w:after="0" w:line="1" w:lineRule="exact"/>
        <w:rPr>
          <w:rFonts w:ascii="Arial" w:cs="Arial" w:eastAsia="Arial" w:hAnsi="Arial"/>
          <w:sz w:val="14"/>
          <w:szCs w:val="14"/>
          <w:color w:val="auto"/>
        </w:rPr>
      </w:pPr>
    </w:p>
    <w:p>
      <w:pPr>
        <w:ind w:left="660" w:right="480" w:hanging="328"/>
        <w:spacing w:after="0" w:line="264"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6"/>
          <w:szCs w:val="16"/>
          <w:color w:val="auto"/>
        </w:rPr>
        <w:t>We obtained the Mediocredito Italiano Bank loan in July 2016 as part of the Fondo Innovazione Teconologica program implemented by the Italian Ministry of Education.</w:t>
      </w:r>
    </w:p>
    <w:p>
      <w:pPr>
        <w:ind w:left="660" w:right="240" w:hanging="328"/>
        <w:spacing w:after="0" w:line="288"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6"/>
          <w:szCs w:val="16"/>
          <w:color w:val="auto"/>
        </w:rPr>
        <w:t>The Banca del Mezzogiorno loan was obtained in January 2015 to support R&amp;D projects as a part of the Large Strategic Project program of the Italian Ministry of Education.</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$94.6 million and $58.2 million, at March 31, 2018 and December 31, 2017, respectively, with interest rates ranging from 0.1% to 9.3% and loan terms ranging from one day to 180 days.</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50" w:right="239"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Bridge Facility Agreement</w:t>
      </w:r>
    </w:p>
    <w:p>
      <w:pPr>
        <w:spacing w:after="0" w:line="110"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In connection with the April 2018 acquisition of CardiacAssist, Inc. doing business as TandemLife (“TandemLife”), on February 14, 2018, LivaNova entered into a bridge facility agreement (the “Bridge Facility Agreement”) providing a term loan facility with the aggregate principal amount of $170 million. The Bridge Facility Agreement will terminate on August 14, 2018, but may be extended to February 13, 2019, subject to delivery of prior notice and satisfaction of other conditions. Borrowings under the Bridge Facility Agreement will bear interest at a variable annual rate based on LIBOR plus an applicable margin. In addition, a facility fee is assessed on the commitment amount. On March 23, 2018, we amended the Bridge Facility Agreement increasing the aggregate principal amount to $190 million.</w:t>
      </w:r>
    </w:p>
    <w:p>
      <w:pPr>
        <w:spacing w:after="0" w:line="85" w:lineRule="exact"/>
        <w:rPr>
          <w:sz w:val="20"/>
          <w:szCs w:val="20"/>
          <w:color w:val="auto"/>
        </w:rPr>
      </w:pPr>
    </w:p>
    <w:p>
      <w:pPr>
        <w:ind w:right="80" w:firstLine="162"/>
        <w:spacing w:after="0" w:line="342" w:lineRule="auto"/>
        <w:rPr>
          <w:sz w:val="20"/>
          <w:szCs w:val="20"/>
          <w:color w:val="auto"/>
        </w:rPr>
      </w:pPr>
      <w:r>
        <w:rPr>
          <w:rFonts w:ascii="Arial" w:cs="Arial" w:eastAsia="Arial" w:hAnsi="Arial"/>
          <w:sz w:val="16"/>
          <w:szCs w:val="16"/>
          <w:color w:val="auto"/>
        </w:rPr>
        <w:t>The Bridge Facility Agreement contains financial covenants that require LivaNova to maintain a maximum semi-annual leverage ratio and a minimum semi-annual interest coverage ratio. The Bridge Facility Agreement also contains customary representations and warranties, covenants, and events of default.</w:t>
      </w:r>
    </w:p>
    <w:p>
      <w:pPr>
        <w:spacing w:after="0" w:line="16"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On April 3, 2018, we borrowed $190 million under the Bridge Facility Agreement to facilitate the initial payment for our acquisition of TandemLife. Refer to “Note 19. Subsequent Events” for further information regarding the TandemLife acquisition. We intend to use the proceeds from the sale of the CRM business franchise to repay the borrowings under the Bridge Facility Agreement.</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Derivatives and Risk Management</w:t>
      </w:r>
    </w:p>
    <w:p>
      <w:pPr>
        <w:spacing w:after="0" w:line="116"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rate and interest rate fluctuations on earnings and cash flow. We measure all outstanding derivatives each period end at fair value and report the fair value as either financial assets or liabilities in the condensed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81"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If the derivative qualifies for hedge accounting, depending on the nature of the hedge and hedge effectiveness, changes in the fair value of the derivative will either be recognized immediately in earnings or recorded in Accumulated other comprehensive income (“AOCI”) until the hedged item is recognized in earnings upon settlement/termination. FX derivative gains and losses in AOCI are reclassified to the condensed consolidated statements of income as shown in the tables below and interest rate swap gains and losses in AOCI are reclassified to interest expense in the condensed consolidated statements of income.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in the condensed consolidated statements of cash flows.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Freestanding Derivative FX Contracts</w:t>
      </w:r>
    </w:p>
    <w:p>
      <w:pPr>
        <w:spacing w:after="0" w:line="110" w:lineRule="exact"/>
        <w:rPr>
          <w:sz w:val="20"/>
          <w:szCs w:val="20"/>
          <w:color w:val="auto"/>
        </w:rPr>
      </w:pPr>
    </w:p>
    <w:p>
      <w:pPr>
        <w:ind w:right="180" w:firstLine="162"/>
        <w:spacing w:after="0" w:line="257" w:lineRule="auto"/>
        <w:rPr>
          <w:sz w:val="20"/>
          <w:szCs w:val="20"/>
          <w:color w:val="auto"/>
        </w:rPr>
      </w:pPr>
      <w:r>
        <w:rPr>
          <w:rFonts w:ascii="Arial" w:cs="Arial" w:eastAsia="Arial" w:hAnsi="Arial"/>
          <w:sz w:val="18"/>
          <w:szCs w:val="18"/>
          <w:color w:val="auto"/>
        </w:rPr>
        <w:t>The gross notional amount of FX derivative contracts, not designated as hedging instruments, outstanding at March 31, 2018 and December 31, 2017 was $263.1 million and $231.9 million, respectively. These derivative contracts are designed to offset the FX effects in earnings of various intercompany loans, our EIB loan, and trade receivables. We recorded net losses for these freestanding derivatives of $7.6 million and $1.8 million for the three months ended March 31, 2018 and March 31, 2017, respectively. These gains and losses are included in ‘Foreign exchange and other (losses) gains’ in the condensed consolidated statements of income.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Notional amounts of open derivative contracts designated as cash flow hedges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2018</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British Pounds</w:t>
            </w:r>
          </w:p>
        </w:tc>
        <w:tc>
          <w:tcPr>
            <w:tcW w:w="22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FX derivative contracts to be exchanged for Japanese Yen</w:t>
            </w: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23,890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32,302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Canadian Dollars</w:t>
            </w:r>
          </w:p>
        </w:tc>
        <w:tc>
          <w:tcPr>
            <w:tcW w:w="1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16,494</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46,667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55,965</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121,608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3" w:right="239" w:bottom="1440" w:gutter="0" w:footer="0" w:header="0"/>
        </w:sectPr>
      </w:pPr>
    </w:p>
    <w:bookmarkStart w:id="18" w:name="page19"/>
    <w:bookmarkEnd w:id="18"/>
    <w:p>
      <w:pPr>
        <w:ind w:right="560" w:firstLine="162"/>
        <w:spacing w:after="0" w:line="277" w:lineRule="auto"/>
        <w:rPr>
          <w:sz w:val="20"/>
          <w:szCs w:val="20"/>
          <w:color w:val="auto"/>
        </w:rPr>
      </w:pPr>
      <w:r>
        <w:rPr>
          <w:rFonts w:ascii="Arial" w:cs="Arial" w:eastAsia="Arial" w:hAnsi="Arial"/>
          <w:sz w:val="18"/>
          <w:szCs w:val="18"/>
          <w:color w:val="auto"/>
        </w:rPr>
        <w:t>After-tax net loss associated with derivatives designated as cash flow hedges recorded in the ending balance of AOCI and the amount expected to be reclassified to earnings in the next twelve months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Amount Expected to be</w:t>
            </w:r>
          </w:p>
        </w:tc>
      </w:t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Reclassified to Earnings in</w:t>
            </w: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 of Derivative Contract</w:t>
            </w:r>
          </w:p>
        </w:tc>
        <w:tc>
          <w:tcPr>
            <w:tcW w:w="30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2018</w:t>
            </w:r>
          </w:p>
        </w:tc>
        <w:tc>
          <w:tcPr>
            <w:tcW w:w="140" w:type="dxa"/>
            <w:vAlign w:val="bottom"/>
          </w:tcPr>
          <w:p>
            <w:pPr>
              <w:spacing w:after="0"/>
              <w:rPr>
                <w:sz w:val="20"/>
                <w:szCs w:val="20"/>
                <w:color w:val="auto"/>
              </w:rPr>
            </w:pPr>
          </w:p>
        </w:tc>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Next 12 Months</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AOCI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Three Months Ended March 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Gains Reclassified</w:t>
            </w: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(Losses) Gains</w:t>
            </w:r>
          </w:p>
        </w:tc>
      </w:tr>
      <w:tr>
        <w:trPr>
          <w:trHeight w:val="216"/>
        </w:trPr>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Description of Derivative</w:t>
            </w:r>
          </w:p>
        </w:tc>
        <w:tc>
          <w:tcPr>
            <w:tcW w:w="2420" w:type="dxa"/>
            <w:vAlign w:val="bottom"/>
            <w:gridSpan w:val="2"/>
          </w:tcPr>
          <w:p>
            <w:pPr>
              <w:ind w:left="240"/>
              <w:spacing w:after="0"/>
              <w:rPr>
                <w:sz w:val="20"/>
                <w:szCs w:val="20"/>
                <w:color w:val="auto"/>
              </w:rPr>
            </w:pPr>
            <w:r>
              <w:rPr>
                <w:rFonts w:ascii="Arial" w:cs="Arial" w:eastAsia="Arial" w:hAnsi="Arial"/>
                <w:sz w:val="18"/>
                <w:szCs w:val="18"/>
                <w:b w:val="1"/>
                <w:bCs w:val="1"/>
                <w:color w:val="auto"/>
              </w:rPr>
              <w:t>Location in Earnings of</w:t>
            </w: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Gains Recognized in</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from AOCI to</w:t>
            </w: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Recognized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Reclassified from</w:t>
            </w:r>
          </w:p>
        </w:tc>
      </w:tr>
      <w:tr>
        <w:trPr>
          <w:trHeight w:val="234"/>
        </w:trPr>
        <w:tc>
          <w:tcPr>
            <w:tcW w:w="2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w:t>
            </w:r>
          </w:p>
        </w:tc>
        <w:tc>
          <w:tcPr>
            <w:tcW w:w="2420" w:type="dxa"/>
            <w:vAlign w:val="bottom"/>
            <w:gridSpan w:val="2"/>
          </w:tcPr>
          <w:p>
            <w:pPr>
              <w:ind w:left="180"/>
              <w:spacing w:after="0"/>
              <w:rPr>
                <w:sz w:val="20"/>
                <w:szCs w:val="20"/>
                <w:color w:val="auto"/>
              </w:rPr>
            </w:pPr>
            <w:r>
              <w:rPr>
                <w:rFonts w:ascii="Arial" w:cs="Arial" w:eastAsia="Arial" w:hAnsi="Arial"/>
                <w:sz w:val="18"/>
                <w:szCs w:val="18"/>
                <w:b w:val="1"/>
                <w:bCs w:val="1"/>
                <w:color w:val="auto"/>
              </w:rPr>
              <w:t>Reclassified Gain or Loss</w:t>
            </w:r>
          </w:p>
        </w:tc>
        <w:tc>
          <w:tcPr>
            <w:tcW w:w="40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OCI</w:t>
            </w:r>
          </w:p>
        </w:tc>
        <w:tc>
          <w:tcPr>
            <w:tcW w:w="18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Earnings</w:t>
            </w:r>
          </w:p>
        </w:tc>
        <w:tc>
          <w:tcPr>
            <w:tcW w:w="16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rPr>
              <w:t>OCI</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AOCI to Earnings</w:t>
            </w: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810</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Interest rate swap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(4,199)</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The following tables present the fair value on a gross basis, and the location of, derivative contracts reported in the condensed consolidated balance sheets (in thousands):</w:t>
      </w:r>
    </w:p>
    <w:p>
      <w:pPr>
        <w:sectPr>
          <w:pgSz w:w="11900" w:h="16838" w:orient="portrait"/>
          <w:cols w:equalWidth="0" w:num="1">
            <w:col w:w="11420"/>
          </w:cols>
          <w:pgMar w:left="240" w:top="692" w:right="239" w:bottom="1440" w:gutter="0" w:footer="0" w:header="0"/>
        </w:sectPr>
      </w:pP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06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Liability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34290</wp:posOffset>
            </wp:positionV>
            <wp:extent cx="31045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b w:val="1"/>
          <w:bCs w:val="1"/>
          <w:color w:val="auto"/>
        </w:rPr>
        <w:t>Balance Sheet Location</w:t>
      </w:r>
      <w:r>
        <w:rPr>
          <w:sz w:val="20"/>
          <w:szCs w:val="20"/>
          <w:color w:val="auto"/>
        </w:rPr>
        <w:tab/>
      </w:r>
      <w:r>
        <w:rPr>
          <w:rFonts w:ascii="Arial" w:cs="Arial" w:eastAsia="Arial" w:hAnsi="Arial"/>
          <w:sz w:val="17"/>
          <w:szCs w:val="17"/>
          <w:b w:val="1"/>
          <w:bCs w:val="1"/>
          <w:color w:val="auto"/>
        </w:rPr>
        <w:t xml:space="preserve">Fair Value </w:t>
      </w:r>
      <w:r>
        <w:rPr>
          <w:rFonts w:ascii="Arial" w:cs="Arial" w:eastAsia="Arial" w:hAnsi="Arial"/>
          <w:sz w:val="11"/>
          <w:szCs w:val="11"/>
          <w:b w:val="1"/>
          <w:bCs w:val="1"/>
          <w:color w:val="auto"/>
        </w:rPr>
        <w:t>(1)</w:t>
      </w:r>
    </w:p>
    <w:p>
      <w:pPr>
        <w:spacing w:after="0" w:line="34" w:lineRule="exact"/>
        <w:rPr>
          <w:sz w:val="20"/>
          <w:szCs w:val="20"/>
          <w:color w:val="auto"/>
        </w:rPr>
      </w:pPr>
    </w:p>
    <w:p>
      <w:pPr>
        <w:sectPr>
          <w:pgSz w:w="11900" w:h="16838" w:orient="portrait"/>
          <w:cols w:equalWidth="0" w:num="2">
            <w:col w:w="6460" w:space="720"/>
            <w:col w:w="424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8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5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30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FX derivative contracts</w:t>
            </w:r>
          </w:p>
        </w:tc>
        <w:tc>
          <w:tcPr>
            <w:tcW w:w="15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6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15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540" w:type="dxa"/>
            <w:vAlign w:val="bottom"/>
            <w:vMerge w:val="restart"/>
          </w:tcPr>
          <w:p>
            <w:pPr>
              <w:jc w:val="right"/>
              <w:ind w:right="43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0"/>
                <w:szCs w:val="20"/>
                <w:color w:val="auto"/>
              </w:rPr>
            </w:pPr>
          </w:p>
        </w:tc>
        <w:tc>
          <w:tcPr>
            <w:tcW w:w="2860" w:type="dxa"/>
            <w:vAlign w:val="bottom"/>
            <w:gridSpan w:val="2"/>
          </w:tcPr>
          <w:p>
            <w:pPr>
              <w:ind w:left="1400"/>
              <w:spacing w:after="0"/>
              <w:rPr>
                <w:sz w:val="20"/>
                <w:szCs w:val="20"/>
                <w:color w:val="auto"/>
              </w:rPr>
            </w:pPr>
            <w:r>
              <w:rPr>
                <w:rFonts w:ascii="Arial" w:cs="Arial" w:eastAsia="Arial" w:hAnsi="Arial"/>
                <w:sz w:val="18"/>
                <w:szCs w:val="18"/>
                <w:b w:val="1"/>
                <w:bCs w:val="1"/>
                <w:color w:val="auto"/>
                <w:w w:val="95"/>
              </w:rPr>
              <w:t>Asset Derivatives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Liability Derivatives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20"/>
                <w:szCs w:val="20"/>
                <w:color w:val="auto"/>
              </w:rPr>
            </w:pPr>
          </w:p>
        </w:tc>
        <w:tc>
          <w:tcPr>
            <w:tcW w:w="2860" w:type="dxa"/>
            <w:vAlign w:val="bottom"/>
            <w:gridSpan w:val="2"/>
          </w:tcPr>
          <w:p>
            <w:pPr>
              <w:ind w:left="48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 xml:space="preserve">Fair Value </w:t>
            </w:r>
            <w:r>
              <w:rPr>
                <w:rFonts w:ascii="Arial" w:cs="Arial" w:eastAsia="Arial" w:hAnsi="Arial"/>
                <w:sz w:val="12"/>
                <w:szCs w:val="12"/>
                <w:b w:val="1"/>
                <w:bCs w:val="1"/>
                <w:color w:val="auto"/>
                <w:w w:val="92"/>
              </w:rPr>
              <w:t>(1)</w:t>
            </w:r>
          </w:p>
        </w:tc>
        <w:tc>
          <w:tcPr>
            <w:tcW w:w="100" w:type="dxa"/>
            <w:vAlign w:val="bottom"/>
          </w:tcPr>
          <w:p>
            <w:pPr>
              <w:spacing w:after="0"/>
              <w:rPr>
                <w:sz w:val="20"/>
                <w:szCs w:val="20"/>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 xml:space="preserve">Fair Value </w:t>
            </w:r>
            <w:r>
              <w:rPr>
                <w:rFonts w:ascii="Arial" w:cs="Arial" w:eastAsia="Arial" w:hAnsi="Arial"/>
                <w:sz w:val="12"/>
                <w:szCs w:val="12"/>
                <w:b w:val="1"/>
                <w:bCs w:val="1"/>
                <w:color w:val="auto"/>
                <w:w w:val="94"/>
              </w:rPr>
              <w:t>(1)</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751</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r>
      <w:tr>
        <w:trPr>
          <w:trHeight w:val="209"/>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2,045</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9"/>
        </w:trPr>
        <w:tc>
          <w:tcPr>
            <w:tcW w:w="3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w w:val="97"/>
              </w:rPr>
              <w:t>Prepaid expenses and other current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FX derivative contracts</w:t>
            </w: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21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2,045</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6"/>
          <w:szCs w:val="16"/>
          <w:color w:val="auto"/>
        </w:rPr>
        <w:t>For the classification of inputs used to evaluate the fair value of our derivatives, refer to “Note 8. Fair Value Measurements.”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FDA Warning Letter</w:t>
      </w:r>
    </w:p>
    <w:p>
      <w:pPr>
        <w:spacing w:after="0" w:line="11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62"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device that were not previously included in the Form 483.</w:t>
      </w:r>
    </w:p>
    <w:p>
      <w:pPr>
        <w:spacing w:after="0" w:line="85"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Finally, the Warning Letter stated that premarket approval applications for Class III devices to which certain Quality System regulation deviations identified in the Warning Letter are reasonably related will not be approved until the violations have been corrected; however, this restriction applies only to the Munich and Arvada facilities, which do not manufacture or design devices subject to Class III premarket approval.</w:t>
      </w:r>
    </w:p>
    <w:p>
      <w:pPr>
        <w:spacing w:after="0" w:line="73"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50" w:right="23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CDC and FDA Safety Communications and Company Field Safety Notice Update</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On October 13, 2016, the CDC and the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4"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Also on October 13, 2016, in response to the Warning Letter and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one or more of the risk mitigation strategies currently under review with regulatory agencies. We are also currently implementing a vacuum and sealing upgrade program in as many countries as possible throughout 2018 and beyond until all devices are upgraded. Furthermore, we intend to perform a no-charge deep disinfection service (deep cleaning service) for 3T device users as we receive the required regulatory approvals. On April 12, 2018, the FDA agreed to allow us to move forward with the deep cleaning service in the U.S. adding to the growing list of countries around the world in which we offer this service.</w:t>
      </w:r>
    </w:p>
    <w:p>
      <w:pPr>
        <w:spacing w:after="0" w:line="70" w:lineRule="exact"/>
        <w:rPr>
          <w:sz w:val="20"/>
          <w:szCs w:val="20"/>
          <w:color w:val="auto"/>
        </w:rPr>
      </w:pPr>
    </w:p>
    <w:p>
      <w:pPr>
        <w:ind w:right="140" w:firstLine="162"/>
        <w:spacing w:after="0" w:line="279" w:lineRule="auto"/>
        <w:rPr>
          <w:sz w:val="20"/>
          <w:szCs w:val="20"/>
          <w:color w:val="auto"/>
        </w:rPr>
      </w:pPr>
      <w:r>
        <w:rPr>
          <w:rFonts w:ascii="Arial" w:cs="Arial" w:eastAsia="Arial" w:hAnsi="Arial"/>
          <w:sz w:val="17"/>
          <w:szCs w:val="17"/>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At March 31, 2018, the product remediation liability was $25.6 million. Refer to “Note 6. Product Remediation Liability”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Litigation</w:t>
      </w:r>
    </w:p>
    <w:p>
      <w:pPr>
        <w:spacing w:after="0" w:line="110" w:lineRule="exact"/>
        <w:rPr>
          <w:sz w:val="20"/>
          <w:szCs w:val="20"/>
          <w:color w:val="auto"/>
        </w:rPr>
      </w:pPr>
    </w:p>
    <w:p>
      <w:pPr>
        <w:ind w:right="120" w:firstLine="162"/>
        <w:spacing w:after="0" w:line="287" w:lineRule="auto"/>
        <w:rPr>
          <w:sz w:val="20"/>
          <w:szCs w:val="20"/>
          <w:color w:val="auto"/>
        </w:rPr>
      </w:pPr>
      <w:r>
        <w:rPr>
          <w:rFonts w:ascii="Arial" w:cs="Arial" w:eastAsia="Arial" w:hAnsi="Arial"/>
          <w:sz w:val="16"/>
          <w:szCs w:val="16"/>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and cases in various state courts and jurisdictions outside the U.S. As of May 1, 2018, we are involved in approximately 115 claims worldwide, with the majority of the claims in various federal or state courts throughout the United States. The complaints generally seek damages and other relief based on theories of strict liability, negligence, breach of express and implied warranties, failure to warn, design and manufacturing defect, fraudulent and negligent misrepresentation/concealment, unjust enrichment, and violations of various state consumer protection statutes. The class action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 LivaNova has filed a petition for permission to appeal the class certification order with the U.S. Court of Appeals for the Third Circuit. We have not recognized an expense related to damages in connection with these matters because any potential loss is not currently probable or reasonably estimable. In addition, we cannot reasonably estimate a range of potential loss, if any, that may result from these matters.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Civil Investigative Demand</w:t>
      </w:r>
    </w:p>
    <w:p>
      <w:pPr>
        <w:spacing w:after="0" w:line="110"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On May 31, 2017, the Company received a Civil Investigative Demand (“CID”) from the US Attorney’s Office for the Northern District of Georgia. The CID requested certain documents relating to sales and marketing of VNS devices and related products in the State of Georgia. We have not recognized an expense related to this matter because any potential loss is not currently probable or reasonably estimable. In addition we cannot reasonably estimate a range of potential loss, if any, that may result from this matter.</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03" w:right="259" w:bottom="1440" w:gutter="0" w:footer="0" w:header="0"/>
        </w:sectPr>
      </w:pPr>
    </w:p>
    <w:bookmarkStart w:id="21" w:name="page22"/>
    <w:bookmarkEnd w:id="21"/>
    <w:p>
      <w:pPr>
        <w:spacing w:after="0"/>
        <w:rPr>
          <w:sz w:val="20"/>
          <w:szCs w:val="20"/>
          <w:color w:val="auto"/>
        </w:rPr>
      </w:pPr>
      <w:r>
        <w:rPr>
          <w:rFonts w:ascii="Arial" w:cs="Arial" w:eastAsia="Arial" w:hAnsi="Arial"/>
          <w:sz w:val="20"/>
          <w:szCs w:val="20"/>
          <w:color w:val="auto"/>
        </w:rPr>
        <w:t>Other Legacy Sorin Matters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SNIA Litigation</w:t>
      </w:r>
    </w:p>
    <w:p>
      <w:pPr>
        <w:spacing w:after="0" w:line="110"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Our subsidiary, Sorin S.p.A. (“Sorin”) was created as a result of a spin-off (the “Sorin spin-off”) from SNIA S.p.A. (“SNIA”) in January, 2004.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79"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have also appealed that decision.</w:t>
      </w:r>
    </w:p>
    <w:p>
      <w:pPr>
        <w:spacing w:after="0" w:line="79"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In January 2012, SNIA filed a civil action against Sorin in the Civil Court of Milan asserting joint liability of a parent and a spun-off company. On April 1, 2016, the Court of Milan dismissed all legal actions of SNIA and of the Public Administrations further requiring the Public Administrations to pay Sorin approximately $360,000 for legal fees. The Public Administrations appealed the 2016 Decision to the Court of Appeal of Milan. A final hearing occurred on March 21, 2018, and currently, the parties are preparing their final briefs.</w:t>
      </w:r>
    </w:p>
    <w:p>
      <w:pPr>
        <w:spacing w:after="0" w:line="79"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Environmental Remediation Order</w:t>
      </w:r>
    </w:p>
    <w:p>
      <w:pPr>
        <w:spacing w:after="0" w:line="110" w:lineRule="exact"/>
        <w:rPr>
          <w:sz w:val="20"/>
          <w:szCs w:val="20"/>
          <w:color w:val="auto"/>
        </w:rPr>
      </w:pPr>
    </w:p>
    <w:p>
      <w:pPr>
        <w:ind w:right="160" w:firstLine="162"/>
        <w:spacing w:after="0" w:line="276" w:lineRule="auto"/>
        <w:rPr>
          <w:sz w:val="20"/>
          <w:szCs w:val="20"/>
          <w:color w:val="auto"/>
        </w:rPr>
      </w:pPr>
      <w:r>
        <w:rPr>
          <w:rFonts w:ascii="Arial" w:cs="Arial" w:eastAsia="Arial" w:hAnsi="Arial"/>
          <w:sz w:val="17"/>
          <w:szCs w:val="17"/>
          <w:color w:val="auto"/>
        </w:rPr>
        <w:t>On July 28, 2015, Sorin received an administrative order (the “Remediation Order”) from the Italian Ministry of the Environment directing prompt commencement of environmental remediation at the chemical sites previously operated by SNIA’s other subsidiaries. We challenged the Remediation Order before the Administrative Court of Lazio in Rome (the “TAR”), and the TAR annulled the Remediation Order. The Italian Ministry of the Environment appealed.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Opposition to Merger Proceedings</w:t>
      </w:r>
    </w:p>
    <w:p>
      <w:pPr>
        <w:spacing w:after="0" w:line="110"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On July 28, 2015, the Public Administrations filed an opposition proceeding to the merger between Sorin and Cyberonics, Inc. (the “Merger”), before the Commercial Courts of Milan. The Court authorized the Merger and the Public Administrations did not appeal this decision. The proceeding then continued as a civil case, with the Public Administration seeking damages. The Commercial Court of Milan delivered a decision in October 2016, fully rejecting the Public Administration’s request and awarding us approximately $480 thousand in damages for frivolous litigation and legal fees. The Public Administrations appealed to the Court of Appeal of Milan.</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Tax Litigation</w:t>
      </w:r>
    </w:p>
    <w:p>
      <w:pPr>
        <w:spacing w:after="0" w:line="110"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In a tax audit report received October 30, 2009, the Regional Internal Revenue Office of Lombardy (the “Internal Revenue Office”) informed Sorin Group Italia S.r.l. that, among several issues, it was disallowing in part (for a total of €102.6 million (approximately $126.4 million),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We challenged all three notices of assessment (for 2004, 2005 and 2006) before the relevant Provincial Tax Courts.</w:t>
      </w:r>
    </w:p>
    <w:p>
      <w:pPr>
        <w:spacing w:after="0" w:line="81" w:lineRule="exact"/>
        <w:rPr>
          <w:sz w:val="20"/>
          <w:szCs w:val="20"/>
          <w:color w:val="auto"/>
        </w:rPr>
      </w:pPr>
    </w:p>
    <w:p>
      <w:pPr>
        <w:jc w:val="both"/>
        <w:ind w:right="120" w:firstLine="162"/>
        <w:spacing w:after="0" w:line="264" w:lineRule="auto"/>
        <w:rPr>
          <w:sz w:val="20"/>
          <w:szCs w:val="20"/>
          <w:color w:val="auto"/>
        </w:rPr>
      </w:pPr>
      <w:r>
        <w:rPr>
          <w:rFonts w:ascii="Arial" w:cs="Arial" w:eastAsia="Arial" w:hAnsi="Arial"/>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 this second-level decision to the Italian Supreme Court (Corte di Cassazione) on February 3, 2017. The Italian Supreme Court’s decision is pending.</w:t>
      </w:r>
    </w:p>
    <w:p>
      <w:pPr>
        <w:spacing w:after="0" w:line="73"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The appeals submitted against the first-level decisions for 2005 and 2006 were rejected. We appealed these adverse decisions to the Italian Supreme Court, where the matters are still pending.</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703" w:right="259" w:bottom="1440" w:gutter="0" w:footer="0" w:header="0"/>
        </w:sectPr>
      </w:pPr>
    </w:p>
    <w:bookmarkStart w:id="22" w:name="page23"/>
    <w:bookmarkEnd w:id="22"/>
    <w:p>
      <w:pPr>
        <w:ind w:right="80" w:firstLine="162"/>
        <w:spacing w:after="0" w:line="271" w:lineRule="auto"/>
        <w:rPr>
          <w:sz w:val="20"/>
          <w:szCs w:val="20"/>
          <w:color w:val="auto"/>
        </w:rPr>
      </w:pPr>
      <w:r>
        <w:rPr>
          <w:rFonts w:ascii="Arial" w:cs="Arial" w:eastAsia="Arial" w:hAnsi="Arial"/>
          <w:sz w:val="17"/>
          <w:szCs w:val="17"/>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 has stayed its decision for years 2007 and 2008 pending resolution of the litigation regarding years 2004, 2005, and 2006. The total amount of losses in dispute is €62.6 million (approximately $77.2 million). We have continuously reassessed our potential exposure in these matters, taking into account the recent, and generally adverse, trend to Italian taxpayers in this type of litigation. Although we believe that our defensive arguments are strong, noting the adverse trend in some of the court decisions, we have recognized a reserve for an uncertain tax position of €17.0 million (approximately $20.9 million).</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10"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w:t>
      </w:r>
    </w:p>
    <w:p>
      <w:pPr>
        <w:spacing w:after="0" w:line="110"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The table below presents the change in each component of AOCI, net of tax, and the reclassifications out of AOCI into net earnings for the three months ended March 31, 2018 and March 31, 2017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Change in</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Foreign Currency</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 Gain</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(Loss) on</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Adjustments Gain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1"/>
        </w:trPr>
        <w:tc>
          <w:tcPr>
            <w:tcW w:w="6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Derivatives</w:t>
            </w:r>
          </w:p>
        </w:tc>
        <w:tc>
          <w:tcPr>
            <w:tcW w:w="240" w:type="dxa"/>
            <w:vAlign w:val="bottom"/>
          </w:tcPr>
          <w:p>
            <w:pPr>
              <w:spacing w:after="0"/>
              <w:rPr>
                <w:sz w:val="22"/>
                <w:szCs w:val="22"/>
                <w:color w:val="auto"/>
              </w:rPr>
            </w:pPr>
          </w:p>
        </w:tc>
        <w:tc>
          <w:tcPr>
            <w:tcW w:w="146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83"/>
              </w:rPr>
              <w:t xml:space="preserve">(Loss) </w:t>
            </w:r>
            <w:r>
              <w:rPr>
                <w:rFonts w:ascii="Arial" w:cs="Arial" w:eastAsia="Arial" w:hAnsi="Arial"/>
                <w:sz w:val="25"/>
                <w:szCs w:val="25"/>
                <w:b w:val="1"/>
                <w:bCs w:val="1"/>
                <w:color w:val="auto"/>
                <w:w w:val="83"/>
                <w:vertAlign w:val="superscript"/>
              </w:rPr>
              <w:t>(1)</w:t>
            </w:r>
          </w:p>
        </w:tc>
        <w:tc>
          <w:tcPr>
            <w:tcW w:w="360" w:type="dxa"/>
            <w:vAlign w:val="bottom"/>
          </w:tcPr>
          <w:p>
            <w:pPr>
              <w:spacing w:after="0"/>
              <w:rPr>
                <w:sz w:val="22"/>
                <w:szCs w:val="22"/>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64"/>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45,313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 before tax</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10,766</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 net of tax</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10,715</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Reclassification of gain from accumulated other comprehensive income, before tax</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Reclassification of tax expense</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353</w:t>
            </w: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Reclassification of gain from accumulated other comprehensive income, after tax</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income, net of tax</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9,597</w:t>
            </w: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56,784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54,910</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(68,487)</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before tax</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8,598</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 net of tax</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10,532</w:t>
            </w: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Reclassification of loss from accumulated other comprehensive income, before tax</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Reclassification of tax benefit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Reclassification of loss from accumulated other comprehensive income, after tax</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income, net of tax</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13,521</w:t>
            </w: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(54,966)</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right="620" w:hanging="328"/>
        <w:spacing w:after="0" w:line="293"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Taxes are not provided for foreign currency translation adjustments as translation adjustments are related to earnings that are intended to be reinvested in the countries where earned.</w:t>
      </w: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Note 13. Stock-Based Incentive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Stock-based incentive plans compensation expense (in thousands):</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appreciation rights ("SARs")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Service-based restricted stock units ("RSUs")</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2,156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2,170</w:t>
            </w: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performance-based restricted stock units</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performance-based restricted stock units</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4,697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3,771</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162"/>
        <w:spacing w:after="0" w:line="293" w:lineRule="auto"/>
        <w:rPr>
          <w:sz w:val="20"/>
          <w:szCs w:val="20"/>
          <w:color w:val="auto"/>
        </w:rPr>
      </w:pPr>
      <w:r>
        <w:rPr>
          <w:rFonts w:ascii="Arial" w:cs="Arial" w:eastAsia="Arial" w:hAnsi="Arial"/>
          <w:sz w:val="16"/>
          <w:szCs w:val="16"/>
          <w:color w:val="auto"/>
        </w:rPr>
        <w:t>During the three months ended March 31, 2018, we executed stock-based compensatory award agreements with contract terms agreed upon by us and the respective individuals, as approved by the Compensation Committee of our Board of Directors. Awards with service conditions vest ratably over four years subject to forfeiture unless service conditions are met. Market performance-based awards cliff vest after three years subject to the rank of the Company’s total shareholder return for the three-year period ending December 31, 2020 relative to the total shareholder return of a peer group of companies. Operating performance-based awards cliff vest after three years subject to the achievement of certain thresholds of cumulative adjusted free cash flow for the three year period ending 2020. Compensation expense related to award agreements executed during 2018 for the three months ended March 31, 2018 was $0.5 million.</w:t>
      </w:r>
    </w:p>
    <w:p>
      <w:pPr>
        <w:spacing w:after="0" w:line="57"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Stock-based compensation agreements executed during the three months ended March 31, 2018, representing potential shares and their weighted average grant date fair values by type follows (shares in thousands, fair value in dollars):</w:t>
      </w:r>
    </w:p>
    <w:p>
      <w:pPr>
        <w:spacing w:after="0" w:line="220" w:lineRule="exact"/>
        <w:rPr>
          <w:sz w:val="20"/>
          <w:szCs w:val="20"/>
          <w:color w:val="auto"/>
        </w:rPr>
      </w:pPr>
    </w:p>
    <w:p>
      <w:pPr>
        <w:ind w:left="8460"/>
        <w:spacing w:after="0"/>
        <w:rPr>
          <w:sz w:val="20"/>
          <w:szCs w:val="20"/>
          <w:color w:val="auto"/>
        </w:rPr>
      </w:pPr>
      <w:r>
        <w:rPr>
          <w:rFonts w:ascii="Arial" w:cs="Arial" w:eastAsia="Arial" w:hAnsi="Arial"/>
          <w:sz w:val="17"/>
          <w:szCs w:val="17"/>
          <w:b w:val="1"/>
          <w:bCs w:val="1"/>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41910</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8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Grant Date Fair</w:t>
            </w:r>
          </w:p>
        </w:tc>
      </w:tr>
      <w:tr>
        <w:trPr>
          <w:trHeight w:val="234"/>
        </w:trPr>
        <w:tc>
          <w:tcPr>
            <w:tcW w:w="8360" w:type="dxa"/>
            <w:vAlign w:val="bottom"/>
          </w:tcPr>
          <w:p>
            <w:pPr>
              <w:spacing w:after="0"/>
              <w:rPr>
                <w:sz w:val="20"/>
                <w:szCs w:val="20"/>
                <w:color w:val="auto"/>
              </w:rPr>
            </w:pPr>
          </w:p>
        </w:tc>
        <w:tc>
          <w:tcPr>
            <w:tcW w:w="1040" w:type="dxa"/>
            <w:vAlign w:val="bottom"/>
          </w:tcPr>
          <w:p>
            <w:pPr>
              <w:ind w:left="480"/>
              <w:spacing w:after="0"/>
              <w:rPr>
                <w:sz w:val="20"/>
                <w:szCs w:val="20"/>
                <w:color w:val="auto"/>
              </w:rPr>
            </w:pPr>
            <w:r>
              <w:rPr>
                <w:rFonts w:ascii="Arial" w:cs="Arial" w:eastAsia="Arial" w:hAnsi="Arial"/>
                <w:sz w:val="18"/>
                <w:szCs w:val="18"/>
                <w:b w:val="1"/>
                <w:bCs w:val="1"/>
                <w:color w:val="auto"/>
                <w:w w:val="89"/>
              </w:rPr>
              <w:t>Shares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
        </w:trPr>
        <w:tc>
          <w:tcPr>
            <w:tcW w:w="83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Service-based SARs</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Service-based RSUs</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88.38</w:t>
            </w:r>
          </w:p>
        </w:tc>
      </w:tr>
      <w:tr>
        <w:trPr>
          <w:trHeight w:val="27"/>
        </w:trPr>
        <w:tc>
          <w:tcPr>
            <w:tcW w:w="8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performance-based RSUs</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99.97</w:t>
            </w: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Operating performance-based RSUs</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88.38</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Income Taxes</w:t>
      </w:r>
    </w:p>
    <w:p>
      <w:pPr>
        <w:spacing w:after="0" w:line="116" w:lineRule="exact"/>
        <w:rPr>
          <w:sz w:val="20"/>
          <w:szCs w:val="20"/>
          <w:color w:val="auto"/>
        </w:rPr>
      </w:pPr>
    </w:p>
    <w:p>
      <w:pPr>
        <w:jc w:val="both"/>
        <w:ind w:right="100" w:firstLine="162"/>
        <w:spacing w:after="0" w:line="277" w:lineRule="auto"/>
        <w:rPr>
          <w:sz w:val="20"/>
          <w:szCs w:val="20"/>
          <w:color w:val="auto"/>
        </w:rPr>
      </w:pPr>
      <w:r>
        <w:rPr>
          <w:rFonts w:ascii="Arial" w:cs="Arial" w:eastAsia="Arial" w:hAnsi="Arial"/>
          <w:sz w:val="18"/>
          <w:szCs w:val="18"/>
          <w:color w:val="auto"/>
        </w:rPr>
        <w:t>During the three months ended March 31, 2018 and March 31, 2017, we recorded income tax expense from continuing operations of $3.9 million and $5.7 million, respectively, with a consolidated effective income tax rate of 17.6% and 27.1%, respectively.</w:t>
      </w:r>
    </w:p>
    <w:p>
      <w:pPr>
        <w:spacing w:after="0" w:line="62" w:lineRule="exact"/>
        <w:rPr>
          <w:sz w:val="20"/>
          <w:szCs w:val="20"/>
          <w:color w:val="auto"/>
        </w:rPr>
      </w:pPr>
    </w:p>
    <w:p>
      <w:pPr>
        <w:ind w:right="860" w:firstLine="162"/>
        <w:spacing w:after="0" w:line="308" w:lineRule="auto"/>
        <w:rPr>
          <w:sz w:val="20"/>
          <w:szCs w:val="20"/>
          <w:color w:val="auto"/>
        </w:rPr>
      </w:pPr>
      <w:r>
        <w:rPr>
          <w:rFonts w:ascii="Arial" w:cs="Arial" w:eastAsia="Arial" w:hAnsi="Arial"/>
          <w:sz w:val="17"/>
          <w:szCs w:val="17"/>
          <w:color w:val="auto"/>
        </w:rPr>
        <w:t>Our consolidated effective income tax rate for the three months ended March 31, 2017 was impacted by various discrete tax items, including the recognition of a $3.0 million deferred tax asset related to a reserve for an uncertain tax position recognized in a prior year.</w:t>
      </w:r>
    </w:p>
    <w:p>
      <w:pPr>
        <w:spacing w:after="0" w:line="38" w:lineRule="exact"/>
        <w:rPr>
          <w:sz w:val="20"/>
          <w:szCs w:val="20"/>
          <w:color w:val="auto"/>
        </w:rPr>
      </w:pPr>
    </w:p>
    <w:p>
      <w:pPr>
        <w:ind w:right="140" w:firstLine="162"/>
        <w:spacing w:after="0" w:line="308" w:lineRule="auto"/>
        <w:rPr>
          <w:sz w:val="20"/>
          <w:szCs w:val="20"/>
          <w:color w:val="auto"/>
        </w:rPr>
      </w:pPr>
      <w:r>
        <w:rPr>
          <w:rFonts w:ascii="Arial" w:cs="Arial" w:eastAsia="Arial" w:hAnsi="Arial"/>
          <w:sz w:val="17"/>
          <w:szCs w:val="17"/>
          <w:color w:val="auto"/>
        </w:rPr>
        <w:t>Compared with the three months ended March 31, 2017, the lower effective tax rate for the three months ended March 31, 2018 was primarily attributable to the impact of the U.S. tax reform and certain law changes in the UK that occurred in the three months ended December 31, 2017.</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7" w:right="2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Note 15. Net Income (Loss) Per Share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gridSpan w:val="4"/>
          </w:tcPr>
          <w:p>
            <w:pPr>
              <w:ind w:left="180"/>
              <w:spacing w:after="0"/>
              <w:rPr>
                <w:sz w:val="20"/>
                <w:szCs w:val="20"/>
                <w:color w:val="auto"/>
              </w:rPr>
            </w:pPr>
            <w:r>
              <w:rPr>
                <w:rFonts w:ascii="Arial" w:cs="Arial" w:eastAsia="Arial" w:hAnsi="Arial"/>
                <w:sz w:val="18"/>
                <w:szCs w:val="18"/>
                <w:color w:val="auto"/>
                <w:w w:val="90"/>
              </w:rPr>
              <w:t>The following table sets forth the computation of basic and diluted net income (loss) per share (in thousands, except per share data):</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loss from discontinued operations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48,324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48,067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Add effects of share-based compensation instruments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49,187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48,178</w:t>
            </w: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7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Basic income (loss) per share:</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660" w:right="680" w:hanging="328"/>
        <w:spacing w:after="0" w:line="329"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5"/>
          <w:szCs w:val="15"/>
          <w:color w:val="auto"/>
        </w:rPr>
        <w:t>Excluded from the computation of diluted earnings per share were a total of 836 thousand and 607 thousand stock options, SARs and restricted shares units outstanding as of March 31, 2018, and March 31, 2017, respectively, because to include them would have been anti-dilutive.</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Geographic and Segment Information</w:t>
      </w:r>
    </w:p>
    <w:p>
      <w:pPr>
        <w:spacing w:after="0" w:line="116"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We identify operating segments based on the way we manage, evaluate and internally report our business activities for purposes of allocating resources and assessing performance. We have two reportable segments: Cardiac Surgery and Neuromodulation.</w:t>
      </w:r>
    </w:p>
    <w:p>
      <w:pPr>
        <w:spacing w:after="0" w:line="62" w:lineRule="exact"/>
        <w:rPr>
          <w:sz w:val="20"/>
          <w:szCs w:val="20"/>
          <w:color w:val="auto"/>
        </w:rPr>
      </w:pPr>
    </w:p>
    <w:p>
      <w:pPr>
        <w:ind w:right="620" w:firstLine="162"/>
        <w:spacing w:after="0" w:line="308" w:lineRule="auto"/>
        <w:rPr>
          <w:sz w:val="20"/>
          <w:szCs w:val="20"/>
          <w:color w:val="auto"/>
        </w:rPr>
      </w:pPr>
      <w:r>
        <w:rPr>
          <w:rFonts w:ascii="Arial" w:cs="Arial" w:eastAsia="Arial" w:hAnsi="Arial"/>
          <w:sz w:val="17"/>
          <w:szCs w:val="17"/>
          <w:color w:val="auto"/>
        </w:rPr>
        <w:t>The Cardiac Surgery segment generates its revenue from the development, production and sale of cardiovascular surgery products. Cardiac Surgery products include oxygenators, heart-lung machines, autotransfusion systems, mechanical heart valves and tissue heart valves.</w:t>
      </w:r>
    </w:p>
    <w:p>
      <w:pPr>
        <w:spacing w:after="0" w:line="38" w:lineRule="exact"/>
        <w:rPr>
          <w:sz w:val="20"/>
          <w:szCs w:val="20"/>
          <w:color w:val="auto"/>
        </w:rPr>
      </w:pPr>
    </w:p>
    <w:p>
      <w:pPr>
        <w:ind w:right="260" w:firstLine="162"/>
        <w:spacing w:after="0" w:line="272" w:lineRule="auto"/>
        <w:rPr>
          <w:sz w:val="20"/>
          <w:szCs w:val="20"/>
          <w:color w:val="auto"/>
        </w:rPr>
      </w:pPr>
      <w:r>
        <w:rPr>
          <w:rFonts w:ascii="Arial" w:cs="Arial" w:eastAsia="Arial" w:hAnsi="Arial"/>
          <w:sz w:val="17"/>
          <w:szCs w:val="17"/>
          <w:color w:val="auto"/>
        </w:rPr>
        <w:t>The Neuromodulation segment generates its revenue from the design, development and marketing of neuromodulation therapy for the treatment of drug-resistant epilepsy and treatment resistant depression. Neuromodulation products include the VNS Therapy System, which consists of an implantable pulse generator, a lead that connects the generator to the vagus nerve, surgical equipment to assist with the implant procedure, equipment to enable the treating physician to set the pulse generator stimulation parameters for the patient, instruction manuals and magnets to suspend or induce stimulation manually. On January 16, 2018, we acquired the remaining 86% outstanding interests in ImThera which is also included in our Neuromodulation segment. ImThera manufactures an implantable device for the treatment of obstructive sleep apnea that stimulates multiple tongue muscles via the hypoglossal nerve, which opens the airway while a patient is sleeping.</w:t>
      </w:r>
    </w:p>
    <w:p>
      <w:pPr>
        <w:spacing w:after="0" w:line="70" w:lineRule="exact"/>
        <w:rPr>
          <w:sz w:val="20"/>
          <w:szCs w:val="20"/>
          <w:color w:val="auto"/>
        </w:rPr>
      </w:pPr>
    </w:p>
    <w:p>
      <w:pPr>
        <w:ind w:right="260" w:firstLine="162"/>
        <w:spacing w:after="0" w:line="308" w:lineRule="auto"/>
        <w:rPr>
          <w:sz w:val="20"/>
          <w:szCs w:val="20"/>
          <w:color w:val="auto"/>
        </w:rPr>
      </w:pPr>
      <w:r>
        <w:rPr>
          <w:rFonts w:ascii="Arial" w:cs="Arial" w:eastAsia="Arial" w:hAnsi="Arial"/>
          <w:sz w:val="17"/>
          <w:szCs w:val="17"/>
          <w:color w:val="auto"/>
        </w:rPr>
        <w:t>“Other” includes corporate shared service expenses for finance, legal, human resources and information technology and corporate business development (“New Ventures”). New Ventures is focused on new growth platforms and identification of other opportunities for expansion.</w:t>
      </w:r>
    </w:p>
    <w:p>
      <w:pPr>
        <w:spacing w:after="0" w:line="38"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During the three months ended March 31, 2018, we began to include the results of heart failure within the Neuromodulation segment for internal reporting purposes in order to manage and evaluate business activities for purposes of allocating resources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7" w:right="239" w:bottom="1440" w:gutter="0" w:footer="0" w:header="0"/>
        </w:sectPr>
      </w:pPr>
    </w:p>
    <w:bookmarkStart w:id="25" w:name="page26"/>
    <w:bookmarkEnd w:id="25"/>
    <w:p>
      <w:pPr>
        <w:ind w:right="300"/>
        <w:spacing w:after="0" w:line="277" w:lineRule="auto"/>
        <w:rPr>
          <w:sz w:val="20"/>
          <w:szCs w:val="20"/>
          <w:color w:val="auto"/>
        </w:rPr>
      </w:pPr>
      <w:r>
        <w:rPr>
          <w:rFonts w:ascii="Arial" w:cs="Arial" w:eastAsia="Arial" w:hAnsi="Arial"/>
          <w:sz w:val="18"/>
          <w:szCs w:val="18"/>
          <w:color w:val="auto"/>
        </w:rPr>
        <w:t>and assessing performance. Previously, the results of heart failure were reported within Other. Segment results for the three months ended March 31, 2017 have been restated to conform to the current period presentation.</w:t>
      </w:r>
    </w:p>
    <w:p>
      <w:pPr>
        <w:spacing w:after="0" w:line="62"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Net sales of our reportable segments include revenues from the sale of products they each develop and manufacture or distribute. We define segment income as operating income before merger and integration, restructuring and amortization of intangibles.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operate under three geographic regions: United States, Europe, and Rest of world.</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net sales by operating segment and geographic region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4"/>
          </w:tcPr>
          <w:p>
            <w:pPr>
              <w:jc w:val="right"/>
              <w:ind w:right="43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Cardiopulmonary</w:t>
            </w: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32,176</w:t>
            </w:r>
          </w:p>
        </w:tc>
        <w:tc>
          <w:tcPr>
            <w:tcW w:w="0" w:type="dxa"/>
            <w:vAlign w:val="bottom"/>
          </w:tcPr>
          <w:p>
            <w:pPr>
              <w:spacing w:after="0"/>
              <w:rPr>
                <w:sz w:val="1"/>
                <w:szCs w:val="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36,870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30,609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44,513</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125,130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107,298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Heart Valves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6,536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Rest of world</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12,390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15,490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31,906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Cardiac Surgery</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38,245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48,986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40,956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60,003</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156,172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139,204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Neuromodulation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77,992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73,659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87,159</w:t>
            </w:r>
          </w:p>
        </w:tc>
        <w:tc>
          <w:tcPr>
            <w:tcW w:w="0" w:type="dxa"/>
            <w:vAlign w:val="bottom"/>
          </w:tcPr>
          <w:p>
            <w:pPr>
              <w:spacing w:after="0"/>
              <w:rPr>
                <w:sz w:val="1"/>
                <w:szCs w:val="1"/>
                <w:color w:val="auto"/>
              </w:rPr>
            </w:pPr>
          </w:p>
        </w:tc>
      </w:tr>
      <w:tr>
        <w:trPr>
          <w:trHeight w:val="318"/>
        </w:trPr>
        <w:tc>
          <w:tcPr>
            <w:tcW w:w="8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Totals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111,904</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color w:val="auto"/>
                <w:vertAlign w:val="superscript"/>
              </w:rPr>
              <w:t>(1) (2)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59,277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48,885</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66,036</w:t>
            </w:r>
          </w:p>
        </w:tc>
        <w:tc>
          <w:tcPr>
            <w:tcW w:w="0" w:type="dxa"/>
            <w:vAlign w:val="bottom"/>
          </w:tcPr>
          <w:p>
            <w:pPr>
              <w:spacing w:after="0"/>
              <w:rPr>
                <w:sz w:val="1"/>
                <w:szCs w:val="1"/>
                <w:color w:val="auto"/>
              </w:rPr>
            </w:pPr>
          </w:p>
        </w:tc>
      </w:tr>
      <w:tr>
        <w:trPr>
          <w:trHeight w:val="264"/>
        </w:trPr>
        <w:tc>
          <w:tcPr>
            <w:tcW w:w="8120" w:type="dxa"/>
            <w:vAlign w:val="bottom"/>
          </w:tcPr>
          <w:p>
            <w:pPr>
              <w:ind w:left="50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(3)</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250,398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226,825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right="180" w:hanging="328"/>
        <w:spacing w:after="0" w:line="266"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Net sales to external customers includes $8.2 million and $6.8 million in the United Kingdom, our country of domicile, for the three months ended March 31, 2018 and March 31, 2017, respectively.</w:t>
      </w:r>
    </w:p>
    <w:p>
      <w:pPr>
        <w:spacing w:after="0" w:line="1" w:lineRule="exact"/>
        <w:rPr>
          <w:rFonts w:ascii="Arial" w:cs="Arial" w:eastAsia="Arial" w:hAnsi="Arial"/>
          <w:sz w:val="14"/>
          <w:szCs w:val="14"/>
          <w:color w:val="auto"/>
        </w:rPr>
      </w:pPr>
    </w:p>
    <w:p>
      <w:pPr>
        <w:ind w:left="660" w:right="80" w:hanging="328"/>
        <w:spacing w:after="0" w:line="264"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5"/>
          <w:szCs w:val="15"/>
          <w:color w:val="auto"/>
        </w:rPr>
        <w:t>No single customer represented over 10% of our consolidated net sales and no country’s net sales exceeded 10% of our consolidated sales except for the U.S.</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Operating income by segment is as follows (in thousands):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Operating Income from Continuing Operations</w:t>
            </w: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38,734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40,756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reportable segment income from continuing operations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12,530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19,747</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180"/>
              <w:spacing w:after="0"/>
              <w:rPr>
                <w:sz w:val="20"/>
                <w:szCs w:val="20"/>
                <w:color w:val="auto"/>
              </w:rPr>
            </w:pPr>
            <w:r>
              <w:rPr>
                <w:rFonts w:ascii="Arial" w:cs="Arial" w:eastAsia="Arial" w:hAnsi="Arial"/>
                <w:sz w:val="18"/>
                <w:szCs w:val="18"/>
                <w:color w:val="auto"/>
              </w:rPr>
              <w:t>Assets by reportable segment (in thousands):</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1,386,282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1,386,032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715,611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532,894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334,276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257,140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250,689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2,704,876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2,503,891</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180"/>
              <w:spacing w:after="0"/>
              <w:rPr>
                <w:sz w:val="20"/>
                <w:szCs w:val="20"/>
                <w:color w:val="auto"/>
              </w:rPr>
            </w:pPr>
            <w:r>
              <w:rPr>
                <w:rFonts w:ascii="Arial" w:cs="Arial" w:eastAsia="Arial" w:hAnsi="Arial"/>
                <w:sz w:val="18"/>
                <w:szCs w:val="18"/>
                <w:color w:val="auto"/>
              </w:rPr>
              <w:t>Capital expenditures by segment (in thousands):</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changes in the carrying amount of goodwill by reportable segment for the three months ended March 31, 2018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b w:val="1"/>
                <w:bCs w:val="1"/>
                <w:color w:val="auto"/>
              </w:rPr>
              <w:t>Neuromodulation</w:t>
            </w: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Cardiac Surgery</w:t>
            </w: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425,882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784,242</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Goodwill as a result of acquisition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87,063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87,063</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March 31,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403,006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430,141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42,417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875,564</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Goodwill recognized as a result of the ImThera acquisition. Refer to “Note 3. Business Combinations.”</w:t>
      </w:r>
    </w:p>
    <w:p>
      <w:pPr>
        <w:spacing w:after="0" w:line="365"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Property, plant and equipment, net by geography are as follows (in thousands):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05"/>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PP&amp;E</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62,154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119,630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119,133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11,072</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191,701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192,359</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Accounts receivable, net, consisted of the following (in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from third parties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288,127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Allowance for bad debt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(5,982)</w:t>
            </w: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282,145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162"/>
        <w:spacing w:after="0" w:line="342" w:lineRule="auto"/>
        <w:rPr>
          <w:sz w:val="20"/>
          <w:szCs w:val="20"/>
          <w:color w:val="auto"/>
        </w:rPr>
      </w:pPr>
      <w:r>
        <w:rPr>
          <w:rFonts w:ascii="Arial" w:cs="Arial" w:eastAsia="Arial" w:hAnsi="Arial"/>
          <w:sz w:val="16"/>
          <w:szCs w:val="16"/>
          <w:color w:val="auto"/>
        </w:rPr>
        <w:t>Our customers consist of hospitals, other healthcare institutions, distributors, organized purchase groups and government and private entities. Actual collection periods for trade receivables vary significantly as a function of the nature of the customer (e.g., government or private) and its geographic location.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Inventories consisted of the following (in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39,810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18,206</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86,454</w:t>
            </w:r>
          </w:p>
        </w:tc>
      </w:tr>
      <w:tr>
        <w:trPr>
          <w:trHeight w:val="237"/>
        </w:trPr>
        <w:tc>
          <w:tcPr>
            <w:tcW w:w="83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144,470</w:t>
            </w:r>
          </w:p>
        </w:tc>
      </w:tr>
      <w:tr>
        <w:trPr>
          <w:trHeight w:val="27"/>
        </w:trPr>
        <w:tc>
          <w:tcPr>
            <w:tcW w:w="8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00" w:firstLine="162"/>
        <w:spacing w:after="0" w:line="277" w:lineRule="auto"/>
        <w:rPr>
          <w:sz w:val="20"/>
          <w:szCs w:val="20"/>
          <w:color w:val="auto"/>
        </w:rPr>
      </w:pPr>
      <w:r>
        <w:rPr>
          <w:rFonts w:ascii="Arial" w:cs="Arial" w:eastAsia="Arial" w:hAnsi="Arial"/>
          <w:sz w:val="18"/>
          <w:szCs w:val="18"/>
          <w:color w:val="auto"/>
        </w:rPr>
        <w:t>Inventories are reported net of the provision for obsolescence. The provision, which reflects normal obsolescence and includes components that are phased out or expired, totaled $11.9 million and $10.5 million at March 31, 2018 and December 31, 2017,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Deposits and advances to suppliers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4,551</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Earthquake grant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Escrow deposit - Caisson</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loans and notes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taxes payable on inter-company transfers of property </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12,604</w:t>
            </w: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contract assets</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r>
      <w:tr>
        <w:trPr>
          <w:trHeight w:val="237"/>
        </w:trPr>
        <w:tc>
          <w:tcPr>
            <w:tcW w:w="83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39,037</w:t>
            </w:r>
          </w:p>
        </w:tc>
      </w:tr>
      <w:tr>
        <w:trPr>
          <w:trHeight w:val="27"/>
        </w:trPr>
        <w:tc>
          <w:tcPr>
            <w:tcW w:w="8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340" w:hanging="328"/>
        <w:spacing w:after="0" w:line="278"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The income taxes payable on intercompany transfers of property was an asset created to defer the income tax effect of an intercompany intellectual property sale pursuant to ASC 810-10-45-8. Pursuant to ASU 2016-16 - Income Taxes - Intra-Entity Transfers of Assets Other than Inventory, we reclassified the balance at December 31, 2017 to retained earnings on January 1, 2018.</w:t>
      </w: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Other assets consisted of the following (in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Escrow deposit - Caisson</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Guaranteed deposits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Loans and notes receivable</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1,276</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taxes payable on inter-company transfers of property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68,127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1,913</w:t>
            </w: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75,984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6"/>
          <w:szCs w:val="16"/>
          <w:color w:val="auto"/>
        </w:rPr>
        <w:t>Primarily cash surrender value of company owned life insurance policies.</w:t>
      </w:r>
    </w:p>
    <w:p>
      <w:pPr>
        <w:spacing w:after="0" w:line="72" w:lineRule="exact"/>
        <w:rPr>
          <w:rFonts w:ascii="Arial" w:cs="Arial" w:eastAsia="Arial" w:hAnsi="Arial"/>
          <w:sz w:val="14"/>
          <w:szCs w:val="14"/>
          <w:color w:val="auto"/>
        </w:rPr>
      </w:pPr>
    </w:p>
    <w:p>
      <w:pPr>
        <w:ind w:left="660" w:right="340" w:hanging="328"/>
        <w:spacing w:after="0" w:line="278"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6"/>
          <w:szCs w:val="16"/>
          <w:color w:val="auto"/>
        </w:rPr>
        <w:t>The income taxes payable on intercompany transfers of property was an asset created to defer the income tax effect of an intercompany intellectual property sale pursuant to ASC 810-10-45-8. Pursuant to ASU 2016-16 - Income Taxes - Intra-Entity Transfers of Assets Other than Inventory, we reclassified the balance at December 31, 2017 to retained earnings on January 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Accrued liabilities and other consisted of the following (in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Product remediation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16,811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consideration - acquisitions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14,300</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Legal and administrative costs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6,082</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Restructuring related liabilities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5,594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3,560</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costs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2,900</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Escrow indemnity liabilities - Caisson</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Government grants</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1,174</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14,263</w:t>
            </w: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78,942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6"/>
          <w:szCs w:val="16"/>
          <w:color w:val="auto"/>
        </w:rPr>
        <w:t>Refer to “Note 6. Product Remediation Liability”.</w:t>
      </w:r>
    </w:p>
    <w:p>
      <w:pPr>
        <w:spacing w:after="0" w:line="22"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6"/>
          <w:szCs w:val="16"/>
          <w:color w:val="auto"/>
        </w:rPr>
        <w:t>Refer to “Note 10. Derivatives and Risk Management”.</w:t>
      </w: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0"/>
        </w:trPr>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2018</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147,805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33,973</w:t>
            </w: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Product remediation liability </w:t>
            </w:r>
            <w:r>
              <w:rPr>
                <w:rFonts w:ascii="Arial" w:cs="Arial" w:eastAsia="Arial" w:hAnsi="Arial"/>
                <w:sz w:val="25"/>
                <w:szCs w:val="25"/>
                <w:color w:val="auto"/>
                <w:vertAlign w:val="superscript"/>
              </w:rPr>
              <w:t>(2)</w:t>
            </w:r>
          </w:p>
        </w:tc>
        <w:tc>
          <w:tcPr>
            <w:tcW w:w="1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11,032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10,735</w:t>
            </w: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18,306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Escrow indemnity liabilities - Caisson</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Financial derivatives </w:t>
            </w:r>
            <w:r>
              <w:rPr>
                <w:rFonts w:ascii="Arial" w:cs="Arial" w:eastAsia="Arial" w:hAnsi="Arial"/>
                <w:sz w:val="25"/>
                <w:szCs w:val="25"/>
                <w:color w:val="auto"/>
                <w:vertAlign w:val="superscript"/>
              </w:rPr>
              <w:t>(4)</w:t>
            </w:r>
          </w:p>
        </w:tc>
        <w:tc>
          <w:tcPr>
            <w:tcW w:w="1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751</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related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Unfavorable operating leases</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w:t>
            </w:r>
          </w:p>
        </w:tc>
      </w:tr>
      <w:tr>
        <w:trPr>
          <w:trHeight w:val="237"/>
        </w:trPr>
        <w:tc>
          <w:tcPr>
            <w:tcW w:w="83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183,978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69,084</w:t>
            </w:r>
          </w:p>
        </w:tc>
      </w:tr>
      <w:tr>
        <w:trPr>
          <w:trHeight w:val="27"/>
        </w:trPr>
        <w:tc>
          <w:tcPr>
            <w:tcW w:w="8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160" w:hanging="328"/>
        <w:spacing w:after="0" w:line="266"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The contingent consideration liability represents contingent payments related to four completed acquisitions: Cellplex PTY Ltd., Inversiones Drilltex SAS, Caisson Interventional, LLC and ImThera. Refer to “Note 3. Business Combinations.”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Refer to “Note 6. Product Remediation Liability.”</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Uncertain tax positions include accrued interest and penalties.</w:t>
      </w:r>
    </w:p>
    <w:p>
      <w:pPr>
        <w:spacing w:after="0" w:line="18"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Refer to “Note 10. Derivatives and Risk Management.”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New Accounting Pronouncements</w:t>
      </w:r>
    </w:p>
    <w:p>
      <w:pPr>
        <w:spacing w:after="0" w:line="116"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 xml:space="preserve">In January 2016, the FASB issued ASU No. 2016-01, Financial Instruments-Overall (Subtopic 825-10): </w:t>
      </w:r>
      <w:r>
        <w:rPr>
          <w:rFonts w:ascii="Arial" w:cs="Arial" w:eastAsia="Arial" w:hAnsi="Arial"/>
          <w:sz w:val="18"/>
          <w:szCs w:val="18"/>
          <w:i w:val="1"/>
          <w:iCs w:val="1"/>
          <w:color w:val="auto"/>
        </w:rPr>
        <w:t>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Liabilities</w:t>
      </w:r>
      <w:r>
        <w:rPr>
          <w:rFonts w:ascii="Arial" w:cs="Arial" w:eastAsia="Arial" w:hAnsi="Arial"/>
          <w:sz w:val="18"/>
          <w:szCs w:val="18"/>
          <w:color w:val="auto"/>
        </w:rPr>
        <w:t>. Update 2016-01 requires equity investments that do not result in consolidation and are not accounted for under the equity method to</w:t>
      </w:r>
      <w:r>
        <w:rPr>
          <w:rFonts w:ascii="Arial" w:cs="Arial" w:eastAsia="Arial" w:hAnsi="Arial"/>
          <w:sz w:val="18"/>
          <w:szCs w:val="18"/>
          <w:i w:val="1"/>
          <w:iCs w:val="1"/>
          <w:color w:val="auto"/>
        </w:rPr>
        <w:t xml:space="preserve"> </w:t>
      </w:r>
      <w:r>
        <w:rPr>
          <w:rFonts w:ascii="Arial" w:cs="Arial" w:eastAsia="Arial" w:hAnsi="Arial"/>
          <w:sz w:val="18"/>
          <w:szCs w:val="18"/>
          <w:color w:val="auto"/>
        </w:rPr>
        <w:t>be measured at fair value with changes recognized in net income. However, an entity may elect to measure equity investments that do not have readily determinable fair values at cost minus impairment, if any, plus or minus changes resulting from observable price changes in orderly transactions for the identical or a similar investment of the same issuer. We made this election beginning January 1, 2018, resulting in no material impact to our consolidated financial statements.</w:t>
      </w:r>
    </w:p>
    <w:p>
      <w:pPr>
        <w:spacing w:after="0" w:line="85" w:lineRule="exact"/>
        <w:rPr>
          <w:sz w:val="20"/>
          <w:szCs w:val="20"/>
          <w:color w:val="auto"/>
        </w:rPr>
      </w:pPr>
    </w:p>
    <w:p>
      <w:pPr>
        <w:ind w:right="140" w:firstLine="162"/>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This guidance requires lessees to recognize most leases on their balance sheets as lease liabilities with corresponding right-of-use assets. The new standard requires lessees and lessors to classify most leases using a principle generally consistent with that of “IAS 17 - Leases,” which is similar to U.S. GAAP but without the use of bright lines. The standard also changes what is considered initial direct costs. Entities are required to use a modified retrospective approach for leases that exist or are entered into after the beginning of the earliest comparative period in the consolidated financial statements. The standard is effective for annual periods beginning after December 15, 2018 and interim periods within that year. We are currently evaluating the effect this standard will have on our consolidated financial statements and related disclosures.</w:t>
      </w:r>
    </w:p>
    <w:p>
      <w:pPr>
        <w:spacing w:after="0" w:line="57"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 xml:space="preserve">In June 2016, the FASB issued ASC Update No.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The amendments in this update require a financial asset (or a group of financial assets) measured at amortized cost basis to be presented at the net amount expected to be collected. The amendments in this update are effective for annual periods beginning after December 15, 2019, including interim periods within those fiscal years. Early adoption is permitted as of the fiscal years beginning after December 15, 2018, including interim periods within those fiscal years. The modified-retrospective approach is generally applicable through a cumulative-effect adjustment to retained earnings as of the beginning of the first reporting period in which the guidance is effective. We are currently evaluating the effect this standard will have on our consolidated financial statements and related disclosures.</w:t>
      </w:r>
    </w:p>
    <w:p>
      <w:pPr>
        <w:spacing w:after="0" w:line="57" w:lineRule="exact"/>
        <w:rPr>
          <w:sz w:val="20"/>
          <w:szCs w:val="20"/>
          <w:color w:val="auto"/>
        </w:rPr>
      </w:pPr>
    </w:p>
    <w:p>
      <w:pPr>
        <w:ind w:right="240" w:firstLine="162"/>
        <w:spacing w:after="0" w:line="286"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xml:space="preserve"> (Topic 230 -Statement of Cash Flows). Update 2016-15 provides guidance on the presentation and classification of certain cash receipts and cash payments in the statement of cash flows. We adopted this update on January 1, 2018 resulting in no material impact to our consolidated statements of cash flows.</w:t>
      </w:r>
    </w:p>
    <w:p>
      <w:pPr>
        <w:spacing w:after="0" w:line="57"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 Intra-Entity Transfers of Assets Other Than Inventory</w:t>
      </w:r>
      <w:r>
        <w:rPr>
          <w:rFonts w:ascii="Arial" w:cs="Arial" w:eastAsia="Arial" w:hAnsi="Arial"/>
          <w:sz w:val="18"/>
          <w:szCs w:val="18"/>
          <w:color w:val="auto"/>
        </w:rPr>
        <w:t xml:space="preserve"> (Topic 740). This update simplifies the accounting for the income tax consequences of transfers of assets from one unit of a corporation to another unit or subsidiary by eliminating an accounting exception that prevents the recognition of current and deferred income tax consequences for such “intra-entity transfers” until the assets have been sold to an outside party.</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0" w:name="page31"/>
    <w:bookmarkEnd w:id="30"/>
    <w:p>
      <w:pPr>
        <w:ind w:left="180"/>
        <w:spacing w:after="0"/>
        <w:rPr>
          <w:sz w:val="20"/>
          <w:szCs w:val="20"/>
          <w:color w:val="auto"/>
        </w:rPr>
      </w:pPr>
      <w:r>
        <w:rPr>
          <w:rFonts w:ascii="Arial" w:cs="Arial" w:eastAsia="Arial" w:hAnsi="Arial"/>
          <w:sz w:val="18"/>
          <w:szCs w:val="18"/>
          <w:color w:val="auto"/>
        </w:rPr>
        <w:t>We adopted this update on January 1, 2018 and recognized the following balance sheet adjustments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188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Balance at December 31,</w:t>
            </w:r>
          </w:p>
        </w:tc>
        <w:tc>
          <w:tcPr>
            <w:tcW w:w="2200" w:type="dxa"/>
            <w:vAlign w:val="bottom"/>
            <w:gridSpan w:val="3"/>
          </w:tcPr>
          <w:p>
            <w:pPr>
              <w:ind w:left="80"/>
              <w:spacing w:after="0"/>
              <w:rPr>
                <w:sz w:val="20"/>
                <w:szCs w:val="20"/>
                <w:color w:val="auto"/>
              </w:rPr>
            </w:pPr>
            <w:r>
              <w:rPr>
                <w:rFonts w:ascii="Arial" w:cs="Arial" w:eastAsia="Arial" w:hAnsi="Arial"/>
                <w:sz w:val="16"/>
                <w:szCs w:val="16"/>
                <w:b w:val="1"/>
                <w:bCs w:val="1"/>
                <w:color w:val="auto"/>
              </w:rPr>
              <w:t>Adjustment due to ASU No.</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Balance at January 1,</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ind w:right="692"/>
              <w:spacing w:after="0"/>
              <w:rPr>
                <w:sz w:val="20"/>
                <w:szCs w:val="20"/>
                <w:color w:val="auto"/>
              </w:rPr>
            </w:pPr>
            <w:r>
              <w:rPr>
                <w:rFonts w:ascii="Arial" w:cs="Arial" w:eastAsia="Arial" w:hAnsi="Arial"/>
                <w:sz w:val="16"/>
                <w:szCs w:val="16"/>
                <w:b w:val="1"/>
                <w:bCs w:val="1"/>
                <w:color w:val="auto"/>
              </w:rPr>
              <w:t>2016-16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26,433</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4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11,559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58,301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69,860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(62,094)</w:t>
            </w:r>
          </w:p>
        </w:tc>
        <w:tc>
          <w:tcPr>
            <w:tcW w:w="0" w:type="dxa"/>
            <w:vAlign w:val="bottom"/>
          </w:tcPr>
          <w:p>
            <w:pPr>
              <w:spacing w:after="0"/>
              <w:rPr>
                <w:sz w:val="1"/>
                <w:szCs w:val="1"/>
                <w:color w:val="auto"/>
              </w:rPr>
            </w:pPr>
          </w:p>
        </w:tc>
      </w:tr>
      <w:tr>
        <w:trPr>
          <w:trHeight w:val="27"/>
        </w:trPr>
        <w:tc>
          <w:tcPr>
            <w:tcW w:w="5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 Simplifying the Test for Goodwill Impairment</w:t>
      </w:r>
      <w:r>
        <w:rPr>
          <w:rFonts w:ascii="Arial" w:cs="Arial" w:eastAsia="Arial" w:hAnsi="Arial"/>
          <w:sz w:val="18"/>
          <w:szCs w:val="18"/>
          <w:color w:val="auto"/>
        </w:rPr>
        <w:t xml:space="preserve"> (Topic 350). This update removes step 2 of the goodwill impairment test that compares the implied fair value of goodwill with its carrying amount. Instead, an impairment test is performed by comparing the fair value of a reporting unit with its carrying amount. An impairment charge will be recorded by the amount a reporting unit’s carrying amount exceeds its fair value. The update is effective for annual periods after December 15, 2019, including interim periods within those annual reporting periods with early adoption permitted.</w:t>
      </w:r>
    </w:p>
    <w:p>
      <w:pPr>
        <w:spacing w:after="0" w:line="80" w:lineRule="exact"/>
        <w:rPr>
          <w:sz w:val="20"/>
          <w:szCs w:val="20"/>
          <w:color w:val="auto"/>
        </w:rPr>
      </w:pPr>
    </w:p>
    <w:p>
      <w:pPr>
        <w:jc w:val="both"/>
        <w:ind w:right="380" w:firstLine="162"/>
        <w:spacing w:after="0" w:line="264" w:lineRule="auto"/>
        <w:rPr>
          <w:sz w:val="20"/>
          <w:szCs w:val="20"/>
          <w:color w:val="auto"/>
        </w:rPr>
      </w:pPr>
      <w:r>
        <w:rPr>
          <w:rFonts w:ascii="Arial" w:cs="Arial" w:eastAsia="Arial" w:hAnsi="Arial"/>
          <w:sz w:val="18"/>
          <w:szCs w:val="18"/>
          <w:color w:val="auto"/>
        </w:rPr>
        <w:t xml:space="preserve">In March 2017, the FASB issued ASU No. 2017-01,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(Topic 805). This update clarifies when a set of assets and activities is a business. We adopted this update on January 1, 2018. The ImThera acquisition was considered an acquisition of a business. Refer to “Note 3. Business Combinations” for a discussion of our acquisition of ImThera.</w:t>
      </w:r>
    </w:p>
    <w:p>
      <w:pPr>
        <w:spacing w:after="0" w:line="73"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Compensation—Retirement Benefits</w:t>
      </w:r>
      <w:r>
        <w:rPr>
          <w:rFonts w:ascii="Arial" w:cs="Arial" w:eastAsia="Arial" w:hAnsi="Arial"/>
          <w:sz w:val="18"/>
          <w:szCs w:val="18"/>
          <w:color w:val="auto"/>
        </w:rPr>
        <w:t xml:space="preserve"> (Topic 715): Improving the Presentation of Net Periodic Pension Cost and Net Periodic Post Retirement Benefit Cost. This update requires that an employer report the service cost component in the same line item or items as other compensation costs arising from services rendered by the pertinent employees during the period. We adopted this update on January 1, 2018, resulting in an immaterial impact to our consolidated financial statement. The condensed consolidated statement of income for the three months ended March 31, 2017 has been restated for the adoption of this update.</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Subsequent Events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TandemLife Acquisition</w:t>
      </w:r>
    </w:p>
    <w:p>
      <w:pPr>
        <w:spacing w:after="0" w:line="110" w:lineRule="exact"/>
        <w:rPr>
          <w:sz w:val="20"/>
          <w:szCs w:val="20"/>
          <w:color w:val="auto"/>
        </w:rPr>
      </w:pPr>
    </w:p>
    <w:p>
      <w:pPr>
        <w:ind w:right="300" w:firstLine="162"/>
        <w:spacing w:after="0" w:line="255" w:lineRule="auto"/>
        <w:rPr>
          <w:sz w:val="20"/>
          <w:szCs w:val="20"/>
          <w:color w:val="auto"/>
        </w:rPr>
      </w:pPr>
      <w:r>
        <w:rPr>
          <w:rFonts w:ascii="Arial" w:cs="Arial" w:eastAsia="Arial" w:hAnsi="Arial"/>
          <w:sz w:val="18"/>
          <w:szCs w:val="18"/>
          <w:color w:val="auto"/>
        </w:rPr>
        <w:t>On April 4, 2018, we acquired TandemLife for cash consideration of up to $250 million. Upfront costs were approximately $200 million with up to $50 million in contingent consideration based on achieving regulatory milestones. TandemLife is a privately-held Delaware corporation focused on advanced cardiopulmonary temporary support solutions. On April 3, 2018, we borrowed $190 million under the Bridge Facility Agreement to facilitate the initial payment for our acquisition of TandemLife. We intend to use the proceeds from the sale of the CRM business franchise to repay the borrowings under the Bridge Facility Agreement. The initial accounting and fair valuation for the TandemLife business combination is not complete as of the date of filing this Quarterly Report on Form 10-Q.</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color w:val="auto"/>
        </w:rPr>
        <w:t>On April 10, 2018, we entered into an amendment and restatement agreement with Barclays Bank PLC amending the revolving facility agreement originally dated October 21, 2016 (the “Amendment”). The Amendment increases the borrowing capacity under the facility from $40.0 million to $70.0 million and extends the term of the facility one year, terminating October 20, 2019. Borrowings under the facility bear interest at a rate of LIBOR plus 0.85%.</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92" w:right="25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which appear elsewhere in this document and with our 2017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2017 Form 10-K and elsewhere in this quarterly report.</w:t>
      </w:r>
    </w:p>
    <w:p>
      <w:pPr>
        <w:spacing w:after="0" w:line="79" w:lineRule="exact"/>
        <w:rPr>
          <w:sz w:val="20"/>
          <w:szCs w:val="20"/>
          <w:color w:val="auto"/>
        </w:rPr>
      </w:pPr>
    </w:p>
    <w:p>
      <w:pPr>
        <w:ind w:right="520" w:firstLine="162"/>
        <w:spacing w:after="0" w:line="277" w:lineRule="auto"/>
        <w:rPr>
          <w:sz w:val="20"/>
          <w:szCs w:val="20"/>
          <w:color w:val="auto"/>
        </w:rPr>
      </w:pPr>
      <w:r>
        <w:rPr>
          <w:rFonts w:ascii="Arial" w:cs="Arial" w:eastAsia="Arial" w:hAnsi="Arial"/>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16"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are a public limited company organized under the laws of England and Wales, headquartered in London, United Kingdom. We are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the CRM Business Franchise</w:t>
      </w:r>
    </w:p>
    <w:p>
      <w:pPr>
        <w:spacing w:after="0" w:line="116"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On March 8, 2018 we entered into a definitive Purchase Agreement with MicroPort Cardiac Rhythm B.V. and MicroPort Scientific Corporation for the sale of our CRM business franchise. The CRM Sale closed on April 30, 2018 for the purchase price of $190.0 million, in addition to certain customary closing adjustments. In conjunction with the CRM Sale, we have agreed to provide certain transition services following the closing of the transaction. Prior to the closing of the CRM Sale, a regional antitrust authority in France initiated an investigation into the French cardiac rhythm management market, and a subsidiary of the CRM business operating in Clamart, France is one of the companies being investigated. The subsidiary under investigation believes it is in full compliance with all applicable laws and is, and intends to continue, cooperating with the relevant authorities. Nevertheless, the Company has agreed to provide a limited indemnity to the purchasers of the CRM business of generally up to €16.5 million relating to such investigation.</w:t>
      </w:r>
    </w:p>
    <w:p>
      <w:pPr>
        <w:spacing w:after="0" w:line="59" w:lineRule="exact"/>
        <w:rPr>
          <w:sz w:val="20"/>
          <w:szCs w:val="20"/>
          <w:color w:val="auto"/>
        </w:rPr>
      </w:pPr>
    </w:p>
    <w:p>
      <w:pPr>
        <w:jc w:val="both"/>
        <w:ind w:right="300" w:firstLine="162"/>
        <w:spacing w:after="0" w:line="342" w:lineRule="auto"/>
        <w:rPr>
          <w:sz w:val="20"/>
          <w:szCs w:val="20"/>
          <w:color w:val="auto"/>
        </w:rPr>
      </w:pPr>
      <w:r>
        <w:rPr>
          <w:rFonts w:ascii="Arial" w:cs="Arial" w:eastAsia="Arial" w:hAnsi="Arial"/>
          <w:sz w:val="16"/>
          <w:szCs w:val="16"/>
          <w:color w:val="auto"/>
        </w:rPr>
        <w:t>The results of operations of CRM are reflected as discontinued operations for all periods presented in this Quarterly Report on Form 10-Q. Refer to the Discontinued Operations discussion below and to “Note 4. Discontinued Operations” to the Financial Statements in this Quarterly Report on Form 10-Q.</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Franchises</w:t>
      </w:r>
    </w:p>
    <w:p>
      <w:pPr>
        <w:spacing w:after="0" w:line="116"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LivaNova is comprised of two principal Business Franchises: Cardiac Surgery and Neuromodulation, corresponding to our main therapeutic areas. Corporate activities include corporate business development (“New Ventures”). New Ventures is focused on new growth platforms and identification of other opportunities for expansion.</w:t>
      </w:r>
    </w:p>
    <w:p>
      <w:pPr>
        <w:spacing w:after="0" w:line="73" w:lineRule="exact"/>
        <w:rPr>
          <w:sz w:val="20"/>
          <w:szCs w:val="20"/>
          <w:color w:val="auto"/>
        </w:rPr>
      </w:pPr>
    </w:p>
    <w:p>
      <w:pPr>
        <w:ind w:right="340" w:firstLine="162"/>
        <w:spacing w:after="0" w:line="308" w:lineRule="auto"/>
        <w:rPr>
          <w:sz w:val="20"/>
          <w:szCs w:val="20"/>
          <w:color w:val="auto"/>
        </w:rPr>
      </w:pPr>
      <w:r>
        <w:rPr>
          <w:rFonts w:ascii="Arial" w:cs="Arial" w:eastAsia="Arial" w:hAnsi="Arial"/>
          <w:sz w:val="17"/>
          <w:szCs w:val="17"/>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Cardiac Surgery Update</w:t>
      </w:r>
    </w:p>
    <w:p>
      <w:pPr>
        <w:spacing w:after="0" w:line="110" w:lineRule="exact"/>
        <w:rPr>
          <w:sz w:val="20"/>
          <w:szCs w:val="20"/>
          <w:color w:val="auto"/>
        </w:rPr>
      </w:pPr>
    </w:p>
    <w:p>
      <w:pPr>
        <w:ind w:firstLine="162"/>
        <w:spacing w:after="0" w:line="286" w:lineRule="auto"/>
        <w:rPr>
          <w:sz w:val="20"/>
          <w:szCs w:val="20"/>
          <w:color w:val="auto"/>
        </w:rPr>
      </w:pPr>
      <w:r>
        <w:rPr>
          <w:rFonts w:ascii="Arial" w:cs="Arial" w:eastAsia="Arial" w:hAnsi="Arial"/>
          <w:sz w:val="17"/>
          <w:szCs w:val="17"/>
          <w:color w:val="auto"/>
        </w:rPr>
        <w:t>Our Cardiac Surgery Business Franchise is engaged in the development, production and sale of cardiac surgery products, including oxygenators, heart-lung machines, perfusion tubing systems, cannulae and other accessories used for extracorporeal circulation, systems for autologous blood transfusion and blood washing, as well as a complete line of surgical tissue heart valve and mechanical heart valve replacements and repair products.</w:t>
      </w:r>
    </w:p>
    <w:p>
      <w:pPr>
        <w:spacing w:after="0" w:line="5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In March 2017, we committed to a plan to sell our Suzhou Industrial Park facility in Shanghai, China, an emerging market greenfield project for the local manufacture of Cardiopulmonary disposable products in Suzhou Industrial Park in China. The land, building and equipment were recorded as Assets held for sale on the condensed consolidated balance sheet, with a carrying value of $13.7 million as of March 31, 2018. The sale of the Suzhou facility was completed in April 2018.</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FDA Warning Letter</w:t>
      </w:r>
    </w:p>
    <w:p>
      <w:pPr>
        <w:spacing w:after="0" w:line="117" w:lineRule="exact"/>
        <w:rPr>
          <w:sz w:val="20"/>
          <w:szCs w:val="20"/>
          <w:color w:val="auto"/>
        </w:rPr>
      </w:pPr>
    </w:p>
    <w:p>
      <w:pPr>
        <w:jc w:val="both"/>
        <w:ind w:right="40" w:firstLine="162"/>
        <w:spacing w:after="0" w:line="264"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 Among other things, the Warning Letter stated that our 3T devices and other devices we manufactured at our Munich facility are subject to refusal of admission</w:t>
      </w: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693" w:right="299" w:bottom="1440" w:gutter="0" w:footer="0" w:header="0"/>
        </w:sectPr>
      </w:pPr>
    </w:p>
    <w:bookmarkStart w:id="32" w:name="page33"/>
    <w:bookmarkEnd w:id="32"/>
    <w:p>
      <w:pPr>
        <w:spacing w:after="0" w:line="254" w:lineRule="auto"/>
        <w:rPr>
          <w:sz w:val="20"/>
          <w:szCs w:val="20"/>
          <w:color w:val="auto"/>
        </w:rPr>
      </w:pPr>
      <w:r>
        <w:rPr>
          <w:rFonts w:ascii="Arial" w:cs="Arial" w:eastAsia="Arial" w:hAnsi="Arial"/>
          <w:sz w:val="18"/>
          <w:szCs w:val="18"/>
          <w:color w:val="auto"/>
        </w:rPr>
        <w:t>into the U.S. until resolution of the issues set forth by the FDA in the Warning Letter. The FDA has informed us that the import alert is limited to the 3T devices, but that the agency reserves the right to expand the scope of the import alert if future circumstances warrant such action. The Warning Letter did not request that existing users cease using the 3T device, and manufacturing and shipment of all of our products other than the 3T device remain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 We continue to work diligently to remediate the FDA’s inspectional observations for the Munich facility, as well as the additional issues identified in the Warning Letter. For further information, please refer to “Note 11. Commitments and Contingencies” in our condensed consolidated financial statements included in this Quarterly Report on Form 10-Q.</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CDC and FDA Safety Communications and Company Field Safety Notice Update</w:t>
      </w:r>
    </w:p>
    <w:p>
      <w:pPr>
        <w:spacing w:after="0" w:line="117" w:lineRule="exact"/>
        <w:rPr>
          <w:sz w:val="20"/>
          <w:szCs w:val="20"/>
          <w:color w:val="auto"/>
        </w:rPr>
      </w:pPr>
    </w:p>
    <w:p>
      <w:pPr>
        <w:ind w:right="80" w:firstLine="162"/>
        <w:spacing w:after="0" w:line="290" w:lineRule="auto"/>
        <w:rPr>
          <w:sz w:val="20"/>
          <w:szCs w:val="20"/>
          <w:color w:val="auto"/>
        </w:rPr>
      </w:pPr>
      <w:r>
        <w:rPr>
          <w:rFonts w:ascii="Arial" w:cs="Arial" w:eastAsia="Arial" w:hAnsi="Arial"/>
          <w:sz w:val="16"/>
          <w:szCs w:val="16"/>
          <w:color w:val="auto"/>
        </w:rPr>
        <w:t>On October 13, 2016 the CDC and the FDA separately released safety notifications regarding the 3T devices. The CDC’s MMWR and HAN reported that tests conducted by CDC and its affiliates indicate that there appears to be genetic similarity between both patient and 3T device strains of the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On October 13, 2016, we issued a Field Safety Notice Update for U.S. users of 3T devices to proactively and voluntarily contact facilities to aid in implementation of the CDC and FDA recommendations. For further information, please refer to “Note 11. Commitments and Contingencies” in our condensed consolidated financial statements included in this Quarterly Report on Form 10-Q.</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Remediation Plan</w:t>
      </w:r>
    </w:p>
    <w:p>
      <w:pPr>
        <w:spacing w:after="0" w:line="117" w:lineRule="exact"/>
        <w:rPr>
          <w:sz w:val="20"/>
          <w:szCs w:val="20"/>
          <w:color w:val="auto"/>
        </w:rPr>
      </w:pPr>
    </w:p>
    <w:p>
      <w:pPr>
        <w:ind w:right="180" w:firstLine="162"/>
        <w:spacing w:after="0" w:line="290" w:lineRule="auto"/>
        <w:rPr>
          <w:sz w:val="20"/>
          <w:szCs w:val="20"/>
          <w:color w:val="auto"/>
        </w:rPr>
      </w:pPr>
      <w:r>
        <w:rPr>
          <w:rFonts w:ascii="Arial" w:cs="Arial" w:eastAsia="Arial" w:hAnsi="Arial"/>
          <w:sz w:val="16"/>
          <w:szCs w:val="16"/>
          <w:color w:val="auto"/>
        </w:rPr>
        <w:t>In response to the Warning Letter and CDC’s HAN and FDA’s Safety Communication, in the fourth quarter of 2016, we initiated a program to provide existing 3T device users with a new loaner 3T device at no charge pending regulatory approval and implementation of additional risk mitigation strategies worldwide. This loaner program began in the U.S. and is being made available progressively on a global basis, prioritizing and allocating devices to 3T device users based on pre-established criteria. We anticipate that this program will continue until we are able to address customer needs through a broader solution that includes implementation of one or more of the risk mitigation strategies currently under review with regulatory agencies. We are also currently implementing a vacuum and sealing upgrade program in as many countries as possible throughout 2018 and beyond until all devices are upgraded. Furthermore, we intend to perform a no-charge deep disinfection service (deep cleaning service) for 3T device users. On April 12, 2018, the FDA agreed to allow us to move forward with the deep cleaning service in the U.S., adding to the growing list of countries around the world in which we offer the service.</w:t>
      </w:r>
    </w:p>
    <w:p>
      <w:pPr>
        <w:spacing w:after="0" w:line="58"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At March 31, 2018, the product remediation liability was $25.6 million. For further information, please refer to “Note 6. Product Remediation Liability” in our condensed consolidated financial statements included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Heart Valves</w:t>
      </w:r>
    </w:p>
    <w:p>
      <w:pPr>
        <w:spacing w:after="0" w:line="117"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In January 2018, we announced that we had started enrollment in BELIEVE. This study focuses on the overall incidence of reduced leaflet motion identified by CT imaging in patients receiving a LivaNova aortic heart valve. We are planning to enroll approximately 230 patients at 15 sites in the U.S. and Canada.</w:t>
      </w:r>
    </w:p>
    <w:p>
      <w:pPr>
        <w:spacing w:after="0" w:line="73" w:lineRule="exact"/>
        <w:rPr>
          <w:sz w:val="20"/>
          <w:szCs w:val="20"/>
          <w:color w:val="auto"/>
        </w:rPr>
      </w:pPr>
    </w:p>
    <w:p>
      <w:pPr>
        <w:ind w:right="520" w:firstLine="162"/>
        <w:spacing w:after="0" w:line="342" w:lineRule="auto"/>
        <w:rPr>
          <w:sz w:val="20"/>
          <w:szCs w:val="20"/>
          <w:color w:val="auto"/>
        </w:rPr>
      </w:pPr>
      <w:r>
        <w:rPr>
          <w:rFonts w:ascii="Arial" w:cs="Arial" w:eastAsia="Arial" w:hAnsi="Arial"/>
          <w:sz w:val="16"/>
          <w:szCs w:val="16"/>
          <w:color w:val="auto"/>
        </w:rPr>
        <w:t>In March 2018, we announced that we had started enrollment in PERFECT, a Perceval valve clinical study in China. The study is being conducted to demonstrate the safety and effectiveness of Perceval in the Chinese population. We plan to enroll approximately 160 patients at 8 investigational sites.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 Update</w:t>
      </w:r>
    </w:p>
    <w:p>
      <w:pPr>
        <w:spacing w:after="0" w:line="110" w:lineRule="exact"/>
        <w:rPr>
          <w:sz w:val="20"/>
          <w:szCs w:val="20"/>
          <w:color w:val="auto"/>
        </w:rPr>
      </w:pPr>
    </w:p>
    <w:p>
      <w:pPr>
        <w:jc w:val="both"/>
        <w:ind w:right="400" w:firstLine="162"/>
        <w:spacing w:after="0" w:line="264" w:lineRule="auto"/>
        <w:rPr>
          <w:sz w:val="20"/>
          <w:szCs w:val="20"/>
          <w:color w:val="auto"/>
        </w:rPr>
      </w:pPr>
      <w:r>
        <w:rPr>
          <w:rFonts w:ascii="Arial" w:cs="Arial" w:eastAsia="Arial" w:hAnsi="Arial"/>
          <w:sz w:val="18"/>
          <w:szCs w:val="18"/>
          <w:color w:val="auto"/>
        </w:rPr>
        <w:t>The Neuromodulation segment designs, develops and markets neuromodulation therapy for the treatment of drug-resistant epilepsy, treatment resistant depression and heart failure. Through this segment, we market our proprietary implantable VNS Therapy® Systems that deliver vagus nerve stimulation therapy for the treatment of epilepsy and depression.</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3" w:name="page34"/>
    <w:bookmarkEnd w:id="33"/>
    <w:p>
      <w:pPr>
        <w:ind w:firstLine="162"/>
        <w:spacing w:after="0" w:line="273" w:lineRule="auto"/>
        <w:rPr>
          <w:sz w:val="20"/>
          <w:szCs w:val="20"/>
          <w:color w:val="auto"/>
        </w:rPr>
      </w:pPr>
      <w:r>
        <w:rPr>
          <w:rFonts w:ascii="Arial" w:cs="Arial" w:eastAsia="Arial" w:hAnsi="Arial"/>
          <w:sz w:val="17"/>
          <w:szCs w:val="17"/>
          <w:color w:val="auto"/>
        </w:rPr>
        <w:t>Our product development efforts are directed toward improving the VNS Therapy System and developing new products that provide additional features and functionality. We are conducting ongoing product development activities to enhance the VNS Therapy System pulse generator, lead and programming software. We support studies for our product development efforts and to build clinical evidence for the VNS Therapy System. We will be required to obtain appropriate U.S. and international regulatory approvals, and clinical studies may be a prerequisite to regulatory approvals for some products. Our research and development (“R&amp;D”) efforts will require significant funding to complete and may not be successful. Even if successful, additional clinical studies may be needed to achieve regulatory approval and to commercialize any or all new or improved products.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Epilepsy</w:t>
      </w:r>
    </w:p>
    <w:p>
      <w:pPr>
        <w:spacing w:after="0" w:line="117"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In April 2018, we obtained CE Mark for our SenTiva VNS Therapy System, which follows FDA approval in the U.S. by the FDA in October 2017. The SenTiva VNS Therapy System consists of the SenTiva implantable generator and the next-generation VNS Therapy Programming System. SenTiva is the smallest and lightest responsive therapy for epilepsy. The new VNS Therapy Programming System features a wireless wand and new user interface on a small tablet. Together, these components offer patients with drug-resistant epilepsy a physician-directed, customizable therapy with smart technology that reduces the number of seizures, lessens the duration of seizures and enables a faster recovery.</w:t>
      </w:r>
    </w:p>
    <w:p>
      <w:pPr>
        <w:spacing w:after="0" w:line="64" w:lineRule="exact"/>
        <w:rPr>
          <w:sz w:val="20"/>
          <w:szCs w:val="20"/>
          <w:color w:val="auto"/>
        </w:rPr>
      </w:pPr>
    </w:p>
    <w:p>
      <w:pPr>
        <w:ind w:right="260" w:firstLine="162"/>
        <w:spacing w:after="0" w:line="312" w:lineRule="auto"/>
        <w:rPr>
          <w:sz w:val="20"/>
          <w:szCs w:val="20"/>
          <w:color w:val="auto"/>
        </w:rPr>
      </w:pPr>
      <w:r>
        <w:rPr>
          <w:rFonts w:ascii="Arial" w:cs="Arial" w:eastAsia="Arial" w:hAnsi="Arial"/>
          <w:sz w:val="16"/>
          <w:szCs w:val="16"/>
          <w:color w:val="auto"/>
        </w:rPr>
        <w:t>In March 2018, we announced the launch and enrollment of the first patient in a clinical study to examine the use of our VNS Therapy System using Microburst technology. This feasibility study will determine the initial safety and effectiveness of delivering VNS Therapy using high frequency bursts of stimulation in patients who have drug-resistant epilepsy. The study consists of two cohorts, enrolling up to 40 patients at approximately 15 sites in the U.S.</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Depression</w:t>
      </w:r>
    </w:p>
    <w:p>
      <w:pPr>
        <w:spacing w:after="0" w:line="117" w:lineRule="exact"/>
        <w:rPr>
          <w:sz w:val="20"/>
          <w:szCs w:val="20"/>
          <w:color w:val="auto"/>
        </w:rPr>
      </w:pPr>
    </w:p>
    <w:p>
      <w:pPr>
        <w:ind w:right="160" w:firstLine="162"/>
        <w:spacing w:after="0" w:line="264" w:lineRule="auto"/>
        <w:rPr>
          <w:sz w:val="20"/>
          <w:szCs w:val="20"/>
          <w:color w:val="auto"/>
        </w:rPr>
      </w:pPr>
      <w:r>
        <w:rPr>
          <w:rFonts w:ascii="Arial" w:cs="Arial" w:eastAsia="Arial" w:hAnsi="Arial"/>
          <w:sz w:val="18"/>
          <w:szCs w:val="18"/>
          <w:color w:val="auto"/>
        </w:rPr>
        <w:t>In March 2017, the American Journal of Psychiatry published the results of the longest and largest naturalistic study on effective treatments for patients experiencing chronic and severe depression. The findings showed that the addition of VNS Therapy to traditional treatment methods is effective in reducing symptoms in patients with treatment-resistant depression.</w:t>
      </w:r>
    </w:p>
    <w:p>
      <w:pPr>
        <w:spacing w:after="0" w:line="73"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In January 2018 we announced the launch and enrollment of the first patient in our Global RESTORE-LIFE Study, which evaluates the use of our VNS Therapy System in patients who have Treatment-Resistant Depression and failed to achieve an adequate response to standard psychiatric management. Our plan is to enroll a minimum of 500 patients who will be implanted at up to 80 sites outside of the U.S. We are currently enrolling patients in Germany and will expand to other European countries during the year.</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Heart Failure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are focused on the development and clinical testing of the VITARIA® System for treating heart failure through vagus nerve stimulation.</w:t>
      </w:r>
    </w:p>
    <w:p>
      <w:pPr>
        <w:spacing w:after="0" w:line="117" w:lineRule="exact"/>
        <w:rPr>
          <w:sz w:val="20"/>
          <w:szCs w:val="20"/>
          <w:color w:val="auto"/>
        </w:rPr>
      </w:pPr>
    </w:p>
    <w:p>
      <w:pPr>
        <w:ind w:right="220" w:firstLine="162"/>
        <w:spacing w:after="0" w:line="255" w:lineRule="auto"/>
        <w:rPr>
          <w:sz w:val="20"/>
          <w:szCs w:val="20"/>
          <w:color w:val="auto"/>
        </w:rPr>
      </w:pPr>
      <w:r>
        <w:rPr>
          <w:rFonts w:ascii="Arial" w:cs="Arial" w:eastAsia="Arial" w:hAnsi="Arial"/>
          <w:sz w:val="18"/>
          <w:szCs w:val="18"/>
          <w:color w:val="auto"/>
        </w:rPr>
        <w:t>We received CE Mark approval of the VITARIA System in February 2015 for patients who have moderate to severe heart failure (New York Heart Association Class II/III) with left ventricular dysfunction (ejection fraction &lt; 40%) and who remain symptomatic despite stable, optimal heart failure drug therapy. The VITARIA System provides a specific method of VNS called autonomic regulation therapy (“ART”), and it includes the same elements as the VNS Therapy System. We conducted a pilot study, ANTHEM-HF, outside the United States, which concluded in 2014. The study results support the safety and efficacy of ART delivered by the VITARIA System. The VITARIA System is not approved in the U.S. During 2014, we also initiated a second pilot study, ANTHEM-HFpEF, to study ART in patients experiencing symptomatic heart failure with preserved ejection fraction. This pilot study is currently underway outside the United States.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Obstructive Sleep Apnea</w:t>
      </w:r>
    </w:p>
    <w:p>
      <w:pPr>
        <w:spacing w:after="0" w:line="117" w:lineRule="exact"/>
        <w:rPr>
          <w:sz w:val="20"/>
          <w:szCs w:val="20"/>
          <w:color w:val="auto"/>
        </w:rPr>
      </w:pPr>
    </w:p>
    <w:p>
      <w:pPr>
        <w:ind w:right="160" w:firstLine="162"/>
        <w:spacing w:after="0" w:line="255" w:lineRule="auto"/>
        <w:rPr>
          <w:sz w:val="20"/>
          <w:szCs w:val="20"/>
          <w:color w:val="auto"/>
        </w:rPr>
      </w:pPr>
      <w:r>
        <w:rPr>
          <w:rFonts w:ascii="Arial" w:cs="Arial" w:eastAsia="Arial" w:hAnsi="Arial"/>
          <w:sz w:val="18"/>
          <w:szCs w:val="18"/>
          <w:color w:val="auto"/>
        </w:rPr>
        <w:t>We have invested in ImThera, a privately held, emerging-growth company developing an implantable neurostimulation device system for the treatment of obstructive sleep apnea (“OSA”) since 2011. On January 16, 2018, we acquired the remaining 86% outstanding interests in ImThera for up to approximately $225 million. Up-front costs are approximately $78 million with the balance paid on a schedule driven by regulatory and sales milestones. Headquartered in San Diego, California, ImThera manufactures an implantable device that stimulates multiple tongue muscles via the hypoglossal nerve, which opens the airway while a patient is sleeping. The ImThera device is highly aligned with our Neuromodulation Business Franchise. ImThera has a commercial presence in the European market, while we will be advancing ImThera’s enrollment in an FDA pivotal study. We expect to submit pivotal trial results to the FDA towards the end of 2019 or in early 2020.</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Corporate Activities and New Ventures</w:t>
      </w:r>
    </w:p>
    <w:p>
      <w:pPr>
        <w:spacing w:after="0" w:line="11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Corporate activities include shared services for finance, legal, human resources and information technology and New Ventures. New Ventures is focused on new growth platforms and identification of other opportunities for expansion.</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4" w:name="page35"/>
    <w:bookmarkEnd w:id="34"/>
    <w:p>
      <w:pPr>
        <w:ind w:left="180"/>
        <w:spacing w:after="0"/>
        <w:rPr>
          <w:sz w:val="20"/>
          <w:szCs w:val="20"/>
          <w:color w:val="auto"/>
        </w:rPr>
      </w:pPr>
      <w:r>
        <w:rPr>
          <w:rFonts w:ascii="Arial" w:cs="Arial" w:eastAsia="Arial" w:hAnsi="Arial"/>
          <w:sz w:val="18"/>
          <w:szCs w:val="18"/>
          <w:i w:val="1"/>
          <w:iCs w:val="1"/>
          <w:color w:val="auto"/>
        </w:rPr>
        <w:t>Mitral Valve Regurgitation</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Mitral regurgitation (“MR”) occurs when the heart’s mitral valve does not close tightly, which allows blood to flow backwards in the heart. This reduces the amount of blood that flows to the rest of the body, making the patient feel tired or out of breath. Treatment depends on the nature and the severity of MR. In certain cases, heart surgery may be needed to repair or replace the valve. Left untreated, severe mitral valve regurgitation can cause heart failure or heart rhythm problems (arrhythmias).</w:t>
      </w:r>
    </w:p>
    <w:p>
      <w:pPr>
        <w:spacing w:after="0" w:line="79"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In May 2017, we acquired the remaining 51% outstanding equity interest in Caisson Interventional LLC (“Caisson”) in support of our strategic growth initiatives. We are focused on the design, development and clinical evaluation of a novel transcatheter mitral valve replacement (“TMVR”) implant device with a fully transvenous delivery system for the treatment of mitral regurgitation. In April 2016, Caisson obtained FDA approval of an Investigational Device Exemption study using its technology for treating mitral regurgitation heart failure with transcatheter mitral valve replacement and we are currently executing against a defined clinical data development plan designed to enable commercialization of the Caisson technology.</w:t>
      </w:r>
    </w:p>
    <w:p>
      <w:pPr>
        <w:spacing w:after="0" w:line="64" w:lineRule="exact"/>
        <w:rPr>
          <w:sz w:val="20"/>
          <w:szCs w:val="20"/>
          <w:color w:val="auto"/>
        </w:rPr>
      </w:pPr>
    </w:p>
    <w:p>
      <w:pPr>
        <w:ind w:right="280" w:firstLine="162"/>
        <w:spacing w:after="0" w:line="259" w:lineRule="auto"/>
        <w:rPr>
          <w:sz w:val="20"/>
          <w:szCs w:val="20"/>
          <w:color w:val="auto"/>
        </w:rPr>
      </w:pPr>
      <w:r>
        <w:rPr>
          <w:rFonts w:ascii="Arial" w:cs="Arial" w:eastAsia="Arial" w:hAnsi="Arial"/>
          <w:sz w:val="18"/>
          <w:szCs w:val="18"/>
          <w:color w:val="auto"/>
        </w:rPr>
        <w:t>We are also invested in two mitral valve startups. Cardiosolutions Inc. (“Cardiosolutions”) and Highlife S.A.S. (“Highlife”). Cardiosolutions, a startup headquartered in the U.S. in which we have held an interest since 2012, is developing an innovative spacer technology for treating mitral regurgitation. Highlife, headquartered in France, is focused on developing devices for treating mitral regurgitation through percutaneous replacement of the native mitral valve.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 and Critical Accounting Estimates</w:t>
      </w:r>
    </w:p>
    <w:p>
      <w:pPr>
        <w:spacing w:after="0" w:line="110" w:lineRule="exact"/>
        <w:rPr>
          <w:sz w:val="20"/>
          <w:szCs w:val="20"/>
          <w:color w:val="auto"/>
        </w:rPr>
      </w:pPr>
    </w:p>
    <w:p>
      <w:pPr>
        <w:ind w:right="300" w:firstLine="162"/>
        <w:spacing w:after="0" w:line="308" w:lineRule="auto"/>
        <w:rPr>
          <w:sz w:val="20"/>
          <w:szCs w:val="20"/>
          <w:color w:val="auto"/>
        </w:rPr>
      </w:pPr>
      <w:r>
        <w:rPr>
          <w:rFonts w:ascii="Arial" w:cs="Arial" w:eastAsia="Arial" w:hAnsi="Arial"/>
          <w:sz w:val="17"/>
          <w:szCs w:val="17"/>
          <w:color w:val="auto"/>
        </w:rPr>
        <w:t>In addition to our critical accounting policies provided in “Part II, Item 7. Management’s Discussion and Analysis of Financial Condition and Results of Operations” included in our 2017 Form 10-K, refer to “Note 2. Revenue Recognition” included in this Quarterly Report on Form 10-Q.</w:t>
      </w:r>
    </w:p>
    <w:p>
      <w:pPr>
        <w:spacing w:after="0" w:line="38"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The accompanying unaudited condensed consolidated financial statements of LivaNova and its consolidated subsidiaries have been prepared in accordance with U.S. GAAP on an interim basis.</w:t>
      </w:r>
    </w:p>
    <w:p>
      <w:pPr>
        <w:spacing w:after="0" w:line="62" w:lineRule="exact"/>
        <w:rPr>
          <w:sz w:val="20"/>
          <w:szCs w:val="20"/>
          <w:color w:val="auto"/>
        </w:rPr>
      </w:pPr>
    </w:p>
    <w:p>
      <w:pPr>
        <w:ind w:right="700" w:firstLine="162"/>
        <w:spacing w:after="0" w:line="277" w:lineRule="auto"/>
        <w:rPr>
          <w:sz w:val="20"/>
          <w:szCs w:val="20"/>
          <w:color w:val="auto"/>
        </w:rPr>
      </w:pPr>
      <w:r>
        <w:rPr>
          <w:rFonts w:ascii="Arial" w:cs="Arial" w:eastAsia="Arial" w:hAnsi="Arial"/>
          <w:sz w:val="18"/>
          <w:szCs w:val="18"/>
          <w:color w:val="auto"/>
        </w:rPr>
        <w:t>New accounting pronouncements are disclosed in “Note 18. New Accounting Pronouncements” contained in the condensed consolidated financial statements in this Quarterly Report on Form 10-Q.</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 Tax Reform</w:t>
      </w:r>
    </w:p>
    <w:p>
      <w:pPr>
        <w:spacing w:after="0" w:line="117" w:lineRule="exact"/>
        <w:rPr>
          <w:sz w:val="20"/>
          <w:szCs w:val="20"/>
          <w:color w:val="auto"/>
        </w:rPr>
      </w:pPr>
    </w:p>
    <w:p>
      <w:pPr>
        <w:ind w:right="300" w:firstLine="162"/>
        <w:spacing w:after="0" w:line="259" w:lineRule="auto"/>
        <w:rPr>
          <w:sz w:val="20"/>
          <w:szCs w:val="20"/>
          <w:color w:val="auto"/>
        </w:rPr>
      </w:pPr>
      <w:r>
        <w:rPr>
          <w:rFonts w:ascii="Arial" w:cs="Arial" w:eastAsia="Arial" w:hAnsi="Arial"/>
          <w:sz w:val="18"/>
          <w:szCs w:val="18"/>
          <w:color w:val="auto"/>
        </w:rPr>
        <w:t>On December 22, 2017, the U.S. enacted the Tax Cuts and Jobs Act (the “Act”). The Act, which is also commonly referred to as “U.S. tax reform”, significantly changes U.S. corporate income tax laws by, among other things, reducing the U.S. corporate income tax rate to 21% commencing in 2018. In addition, the Act created a one-time mandatory tax, a toll charge, on previously deferred foreign earnings of non-U.S. subsidiaries controlled by a U.S. corporation, or, in our case, a non-U.S. subsidiary controlled by one of our U.S. subsidiaries.</w:t>
      </w:r>
    </w:p>
    <w:p>
      <w:pPr>
        <w:spacing w:after="0" w:line="79"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The Act also establishes various other new U.S. corporate income tax laws that will affect 2018, including, but not limited to, (1) elimination of the corporate alternative minimum tax (AMT); (2) the creation of the base erosion anti-abuse tax (BEAT), a new minimum tax; (3) a new provision designed to tax global intangible low-taxed income (GILTI); (4) a new limitation on deductible interest expense; (5) the repeal of the domestic production activity deduction; (6) limitations on the deductibility of certain executive compensation; and (7) limitations on net operating losses (NOLs) generated after December 31, 2017, to 80 percent of taxable income. The extent to which these and other provisions of the Act, or future legislation or regulations, could impact our consolidated effective income tax rate in future periods depends on many factors including, but not limited to, the amount of profit generated by our subsidiaries operating in the U.S., the impact of the Company’s current or contemplated tax planning strategies, the impact of new or amended tax laws or regulations by countries outside the U.S., and other factors beyond our control.</w:t>
      </w:r>
    </w:p>
    <w:p>
      <w:pPr>
        <w:spacing w:after="0" w:line="71"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Further regulations and notices and state conformity could be issued as a result of U.S. tax reform covering various issues that may affect our tax position including, but not limited to, an increase in the corporate state tax rate and elimination of the interest deduction. The content of any future legislation, the timing for regulations, notices, and state conformity, and the reporting periods that would be impacted cannot be determined at this time. Although we believe the non-cash net charge of $27.5 million recorded in the fourth quarter of 2017 is a reasonable estimate of the impact of the income tax effects of the Act on LivaNova, the estimate is provisional. Once we finalize certain tax positions for our 2017 U.S. consolidated tax return, we will be able to conclude whether any further adjustments to our tax positions are required.</w:t>
      </w: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5" w:name="page36"/>
    <w:bookmarkEnd w:id="35"/>
    <w:p>
      <w:pPr>
        <w:ind w:left="180"/>
        <w:spacing w:after="0"/>
        <w:rPr>
          <w:sz w:val="20"/>
          <w:szCs w:val="20"/>
          <w:color w:val="auto"/>
        </w:rPr>
      </w:pPr>
      <w:r>
        <w:rPr>
          <w:rFonts w:ascii="Arial" w:cs="Arial" w:eastAsia="Arial" w:hAnsi="Arial"/>
          <w:sz w:val="18"/>
          <w:szCs w:val="18"/>
          <w:i w:val="1"/>
          <w:iCs w:val="1"/>
          <w:color w:val="auto"/>
        </w:rPr>
        <w:t>Brexit</w:t>
      </w:r>
    </w:p>
    <w:p>
      <w:pPr>
        <w:spacing w:after="0" w:line="117"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On June 23, 2016, the UK held a referendum in which voters approved an exit from the EU, commonly referred to as “Brexit.” On March 29, 2017, the UK government gave formal notice of its intention to leave the EU, formally commencing the negotiations regarding the terms of withdrawal between the UK and the EU and on March 19, 2018, the UK and the EU released a draft withdrawal agreement highlighting the progress made between the two parties on the terms of a transition period that will usher the UK out of the EU. Unless the deadline is extended, the UK will leave the EU on March 2, 2019. The negotiation process will determine the future terms of the UK’s relationship with the EU. The notification does not change the application of existing tax laws, and does not establish a clear framework for what the ultimate outcome of the negotiations and legislative process will be.</w:t>
      </w:r>
    </w:p>
    <w:p>
      <w:pPr>
        <w:spacing w:after="0" w:line="70" w:lineRule="exact"/>
        <w:rPr>
          <w:sz w:val="20"/>
          <w:szCs w:val="20"/>
          <w:color w:val="auto"/>
        </w:rPr>
      </w:pPr>
    </w:p>
    <w:p>
      <w:pPr>
        <w:ind w:right="260" w:firstLine="162"/>
        <w:spacing w:after="0" w:line="279" w:lineRule="auto"/>
        <w:rPr>
          <w:sz w:val="20"/>
          <w:szCs w:val="20"/>
          <w:color w:val="auto"/>
        </w:rPr>
      </w:pPr>
      <w:r>
        <w:rPr>
          <w:rFonts w:ascii="Arial" w:cs="Arial" w:eastAsia="Arial" w:hAnsi="Arial"/>
          <w:sz w:val="17"/>
          <w:szCs w:val="17"/>
          <w:color w:val="auto"/>
        </w:rPr>
        <w:t>Various tax reliefs and exemptions that apply to transactions between EU Member States under existing tax laws may cease to apply to transactions between the UK and EU Member States when the UK ultimately withdraws from the EU. It is unclear at this stage if or when any new tax treaties between the UK and the EU or individual EU Member States will replace those reliefs and exemptions. It is also unclear at this stage what financial, trade and legal implications will ensue from Brexit and how Brexit may affect us, our customers, suppliers, vendors, or our industry.</w:t>
      </w:r>
    </w:p>
    <w:p>
      <w:pPr>
        <w:spacing w:after="0" w:line="63" w:lineRule="exact"/>
        <w:rPr>
          <w:sz w:val="20"/>
          <w:szCs w:val="20"/>
          <w:color w:val="auto"/>
        </w:rPr>
      </w:pPr>
    </w:p>
    <w:p>
      <w:pPr>
        <w:ind w:right="100" w:firstLine="162"/>
        <w:spacing w:after="0" w:line="271" w:lineRule="auto"/>
        <w:rPr>
          <w:sz w:val="20"/>
          <w:szCs w:val="20"/>
          <w:color w:val="auto"/>
        </w:rPr>
      </w:pPr>
      <w:r>
        <w:rPr>
          <w:rFonts w:ascii="Arial" w:cs="Arial" w:eastAsia="Arial" w:hAnsi="Arial"/>
          <w:sz w:val="17"/>
          <w:szCs w:val="17"/>
          <w:color w:val="auto"/>
        </w:rPr>
        <w:t>Several of our wholly owned subsidiaries that are domiciled either in the UK, various EU Member States, or in the United States, and our parent company, LivaNova PLC, are party to intercompany transactions and agreements under which we receive various tax reliefs and exemptions in accordance with applicable international tax laws, treaties and regulations. If certain treaties applicable to our transactions and agreements are not renegotiated or replaced with new treaties containing terms, conditions and attributes similar to those of the existing treaties, Brexit may have a material adverse impact on our future financial results and results of operations. During the two-year negotiation period, we will monitor and assess the potential impact of this event and explore possible tax-planning strategies that may mitigate or eliminate any such potential adverse impact. We will not account for the impact of Brexit in our income tax provisions until changes in tax laws or treaties between the UK and the EU or individual EU Member States with the UK and/or the U.S. are enacted or the withdrawal becomes effective.</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European Union State Aid Challenge</w:t>
      </w:r>
    </w:p>
    <w:p>
      <w:pPr>
        <w:spacing w:after="0" w:line="117"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On October 26, 2017, the European Commission (“EC”) announced that an investigation will be opened with respect to the UK’s controlled foreign company (“CFC”) rules. The CFC rules under investigation provide certain tax exceptions to entities controlled by UK parent companies that are subject to lower tax rates if the activities being undertaken by the CFC relate to financing. The EC is investigating whether the exemption is a breach of EU State Aid rules. The investigation is in its early stages and is unlikely to be completed within the next twelve months with an appeal process likely to follow. It is unclear as to whether the UK will be part of the EU once a decision has been finalized due to Brexit and what impact, if any, Brexit will have on the outcome of the investigation or the enforceability of a decision. Due to the many uncertainties related to this matter, including the preliminary state of the investigation, the pending Brexit negotiations and political environment and the unknown outcome of the investigation and resulting appeals, no uncertain tax position reserve has been recognized related to this matter and we are unable to reasonably estimate the potential liability.</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20"/>
          <w:szCs w:val="20"/>
          <w:color w:val="auto"/>
        </w:rPr>
        <w:t>Results of Operations</w:t>
      </w:r>
    </w:p>
    <w:p>
      <w:pPr>
        <w:spacing w:after="0" w:line="11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We are reporting, in this Quarterly Report on Form 10-Q, the results for LivaNova and its consolidated subsidiaries for the three months ended March 31, 2018, as compared to the three months ended March 31, 2017.</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condensed consolidated results of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3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226,825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84,598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79,968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3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0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162,085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147,649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104,161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87,340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3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3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8,801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127,902</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Operating income from continuing operations</w:t>
            </w:r>
          </w:p>
        </w:tc>
        <w:tc>
          <w:tcPr>
            <w:tcW w:w="30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acquisition of ImThera Medical, Inc.</w:t>
            </w:r>
          </w:p>
        </w:tc>
        <w:tc>
          <w:tcPr>
            <w:tcW w:w="3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exchange and other (losses) gains</w:t>
            </w:r>
          </w:p>
        </w:tc>
        <w:tc>
          <w:tcPr>
            <w:tcW w:w="3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tax</w:t>
            </w:r>
          </w:p>
        </w:tc>
        <w:tc>
          <w:tcPr>
            <w:tcW w:w="3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3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income from continuing operations</w:t>
            </w:r>
          </w:p>
        </w:tc>
        <w:tc>
          <w:tcPr>
            <w:tcW w:w="30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17,822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from discontinued operations</w:t>
            </w:r>
          </w:p>
        </w:tc>
        <w:tc>
          <w:tcPr>
            <w:tcW w:w="3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13,273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40" w:type="dxa"/>
            <w:vAlign w:val="bottom"/>
            <w:vMerge w:val="restart"/>
          </w:tcPr>
          <w:p>
            <w:pPr>
              <w:jc w:val="right"/>
              <w:ind w:right="1770"/>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7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703" w:right="439" w:bottom="1440" w:gutter="0" w:footer="0" w:header="0"/>
        </w:sectPr>
      </w:pPr>
    </w:p>
    <w:bookmarkStart w:id="37" w:name="page38"/>
    <w:bookmarkEnd w:id="37"/>
    <w:p>
      <w:pPr>
        <w:spacing w:after="0"/>
        <w:rPr>
          <w:sz w:val="20"/>
          <w:szCs w:val="20"/>
          <w:color w:val="auto"/>
        </w:rPr>
      </w:pPr>
      <w:r>
        <w:rPr>
          <w:rFonts w:ascii="Arial" w:cs="Arial" w:eastAsia="Arial" w:hAnsi="Arial"/>
          <w:sz w:val="20"/>
          <w:szCs w:val="20"/>
          <w:color w:val="auto"/>
        </w:rPr>
        <w:t>Net Sales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net sales by operating segment and geographic region (in thousands, except for percentages):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4"/>
          </w:tcPr>
          <w:p>
            <w:pPr>
              <w:jc w:val="right"/>
              <w:ind w:right="430"/>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w w:val="95"/>
              </w:rPr>
              <w:t>% Increase (Decrease)</w:t>
            </w:r>
          </w:p>
        </w:tc>
        <w:tc>
          <w:tcPr>
            <w:tcW w:w="0" w:type="dxa"/>
            <w:vAlign w:val="bottom"/>
          </w:tcPr>
          <w:p>
            <w:pPr>
              <w:spacing w:after="0"/>
              <w:rPr>
                <w:sz w:val="1"/>
                <w:szCs w:val="1"/>
                <w:color w:val="auto"/>
              </w:rPr>
            </w:pPr>
          </w:p>
        </w:tc>
      </w:tr>
      <w:tr>
        <w:trPr>
          <w:trHeight w:val="33"/>
        </w:trPr>
        <w:tc>
          <w:tcPr>
            <w:tcW w:w="63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Cardiopulmonary</w:t>
            </w: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32,176</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43"/>
        </w:trPr>
        <w:tc>
          <w:tcPr>
            <w:tcW w:w="6300" w:type="dxa"/>
            <w:vAlign w:val="bottom"/>
          </w:tcPr>
          <w:p>
            <w:pPr>
              <w:ind w:left="48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36,870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30,609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44,513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125,130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107,298</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Heart Valves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4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6,536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6,069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10,347</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43"/>
        </w:trPr>
        <w:tc>
          <w:tcPr>
            <w:tcW w:w="6300" w:type="dxa"/>
            <w:vAlign w:val="bottom"/>
          </w:tcPr>
          <w:p>
            <w:pPr>
              <w:ind w:left="480"/>
              <w:spacing w:after="0"/>
              <w:rPr>
                <w:sz w:val="20"/>
                <w:szCs w:val="20"/>
                <w:color w:val="auto"/>
              </w:rPr>
            </w:pPr>
            <w:r>
              <w:rPr>
                <w:rFonts w:ascii="Arial" w:cs="Arial" w:eastAsia="Arial" w:hAnsi="Arial"/>
                <w:sz w:val="18"/>
                <w:szCs w:val="18"/>
                <w:color w:val="auto"/>
              </w:rPr>
              <w:t>Rest of world</w:t>
            </w: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12,390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15,490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31,906</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Cardiac Surgery</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38,245</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43"/>
        </w:trPr>
        <w:tc>
          <w:tcPr>
            <w:tcW w:w="6300" w:type="dxa"/>
            <w:vAlign w:val="bottom"/>
          </w:tcPr>
          <w:p>
            <w:pPr>
              <w:ind w:left="26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48,986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40,956</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60,003</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156,172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139,204</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Neuromodulation</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77,992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73,659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7,929</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43"/>
        </w:trPr>
        <w:tc>
          <w:tcPr>
            <w:tcW w:w="6300" w:type="dxa"/>
            <w:vAlign w:val="bottom"/>
          </w:tcPr>
          <w:p>
            <w:pPr>
              <w:ind w:left="260"/>
              <w:spacing w:after="0"/>
              <w:rPr>
                <w:sz w:val="20"/>
                <w:szCs w:val="20"/>
                <w:color w:val="auto"/>
              </w:rPr>
            </w:pPr>
            <w:r>
              <w:rPr>
                <w:rFonts w:ascii="Arial" w:cs="Arial" w:eastAsia="Arial" w:hAnsi="Arial"/>
                <w:sz w:val="18"/>
                <w:szCs w:val="18"/>
                <w:color w:val="auto"/>
              </w:rPr>
              <w:t>Rest of world</w:t>
            </w:r>
          </w:p>
        </w:tc>
        <w:tc>
          <w:tcPr>
            <w:tcW w:w="3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5,571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93,844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87,159</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318"/>
        </w:trPr>
        <w:tc>
          <w:tcPr>
            <w:tcW w:w="63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Totals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111,904</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70"/>
        </w:trPr>
        <w:tc>
          <w:tcPr>
            <w:tcW w:w="63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59,277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48,885</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70"/>
        </w:trPr>
        <w:tc>
          <w:tcPr>
            <w:tcW w:w="6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66,036</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57"/>
        </w:trPr>
        <w:tc>
          <w:tcPr>
            <w:tcW w:w="6300" w:type="dxa"/>
            <w:vAlign w:val="bottom"/>
          </w:tcPr>
          <w:p>
            <w:pPr>
              <w:ind w:left="4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250,398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226,825</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right="80" w:hanging="328"/>
        <w:spacing w:after="0" w:line="293"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segment income from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680" w:type="dxa"/>
            <w:vAlign w:val="bottom"/>
            <w:gridSpan w:val="5"/>
          </w:tcPr>
          <w:p>
            <w:pPr>
              <w:jc w:val="right"/>
              <w:ind w:right="51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5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16,033</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1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38,734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40,756</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(22,820)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64"/>
        </w:trPr>
        <w:tc>
          <w:tcPr>
            <w:tcW w:w="55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Total Reportable Segment's Income from Operations </w:t>
            </w:r>
            <w:r>
              <w:rPr>
                <w:rFonts w:ascii="Arial" w:cs="Arial" w:eastAsia="Arial" w:hAnsi="Arial"/>
                <w:sz w:val="25"/>
                <w:szCs w:val="25"/>
                <w:color w:val="auto"/>
                <w:vertAlign w:val="superscript"/>
              </w:rPr>
              <w:t>(1)</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26,172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39,923</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5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98" w:lineRule="exact"/>
        <w:rPr>
          <w:sz w:val="20"/>
          <w:szCs w:val="20"/>
          <w:color w:val="auto"/>
        </w:rPr>
      </w:pPr>
    </w:p>
    <w:p>
      <w:pPr>
        <w:ind w:left="660" w:right="500" w:hanging="328"/>
        <w:spacing w:after="0" w:line="293"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6"/>
          <w:szCs w:val="16"/>
          <w:color w:val="auto"/>
        </w:rPr>
        <w:t>For a reconciliation of segment operating income to consolidated operating income refer to “Note 16. Geographic and Segment Information” in the condensed consolidated financial statements in this Quarterly Report on Form 10-Q.</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03" w:right="239" w:bottom="1440" w:gutter="0" w:footer="0" w:header="0"/>
        </w:sectPr>
      </w:pPr>
    </w:p>
    <w:bookmarkStart w:id="38" w:name="page39"/>
    <w:bookmarkEnd w:id="38"/>
    <w:p>
      <w:pPr>
        <w:spacing w:after="0"/>
        <w:rPr>
          <w:sz w:val="20"/>
          <w:szCs w:val="20"/>
          <w:color w:val="auto"/>
        </w:rPr>
      </w:pPr>
      <w:r>
        <w:rPr>
          <w:rFonts w:ascii="Arial" w:cs="Arial" w:eastAsia="Arial" w:hAnsi="Arial"/>
          <w:sz w:val="20"/>
          <w:szCs w:val="20"/>
          <w:i w:val="1"/>
          <w:iCs w:val="1"/>
          <w:color w:val="auto"/>
        </w:rPr>
        <w:t>Cardiac Surgery</w:t>
      </w:r>
    </w:p>
    <w:p>
      <w:pPr>
        <w:spacing w:after="0" w:line="110"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Cardiac Surgery net sales increased $17.0 million, or 12.2%, for the three months ended March 31, 2018, as compared to the three months ended March 31, 2017 due to a $10.1 million positive impact from foreign currency exchange rate fluctuations and a $10.0 million increase in Cardiopulmonary product sales, partially offset by a $3.1 million decline in heart valve sales. Sales growth in Cardiopulmonary products were primarily driven by strong HLM sales in every region as we continue to make progress towards upgrading customers from our legacy S3 heart-lung machines to our current S5 machines. The $3.1 million decline in heart valve sales for the three months ended March 31, 2018 as compared to the three months ended March 31, 2017 was primarily due to the cancellation of a contract manufacturing agreement beginning in 2018 which impacted the comparison to the comparable prior period by approximately $2.6 million. Strong growth in demand for the Perceval sutureless aortic heart valve mostly offset continuing global declines in traditional tissue and mechanical heart valves.</w:t>
      </w:r>
    </w:p>
    <w:p>
      <w:pPr>
        <w:spacing w:after="0" w:line="152" w:lineRule="exact"/>
        <w:rPr>
          <w:sz w:val="20"/>
          <w:szCs w:val="20"/>
          <w:color w:val="auto"/>
        </w:rPr>
      </w:pPr>
    </w:p>
    <w:p>
      <w:pPr>
        <w:jc w:val="both"/>
        <w:ind w:right="40" w:firstLine="162"/>
        <w:spacing w:after="0" w:line="286" w:lineRule="auto"/>
        <w:rPr>
          <w:sz w:val="20"/>
          <w:szCs w:val="20"/>
          <w:color w:val="auto"/>
        </w:rPr>
      </w:pPr>
      <w:r>
        <w:rPr>
          <w:rFonts w:ascii="Arial" w:cs="Arial" w:eastAsia="Arial" w:hAnsi="Arial"/>
          <w:sz w:val="16"/>
          <w:szCs w:val="16"/>
          <w:color w:val="auto"/>
        </w:rPr>
        <w:t>Cardiac Surgery operating income decreased by $5.8 million for the three months ended March 31, 2018 as compared to the three months ended March 31, 2017 primarily driven by increases in research and development (“R&amp;D”) and selling general and administrative (“SG&amp;A”) expenses and a negative impact from foreign currency exchange rate fluctuations. R&amp;D expenses increased $4.9 million for the three months ended March 31, 2018 as compared to the three months ended March 31, 2017 and were mostly associated with Perceval clinical studies and investments to support our next generation of HLM products.</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SG&amp;A expenses increased $13.3 million for the three months ended March 31, 2018 as compared to the three months ended March 31, 2017 and were mostly due to investments in our sales and marketing efforts across all geographic regions with a focus on supporting the growth of HLM and Perceval sales. The increases in costs during the three months ended March 31, 2018 were partially offset by increased operating income associated with the $17.0 million increase in sales.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Neuromodulation</w:t>
      </w:r>
    </w:p>
    <w:p>
      <w:pPr>
        <w:spacing w:after="0" w:line="178"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During the three months ended March 31, 2018, we began to include the results of heart failure within the Neuromodulation segment for internal reporting purposes in order to manage and evaluate business activities for purposes of allocating resources and assessing performance. Segment results for the three months ended March 31, 2017 have been restated to conform to the current period presentation.</w:t>
      </w:r>
    </w:p>
    <w:p>
      <w:pPr>
        <w:spacing w:after="0" w:line="141" w:lineRule="exact"/>
        <w:rPr>
          <w:sz w:val="20"/>
          <w:szCs w:val="20"/>
          <w:color w:val="auto"/>
        </w:rPr>
      </w:pPr>
    </w:p>
    <w:p>
      <w:pPr>
        <w:ind w:right="120" w:firstLine="162"/>
        <w:spacing w:after="0" w:line="342" w:lineRule="auto"/>
        <w:rPr>
          <w:sz w:val="20"/>
          <w:szCs w:val="20"/>
          <w:color w:val="auto"/>
        </w:rPr>
      </w:pPr>
      <w:r>
        <w:rPr>
          <w:rFonts w:ascii="Arial" w:cs="Arial" w:eastAsia="Arial" w:hAnsi="Arial"/>
          <w:sz w:val="16"/>
          <w:szCs w:val="16"/>
          <w:color w:val="auto"/>
        </w:rPr>
        <w:t>Neuromodulation net sales increased $6.7 million, or 7.7%, for the three months ended March 31, 2018 as compared to the three months ended March 31, 2017 primarily due to improved product mix associated with strong demand for the SenTiva VNS Therapy System which was launched in October 2017.</w:t>
      </w:r>
    </w:p>
    <w:p>
      <w:pPr>
        <w:spacing w:after="0" w:line="83" w:lineRule="exact"/>
        <w:rPr>
          <w:sz w:val="20"/>
          <w:szCs w:val="20"/>
          <w:color w:val="auto"/>
        </w:rPr>
      </w:pPr>
    </w:p>
    <w:p>
      <w:pPr>
        <w:ind w:right="20" w:firstLine="162"/>
        <w:spacing w:after="0" w:line="297" w:lineRule="auto"/>
        <w:rPr>
          <w:sz w:val="20"/>
          <w:szCs w:val="20"/>
          <w:color w:val="auto"/>
        </w:rPr>
      </w:pPr>
      <w:r>
        <w:rPr>
          <w:rFonts w:ascii="Arial" w:cs="Arial" w:eastAsia="Arial" w:hAnsi="Arial"/>
          <w:sz w:val="16"/>
          <w:szCs w:val="16"/>
          <w:color w:val="auto"/>
        </w:rPr>
        <w:t>Neuromodulation operating income for the three months ended March 31, 2018 was $38.7 million as compared to $40.8 million for the three months ended March 31, 2017. The decrease in operating income was primarily due to a $5.4 million increase in SG&amp;A expenses due to an increase in sales and marketing activity and $2.1 million of additional research and development costs for heart failure. Additionally, the results of ImThera added $1.0 million in operating costs during the three months ended March 31, 2018 as compared to the three months ended March 31, 2017. The increases in costs during the three months ended March 31, 2018 were partially offset by the increase in operating income associated with the $6.7 million increase in sales.</w:t>
      </w: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703" w:right="27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Cost of Sales and 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4"/>
          </w:tcPr>
          <w:p>
            <w:pPr>
              <w:ind w:left="180"/>
              <w:spacing w:after="0"/>
              <w:rPr>
                <w:sz w:val="20"/>
                <w:szCs w:val="20"/>
                <w:color w:val="auto"/>
              </w:rPr>
            </w:pPr>
            <w:r>
              <w:rPr>
                <w:rFonts w:ascii="Arial" w:cs="Arial" w:eastAsia="Arial" w:hAnsi="Arial"/>
                <w:sz w:val="18"/>
                <w:szCs w:val="18"/>
                <w:color w:val="auto"/>
                <w:w w:val="91"/>
              </w:rPr>
              <w:t>The table below presents our comparative cost of sales and significant expenses as a percentage of sales: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5520" w:type="dxa"/>
            <w:vAlign w:val="bottom"/>
          </w:tcPr>
          <w:p>
            <w:pPr>
              <w:spacing w:after="0"/>
              <w:rPr>
                <w:sz w:val="24"/>
                <w:szCs w:val="24"/>
                <w:color w:val="auto"/>
              </w:rPr>
            </w:pPr>
          </w:p>
        </w:tc>
        <w:tc>
          <w:tcPr>
            <w:tcW w:w="396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Three Months Ended March 31,</w:t>
            </w:r>
          </w:p>
        </w:tc>
        <w:tc>
          <w:tcPr>
            <w:tcW w:w="1920" w:type="dxa"/>
            <w:vAlign w:val="bottom"/>
          </w:tcPr>
          <w:p>
            <w:pPr>
              <w:spacing w:after="0"/>
              <w:rPr>
                <w:sz w:val="24"/>
                <w:szCs w:val="24"/>
                <w:color w:val="auto"/>
              </w:rPr>
            </w:pPr>
          </w:p>
        </w:tc>
      </w:tr>
      <w:tr>
        <w:trPr>
          <w:trHeight w:val="27"/>
        </w:trPr>
        <w:tc>
          <w:tcPr>
            <w:tcW w:w="55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5520" w:type="dxa"/>
            <w:vAlign w:val="bottom"/>
          </w:tcPr>
          <w:p>
            <w:pPr>
              <w:spacing w:after="0"/>
              <w:rPr>
                <w:sz w:val="20"/>
                <w:szCs w:val="20"/>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920" w:type="dxa"/>
            <w:vAlign w:val="bottom"/>
          </w:tcPr>
          <w:p>
            <w:pPr>
              <w:jc w:val="right"/>
              <w:ind w:right="570"/>
              <w:spacing w:after="0"/>
              <w:rPr>
                <w:sz w:val="20"/>
                <w:szCs w:val="20"/>
                <w:color w:val="auto"/>
              </w:rPr>
            </w:pPr>
            <w:r>
              <w:rPr>
                <w:rFonts w:ascii="Arial" w:cs="Arial" w:eastAsia="Arial" w:hAnsi="Arial"/>
                <w:sz w:val="18"/>
                <w:szCs w:val="18"/>
                <w:b w:val="1"/>
                <w:bCs w:val="1"/>
                <w:color w:val="auto"/>
              </w:rPr>
              <w:t>Change</w:t>
            </w:r>
          </w:p>
        </w:tc>
      </w:tr>
      <w:tr>
        <w:trPr>
          <w:trHeight w:val="27"/>
        </w:trPr>
        <w:tc>
          <w:tcPr>
            <w:tcW w:w="55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Product remediation</w:t>
            </w:r>
          </w:p>
        </w:tc>
        <w:tc>
          <w:tcPr>
            <w:tcW w:w="18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5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8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5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18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5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Cost of Sales</w:t>
      </w:r>
    </w:p>
    <w:p>
      <w:pPr>
        <w:spacing w:after="0" w:line="110"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Cost of sales consisted primarily of direct labor, allocated manufacturing overhead, the acquisition cost of raw materials and components. Cost of sales as a percentage of net sales decreased by 1.5% to 33.8% for the three months ended March 31, 2018 as compared to the prior year period. The improvement was primarily driven by product mix, pricing discipline and the continued focus on cost efficiencies partially offset by the impact from foreign currency exchange rate fluctuations.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Sales, General and Administrative (“SG&amp;A”) Expenses</w:t>
      </w:r>
    </w:p>
    <w:p>
      <w:pPr>
        <w:spacing w:after="0" w:line="110"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SG&amp;A expenses consisted of sales, marketing, general and administrative activities. SG&amp;A expenses for the three months ended March 31, 2018 increased as a percentage of net sales by 3.1% to 41.6% when compared to the prior year period. The increase was primarily due to an increase in sales and marketing related to our growth drivers, the impact from foreign currency exchange rate fluctuations, legal costs primarily attributable to litigation related to our 3T devices and expenses incurred to support the growth of the Company.</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(“R&amp;D”) Expenses</w:t>
      </w:r>
    </w:p>
    <w:p>
      <w:pPr>
        <w:spacing w:after="0" w:line="110"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R&amp;D expenses consist of product design and development efforts, clinical study programs and regulatory activities, which are essential to the Company’s strategic portfolio initiatives, including TMVR, Treatment Resistant Depression and Heart Failure.</w:t>
      </w:r>
    </w:p>
    <w:p>
      <w:pPr>
        <w:spacing w:after="0" w:line="62"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R&amp;D expenses for the three months ended March 31, 2018 increased as a percentage of net sales by 3.7% to 12.7%. The increase was primarily due to the inclusion of the results of Caisson and ImThera in the three months March 31, 2018 which were not included in the results for the comparable prior period and accounted for $6.0 million or 2.4% of the increase. The additional increase as compared to the prior year was due to investments in next-generation products, clinical trials and investments in heart failure and TMVR.</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Merger and Integration Expenses</w:t>
      </w:r>
    </w:p>
    <w:p>
      <w:pPr>
        <w:spacing w:after="0" w:line="110" w:lineRule="exact"/>
        <w:rPr>
          <w:sz w:val="20"/>
          <w:szCs w:val="20"/>
          <w:color w:val="auto"/>
        </w:rPr>
      </w:pPr>
    </w:p>
    <w:p>
      <w:pPr>
        <w:ind w:right="580" w:firstLine="162"/>
        <w:spacing w:after="0" w:line="308" w:lineRule="auto"/>
        <w:rPr>
          <w:sz w:val="20"/>
          <w:szCs w:val="20"/>
          <w:color w:val="auto"/>
        </w:rPr>
      </w:pPr>
      <w:r>
        <w:rPr>
          <w:rFonts w:ascii="Arial" w:cs="Arial" w:eastAsia="Arial" w:hAnsi="Arial"/>
          <w:sz w:val="17"/>
          <w:szCs w:val="17"/>
          <w:color w:val="auto"/>
        </w:rPr>
        <w:t>Merger and integration expenses consisted primarily of consulting costs associated with computer systems integration efforts, organization structure integration, synergy and tax planning, as well as the integration of internal controls for the two legacy organizations.</w:t>
      </w:r>
    </w:p>
    <w:p>
      <w:pPr>
        <w:spacing w:after="0" w:line="38"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Merger and integration expenses as a percentage of net sales were essentially unchanged at approximately 1.2% and 1.0% of net sales for the three months ended March 31, 2018 and 2017,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Restructuring Expenses</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Restructuring expenses were primarily related to our efforts under our Reorganization Plans and the Suzhou, China exit plan, to leverage economies of scale, eliminate duplicate corporate expenses and streamline distributions, logistics and office functions in order to reduce overall costs. Restructuring expenses as a percentage of net sales continue to decline from 4.4% for the three months ended March 31, 2017 to 0.8% for the three months ended March 31, 2018.</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Restructuring expenses for the three months ended March 31, 2017 included $5.1 million in expenses related to the Suzhou, China exit plan.</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03" w:right="2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Gain on ImThera</w:t>
      </w:r>
    </w:p>
    <w:p>
      <w:pPr>
        <w:spacing w:after="0" w:line="110"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On January 16, 2018, we acquired the remaining outstanding interests of ImThera for cash consideration of up to $225 million. The fair value of our previously-held interest in ImThera was determined based on the fair value of total consideration transferred and application of a discount for lack of control. As a result, we recognized a gain of $11.5 million for the fair value in excess of our carrying value of $14.1 million.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and Other (Losses) Gains</w:t>
      </w:r>
    </w:p>
    <w:p>
      <w:pPr>
        <w:spacing w:after="0" w:line="110"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Foreign exchange and other (losses) gains were $(0.3) million and $3.2 million for the three months ended March 31, 2018 and March 31, 2017, respectively. The losses for the three months ended March 31, 2018 were primarily due to net foreign currency losses associated with foreign currency commercial transactions, freestanding foreign currency forward contracts, intercompany debt, and third-party financial assets and liabilities. The gains of $3.2 million recorded during the three months ended March 31, 2017 consisted primarily of a $3.2 million gain on the sale of our investment of Istituto Europeo di Oncologia S.R.L.</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deployment of various tax strategies and the changes in tax laws, our consolidated effective income tax rate may vary from one reporting period to another.</w:t>
      </w:r>
    </w:p>
    <w:p>
      <w:pPr>
        <w:spacing w:after="0" w:line="79"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During the three months ended March 31, 2018 and March 31, 2017, we recorded income tax expense from continuing operations of $3.9 million and $5.7 million, respectively, with a consolidated effective income tax rate of 17.6% and 27.1%, respectively.</w:t>
      </w:r>
    </w:p>
    <w:p>
      <w:pPr>
        <w:spacing w:after="0" w:line="62" w:lineRule="exact"/>
        <w:rPr>
          <w:sz w:val="20"/>
          <w:szCs w:val="20"/>
          <w:color w:val="auto"/>
        </w:rPr>
      </w:pPr>
    </w:p>
    <w:p>
      <w:pPr>
        <w:ind w:right="860" w:firstLine="162"/>
        <w:spacing w:after="0" w:line="308" w:lineRule="auto"/>
        <w:rPr>
          <w:sz w:val="20"/>
          <w:szCs w:val="20"/>
          <w:color w:val="auto"/>
        </w:rPr>
      </w:pPr>
      <w:r>
        <w:rPr>
          <w:rFonts w:ascii="Arial" w:cs="Arial" w:eastAsia="Arial" w:hAnsi="Arial"/>
          <w:sz w:val="17"/>
          <w:szCs w:val="17"/>
          <w:color w:val="auto"/>
        </w:rPr>
        <w:t>Our consolidated effective income tax rate for the three months ended March 31, 2017 was impacted by various discrete tax items, including the recognition of a $3.0 million deferred tax asset related to a reserve for an uncertain tax position recognized in a prior year.</w:t>
      </w:r>
    </w:p>
    <w:p>
      <w:pPr>
        <w:spacing w:after="0" w:line="38" w:lineRule="exact"/>
        <w:rPr>
          <w:sz w:val="20"/>
          <w:szCs w:val="20"/>
          <w:color w:val="auto"/>
        </w:rPr>
      </w:pPr>
    </w:p>
    <w:p>
      <w:pPr>
        <w:ind w:right="140" w:firstLine="162"/>
        <w:spacing w:after="0" w:line="308" w:lineRule="auto"/>
        <w:rPr>
          <w:sz w:val="20"/>
          <w:szCs w:val="20"/>
          <w:color w:val="auto"/>
        </w:rPr>
      </w:pPr>
      <w:r>
        <w:rPr>
          <w:rFonts w:ascii="Arial" w:cs="Arial" w:eastAsia="Arial" w:hAnsi="Arial"/>
          <w:sz w:val="17"/>
          <w:szCs w:val="17"/>
          <w:color w:val="auto"/>
        </w:rPr>
        <w:t>Compared with the three months ended March 31, 2017, the lower effective tax rate for the three months ended March 31, 2018 was primarily attributable to the impact of U.S. tax reform and certain law changes in the UK that occurred in the three months ended December 31, 2017.</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Losses from Equity Method Investments</w:t>
      </w:r>
    </w:p>
    <w:p>
      <w:pPr>
        <w:spacing w:after="0" w:line="110" w:lineRule="exact"/>
        <w:rPr>
          <w:sz w:val="20"/>
          <w:szCs w:val="20"/>
          <w:color w:val="auto"/>
        </w:rPr>
      </w:pPr>
    </w:p>
    <w:p>
      <w:pPr>
        <w:jc w:val="both"/>
        <w:ind w:right="220" w:firstLine="162"/>
        <w:spacing w:after="0" w:line="264" w:lineRule="auto"/>
        <w:rPr>
          <w:sz w:val="20"/>
          <w:szCs w:val="20"/>
          <w:color w:val="auto"/>
        </w:rPr>
      </w:pPr>
      <w:r>
        <w:rPr>
          <w:rFonts w:ascii="Arial" w:cs="Arial" w:eastAsia="Arial" w:hAnsi="Arial"/>
          <w:sz w:val="18"/>
          <w:szCs w:val="18"/>
          <w:color w:val="auto"/>
        </w:rPr>
        <w:t>Losses from equity method investments were $0.4 million $2.0 million during the three months ended March 31, 2018 and 2017, respectively. Losses for the three months ended March 31, 2018 were due to our equity method investee’s losses from Highlife S.A.S. Losses for the three months ended March 31, 2017 included investee losses from Highlife S.A.S and Caisson.</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Based on our current business plan, we believe that our existing cash and cash equivalents, future cash generated from continuing operations, and available borrowing capacity under our credit facilities will be sufficient to fund our expected operating needs, working capital requirements, R&amp;D opportunities, capital expenditures and debt service requirements over the next 12 months. We regularly review our capital needs and consider various investing and financing alternatives to support our requirements. Refer to “Note 9. Financing Arrangements” in the condensed consolidated financial statements in this Quarterly Report on Form 10-Q for additional information regarding our debt. Our liquidity could be adversely affected by the factors affecting future operating results, including those referred to in “Part II - Item 1A. Risk Factors” in the 2017 Form 10-K.</w:t>
      </w:r>
    </w:p>
    <w:p>
      <w:pPr>
        <w:spacing w:after="0" w:line="7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In connection with the TandemLife acquisition, on February 14, 2018, LivaNova entered into a Bridge Facility Agreement providing a term loan facility with the aggregate principal amount of $170 million. The Bridge Facility Agreement will terminate on August 14, 2018, but may be extended to February 13, 2019, subject to delivery of prior notice and satisfaction of other conditions. On March 23, 2018, we amended the Bridge Facility Agreement increasing the aggregate principal amount to $190 million. On April 3, 2018, we borrowed $190 million under the Bridge Facility Agreement to facilitate the initial payment for our acquisition of TandemLife. We intend to use the proceeds from the sale of the CRM business franchise to repay the borrowings under the Bridge Facility Agreement.</w:t>
      </w:r>
    </w:p>
    <w:p>
      <w:pPr>
        <w:spacing w:after="0" w:line="8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No provision has been made for income taxes on unremitted earnings of our foreign controlled subsidiaries (non-UK subsidiaries) as of March 31, 2018. In the event of the distribution of those earnings in the form of dividends, a sale of the subsidiaries or certain</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03" w:right="2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other transactions, we may be liable for income taxes. However, the tax liability on future distributions should not be significant as most jurisdictions with unremitted earnings have various participation exemptions or no withholding tax.</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(decrease) increase in the balance of cash and cash equivalents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4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March 31,</w:t>
            </w:r>
          </w:p>
        </w:tc>
        <w:tc>
          <w:tcPr>
            <w:tcW w:w="7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7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21"/>
                <w:szCs w:val="2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(83,352)</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(10,071)</w:t>
            </w:r>
          </w:p>
        </w:tc>
      </w:tr>
      <w:tr>
        <w:trPr>
          <w:trHeight w:val="27"/>
        </w:trPr>
        <w:tc>
          <w:tcPr>
            <w:tcW w:w="7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32,047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2,261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484</w:t>
            </w:r>
          </w:p>
        </w:tc>
      </w:tr>
      <w:tr>
        <w:trPr>
          <w:trHeight w:val="27"/>
        </w:trPr>
        <w:tc>
          <w:tcPr>
            <w:tcW w:w="7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w:t>
            </w: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22,930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provided by operating activities during the three months ended March 31, 2018 decreased $12.8 million as compared to the same prior-year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primarily represents a decrease in net income excluding non-cash items of $14.4 million.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10"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Cash used in investing activities during the three months ended March 31, 2018 increased $73.3 million as compared to the same prior-year period. The increase primarily resulted from cash paid for the 2018 acquisition of ImThera Medical, Inc, net of cash acquired, of $77.6 million and the 2017 proceeds from the sale of a cost-method investment of $3.2 million. These items were partially offset by the 2017 loans to equity-method investees of $5.3 million in addition to a decrease in purchases of property, plant and equipment of $1.7 million.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provided by financing activities during the three months ended March 31, 2018 increased $32.7 million as compared to the same prior-year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primarily resulted from an increase in net short-term borrowing proceeds of $35.0 million.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Contractual Obligations</w:t>
      </w:r>
    </w:p>
    <w:p>
      <w:pPr>
        <w:spacing w:after="0" w:line="110" w:lineRule="exact"/>
        <w:rPr>
          <w:sz w:val="20"/>
          <w:szCs w:val="20"/>
          <w:color w:val="auto"/>
        </w:rPr>
      </w:pPr>
    </w:p>
    <w:p>
      <w:pPr>
        <w:ind w:right="380" w:firstLine="162"/>
        <w:spacing w:after="0" w:line="264" w:lineRule="auto"/>
        <w:rPr>
          <w:sz w:val="20"/>
          <w:szCs w:val="20"/>
          <w:color w:val="auto"/>
        </w:rPr>
      </w:pPr>
      <w:r>
        <w:rPr>
          <w:rFonts w:ascii="Arial" w:cs="Arial" w:eastAsia="Arial" w:hAnsi="Arial"/>
          <w:sz w:val="18"/>
          <w:szCs w:val="18"/>
          <w:color w:val="auto"/>
        </w:rPr>
        <w:t>We had no material changes in our contractual commitments and obligations from amounts listed under “Part II, Item 7. Management’s Discussion and Analysis of Financial Condition and Results of Operations - Liquidity and Capital Resources” in our Annual Report on Form 10-K for the year ended December 31, 2017.</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Form 10-Q in “Part I, Note 10. Derivatives and Risk Management”, “Part I, Item 2. Management’s Discussion and Analysis of Financial Conditions and Results of Operations” and “Part II, Item 1A. Risk Factors”, and in our 2017 Form 10-K in “Part II, Item 7A Management’s Discussion and Analysis of Financial Condition and Results of Operations.” and “Part I, Item 1A. Risk Factors”. There have been no material changes from the information provided therein.</w:t>
      </w: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March 31,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17"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Upon adoption of ASC Update (“ASU”) No 2014-09, Revenue from Contracts with Customers, we implemented new internal controls related to our accounting policies and procedures, including review controls to ensure contractual terms and conditions that may require consideration under the standard are properly identified and analyzed. There have been no other changes in our internal control over financial reporting (as defined in Rules 13a-15(f) under the Exchange Act)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693" w:right="29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PART II.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125"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For a description of our material pending legal and regulatory proceedings and settlements, refer to “Note 11. Commitments and Contingencies” in our condensed consolidated financial statements included in this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125"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There were no material changes to the description of the risk factors associated with our business previously disclosed in Part I, Item 1A “Risk Factors” of our 2017 Form 10-K.</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693" w:right="35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125" w:lineRule="exact"/>
        <w:rPr>
          <w:sz w:val="20"/>
          <w:szCs w:val="20"/>
          <w:color w:val="auto"/>
        </w:rPr>
      </w:pPr>
    </w:p>
    <w:p>
      <w:pPr>
        <w:jc w:val="both"/>
        <w:ind w:right="80" w:firstLine="162"/>
        <w:spacing w:after="0" w:line="342" w:lineRule="auto"/>
        <w:rPr>
          <w:sz w:val="20"/>
          <w:szCs w:val="20"/>
          <w:color w:val="auto"/>
        </w:rPr>
      </w:pPr>
      <w:r>
        <w:rPr>
          <w:rFonts w:ascii="Arial" w:cs="Arial" w:eastAsia="Arial" w:hAnsi="Arial"/>
          <w:sz w:val="16"/>
          <w:szCs w:val="16"/>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SEC File or</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486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Document Description</w:t>
            </w:r>
          </w:p>
        </w:tc>
        <w:tc>
          <w:tcPr>
            <w:tcW w:w="33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Report or Registration Statement</w:t>
            </w:r>
          </w:p>
        </w:tc>
        <w:tc>
          <w:tcPr>
            <w:tcW w:w="11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4860" w:type="dxa"/>
            <w:vAlign w:val="bottom"/>
            <w:tcBorders>
              <w:bottom w:val="single" w:sz="8" w:color="auto"/>
            </w:tcBorders>
            <w:vMerge w:val="continue"/>
          </w:tcPr>
          <w:p>
            <w:pPr>
              <w:spacing w:after="0"/>
              <w:rPr>
                <w:sz w:val="16"/>
                <w:szCs w:val="16"/>
                <w:color w:val="auto"/>
              </w:rPr>
            </w:pPr>
          </w:p>
        </w:tc>
        <w:tc>
          <w:tcPr>
            <w:tcW w:w="33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8"/>
              </w:rPr>
              <w:t>Number</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0" w:type="dxa"/>
            <w:vAlign w:val="bottom"/>
          </w:tcPr>
          <w:p>
            <w:pPr>
              <w:spacing w:after="0"/>
              <w:rPr>
                <w:sz w:val="1"/>
                <w:szCs w:val="1"/>
                <w:color w:val="auto"/>
              </w:rPr>
            </w:pPr>
          </w:p>
        </w:tc>
      </w:tr>
      <w:tr>
        <w:trPr>
          <w:trHeight w:val="202"/>
        </w:trPr>
        <w:tc>
          <w:tcPr>
            <w:tcW w:w="3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2">
              <w:r>
                <w:rPr>
                  <w:rFonts w:ascii="Arial" w:cs="Arial" w:eastAsia="Arial" w:hAnsi="Arial"/>
                  <w:sz w:val="18"/>
                  <w:szCs w:val="18"/>
                  <w:color w:val="0000FF"/>
                </w:rPr>
                <w:t>2.1</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7"/>
              </w:rPr>
              <w:t>Stock and Asset Purchase Agreement, dated as of March 8,</w:t>
            </w:r>
          </w:p>
        </w:tc>
        <w:tc>
          <w:tcPr>
            <w:tcW w:w="3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6"/>
              </w:rPr>
              <w:t>LivaNova PLC Current Report on Form 8-</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001-37599</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22"/>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48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2018, by and among LivaNova PLC, MicroPort Cardiac</w:t>
            </w:r>
          </w:p>
        </w:tc>
        <w:tc>
          <w:tcPr>
            <w:tcW w:w="33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K, filed on March 8, 2018</w:t>
            </w:r>
          </w:p>
        </w:tc>
        <w:tc>
          <w:tcPr>
            <w:tcW w:w="11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Rhythm B.V. and MicroPort Scientific Corporation</w:t>
            </w:r>
          </w:p>
        </w:tc>
        <w:tc>
          <w:tcPr>
            <w:tcW w:w="3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gridSpan w:val="6"/>
          </w:tcPr>
          <w:p>
            <w:pPr>
              <w:ind w:left="40"/>
              <w:spacing w:after="0" w:line="216" w:lineRule="exact"/>
              <w:rPr>
                <w:rFonts w:ascii="Arial" w:cs="Arial" w:eastAsia="Arial" w:hAnsi="Arial"/>
                <w:sz w:val="20"/>
                <w:szCs w:val="20"/>
                <w:color w:val="0000FF"/>
              </w:rPr>
            </w:pPr>
            <w:hyperlink r:id="rId13">
              <w:r>
                <w:rPr>
                  <w:rFonts w:ascii="Arial" w:cs="Arial" w:eastAsia="Arial" w:hAnsi="Arial"/>
                  <w:sz w:val="20"/>
                  <w:szCs w:val="20"/>
                  <w:color w:val="0000FF"/>
                </w:rPr>
                <w:t>10.</w:t>
              </w:r>
              <w:r>
                <w:rPr>
                  <w:rFonts w:ascii="Arial" w:cs="Arial" w:eastAsia="Arial" w:hAnsi="Arial"/>
                  <w:sz w:val="20"/>
                  <w:szCs w:val="20"/>
                  <w:u w:val="single" w:color="auto"/>
                  <w:color w:val="0000FF"/>
                </w:rPr>
                <w:t>1†</w:t>
              </w:r>
            </w:hyperlink>
          </w:p>
        </w:tc>
        <w:tc>
          <w:tcPr>
            <w:tcW w:w="4860" w:type="dxa"/>
            <w:vAlign w:val="bottom"/>
          </w:tcPr>
          <w:p>
            <w:pPr>
              <w:ind w:left="160"/>
              <w:spacing w:after="0"/>
              <w:rPr>
                <w:sz w:val="20"/>
                <w:szCs w:val="20"/>
                <w:color w:val="auto"/>
              </w:rPr>
            </w:pPr>
            <w:r>
              <w:rPr>
                <w:rFonts w:ascii="Arial" w:cs="Arial" w:eastAsia="Arial" w:hAnsi="Arial"/>
                <w:sz w:val="18"/>
                <w:szCs w:val="18"/>
                <w:color w:val="auto"/>
              </w:rPr>
              <w:t>2018 LivaNova Short-Term Incentive Plan</w:t>
            </w:r>
          </w:p>
        </w:tc>
        <w:tc>
          <w:tcPr>
            <w:tcW w:w="3340" w:type="dxa"/>
            <w:vAlign w:val="bottom"/>
          </w:tcPr>
          <w:p>
            <w:pPr>
              <w:ind w:left="100"/>
              <w:spacing w:after="0"/>
              <w:rPr>
                <w:sz w:val="20"/>
                <w:szCs w:val="20"/>
                <w:color w:val="auto"/>
              </w:rPr>
            </w:pPr>
            <w:r>
              <w:rPr>
                <w:rFonts w:ascii="Arial" w:cs="Arial" w:eastAsia="Arial" w:hAnsi="Arial"/>
                <w:sz w:val="18"/>
                <w:szCs w:val="18"/>
                <w:color w:val="auto"/>
                <w:w w:val="96"/>
              </w:rPr>
              <w:t>LivaNova PLC Current Report on Form 8-</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001-37599</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rPr>
              <w:t>K, filed on February 12, 2018</w:t>
            </w: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gridSpan w:val="6"/>
            <w:shd w:val="clear" w:color="auto" w:fill="CCEEFF"/>
          </w:tcPr>
          <w:p>
            <w:pPr>
              <w:ind w:left="40"/>
              <w:spacing w:after="0" w:line="216" w:lineRule="exact"/>
              <w:rPr>
                <w:rFonts w:ascii="Arial" w:cs="Arial" w:eastAsia="Arial" w:hAnsi="Arial"/>
                <w:sz w:val="20"/>
                <w:szCs w:val="20"/>
                <w:color w:val="0000FF"/>
              </w:rPr>
            </w:pPr>
            <w:hyperlink r:id="rId14">
              <w:r>
                <w:rPr>
                  <w:rFonts w:ascii="Arial" w:cs="Arial" w:eastAsia="Arial" w:hAnsi="Arial"/>
                  <w:sz w:val="20"/>
                  <w:szCs w:val="20"/>
                  <w:color w:val="0000FF"/>
                </w:rPr>
                <w:t>10.</w:t>
              </w:r>
              <w:r>
                <w:rPr>
                  <w:rFonts w:ascii="Arial" w:cs="Arial" w:eastAsia="Arial" w:hAnsi="Arial"/>
                  <w:sz w:val="20"/>
                  <w:szCs w:val="20"/>
                  <w:u w:val="single" w:color="auto"/>
                  <w:color w:val="0000FF"/>
                </w:rPr>
                <w:t>2†</w:t>
              </w:r>
            </w:hyperlink>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Description of 2018 Long Term Incentive Plan</w:t>
            </w: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LivaNova PLC Current Report on Form 8-</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001-37599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30"/>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p>
        </w:tc>
        <w:tc>
          <w:tcPr>
            <w:tcW w:w="3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K, filed on March 16, 2018</w:t>
            </w: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gridSpan w:val="6"/>
          </w:tcPr>
          <w:p>
            <w:pPr>
              <w:ind w:left="40"/>
              <w:spacing w:after="0" w:line="216" w:lineRule="exact"/>
              <w:rPr>
                <w:rFonts w:ascii="Arial" w:cs="Arial" w:eastAsia="Arial" w:hAnsi="Arial"/>
                <w:sz w:val="20"/>
                <w:szCs w:val="20"/>
                <w:color w:val="0000FF"/>
              </w:rPr>
            </w:pPr>
            <w:hyperlink r:id="rId15">
              <w:r>
                <w:rPr>
                  <w:rFonts w:ascii="Arial" w:cs="Arial" w:eastAsia="Arial" w:hAnsi="Arial"/>
                  <w:sz w:val="20"/>
                  <w:szCs w:val="20"/>
                  <w:color w:val="0000FF"/>
                </w:rPr>
                <w:t>10.</w:t>
              </w:r>
              <w:r>
                <w:rPr>
                  <w:rFonts w:ascii="Arial" w:cs="Arial" w:eastAsia="Arial" w:hAnsi="Arial"/>
                  <w:sz w:val="20"/>
                  <w:szCs w:val="20"/>
                  <w:u w:val="single" w:color="auto"/>
                  <w:color w:val="0000FF"/>
                </w:rPr>
                <w:t>3†</w:t>
              </w:r>
            </w:hyperlink>
          </w:p>
        </w:tc>
        <w:tc>
          <w:tcPr>
            <w:tcW w:w="4860" w:type="dxa"/>
            <w:vAlign w:val="bottom"/>
          </w:tcPr>
          <w:p>
            <w:pPr>
              <w:ind w:left="160"/>
              <w:spacing w:after="0"/>
              <w:rPr>
                <w:sz w:val="20"/>
                <w:szCs w:val="20"/>
                <w:color w:val="auto"/>
              </w:rPr>
            </w:pPr>
            <w:r>
              <w:rPr>
                <w:rFonts w:ascii="Arial" w:cs="Arial" w:eastAsia="Arial" w:hAnsi="Arial"/>
                <w:sz w:val="18"/>
                <w:szCs w:val="18"/>
                <w:color w:val="auto"/>
              </w:rPr>
              <w:t>Form of 2018 Long Term Incentive Plan RSU Award</w:t>
            </w:r>
          </w:p>
        </w:tc>
        <w:tc>
          <w:tcPr>
            <w:tcW w:w="3340" w:type="dxa"/>
            <w:vAlign w:val="bottom"/>
          </w:tcPr>
          <w:p>
            <w:pPr>
              <w:ind w:left="100"/>
              <w:spacing w:after="0"/>
              <w:rPr>
                <w:sz w:val="20"/>
                <w:szCs w:val="20"/>
                <w:color w:val="auto"/>
              </w:rPr>
            </w:pPr>
            <w:r>
              <w:rPr>
                <w:rFonts w:ascii="Arial" w:cs="Arial" w:eastAsia="Arial" w:hAnsi="Arial"/>
                <w:sz w:val="18"/>
                <w:szCs w:val="18"/>
                <w:color w:val="auto"/>
                <w:w w:val="96"/>
              </w:rPr>
              <w:t>LivaNova PLC Current Report on Form 8-</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001-37599</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4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3340" w:type="dxa"/>
            <w:vAlign w:val="bottom"/>
          </w:tcPr>
          <w:p>
            <w:pPr>
              <w:ind w:left="100"/>
              <w:spacing w:after="0"/>
              <w:rPr>
                <w:sz w:val="20"/>
                <w:szCs w:val="20"/>
                <w:color w:val="auto"/>
              </w:rPr>
            </w:pPr>
            <w:r>
              <w:rPr>
                <w:rFonts w:ascii="Arial" w:cs="Arial" w:eastAsia="Arial" w:hAnsi="Arial"/>
                <w:sz w:val="18"/>
                <w:szCs w:val="18"/>
                <w:color w:val="auto"/>
              </w:rPr>
              <w:t>K, filed on March 16, 2018</w:t>
            </w: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gridSpan w:val="6"/>
            <w:shd w:val="clear" w:color="auto" w:fill="CCEEFF"/>
          </w:tcPr>
          <w:p>
            <w:pPr>
              <w:ind w:left="40"/>
              <w:spacing w:after="0" w:line="216" w:lineRule="exact"/>
              <w:rPr>
                <w:rFonts w:ascii="Arial" w:cs="Arial" w:eastAsia="Arial" w:hAnsi="Arial"/>
                <w:sz w:val="20"/>
                <w:szCs w:val="20"/>
                <w:color w:val="0000FF"/>
              </w:rPr>
            </w:pPr>
            <w:hyperlink r:id="rId16">
              <w:r>
                <w:rPr>
                  <w:rFonts w:ascii="Arial" w:cs="Arial" w:eastAsia="Arial" w:hAnsi="Arial"/>
                  <w:sz w:val="20"/>
                  <w:szCs w:val="20"/>
                  <w:color w:val="0000FF"/>
                </w:rPr>
                <w:t>10.</w:t>
              </w:r>
              <w:r>
                <w:rPr>
                  <w:rFonts w:ascii="Arial" w:cs="Arial" w:eastAsia="Arial" w:hAnsi="Arial"/>
                  <w:sz w:val="20"/>
                  <w:szCs w:val="20"/>
                  <w:u w:val="single" w:color="auto"/>
                  <w:color w:val="0000FF"/>
                </w:rPr>
                <w:t>4†</w:t>
              </w:r>
            </w:hyperlink>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 of 2018 Long Term Incentive Plan SAR Award</w:t>
            </w: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LivaNova PLC Current Report on Form 8-</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001-37599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230"/>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4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3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K, filed on March 16, 2018</w:t>
            </w: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gridSpan w:val="6"/>
          </w:tcPr>
          <w:p>
            <w:pPr>
              <w:ind w:left="40"/>
              <w:spacing w:after="0" w:line="216" w:lineRule="exact"/>
              <w:rPr>
                <w:rFonts w:ascii="Arial" w:cs="Arial" w:eastAsia="Arial" w:hAnsi="Arial"/>
                <w:sz w:val="20"/>
                <w:szCs w:val="20"/>
                <w:color w:val="0000FF"/>
              </w:rPr>
            </w:pPr>
            <w:hyperlink r:id="rId17">
              <w:r>
                <w:rPr>
                  <w:rFonts w:ascii="Arial" w:cs="Arial" w:eastAsia="Arial" w:hAnsi="Arial"/>
                  <w:sz w:val="20"/>
                  <w:szCs w:val="20"/>
                  <w:color w:val="0000FF"/>
                </w:rPr>
                <w:t>10.</w:t>
              </w:r>
              <w:r>
                <w:rPr>
                  <w:rFonts w:ascii="Arial" w:cs="Arial" w:eastAsia="Arial" w:hAnsi="Arial"/>
                  <w:sz w:val="20"/>
                  <w:szCs w:val="20"/>
                  <w:u w:val="single" w:color="auto"/>
                  <w:color w:val="0000FF"/>
                </w:rPr>
                <w:t>5†</w:t>
              </w:r>
            </w:hyperlink>
          </w:p>
        </w:tc>
        <w:tc>
          <w:tcPr>
            <w:tcW w:w="4860" w:type="dxa"/>
            <w:vAlign w:val="bottom"/>
          </w:tcPr>
          <w:p>
            <w:pPr>
              <w:ind w:left="160"/>
              <w:spacing w:after="0"/>
              <w:rPr>
                <w:sz w:val="20"/>
                <w:szCs w:val="20"/>
                <w:color w:val="auto"/>
              </w:rPr>
            </w:pPr>
            <w:r>
              <w:rPr>
                <w:rFonts w:ascii="Arial" w:cs="Arial" w:eastAsia="Arial" w:hAnsi="Arial"/>
                <w:sz w:val="18"/>
                <w:szCs w:val="18"/>
                <w:color w:val="auto"/>
              </w:rPr>
              <w:t>Form of 2018 Long Term Incentive Plan PSU Award</w:t>
            </w:r>
          </w:p>
        </w:tc>
        <w:tc>
          <w:tcPr>
            <w:tcW w:w="3340" w:type="dxa"/>
            <w:vAlign w:val="bottom"/>
          </w:tcPr>
          <w:p>
            <w:pPr>
              <w:ind w:left="100"/>
              <w:spacing w:after="0"/>
              <w:rPr>
                <w:sz w:val="20"/>
                <w:szCs w:val="20"/>
                <w:color w:val="auto"/>
              </w:rPr>
            </w:pPr>
            <w:r>
              <w:rPr>
                <w:rFonts w:ascii="Arial" w:cs="Arial" w:eastAsia="Arial" w:hAnsi="Arial"/>
                <w:sz w:val="18"/>
                <w:szCs w:val="18"/>
                <w:color w:val="auto"/>
                <w:w w:val="96"/>
              </w:rPr>
              <w:t>LivaNova PLC Current Report on Form 8-</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001-37599</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4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Agreement (rTSR condition)</w:t>
            </w:r>
          </w:p>
        </w:tc>
        <w:tc>
          <w:tcPr>
            <w:tcW w:w="3340" w:type="dxa"/>
            <w:vAlign w:val="bottom"/>
          </w:tcPr>
          <w:p>
            <w:pPr>
              <w:ind w:left="100"/>
              <w:spacing w:after="0"/>
              <w:rPr>
                <w:sz w:val="20"/>
                <w:szCs w:val="20"/>
                <w:color w:val="auto"/>
              </w:rPr>
            </w:pPr>
            <w:r>
              <w:rPr>
                <w:rFonts w:ascii="Arial" w:cs="Arial" w:eastAsia="Arial" w:hAnsi="Arial"/>
                <w:sz w:val="18"/>
                <w:szCs w:val="18"/>
                <w:color w:val="auto"/>
              </w:rPr>
              <w:t>K, filed on March 16, 2018</w:t>
            </w: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gridSpan w:val="6"/>
            <w:shd w:val="clear" w:color="auto" w:fill="CCEEFF"/>
          </w:tcPr>
          <w:p>
            <w:pPr>
              <w:ind w:left="40"/>
              <w:spacing w:after="0" w:line="216" w:lineRule="exact"/>
              <w:rPr>
                <w:rFonts w:ascii="Arial" w:cs="Arial" w:eastAsia="Arial" w:hAnsi="Arial"/>
                <w:sz w:val="20"/>
                <w:szCs w:val="20"/>
                <w:color w:val="0000FF"/>
              </w:rPr>
            </w:pPr>
            <w:hyperlink r:id="rId18">
              <w:r>
                <w:rPr>
                  <w:rFonts w:ascii="Arial" w:cs="Arial" w:eastAsia="Arial" w:hAnsi="Arial"/>
                  <w:sz w:val="20"/>
                  <w:szCs w:val="20"/>
                  <w:color w:val="0000FF"/>
                </w:rPr>
                <w:t>10.</w:t>
              </w:r>
              <w:r>
                <w:rPr>
                  <w:rFonts w:ascii="Arial" w:cs="Arial" w:eastAsia="Arial" w:hAnsi="Arial"/>
                  <w:sz w:val="20"/>
                  <w:szCs w:val="20"/>
                  <w:u w:val="single" w:color="auto"/>
                  <w:color w:val="0000FF"/>
                </w:rPr>
                <w:t>6†</w:t>
              </w:r>
            </w:hyperlink>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 of 2018 Long Term Incentive Plan PSU Award</w:t>
            </w: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LivaNova PLC Current Report on Form 8-</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001-37599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w:t>
            </w:r>
          </w:p>
        </w:tc>
        <w:tc>
          <w:tcPr>
            <w:tcW w:w="0" w:type="dxa"/>
            <w:vAlign w:val="bottom"/>
          </w:tcPr>
          <w:p>
            <w:pPr>
              <w:spacing w:after="0"/>
              <w:rPr>
                <w:sz w:val="1"/>
                <w:szCs w:val="1"/>
                <w:color w:val="auto"/>
              </w:rPr>
            </w:pPr>
          </w:p>
        </w:tc>
      </w:tr>
      <w:tr>
        <w:trPr>
          <w:trHeight w:val="230"/>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10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4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Agreement (FCF condition)</w:t>
            </w:r>
          </w:p>
        </w:tc>
        <w:tc>
          <w:tcPr>
            <w:tcW w:w="3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K, filed on March 16, 2018</w:t>
            </w: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gridSpan w:val="6"/>
          </w:tcPr>
          <w:p>
            <w:pPr>
              <w:ind w:left="40"/>
              <w:spacing w:after="0" w:line="216" w:lineRule="exact"/>
              <w:rPr>
                <w:rFonts w:ascii="Arial" w:cs="Arial" w:eastAsia="Arial" w:hAnsi="Arial"/>
                <w:sz w:val="20"/>
                <w:szCs w:val="20"/>
                <w:color w:val="0000FF"/>
              </w:rPr>
            </w:pPr>
            <w:hyperlink r:id="rId19">
              <w:r>
                <w:rPr>
                  <w:rFonts w:ascii="Arial" w:cs="Arial" w:eastAsia="Arial" w:hAnsi="Arial"/>
                  <w:sz w:val="20"/>
                  <w:szCs w:val="20"/>
                  <w:color w:val="0000FF"/>
                </w:rPr>
                <w:t>10.</w:t>
              </w:r>
              <w:r>
                <w:rPr>
                  <w:rFonts w:ascii="Arial" w:cs="Arial" w:eastAsia="Arial" w:hAnsi="Arial"/>
                  <w:sz w:val="20"/>
                  <w:szCs w:val="20"/>
                  <w:u w:val="single" w:color="auto"/>
                  <w:color w:val="0000FF"/>
                </w:rPr>
                <w:t>8†</w:t>
              </w:r>
            </w:hyperlink>
          </w:p>
        </w:tc>
        <w:tc>
          <w:tcPr>
            <w:tcW w:w="4860" w:type="dxa"/>
            <w:vAlign w:val="bottom"/>
          </w:tcPr>
          <w:p>
            <w:pPr>
              <w:ind w:left="160"/>
              <w:spacing w:after="0"/>
              <w:rPr>
                <w:sz w:val="20"/>
                <w:szCs w:val="20"/>
                <w:color w:val="auto"/>
              </w:rPr>
            </w:pPr>
            <w:r>
              <w:rPr>
                <w:rFonts w:ascii="Arial" w:cs="Arial" w:eastAsia="Arial" w:hAnsi="Arial"/>
                <w:sz w:val="18"/>
                <w:szCs w:val="18"/>
                <w:color w:val="auto"/>
                <w:w w:val="95"/>
              </w:rPr>
              <w:t>Consultancy Agreement between LivaNova Plc Italian Branch</w:t>
            </w:r>
          </w:p>
        </w:tc>
        <w:tc>
          <w:tcPr>
            <w:tcW w:w="3340" w:type="dxa"/>
            <w:vAlign w:val="bottom"/>
          </w:tcPr>
          <w:p>
            <w:pPr>
              <w:ind w:left="100"/>
              <w:spacing w:after="0"/>
              <w:rPr>
                <w:sz w:val="20"/>
                <w:szCs w:val="20"/>
                <w:color w:val="auto"/>
              </w:rPr>
            </w:pPr>
            <w:r>
              <w:rPr>
                <w:rFonts w:ascii="Arial" w:cs="Arial" w:eastAsia="Arial" w:hAnsi="Arial"/>
                <w:sz w:val="18"/>
                <w:szCs w:val="18"/>
                <w:color w:val="auto"/>
                <w:w w:val="96"/>
              </w:rPr>
              <w:t>LivaNova PLC Current Report on Form 8-</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001-37599</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4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and Brian Sheridan, dated July 1, 2017</w:t>
            </w:r>
          </w:p>
        </w:tc>
        <w:tc>
          <w:tcPr>
            <w:tcW w:w="3340" w:type="dxa"/>
            <w:vAlign w:val="bottom"/>
          </w:tcPr>
          <w:p>
            <w:pPr>
              <w:ind w:left="100"/>
              <w:spacing w:after="0"/>
              <w:rPr>
                <w:sz w:val="20"/>
                <w:szCs w:val="20"/>
                <w:color w:val="auto"/>
              </w:rPr>
            </w:pPr>
            <w:r>
              <w:rPr>
                <w:rFonts w:ascii="Arial" w:cs="Arial" w:eastAsia="Arial" w:hAnsi="Arial"/>
                <w:sz w:val="18"/>
                <w:szCs w:val="18"/>
                <w:color w:val="auto"/>
              </w:rPr>
              <w:t>K, filed on March 26, 2018</w:t>
            </w: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20">
              <w:r>
                <w:rPr>
                  <w:rFonts w:ascii="Arial" w:cs="Arial" w:eastAsia="Arial" w:hAnsi="Arial"/>
                  <w:sz w:val="18"/>
                  <w:szCs w:val="18"/>
                  <w:color w:val="0000FF"/>
                </w:rPr>
                <w:t>16.</w:t>
              </w:r>
              <w:r>
                <w:rPr>
                  <w:rFonts w:ascii="Arial" w:cs="Arial" w:eastAsia="Arial" w:hAnsi="Arial"/>
                  <w:sz w:val="18"/>
                  <w:szCs w:val="18"/>
                  <w:u w:val="single" w:color="auto"/>
                  <w:color w:val="0000FF"/>
                </w:rPr>
                <w:t>1</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4"/>
              </w:rPr>
              <w:t>Letter from PricewaterhouseCooper SpA to the Securities and</w:t>
            </w:r>
          </w:p>
        </w:tc>
        <w:tc>
          <w:tcPr>
            <w:tcW w:w="3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6"/>
              </w:rPr>
              <w:t>LivaNova PLC Current Report on Form 8-</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001-37599</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16.1</w:t>
            </w: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4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Exchange Commission, dated March 26, 2018</w:t>
            </w:r>
          </w:p>
        </w:tc>
        <w:tc>
          <w:tcPr>
            <w:tcW w:w="3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K, filed on March 26, 2018</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80" w:type="dxa"/>
            <w:vAlign w:val="bottom"/>
            <w:gridSpan w:val="5"/>
          </w:tcPr>
          <w:p>
            <w:pPr>
              <w:ind w:left="40"/>
              <w:spacing w:after="0" w:line="202" w:lineRule="exact"/>
              <w:rPr>
                <w:rFonts w:ascii="Arial" w:cs="Arial" w:eastAsia="Arial" w:hAnsi="Arial"/>
                <w:sz w:val="18"/>
                <w:szCs w:val="18"/>
                <w:color w:val="0000FF"/>
                <w:w w:val="99"/>
              </w:rPr>
            </w:pPr>
            <w:hyperlink w:anchor="page47">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1*</w:t>
              </w:r>
            </w:hyperlink>
          </w:p>
        </w:tc>
        <w:tc>
          <w:tcPr>
            <w:tcW w:w="440" w:type="dxa"/>
            <w:vAlign w:val="bottom"/>
          </w:tcPr>
          <w:p>
            <w:pPr>
              <w:spacing w:after="0"/>
              <w:rPr>
                <w:sz w:val="17"/>
                <w:szCs w:val="17"/>
                <w:color w:val="auto"/>
              </w:rPr>
            </w:pPr>
          </w:p>
        </w:tc>
        <w:tc>
          <w:tcPr>
            <w:tcW w:w="4860" w:type="dxa"/>
            <w:vAlign w:val="bottom"/>
          </w:tcPr>
          <w:p>
            <w:pPr>
              <w:ind w:left="160"/>
              <w:spacing w:after="0" w:line="202" w:lineRule="exact"/>
              <w:rPr>
                <w:sz w:val="20"/>
                <w:szCs w:val="20"/>
                <w:color w:val="auto"/>
              </w:rPr>
            </w:pPr>
            <w:r>
              <w:rPr>
                <w:rFonts w:ascii="Arial" w:cs="Arial" w:eastAsia="Arial" w:hAnsi="Arial"/>
                <w:sz w:val="18"/>
                <w:szCs w:val="18"/>
                <w:color w:val="auto"/>
                <w:w w:val="98"/>
              </w:rPr>
              <w:t>Certification of the Chief Executive Officer of LivaNova PLC</w:t>
            </w:r>
          </w:p>
        </w:tc>
        <w:tc>
          <w:tcPr>
            <w:tcW w:w="3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w w:val="99"/>
              </w:rPr>
              <w:t>pursuant to Section 302 of the Sarbanes-Oxley Act of 2002</w:t>
            </w:r>
          </w:p>
        </w:tc>
        <w:tc>
          <w:tcPr>
            <w:tcW w:w="3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0" w:type="dxa"/>
            <w:vAlign w:val="bottom"/>
            <w:gridSpan w:val="5"/>
            <w:shd w:val="clear" w:color="auto" w:fill="CCEEFF"/>
          </w:tcPr>
          <w:p>
            <w:pPr>
              <w:ind w:left="40"/>
              <w:spacing w:after="0" w:line="202" w:lineRule="exact"/>
              <w:rPr>
                <w:rFonts w:ascii="Arial" w:cs="Arial" w:eastAsia="Arial" w:hAnsi="Arial"/>
                <w:sz w:val="18"/>
                <w:szCs w:val="18"/>
                <w:color w:val="0000FF"/>
                <w:w w:val="99"/>
              </w:rPr>
            </w:pPr>
            <w:hyperlink w:anchor="page48">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2*</w:t>
              </w:r>
            </w:hyperlink>
          </w:p>
        </w:tc>
        <w:tc>
          <w:tcPr>
            <w:tcW w:w="440" w:type="dxa"/>
            <w:vAlign w:val="bottom"/>
            <w:shd w:val="clear" w:color="auto" w:fill="CCEEFF"/>
          </w:tcPr>
          <w:p>
            <w:pPr>
              <w:spacing w:after="0"/>
              <w:rPr>
                <w:sz w:val="17"/>
                <w:szCs w:val="17"/>
                <w:color w:val="auto"/>
              </w:rPr>
            </w:pPr>
          </w:p>
        </w:tc>
        <w:tc>
          <w:tcPr>
            <w:tcW w:w="4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Certification of the Chief Financial Officer of LivaNova PLC</w:t>
            </w:r>
          </w:p>
        </w:tc>
        <w:tc>
          <w:tcPr>
            <w:tcW w:w="3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4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pursuant to Section 302 of the Sarbanes-Oxley Act of 2002</w:t>
            </w:r>
          </w:p>
        </w:tc>
        <w:tc>
          <w:tcPr>
            <w:tcW w:w="33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80" w:type="dxa"/>
            <w:vAlign w:val="bottom"/>
            <w:gridSpan w:val="5"/>
          </w:tcPr>
          <w:p>
            <w:pPr>
              <w:ind w:left="40"/>
              <w:spacing w:after="0" w:line="202" w:lineRule="exact"/>
              <w:rPr>
                <w:rFonts w:ascii="Arial" w:cs="Arial" w:eastAsia="Arial" w:hAnsi="Arial"/>
                <w:sz w:val="18"/>
                <w:szCs w:val="18"/>
                <w:color w:val="0000FF"/>
                <w:w w:val="99"/>
              </w:rPr>
            </w:pPr>
            <w:hyperlink w:anchor="page49">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hyperlink>
          </w:p>
        </w:tc>
        <w:tc>
          <w:tcPr>
            <w:tcW w:w="440" w:type="dxa"/>
            <w:vAlign w:val="bottom"/>
          </w:tcPr>
          <w:p>
            <w:pPr>
              <w:spacing w:after="0"/>
              <w:rPr>
                <w:sz w:val="17"/>
                <w:szCs w:val="17"/>
                <w:color w:val="auto"/>
              </w:rPr>
            </w:pPr>
          </w:p>
        </w:tc>
        <w:tc>
          <w:tcPr>
            <w:tcW w:w="4860" w:type="dxa"/>
            <w:vAlign w:val="bottom"/>
          </w:tcPr>
          <w:p>
            <w:pPr>
              <w:ind w:left="160"/>
              <w:spacing w:after="0" w:line="202" w:lineRule="exact"/>
              <w:rPr>
                <w:sz w:val="20"/>
                <w:szCs w:val="20"/>
                <w:color w:val="auto"/>
              </w:rPr>
            </w:pPr>
            <w:r>
              <w:rPr>
                <w:rFonts w:ascii="Arial" w:cs="Arial" w:eastAsia="Arial" w:hAnsi="Arial"/>
                <w:sz w:val="18"/>
                <w:szCs w:val="18"/>
                <w:color w:val="auto"/>
                <w:w w:val="95"/>
              </w:rPr>
              <w:t>Certification of the Chief Executive Officer and Chief Financial</w:t>
            </w:r>
          </w:p>
        </w:tc>
        <w:tc>
          <w:tcPr>
            <w:tcW w:w="3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Officer of LivaNova PLC pursuant to Section 906 of the</w:t>
            </w:r>
          </w:p>
        </w:tc>
        <w:tc>
          <w:tcPr>
            <w:tcW w:w="3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Sarbanes-Oxley Act of 2002</w:t>
            </w:r>
          </w:p>
        </w:tc>
        <w:tc>
          <w:tcPr>
            <w:tcW w:w="3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0" w:type="dxa"/>
            <w:vAlign w:val="bottom"/>
            <w:gridSpan w:val="4"/>
          </w:tcPr>
          <w:p>
            <w:pPr>
              <w:ind w:left="4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w w:val="94"/>
              </w:rPr>
              <w:t>Interactive Data Files Pursuant to Rule 405 of Regulation S-T:</w:t>
            </w:r>
          </w:p>
        </w:tc>
        <w:tc>
          <w:tcPr>
            <w:tcW w:w="3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406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7246620" cy="1406525"/>
                    </a:xfrm>
                    <a:prstGeom prst="rect">
                      <a:avLst/>
                    </a:prstGeom>
                    <a:noFill/>
                  </pic:spPr>
                </pic:pic>
              </a:graphicData>
            </a:graphic>
          </wp:anchor>
        </w:drawing>
      </w:r>
    </w:p>
    <w:p>
      <w:pPr>
        <w:ind w:left="1080" w:right="5800" w:hanging="5"/>
        <w:spacing w:after="0" w:line="287" w:lineRule="auto"/>
        <w:tabs>
          <w:tab w:leader="none" w:pos="12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Condensed Consolidated Statements of Income for the three months ended March 31, 2018 and March 31, 2017, (ii) the Condensed Consolidated Statements of Comprehensive Income for the three months ended March 31, 2018 and March 31, 2017, (iii) the Condensed Consolidated Balance Sheet as of March 31, 2017 and December 31, 2017, (iv) the Condensed Consolidated Statements of Cash Flows for the three months ended March 31, 2018 and March 31, 2017, and (vi) the Notes to the Condensed Consolidated Financial Statements.</w:t>
      </w: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93" w:right="239" w:bottom="1440" w:gutter="0" w:footer="0" w:header="0"/>
        </w:sectPr>
      </w:pPr>
    </w:p>
    <w:bookmarkStart w:id="45" w:name="page46"/>
    <w:bookmarkEnd w:id="45"/>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Pr>
          <w:p>
            <w:pPr>
              <w:ind w:left="40"/>
              <w:spacing w:after="0"/>
              <w:rPr>
                <w:sz w:val="20"/>
                <w:szCs w:val="20"/>
                <w:color w:val="auto"/>
              </w:rPr>
            </w:pPr>
            <w:r>
              <w:rPr>
                <w:rFonts w:ascii="Arial" w:cs="Arial" w:eastAsia="Arial" w:hAnsi="Arial"/>
                <w:sz w:val="18"/>
                <w:szCs w:val="18"/>
                <w:color w:val="auto"/>
              </w:rPr>
              <w:t>/s/ DAMIEN MCDONALD</w:t>
            </w:r>
          </w:p>
        </w:tc>
      </w:tr>
      <w:tr>
        <w:trPr>
          <w:trHeight w:val="27"/>
        </w:trPr>
        <w:tc>
          <w:tcPr>
            <w:tcW w:w="62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Damien McDonald</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527"/>
        </w:trPr>
        <w:tc>
          <w:tcPr>
            <w:tcW w:w="7360" w:type="dxa"/>
            <w:vAlign w:val="bottom"/>
            <w:gridSpan w:val="2"/>
          </w:tcPr>
          <w:p>
            <w:pPr>
              <w:spacing w:after="0"/>
              <w:rPr>
                <w:sz w:val="20"/>
                <w:szCs w:val="20"/>
                <w:color w:val="auto"/>
              </w:rPr>
            </w:pPr>
            <w:r>
              <w:rPr>
                <w:rFonts w:ascii="Arial" w:cs="Arial" w:eastAsia="Arial" w:hAnsi="Arial"/>
                <w:sz w:val="18"/>
                <w:szCs w:val="18"/>
                <w:color w:val="auto"/>
              </w:rPr>
              <w:t>LIVANOVA PLC</w:t>
            </w:r>
          </w:p>
        </w:tc>
      </w:tr>
      <w:tr>
        <w:trPr>
          <w:trHeight w:val="581"/>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Pr>
          <w:p>
            <w:pPr>
              <w:ind w:left="40"/>
              <w:spacing w:after="0"/>
              <w:rPr>
                <w:sz w:val="20"/>
                <w:szCs w:val="20"/>
                <w:color w:val="auto"/>
              </w:rPr>
            </w:pPr>
            <w:r>
              <w:rPr>
                <w:rFonts w:ascii="Arial" w:cs="Arial" w:eastAsia="Arial" w:hAnsi="Arial"/>
                <w:sz w:val="18"/>
                <w:szCs w:val="18"/>
                <w:color w:val="auto"/>
              </w:rPr>
              <w:t>/s/ THAD HUSTON</w:t>
            </w:r>
          </w:p>
        </w:tc>
      </w:tr>
      <w:tr>
        <w:trPr>
          <w:trHeight w:val="27"/>
        </w:trPr>
        <w:tc>
          <w:tcPr>
            <w:tcW w:w="620" w:type="dxa"/>
            <w:vAlign w:val="bottom"/>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Thad Huston</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620" w:type="dxa"/>
            <w:vAlign w:val="bottom"/>
          </w:tcPr>
          <w:p>
            <w:pPr>
              <w:spacing w:after="0"/>
              <w:rPr>
                <w:sz w:val="23"/>
                <w:szCs w:val="23"/>
                <w:color w:val="auto"/>
              </w:rPr>
            </w:pPr>
          </w:p>
        </w:tc>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8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firstLine="332"/>
        <w:spacing w:after="0" w:line="277" w:lineRule="auto"/>
        <w:tabs>
          <w:tab w:leader="none" w:pos="5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2018,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2, 2018</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firstLine="332"/>
        <w:spacing w:after="0" w:line="277" w:lineRule="auto"/>
        <w:tabs>
          <w:tab w:leader="none" w:pos="59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2018,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6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6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2, 2018</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74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of Damien McDonald, Chief Executive Officer of LivaNova PLC (the “Company”), and Thad Huston, Chief Financial Officer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each hereby certifies pursuant to 18 U.S.C. Section 1350, as adopted pursuant to Section 906 of the Sarbanes-Oxley Act of 2002, that to the best of his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306" w:lineRule="exact"/>
        <w:rPr>
          <w:sz w:val="20"/>
          <w:szCs w:val="20"/>
          <w:color w:val="auto"/>
        </w:rPr>
      </w:pPr>
    </w:p>
    <w:p>
      <w:pPr>
        <w:jc w:val="both"/>
        <w:ind w:firstLine="548"/>
        <w:spacing w:after="0" w:line="483" w:lineRule="auto"/>
        <w:tabs>
          <w:tab w:leader="none" w:pos="8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Quarterly Report on Form 10-Q of the Company and its consolidated subsidiaries for the quarter ended March 31, 2018, as filed with the Securities and Exchange Commission on the date hereof (the “Report”),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840" w:hanging="292"/>
        <w:spacing w:after="0"/>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2, 2018</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lowerRoman"/>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5"/>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decimal"/>
      <w:start w:val="5"/>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12" Type="http://schemas.openxmlformats.org/officeDocument/2006/relationships/hyperlink" Target="http://www.sec.gov/Archives/edgar/data/1639691/000119312518074964/d542715dex21.htm" TargetMode="External"/><Relationship Id="rId13" Type="http://schemas.openxmlformats.org/officeDocument/2006/relationships/hyperlink" Target="http://www.sec.gov/Archives/edgar/data/1639691/000163969118000005/form8-k2018stipexhibit101.htm" TargetMode="External"/><Relationship Id="rId14" Type="http://schemas.openxmlformats.org/officeDocument/2006/relationships/hyperlink" Target="http://www.sec.gov/Archives/edgar/data/1639691/000163969118000024/exhibit101_descriptionof20.htm" TargetMode="External"/><Relationship Id="rId15" Type="http://schemas.openxmlformats.org/officeDocument/2006/relationships/hyperlink" Target="http://www.sec.gov/Archives/edgar/data/1639691/000163969118000024/exhibit102_formof2018longt.htm" TargetMode="External"/><Relationship Id="rId16" Type="http://schemas.openxmlformats.org/officeDocument/2006/relationships/hyperlink" Target="http://www.sec.gov/Archives/edgar/data/1639691/000163969118000024/exhibit103_formof2018longt.htm" TargetMode="External"/><Relationship Id="rId17" Type="http://schemas.openxmlformats.org/officeDocument/2006/relationships/hyperlink" Target="http://www.sec.gov/Archives/edgar/data/1639691/000163969118000024/exhibit104_formof2018longt.htm" TargetMode="External"/><Relationship Id="rId18" Type="http://schemas.openxmlformats.org/officeDocument/2006/relationships/hyperlink" Target="http://www.sec.gov/Archives/edgar/data/1639691/000163969118000024/exhibit105_formof2018longt.htm" TargetMode="External"/><Relationship Id="rId19" Type="http://schemas.openxmlformats.org/officeDocument/2006/relationships/hyperlink" Target="http://www.sec.gov/Archives/edgar/data/1639691/000163969118000035/exhibit101_sheridanconsult.htm" TargetMode="External"/><Relationship Id="rId20" Type="http://schemas.openxmlformats.org/officeDocument/2006/relationships/hyperlink" Target="http://www.sec.gov/Archives/edgar/data/1639691/000163969118000033/exhibit161pwc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2019-12-28T22:25:48Z</dcterms:created>
  <dcterms:modified xsi:type="dcterms:W3CDTF">2019-12-28T22:25:48Z</dcterms:modified>
</cp:coreProperties>
</file>