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7375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3755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Hebbelinck Trui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01"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38"/>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2"/>
          </w:tcPr>
          <w:p>
            <w:pPr>
              <w:jc w:val="center"/>
              <w:ind w:left="51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93"/>
              </w:rPr>
              <w:t>418</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2,230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85"/>
              </w:rPr>
              <w:t>197</w:t>
            </w:r>
            <w:r>
              <w:rPr>
                <w:rFonts w:ascii="Times New Roman" w:cs="Times New Roman" w:eastAsia="Times New Roman" w:hAnsi="Times New Roman"/>
                <w:sz w:val="21"/>
                <w:szCs w:val="21"/>
                <w:color w:val="008000"/>
                <w:w w:val="85"/>
                <w:vertAlign w:val="superscript"/>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2,033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93"/>
              </w:rPr>
              <w:t>1,147</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3,180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85"/>
              </w:rPr>
              <w:t>540</w:t>
            </w:r>
            <w:r>
              <w:rPr>
                <w:rFonts w:ascii="Times New Roman" w:cs="Times New Roman" w:eastAsia="Times New Roman" w:hAnsi="Times New Roman"/>
                <w:sz w:val="21"/>
                <w:szCs w:val="21"/>
                <w:color w:val="008000"/>
                <w:w w:val="85"/>
                <w:vertAlign w:val="superscript"/>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2,640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93"/>
              </w:rPr>
              <w:t>683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3,323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138"/>
              <w:spacing w:after="0" w:line="306" w:lineRule="exact"/>
              <w:rPr>
                <w:sz w:val="20"/>
                <w:szCs w:val="20"/>
                <w:color w:val="auto"/>
              </w:rPr>
            </w:pPr>
            <w:r>
              <w:rPr>
                <w:rFonts w:ascii="Times New Roman" w:cs="Times New Roman" w:eastAsia="Times New Roman" w:hAnsi="Times New Roman"/>
                <w:sz w:val="33"/>
                <w:szCs w:val="33"/>
                <w:color w:val="0000FF"/>
                <w:w w:val="78"/>
                <w:vertAlign w:val="subscript"/>
              </w:rPr>
              <w:t>322</w:t>
            </w:r>
            <w:r>
              <w:rPr>
                <w:rFonts w:ascii="Times New Roman" w:cs="Times New Roman" w:eastAsia="Times New Roman" w:hAnsi="Times New Roman"/>
                <w:sz w:val="11"/>
                <w:szCs w:val="11"/>
                <w:color w:val="008000"/>
                <w:w w:val="78"/>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3,001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9"/>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418</w:t>
            </w: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3"/>
              </w:rPr>
              <w:t>418</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89"/>
              </w:rPr>
              <w:t>417</w:t>
            </w:r>
            <w:r>
              <w:rPr>
                <w:rFonts w:ascii="Times New Roman" w:cs="Times New Roman" w:eastAsia="Times New Roman" w:hAnsi="Times New Roman"/>
                <w:sz w:val="21"/>
                <w:szCs w:val="21"/>
                <w:color w:val="008000"/>
                <w:w w:val="89"/>
                <w:vertAlign w:val="superscript"/>
              </w:rPr>
              <w:t>(5)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1,147</w:t>
            </w: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1,147</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7"/>
              </w:rPr>
              <w:t>2,295</w:t>
            </w:r>
            <w:r>
              <w:rPr>
                <w:rFonts w:ascii="Times New Roman" w:cs="Times New Roman" w:eastAsia="Times New Roman" w:hAnsi="Times New Roman"/>
                <w:sz w:val="21"/>
                <w:szCs w:val="21"/>
                <w:color w:val="008000"/>
                <w:w w:val="87"/>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683</w:t>
            </w: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3"/>
              </w:rPr>
              <w:t>683</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7"/>
              </w:rPr>
              <w:t>2,047</w:t>
            </w:r>
            <w:r>
              <w:rPr>
                <w:rFonts w:ascii="Times New Roman" w:cs="Times New Roman" w:eastAsia="Times New Roman" w:hAnsi="Times New Roman"/>
                <w:sz w:val="21"/>
                <w:szCs w:val="21"/>
                <w:color w:val="008000"/>
                <w:w w:val="87"/>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2,742</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2,742</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2,742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1,371</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1,371</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1,371</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2,742</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2,742</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2,742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1,371</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1,371</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1,371</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6,386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82.04</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5"/>
                <w:szCs w:val="5"/>
                <w:color w:val="auto"/>
              </w:rPr>
            </w:pPr>
          </w:p>
        </w:tc>
        <w:tc>
          <w:tcPr>
            <w:tcW w:w="70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6,386</w:t>
            </w: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line="140" w:lineRule="exact"/>
              <w:rPr>
                <w:sz w:val="20"/>
                <w:szCs w:val="20"/>
                <w:color w:val="auto"/>
              </w:rPr>
            </w:pPr>
            <w:r>
              <w:rPr>
                <w:rFonts w:ascii="Times New Roman" w:cs="Times New Roman" w:eastAsia="Times New Roman" w:hAnsi="Times New Roman"/>
                <w:sz w:val="13"/>
                <w:szCs w:val="13"/>
                <w:color w:val="0000FF"/>
                <w:w w:val="95"/>
              </w:rPr>
              <w:t>6,386</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-3634740</wp:posOffset>
            </wp:positionV>
            <wp:extent cx="28575" cy="363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63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1" w:lineRule="exact"/>
        <w:rPr>
          <w:rFonts w:ascii="Times New Roman" w:cs="Times New Roman" w:eastAsia="Times New Roman" w:hAnsi="Times New Roman"/>
          <w:sz w:val="13"/>
          <w:szCs w:val="13"/>
          <w:color w:val="008000"/>
        </w:rPr>
      </w:pPr>
    </w:p>
    <w:p>
      <w:pPr>
        <w:ind w:left="40" w:right="4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9"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2019, reporting person was granted RSUs subject to a four-year vesting schedule, the first vesting for which occurred on March 30, 2020.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1"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2020, reporting person was granted RSUs subject to a four-year vesting schedule, the first vesting for which occurred on March 30, 2021.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schedule, the first vesting for which occurred on March 30, 2022.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schedule, the first vesting occurring on March 30, 2023.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Plan and the award agreement.</w:t>
      </w:r>
    </w:p>
    <w:p>
      <w:pPr>
        <w:spacing w:after="0" w:line="41" w:lineRule="exact"/>
        <w:rPr>
          <w:rFonts w:ascii="Times New Roman" w:cs="Times New Roman" w:eastAsia="Times New Roman" w:hAnsi="Times New Roman"/>
          <w:sz w:val="13"/>
          <w:szCs w:val="13"/>
          <w:color w:val="008000"/>
        </w:rPr>
      </w:pPr>
    </w:p>
    <w:p>
      <w:pPr>
        <w:ind w:left="40" w:right="720"/>
        <w:spacing w:after="0" w:line="250" w:lineRule="auto"/>
        <w:tabs>
          <w:tab w:leader="none" w:pos="23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how the Company's free cash flow (FCF) for performance period 2022-2024 compares to a target determined by the Plan Administrator. The number included in column 5 of Table II reflects the target number of PSUs eligible for vesting.</w:t>
      </w:r>
    </w:p>
    <w:p>
      <w:pPr>
        <w:spacing w:after="0" w:line="19" w:lineRule="exact"/>
        <w:rPr>
          <w:rFonts w:ascii="Times New Roman" w:cs="Times New Roman" w:eastAsia="Times New Roman" w:hAnsi="Times New Roman"/>
          <w:sz w:val="13"/>
          <w:szCs w:val="13"/>
          <w:color w:val="008000"/>
        </w:rPr>
      </w:pPr>
    </w:p>
    <w:p>
      <w:pPr>
        <w:ind w:left="220" w:hanging="180"/>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2022, reporting person was granted PSUs to vest or lapse on March 30, 2025 based on the the Company's total shareholder return (TSR) for the three-year period beginning on January 1, 2022 and</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100"/>
        <w:spacing w:after="0" w:line="250" w:lineRule="auto"/>
        <w:rPr>
          <w:sz w:val="20"/>
          <w:szCs w:val="20"/>
          <w:color w:val="auto"/>
        </w:rPr>
      </w:pPr>
      <w:r>
        <w:rPr>
          <w:rFonts w:ascii="Times New Roman" w:cs="Times New Roman" w:eastAsia="Times New Roman" w:hAnsi="Times New Roman"/>
          <w:sz w:val="13"/>
          <w:szCs w:val="13"/>
          <w:color w:val="008000"/>
        </w:rPr>
        <w:t>ending December 31, 2024 relative to the total shareholder return of a peer group of companies, as determined by the Plan Administrator. The number included in column 5 of Table II reflects the target number of PSUs eligible for vesting subject to continued service during the vesting period and the award agreement.</w:t>
      </w:r>
    </w:p>
    <w:p>
      <w:pPr>
        <w:spacing w:after="0" w:line="20" w:lineRule="exact"/>
        <w:rPr>
          <w:sz w:val="20"/>
          <w:szCs w:val="20"/>
          <w:color w:val="auto"/>
        </w:rPr>
      </w:pPr>
    </w:p>
    <w:p>
      <w:pPr>
        <w:jc w:val="both"/>
        <w:ind w:right="20"/>
        <w:spacing w:after="0" w:line="23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how the Company's Return on Investment Capital (ROIC) calculated for the performance period 2022-2024 compares to a target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spacing w:after="0" w:line="250"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stock appreciation rights (SARs) subject to a four-year vesting schedule, the first vesting occurring on March 30, 2023. The SARs are subject to forfeiture prior to vesting in accordance with the terms of the Plan and the award agreement.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Sarah K. Mohr, POA</w:t>
            </w:r>
          </w:p>
        </w:tc>
        <w:tc>
          <w:tcPr>
            <w:tcW w:w="6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04/01/2022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6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2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206" w:lineRule="exact"/>
        <w:rPr>
          <w:sz w:val="20"/>
          <w:szCs w:val="20"/>
          <w:color w:val="auto"/>
        </w:rPr>
      </w:pPr>
    </w:p>
    <w:p>
      <w:pPr>
        <w:ind w:firstLine="611"/>
        <w:spacing w:after="0" w:line="288"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p>
      <w:pPr>
        <w:spacing w:after="0" w:line="136" w:lineRule="exact"/>
        <w:rPr>
          <w:sz w:val="20"/>
          <w:szCs w:val="20"/>
          <w:color w:val="auto"/>
        </w:rPr>
      </w:pPr>
    </w:p>
    <w:p>
      <w:pPr>
        <w:ind w:left="1220" w:right="40" w:hanging="607"/>
        <w:spacing w:after="0" w:line="292"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32" w:lineRule="exact"/>
        <w:rPr>
          <w:rFonts w:ascii="Times New Roman" w:cs="Times New Roman" w:eastAsia="Times New Roman" w:hAnsi="Times New Roman"/>
          <w:sz w:val="19"/>
          <w:szCs w:val="19"/>
          <w:color w:val="auto"/>
        </w:rPr>
      </w:pPr>
    </w:p>
    <w:p>
      <w:pPr>
        <w:ind w:left="1220" w:right="180" w:hanging="607"/>
        <w:spacing w:after="0" w:line="292"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32" w:lineRule="exact"/>
        <w:rPr>
          <w:rFonts w:ascii="Times New Roman" w:cs="Times New Roman" w:eastAsia="Times New Roman" w:hAnsi="Times New Roman"/>
          <w:sz w:val="19"/>
          <w:szCs w:val="19"/>
          <w:color w:val="auto"/>
        </w:rPr>
      </w:pPr>
    </w:p>
    <w:p>
      <w:pPr>
        <w:jc w:val="both"/>
        <w:ind w:left="1220" w:right="40" w:hanging="607"/>
        <w:spacing w:after="0" w:line="288"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6" w:lineRule="exact"/>
        <w:rPr>
          <w:sz w:val="20"/>
          <w:szCs w:val="20"/>
          <w:color w:val="auto"/>
        </w:rPr>
      </w:pPr>
    </w:p>
    <w:p>
      <w:pPr>
        <w:ind w:right="20" w:firstLine="611"/>
        <w:spacing w:after="0" w:line="284"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9" w:lineRule="exact"/>
        <w:rPr>
          <w:sz w:val="20"/>
          <w:szCs w:val="20"/>
          <w:color w:val="auto"/>
        </w:rPr>
      </w:pPr>
    </w:p>
    <w:p>
      <w:pPr>
        <w:ind w:firstLine="611"/>
        <w:spacing w:after="0" w:line="303" w:lineRule="auto"/>
        <w:rPr>
          <w:sz w:val="20"/>
          <w:szCs w:val="20"/>
          <w:color w:val="auto"/>
        </w:rPr>
      </w:pPr>
      <w:r>
        <w:rPr>
          <w:rFonts w:ascii="Times New Roman" w:cs="Times New Roman" w:eastAsia="Times New Roman" w:hAnsi="Times New Roman"/>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26" w:lineRule="exact"/>
        <w:rPr>
          <w:sz w:val="20"/>
          <w:szCs w:val="20"/>
          <w:color w:val="auto"/>
        </w:rPr>
      </w:pPr>
    </w:p>
    <w:p>
      <w:pPr>
        <w:ind w:right="160" w:firstLine="611"/>
        <w:spacing w:after="0" w:line="305" w:lineRule="auto"/>
        <w:rPr>
          <w:sz w:val="20"/>
          <w:szCs w:val="20"/>
          <w:color w:val="auto"/>
        </w:rPr>
      </w:pPr>
      <w:r>
        <w:rPr>
          <w:rFonts w:ascii="Times New Roman" w:cs="Times New Roman" w:eastAsia="Times New Roman" w:hAnsi="Times New Roman"/>
          <w:sz w:val="19"/>
          <w:szCs w:val="19"/>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20" w:lineRule="exact"/>
        <w:rPr>
          <w:sz w:val="20"/>
          <w:szCs w:val="20"/>
          <w:color w:val="auto"/>
        </w:rPr>
      </w:pPr>
    </w:p>
    <w:p>
      <w:pPr>
        <w:ind w:right="40" w:firstLine="611"/>
        <w:spacing w:after="0" w:line="288"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9"/>
          <w:szCs w:val="19"/>
          <w:color w:val="auto"/>
        </w:rPr>
        <w:t xml:space="preserve"> day of March, 2019.</w:t>
      </w:r>
    </w:p>
    <w:p>
      <w:pPr>
        <w:spacing w:after="0" w:line="200" w:lineRule="exact"/>
        <w:rPr>
          <w:sz w:val="20"/>
          <w:szCs w:val="20"/>
          <w:color w:val="auto"/>
        </w:rPr>
      </w:pPr>
    </w:p>
    <w:p>
      <w:pPr>
        <w:spacing w:after="0" w:line="38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/s/ 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-11430</wp:posOffset>
            </wp:positionV>
            <wp:extent cx="1272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19"/>
          <w:szCs w:val="19"/>
          <w:color w:val="auto"/>
        </w:rPr>
        <w:t>Trui Hebbelinck</w:t>
      </w:r>
    </w:p>
    <w:sectPr>
      <w:pgSz w:w="11900" w:h="16838" w:orient="portrait"/>
      <w:cols w:equalWidth="0" w:num="1">
        <w:col w:w="10960"/>
      </w:cols>
      <w:pgMar w:left="460" w:top="3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05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2022-04-01T09:08:55Z</dcterms:created>
  <dcterms:modified xsi:type="dcterms:W3CDTF">2022-04-01T09:08:55Z</dcterms:modified>
</cp:coreProperties>
</file>