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289560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May 2, 2018, LivaNova PLC (the “Company”) issued a press release announcing financial results for the first quarter 2018 results for the period ended March 31, 2018. The Company will host a business update conference call and webcast today, 2:00 p.m. London time (9:00 a.m. Eastern Daylight Time), during which the Company will discuss the financial results. The conference call will be available to interested parties through a live audio webcast commencing at 2:00 p.m. London time (9:00 a.m. Eastern Daylight Time) and accessible through the Investor Relations section of the LivaNova corporate website at www.livanova.com. A copy of the Company’s press release is furnished as Exhibit 99.1 on this Current Report on Form 8-K.</w:t>
      </w:r>
    </w:p>
    <w:p>
      <w:pPr>
        <w:spacing w:after="0" w:line="15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 as being incorporated therein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387"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LivaNova PLC dated May 2, 2018</w:t>
      </w: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387" w:lineRule="exact"/>
        <w:rPr>
          <w:sz w:val="20"/>
          <w:szCs w:val="20"/>
          <w:color w:val="auto"/>
        </w:rPr>
      </w:pPr>
    </w:p>
    <w:p>
      <w:pPr>
        <w:ind w:left="40"/>
        <w:spacing w:after="0"/>
        <w:tabs>
          <w:tab w:leader="none" w:pos="148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364" w:lineRule="exact"/>
        <w:rPr>
          <w:sz w:val="20"/>
          <w:szCs w:val="20"/>
          <w:color w:val="auto"/>
        </w:rPr>
      </w:pPr>
    </w:p>
    <w:p>
      <w:pPr>
        <w:ind w:left="40"/>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Press Release issued by LivaNova PLC dated May 2, 2018</w:t>
      </w: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1320"/>
          </w:cols>
          <w:pgMar w:left="240" w:top="364"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- 3 -</w:t>
      </w:r>
    </w:p>
    <w:p>
      <w:pPr>
        <w:sectPr>
          <w:pgSz w:w="11900" w:h="16838" w:orient="portrait"/>
          <w:cols w:equalWidth="0" w:num="1">
            <w:col w:w="11000"/>
          </w:cols>
          <w:pgMar w:left="240" w:top="36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u w:val="single" w:color="auto"/>
          <w:color w:val="0000FF"/>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680845" cy="48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84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20"/>
          <w:szCs w:val="20"/>
          <w:color w:val="FF5C39"/>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5C39"/>
        </w:rPr>
        <w:t>LivaNova Reports First Quarter 2018 Results</w:t>
      </w:r>
    </w:p>
    <w:p>
      <w:pPr>
        <w:spacing w:after="0" w:line="341" w:lineRule="exact"/>
        <w:rPr>
          <w:sz w:val="20"/>
          <w:szCs w:val="20"/>
          <w:color w:val="auto"/>
        </w:rPr>
      </w:pPr>
    </w:p>
    <w:p>
      <w:pPr>
        <w:jc w:val="both"/>
        <w:spacing w:after="0" w:line="398" w:lineRule="auto"/>
        <w:rPr>
          <w:sz w:val="20"/>
          <w:szCs w:val="20"/>
          <w:color w:val="auto"/>
        </w:rPr>
      </w:pPr>
      <w:r>
        <w:rPr>
          <w:rFonts w:ascii="Arial" w:cs="Arial" w:eastAsia="Arial" w:hAnsi="Arial"/>
          <w:sz w:val="20"/>
          <w:szCs w:val="20"/>
          <w:b w:val="1"/>
          <w:bCs w:val="1"/>
          <w:color w:val="auto"/>
        </w:rPr>
        <w:t xml:space="preserve">London, May 2, 2018 – </w:t>
      </w:r>
      <w:r>
        <w:rPr>
          <w:rFonts w:ascii="Arial" w:cs="Arial" w:eastAsia="Arial" w:hAnsi="Arial"/>
          <w:sz w:val="20"/>
          <w:szCs w:val="20"/>
          <w:color w:val="auto"/>
        </w:rPr>
        <w:t>LivaNova PLC (NASDAQ:LIVN) (“LivaNova” or the “Company”), a market-leading medical technology and</w:t>
      </w:r>
      <w:r>
        <w:rPr>
          <w:rFonts w:ascii="Arial" w:cs="Arial" w:eastAsia="Arial" w:hAnsi="Arial"/>
          <w:sz w:val="20"/>
          <w:szCs w:val="20"/>
          <w:b w:val="1"/>
          <w:bCs w:val="1"/>
          <w:color w:val="auto"/>
        </w:rPr>
        <w:t xml:space="preserve"> </w:t>
      </w:r>
      <w:r>
        <w:rPr>
          <w:rFonts w:ascii="Arial" w:cs="Arial" w:eastAsia="Arial" w:hAnsi="Arial"/>
          <w:sz w:val="20"/>
          <w:szCs w:val="20"/>
          <w:color w:val="auto"/>
        </w:rPr>
        <w:t>innovation company, today reported results for the quarter ended March 31, 2018.</w:t>
      </w:r>
    </w:p>
    <w:p>
      <w:pPr>
        <w:spacing w:after="0" w:line="315"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For the first quarter of 2018, worldwide sales from continuing operations were $250.4 million, an increase of 10.4 percent on a reported basis and an increase of 5.3 percent on a constant currency basis, as compared to the same quarter of the previous year. On the basis of U.S. Generally Accepted Accounting Principles ("GAAP"), first quarter 2018 diluted earnings per share from continuing operations were $0.36. First quarter 2018 adjusted diluted earnings per share from continuing operations were $0.68.</w:t>
      </w:r>
    </w:p>
    <w:p>
      <w:pPr>
        <w:spacing w:after="0" w:line="345" w:lineRule="exact"/>
        <w:rPr>
          <w:sz w:val="20"/>
          <w:szCs w:val="20"/>
          <w:color w:val="auto"/>
        </w:rPr>
      </w:pPr>
    </w:p>
    <w:p>
      <w:pPr>
        <w:ind w:right="20"/>
        <w:spacing w:after="0" w:line="339" w:lineRule="auto"/>
        <w:rPr>
          <w:sz w:val="20"/>
          <w:szCs w:val="20"/>
          <w:color w:val="auto"/>
        </w:rPr>
      </w:pPr>
      <w:r>
        <w:rPr>
          <w:rFonts w:ascii="Arial" w:cs="Arial" w:eastAsia="Arial" w:hAnsi="Arial"/>
          <w:sz w:val="20"/>
          <w:szCs w:val="20"/>
          <w:color w:val="auto"/>
        </w:rPr>
        <w:t>“We are continuing our positive momentum into 2018. Since the beginning of the year, we announced the commencement of 4 new clinical studies, received approval for 2 products, completed a strategic acquisition and executed a divestiture. We delivered solid top-line growth, invested in marketing, product development and clinical activities, and grew our earnings,” said Damien McDonald, LivaNova's Chief Executive Officer. “Our Neuromodulation business benefited from strong demand for our newest VNS Therapy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System, SenTiva</w:t>
      </w:r>
      <w:r>
        <w:rPr>
          <w:rFonts w:ascii="Arial" w:cs="Arial" w:eastAsia="Arial" w:hAnsi="Arial"/>
          <w:sz w:val="25"/>
          <w:szCs w:val="25"/>
          <w:color w:val="auto"/>
          <w:vertAlign w:val="superscript"/>
        </w:rPr>
        <w:t>®</w:t>
      </w:r>
      <w:r>
        <w:rPr>
          <w:rFonts w:ascii="Arial" w:cs="Arial" w:eastAsia="Arial" w:hAnsi="Arial"/>
          <w:sz w:val="20"/>
          <w:szCs w:val="20"/>
          <w:color w:val="auto"/>
        </w:rPr>
        <w:t>, which received U.S. Food and Drug Administration approval in October 2017 and CE Mark approval in April 2018. Cardiac Surgery also experienced strong growth, driven by sales of our S5</w:t>
      </w:r>
      <w:r>
        <w:rPr>
          <w:rFonts w:ascii="Arial" w:cs="Arial" w:eastAsia="Arial" w:hAnsi="Arial"/>
          <w:sz w:val="25"/>
          <w:szCs w:val="25"/>
          <w:color w:val="auto"/>
          <w:vertAlign w:val="superscript"/>
        </w:rPr>
        <w:t>®</w:t>
      </w:r>
      <w:r>
        <w:rPr>
          <w:rFonts w:ascii="Arial" w:cs="Arial" w:eastAsia="Arial" w:hAnsi="Arial"/>
          <w:sz w:val="20"/>
          <w:szCs w:val="20"/>
          <w:color w:val="auto"/>
        </w:rPr>
        <w:t xml:space="preserve"> heart-lung machine and our Perceval</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sutureless aortic heart valve. We completed our acquisition of TandemLife and the divestiture of our Cardiac Rhythm Management business to MicroPort Scientific Corporation. We will now focus on the next stage of our growth strategy for our Cardiac Surgery and Neuromodulation portfolios, where we have strength and market leadership. While we continue to deliver quality care to patients around the world, this focus will allow us to deliver long-term value to our stakeholders.”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12"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First Quarter 2018 Results</w:t>
      </w:r>
    </w:p>
    <w:p>
      <w:pPr>
        <w:spacing w:after="0" w:line="321" w:lineRule="exact"/>
        <w:rPr>
          <w:sz w:val="20"/>
          <w:szCs w:val="20"/>
          <w:color w:val="auto"/>
        </w:rPr>
      </w:pPr>
    </w:p>
    <w:p>
      <w:pPr>
        <w:ind w:right="20"/>
        <w:spacing w:after="0" w:line="373" w:lineRule="auto"/>
        <w:rPr>
          <w:sz w:val="20"/>
          <w:szCs w:val="20"/>
          <w:color w:val="auto"/>
        </w:rPr>
      </w:pPr>
      <w:r>
        <w:rPr>
          <w:rFonts w:ascii="Arial" w:cs="Arial" w:eastAsia="Arial" w:hAnsi="Arial"/>
          <w:sz w:val="20"/>
          <w:szCs w:val="20"/>
          <w:color w:val="auto"/>
        </w:rPr>
        <w:t>Worldwide sales from continuing operations for the first quarter were $250.4 million, up 5.3 percent on a constant currency basis compared to the first quarter of 2017. The following table highlights worldwide sales for the first quarter of 2018 by business:</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3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3560" w:type="dxa"/>
            <w:vAlign w:val="bottom"/>
            <w:tcBorders>
              <w:top w:val="single" w:sz="8" w:color="auto"/>
              <w:bottom w:val="single" w:sz="8" w:color="00000A"/>
              <w:right w:val="single" w:sz="8" w:color="00000A"/>
            </w:tcBorders>
            <w:gridSpan w:val="2"/>
          </w:tcPr>
          <w:p>
            <w:pPr>
              <w:jc w:val="right"/>
              <w:ind w:right="425"/>
              <w:spacing w:after="0"/>
              <w:rPr>
                <w:sz w:val="20"/>
                <w:szCs w:val="20"/>
                <w:color w:val="auto"/>
              </w:rPr>
            </w:pPr>
            <w:r>
              <w:rPr>
                <w:rFonts w:ascii="Arial" w:cs="Arial" w:eastAsia="Arial" w:hAnsi="Arial"/>
                <w:sz w:val="18"/>
                <w:szCs w:val="18"/>
                <w:color w:val="auto"/>
              </w:rPr>
              <w:t>Three months ended March 31,</w:t>
            </w:r>
          </w:p>
        </w:tc>
        <w:tc>
          <w:tcPr>
            <w:tcW w:w="1840" w:type="dxa"/>
            <w:vAlign w:val="bottom"/>
            <w:tcBorders>
              <w:top w:val="single" w:sz="8" w:color="auto"/>
              <w:bottom w:val="single" w:sz="8" w:color="auto"/>
              <w:right w:val="single" w:sz="8" w:color="auto"/>
            </w:tcBorders>
            <w:vMerge w:val="restart"/>
          </w:tcPr>
          <w:p>
            <w:pPr>
              <w:jc w:val="right"/>
              <w:ind w:right="425"/>
              <w:spacing w:after="0"/>
              <w:rPr>
                <w:sz w:val="20"/>
                <w:szCs w:val="20"/>
                <w:color w:val="auto"/>
              </w:rPr>
            </w:pPr>
            <w:r>
              <w:rPr>
                <w:rFonts w:ascii="Arial" w:cs="Arial" w:eastAsia="Arial" w:hAnsi="Arial"/>
                <w:sz w:val="18"/>
                <w:szCs w:val="18"/>
                <w:color w:val="auto"/>
              </w:rPr>
              <w:t>% Change</w:t>
            </w:r>
          </w:p>
        </w:tc>
        <w:tc>
          <w:tcPr>
            <w:tcW w:w="1720" w:type="dxa"/>
            <w:vAlign w:val="bottom"/>
            <w:tcBorders>
              <w:top w:val="single" w:sz="8" w:color="auto"/>
              <w:right w:val="single" w:sz="8" w:color="auto"/>
            </w:tcBorders>
          </w:tcPr>
          <w:p>
            <w:pPr>
              <w:jc w:val="right"/>
              <w:ind w:right="45"/>
              <w:spacing w:after="0"/>
              <w:rPr>
                <w:sz w:val="20"/>
                <w:szCs w:val="20"/>
                <w:color w:val="auto"/>
              </w:rPr>
            </w:pPr>
            <w:r>
              <w:rPr>
                <w:rFonts w:ascii="Arial" w:cs="Arial" w:eastAsia="Arial" w:hAnsi="Arial"/>
                <w:sz w:val="18"/>
                <w:szCs w:val="18"/>
                <w:color w:val="auto"/>
              </w:rPr>
              <w:t>Constant Currency</w:t>
            </w:r>
          </w:p>
        </w:tc>
        <w:tc>
          <w:tcPr>
            <w:tcW w:w="0" w:type="dxa"/>
            <w:vAlign w:val="bottom"/>
          </w:tcPr>
          <w:p>
            <w:pPr>
              <w:spacing w:after="0"/>
              <w:rPr>
                <w:sz w:val="1"/>
                <w:szCs w:val="1"/>
                <w:color w:val="auto"/>
              </w:rPr>
            </w:pPr>
          </w:p>
        </w:tc>
      </w:tr>
      <w:tr>
        <w:trPr>
          <w:trHeight w:val="102"/>
        </w:trPr>
        <w:tc>
          <w:tcPr>
            <w:tcW w:w="4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Business / Product Line:</w:t>
            </w:r>
          </w:p>
        </w:tc>
        <w:tc>
          <w:tcPr>
            <w:tcW w:w="2000" w:type="dxa"/>
            <w:vAlign w:val="bottom"/>
            <w:tcBorders>
              <w:right w:val="single" w:sz="8" w:color="00000A"/>
            </w:tcBorders>
            <w:vMerge w:val="restart"/>
          </w:tcPr>
          <w:p>
            <w:pPr>
              <w:jc w:val="right"/>
              <w:ind w:right="705"/>
              <w:spacing w:after="0"/>
              <w:rPr>
                <w:sz w:val="20"/>
                <w:szCs w:val="20"/>
                <w:color w:val="auto"/>
              </w:rPr>
            </w:pPr>
            <w:r>
              <w:rPr>
                <w:rFonts w:ascii="Arial" w:cs="Arial" w:eastAsia="Arial" w:hAnsi="Arial"/>
                <w:sz w:val="18"/>
                <w:szCs w:val="18"/>
                <w:color w:val="auto"/>
              </w:rPr>
              <w:t>2018</w:t>
            </w:r>
          </w:p>
        </w:tc>
        <w:tc>
          <w:tcPr>
            <w:tcW w:w="1560" w:type="dxa"/>
            <w:vAlign w:val="bottom"/>
            <w:tcBorders>
              <w:right w:val="single" w:sz="8" w:color="00000A"/>
            </w:tcBorders>
            <w:vMerge w:val="restart"/>
          </w:tcPr>
          <w:p>
            <w:pPr>
              <w:jc w:val="right"/>
              <w:ind w:right="485"/>
              <w:spacing w:after="0"/>
              <w:rPr>
                <w:sz w:val="20"/>
                <w:szCs w:val="20"/>
                <w:color w:val="auto"/>
              </w:rPr>
            </w:pPr>
            <w:r>
              <w:rPr>
                <w:rFonts w:ascii="Arial" w:cs="Arial" w:eastAsia="Arial" w:hAnsi="Arial"/>
                <w:sz w:val="18"/>
                <w:szCs w:val="18"/>
                <w:color w:val="auto"/>
              </w:rPr>
              <w:t>2017</w:t>
            </w:r>
          </w:p>
        </w:tc>
        <w:tc>
          <w:tcPr>
            <w:tcW w:w="18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jc w:val="right"/>
              <w:ind w:right="365"/>
              <w:spacing w:after="0" w:line="197" w:lineRule="exact"/>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56"/>
        </w:trPr>
        <w:tc>
          <w:tcPr>
            <w:tcW w:w="432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2000" w:type="dxa"/>
            <w:vAlign w:val="bottom"/>
            <w:tcBorders>
              <w:bottom w:val="single" w:sz="8" w:color="auto"/>
              <w:right w:val="single" w:sz="8" w:color="00000A"/>
            </w:tcBorders>
            <w:vMerge w:val="continue"/>
          </w:tcPr>
          <w:p>
            <w:pPr>
              <w:spacing w:after="0"/>
              <w:rPr>
                <w:sz w:val="13"/>
                <w:szCs w:val="13"/>
                <w:color w:val="auto"/>
              </w:rPr>
            </w:pPr>
          </w:p>
        </w:tc>
        <w:tc>
          <w:tcPr>
            <w:tcW w:w="1560" w:type="dxa"/>
            <w:vAlign w:val="bottom"/>
            <w:tcBorders>
              <w:bottom w:val="single" w:sz="8" w:color="auto"/>
              <w:right w:val="single" w:sz="8" w:color="00000A"/>
            </w:tcBorders>
            <w:vMerge w:val="continue"/>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172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43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Cardiopulmonary</w:t>
            </w:r>
          </w:p>
        </w:tc>
        <w:tc>
          <w:tcPr>
            <w:tcW w:w="2000" w:type="dxa"/>
            <w:vAlign w:val="bottom"/>
            <w:tcBorders>
              <w:right w:val="single" w:sz="8" w:color="auto"/>
            </w:tcBorders>
          </w:tcPr>
          <w:p>
            <w:pPr>
              <w:jc w:val="right"/>
              <w:ind w:right="25"/>
              <w:spacing w:after="0"/>
              <w:rPr>
                <w:sz w:val="20"/>
                <w:szCs w:val="20"/>
                <w:color w:val="auto"/>
              </w:rPr>
            </w:pPr>
            <w:r>
              <w:rPr>
                <w:rFonts w:ascii="Arial" w:cs="Arial" w:eastAsia="Arial" w:hAnsi="Arial"/>
                <w:sz w:val="18"/>
                <w:szCs w:val="18"/>
                <w:i w:val="1"/>
                <w:iCs w:val="1"/>
                <w:color w:val="auto"/>
              </w:rPr>
              <w:t>$125.1</w:t>
            </w:r>
          </w:p>
        </w:tc>
        <w:tc>
          <w:tcPr>
            <w:tcW w:w="1560" w:type="dxa"/>
            <w:vAlign w:val="bottom"/>
            <w:tcBorders>
              <w:right w:val="single" w:sz="8" w:color="00000A"/>
            </w:tcBorders>
          </w:tcPr>
          <w:p>
            <w:pPr>
              <w:jc w:val="right"/>
              <w:ind w:right="25"/>
              <w:spacing w:after="0"/>
              <w:rPr>
                <w:sz w:val="20"/>
                <w:szCs w:val="20"/>
                <w:color w:val="auto"/>
              </w:rPr>
            </w:pPr>
            <w:r>
              <w:rPr>
                <w:rFonts w:ascii="Arial" w:cs="Arial" w:eastAsia="Arial" w:hAnsi="Arial"/>
                <w:sz w:val="18"/>
                <w:szCs w:val="18"/>
                <w:i w:val="1"/>
                <w:iCs w:val="1"/>
                <w:color w:val="auto"/>
              </w:rPr>
              <w:t>$107.3</w:t>
            </w:r>
          </w:p>
        </w:tc>
        <w:tc>
          <w:tcPr>
            <w:tcW w:w="1840" w:type="dxa"/>
            <w:vAlign w:val="bottom"/>
            <w:tcBorders>
              <w:right w:val="single" w:sz="8" w:color="00000A"/>
            </w:tcBorders>
          </w:tcPr>
          <w:p>
            <w:pPr>
              <w:jc w:val="right"/>
              <w:ind w:right="25"/>
              <w:spacing w:after="0"/>
              <w:rPr>
                <w:sz w:val="20"/>
                <w:szCs w:val="20"/>
                <w:color w:val="auto"/>
              </w:rPr>
            </w:pPr>
            <w:r>
              <w:rPr>
                <w:rFonts w:ascii="Arial" w:cs="Arial" w:eastAsia="Arial" w:hAnsi="Arial"/>
                <w:sz w:val="18"/>
                <w:szCs w:val="18"/>
                <w:i w:val="1"/>
                <w:iCs w:val="1"/>
                <w:color w:val="auto"/>
              </w:rPr>
              <w:t>16.6%</w:t>
            </w:r>
          </w:p>
        </w:tc>
        <w:tc>
          <w:tcPr>
            <w:tcW w:w="1720" w:type="dxa"/>
            <w:vAlign w:val="bottom"/>
            <w:tcBorders>
              <w:right w:val="single" w:sz="8" w:color="auto"/>
            </w:tcBorders>
          </w:tcPr>
          <w:p>
            <w:pPr>
              <w:jc w:val="right"/>
              <w:ind w:right="45"/>
              <w:spacing w:after="0"/>
              <w:rPr>
                <w:sz w:val="20"/>
                <w:szCs w:val="20"/>
                <w:color w:val="auto"/>
              </w:rPr>
            </w:pPr>
            <w:r>
              <w:rPr>
                <w:rFonts w:ascii="Arial" w:cs="Arial" w:eastAsia="Arial" w:hAnsi="Arial"/>
                <w:sz w:val="18"/>
                <w:szCs w:val="18"/>
                <w:i w:val="1"/>
                <w:iCs w:val="1"/>
                <w:color w:val="auto"/>
              </w:rPr>
              <w:t>9.1%</w:t>
            </w:r>
          </w:p>
        </w:tc>
        <w:tc>
          <w:tcPr>
            <w:tcW w:w="0" w:type="dxa"/>
            <w:vAlign w:val="bottom"/>
          </w:tcPr>
          <w:p>
            <w:pPr>
              <w:spacing w:after="0"/>
              <w:rPr>
                <w:sz w:val="1"/>
                <w:szCs w:val="1"/>
                <w:color w:val="auto"/>
              </w:rPr>
            </w:pPr>
          </w:p>
        </w:tc>
      </w:tr>
      <w:tr>
        <w:trPr>
          <w:trHeight w:val="244"/>
        </w:trPr>
        <w:tc>
          <w:tcPr>
            <w:tcW w:w="432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Heart Valves</w:t>
            </w:r>
          </w:p>
        </w:tc>
        <w:tc>
          <w:tcPr>
            <w:tcW w:w="2000" w:type="dxa"/>
            <w:vAlign w:val="bottom"/>
            <w:tcBorders>
              <w:top w:val="single" w:sz="8" w:color="auto"/>
              <w:bottom w:val="single" w:sz="8" w:color="00000A"/>
              <w:right w:val="single" w:sz="8" w:color="auto"/>
            </w:tcBorders>
          </w:tcPr>
          <w:p>
            <w:pPr>
              <w:jc w:val="right"/>
              <w:ind w:right="25"/>
              <w:spacing w:after="0"/>
              <w:rPr>
                <w:sz w:val="20"/>
                <w:szCs w:val="20"/>
                <w:color w:val="auto"/>
              </w:rPr>
            </w:pPr>
            <w:r>
              <w:rPr>
                <w:rFonts w:ascii="Arial" w:cs="Arial" w:eastAsia="Arial" w:hAnsi="Arial"/>
                <w:sz w:val="18"/>
                <w:szCs w:val="18"/>
                <w:i w:val="1"/>
                <w:iCs w:val="1"/>
                <w:color w:val="auto"/>
              </w:rPr>
              <w:t>31.0</w:t>
            </w:r>
          </w:p>
        </w:tc>
        <w:tc>
          <w:tcPr>
            <w:tcW w:w="1560" w:type="dxa"/>
            <w:vAlign w:val="bottom"/>
            <w:tcBorders>
              <w:top w:val="single" w:sz="8" w:color="auto"/>
              <w:bottom w:val="single" w:sz="8" w:color="00000A"/>
              <w:right w:val="single" w:sz="8" w:color="00000A"/>
            </w:tcBorders>
          </w:tcPr>
          <w:p>
            <w:pPr>
              <w:jc w:val="right"/>
              <w:ind w:right="25"/>
              <w:spacing w:after="0"/>
              <w:rPr>
                <w:sz w:val="20"/>
                <w:szCs w:val="20"/>
                <w:color w:val="auto"/>
              </w:rPr>
            </w:pPr>
            <w:r>
              <w:rPr>
                <w:rFonts w:ascii="Arial" w:cs="Arial" w:eastAsia="Arial" w:hAnsi="Arial"/>
                <w:sz w:val="18"/>
                <w:szCs w:val="18"/>
                <w:i w:val="1"/>
                <w:iCs w:val="1"/>
                <w:color w:val="auto"/>
              </w:rPr>
              <w:t>31.9</w:t>
            </w:r>
          </w:p>
        </w:tc>
        <w:tc>
          <w:tcPr>
            <w:tcW w:w="1840" w:type="dxa"/>
            <w:vAlign w:val="bottom"/>
            <w:tcBorders>
              <w:top w:val="single" w:sz="8" w:color="00000A"/>
              <w:bottom w:val="single" w:sz="8" w:color="00000A"/>
              <w:right w:val="single" w:sz="8" w:color="00000A"/>
            </w:tcBorders>
          </w:tcPr>
          <w:p>
            <w:pPr>
              <w:jc w:val="right"/>
              <w:spacing w:after="0"/>
              <w:rPr>
                <w:sz w:val="20"/>
                <w:szCs w:val="20"/>
                <w:color w:val="auto"/>
              </w:rPr>
            </w:pPr>
            <w:r>
              <w:rPr>
                <w:rFonts w:ascii="Arial" w:cs="Arial" w:eastAsia="Arial" w:hAnsi="Arial"/>
                <w:sz w:val="18"/>
                <w:szCs w:val="18"/>
                <w:i w:val="1"/>
                <w:iCs w:val="1"/>
                <w:color w:val="auto"/>
              </w:rPr>
              <w:t>(2.7%)</w:t>
            </w:r>
          </w:p>
        </w:tc>
        <w:tc>
          <w:tcPr>
            <w:tcW w:w="1720" w:type="dxa"/>
            <w:vAlign w:val="bottom"/>
            <w:tcBorders>
              <w:top w:val="single" w:sz="8" w:color="00000A"/>
              <w:bottom w:val="single" w:sz="8" w:color="00000A"/>
              <w:right w:val="single" w:sz="8" w:color="auto"/>
            </w:tcBorders>
          </w:tcPr>
          <w:p>
            <w:pPr>
              <w:jc w:val="right"/>
              <w:spacing w:after="0"/>
              <w:rPr>
                <w:sz w:val="20"/>
                <w:szCs w:val="20"/>
                <w:color w:val="auto"/>
              </w:rPr>
            </w:pPr>
            <w:r>
              <w:rPr>
                <w:rFonts w:ascii="Arial" w:cs="Arial" w:eastAsia="Arial" w:hAnsi="Arial"/>
                <w:sz w:val="18"/>
                <w:szCs w:val="18"/>
                <w:i w:val="1"/>
                <w:iCs w:val="1"/>
                <w:color w:val="auto"/>
              </w:rPr>
              <w:t>(9.5%)</w:t>
            </w:r>
          </w:p>
        </w:tc>
        <w:tc>
          <w:tcPr>
            <w:tcW w:w="0" w:type="dxa"/>
            <w:vAlign w:val="bottom"/>
          </w:tcPr>
          <w:p>
            <w:pPr>
              <w:spacing w:after="0"/>
              <w:rPr>
                <w:sz w:val="1"/>
                <w:szCs w:val="1"/>
                <w:color w:val="auto"/>
              </w:rPr>
            </w:pPr>
          </w:p>
        </w:tc>
      </w:tr>
      <w:tr>
        <w:trPr>
          <w:trHeight w:val="265"/>
        </w:trPr>
        <w:tc>
          <w:tcPr>
            <w:tcW w:w="4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Cardiac Surgery</w:t>
            </w:r>
          </w:p>
        </w:tc>
        <w:tc>
          <w:tcPr>
            <w:tcW w:w="200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156.2</w:t>
            </w:r>
          </w:p>
        </w:tc>
        <w:tc>
          <w:tcPr>
            <w:tcW w:w="1560" w:type="dxa"/>
            <w:vAlign w:val="bottom"/>
            <w:tcBorders>
              <w:bottom w:val="single" w:sz="8" w:color="00000A"/>
              <w:right w:val="single" w:sz="8" w:color="00000A"/>
            </w:tcBorders>
          </w:tcPr>
          <w:p>
            <w:pPr>
              <w:jc w:val="right"/>
              <w:ind w:right="25"/>
              <w:spacing w:after="0"/>
              <w:rPr>
                <w:sz w:val="20"/>
                <w:szCs w:val="20"/>
                <w:color w:val="auto"/>
              </w:rPr>
            </w:pPr>
            <w:r>
              <w:rPr>
                <w:rFonts w:ascii="Arial" w:cs="Arial" w:eastAsia="Arial" w:hAnsi="Arial"/>
                <w:sz w:val="20"/>
                <w:szCs w:val="20"/>
                <w:color w:val="auto"/>
              </w:rPr>
              <w:t>139.2</w:t>
            </w:r>
          </w:p>
        </w:tc>
        <w:tc>
          <w:tcPr>
            <w:tcW w:w="1840" w:type="dxa"/>
            <w:vAlign w:val="bottom"/>
            <w:tcBorders>
              <w:bottom w:val="single" w:sz="8" w:color="00000A"/>
              <w:right w:val="single" w:sz="8" w:color="00000A"/>
            </w:tcBorders>
          </w:tcPr>
          <w:p>
            <w:pPr>
              <w:jc w:val="right"/>
              <w:ind w:right="5"/>
              <w:spacing w:after="0"/>
              <w:rPr>
                <w:sz w:val="20"/>
                <w:szCs w:val="20"/>
                <w:color w:val="auto"/>
              </w:rPr>
            </w:pPr>
            <w:r>
              <w:rPr>
                <w:rFonts w:ascii="Arial" w:cs="Arial" w:eastAsia="Arial" w:hAnsi="Arial"/>
                <w:sz w:val="20"/>
                <w:szCs w:val="20"/>
                <w:color w:val="auto"/>
              </w:rPr>
              <w:t>12.2%</w:t>
            </w:r>
          </w:p>
        </w:tc>
        <w:tc>
          <w:tcPr>
            <w:tcW w:w="172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64"/>
        </w:trPr>
        <w:tc>
          <w:tcPr>
            <w:tcW w:w="4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Neuromodulation</w:t>
            </w:r>
          </w:p>
        </w:tc>
        <w:tc>
          <w:tcPr>
            <w:tcW w:w="200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93.8</w:t>
            </w:r>
          </w:p>
        </w:tc>
        <w:tc>
          <w:tcPr>
            <w:tcW w:w="1560" w:type="dxa"/>
            <w:vAlign w:val="bottom"/>
            <w:tcBorders>
              <w:bottom w:val="single" w:sz="8" w:color="00000A"/>
              <w:right w:val="single" w:sz="8" w:color="00000A"/>
            </w:tcBorders>
          </w:tcPr>
          <w:p>
            <w:pPr>
              <w:jc w:val="right"/>
              <w:ind w:right="25"/>
              <w:spacing w:after="0"/>
              <w:rPr>
                <w:sz w:val="20"/>
                <w:szCs w:val="20"/>
                <w:color w:val="auto"/>
              </w:rPr>
            </w:pPr>
            <w:r>
              <w:rPr>
                <w:rFonts w:ascii="Arial" w:cs="Arial" w:eastAsia="Arial" w:hAnsi="Arial"/>
                <w:sz w:val="20"/>
                <w:szCs w:val="20"/>
                <w:color w:val="auto"/>
              </w:rPr>
              <w:t>87.2</w:t>
            </w:r>
          </w:p>
        </w:tc>
        <w:tc>
          <w:tcPr>
            <w:tcW w:w="1840" w:type="dxa"/>
            <w:vAlign w:val="bottom"/>
            <w:tcBorders>
              <w:bottom w:val="single" w:sz="8" w:color="00000A"/>
              <w:right w:val="single" w:sz="8" w:color="00000A"/>
            </w:tcBorders>
          </w:tcPr>
          <w:p>
            <w:pPr>
              <w:jc w:val="right"/>
              <w:ind w:right="5"/>
              <w:spacing w:after="0"/>
              <w:rPr>
                <w:sz w:val="20"/>
                <w:szCs w:val="20"/>
                <w:color w:val="auto"/>
              </w:rPr>
            </w:pPr>
            <w:r>
              <w:rPr>
                <w:rFonts w:ascii="Arial" w:cs="Arial" w:eastAsia="Arial" w:hAnsi="Arial"/>
                <w:sz w:val="20"/>
                <w:szCs w:val="20"/>
                <w:color w:val="auto"/>
              </w:rPr>
              <w:t>7.7%</w:t>
            </w:r>
          </w:p>
        </w:tc>
        <w:tc>
          <w:tcPr>
            <w:tcW w:w="172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264"/>
        </w:trPr>
        <w:tc>
          <w:tcPr>
            <w:tcW w:w="4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200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0.4</w:t>
            </w:r>
          </w:p>
        </w:tc>
        <w:tc>
          <w:tcPr>
            <w:tcW w:w="1560" w:type="dxa"/>
            <w:vAlign w:val="bottom"/>
            <w:tcBorders>
              <w:bottom w:val="single" w:sz="8" w:color="00000A"/>
              <w:right w:val="single" w:sz="8" w:color="00000A"/>
            </w:tcBorders>
          </w:tcPr>
          <w:p>
            <w:pPr>
              <w:jc w:val="right"/>
              <w:ind w:right="25"/>
              <w:spacing w:after="0"/>
              <w:rPr>
                <w:sz w:val="20"/>
                <w:szCs w:val="20"/>
                <w:color w:val="auto"/>
              </w:rPr>
            </w:pPr>
            <w:r>
              <w:rPr>
                <w:rFonts w:ascii="Arial" w:cs="Arial" w:eastAsia="Arial" w:hAnsi="Arial"/>
                <w:sz w:val="20"/>
                <w:szCs w:val="20"/>
                <w:color w:val="auto"/>
              </w:rPr>
              <w:t>0.5</w:t>
            </w:r>
          </w:p>
        </w:tc>
        <w:tc>
          <w:tcPr>
            <w:tcW w:w="1840" w:type="dxa"/>
            <w:vAlign w:val="bottom"/>
            <w:tcBorders>
              <w:bottom w:val="single" w:sz="8" w:color="00000A"/>
              <w:right w:val="single" w:sz="8" w:color="00000A"/>
            </w:tcBorders>
          </w:tcPr>
          <w:p>
            <w:pPr>
              <w:jc w:val="right"/>
              <w:ind w:right="5"/>
              <w:spacing w:after="0"/>
              <w:rPr>
                <w:sz w:val="20"/>
                <w:szCs w:val="20"/>
                <w:color w:val="auto"/>
              </w:rPr>
            </w:pPr>
            <w:r>
              <w:rPr>
                <w:rFonts w:ascii="Arial" w:cs="Arial" w:eastAsia="Arial" w:hAnsi="Arial"/>
                <w:sz w:val="20"/>
                <w:szCs w:val="20"/>
                <w:color w:val="auto"/>
              </w:rPr>
              <w:t>—%</w:t>
            </w:r>
          </w:p>
        </w:tc>
        <w:tc>
          <w:tcPr>
            <w:tcW w:w="172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4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Net Sales</w:t>
            </w:r>
          </w:p>
        </w:tc>
        <w:tc>
          <w:tcPr>
            <w:tcW w:w="200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20"/>
                <w:szCs w:val="20"/>
                <w:color w:val="auto"/>
              </w:rPr>
              <w:t>$250.4</w:t>
            </w:r>
          </w:p>
        </w:tc>
        <w:tc>
          <w:tcPr>
            <w:tcW w:w="1560" w:type="dxa"/>
            <w:vAlign w:val="bottom"/>
            <w:tcBorders>
              <w:bottom w:val="single" w:sz="8" w:color="auto"/>
              <w:right w:val="single" w:sz="8" w:color="00000A"/>
            </w:tcBorders>
          </w:tcPr>
          <w:p>
            <w:pPr>
              <w:jc w:val="right"/>
              <w:ind w:right="25"/>
              <w:spacing w:after="0"/>
              <w:rPr>
                <w:sz w:val="20"/>
                <w:szCs w:val="20"/>
                <w:color w:val="auto"/>
              </w:rPr>
            </w:pPr>
            <w:r>
              <w:rPr>
                <w:rFonts w:ascii="Arial" w:cs="Arial" w:eastAsia="Arial" w:hAnsi="Arial"/>
                <w:sz w:val="20"/>
                <w:szCs w:val="20"/>
                <w:color w:val="auto"/>
              </w:rPr>
              <w:t>$226.8</w:t>
            </w:r>
          </w:p>
        </w:tc>
        <w:tc>
          <w:tcPr>
            <w:tcW w:w="1840" w:type="dxa"/>
            <w:vAlign w:val="bottom"/>
            <w:tcBorders>
              <w:bottom w:val="single" w:sz="8" w:color="auto"/>
              <w:right w:val="single" w:sz="8" w:color="00000A"/>
            </w:tcBorders>
          </w:tcPr>
          <w:p>
            <w:pPr>
              <w:jc w:val="right"/>
              <w:ind w:right="5"/>
              <w:spacing w:after="0"/>
              <w:rPr>
                <w:sz w:val="20"/>
                <w:szCs w:val="20"/>
                <w:color w:val="auto"/>
              </w:rPr>
            </w:pPr>
            <w:r>
              <w:rPr>
                <w:rFonts w:ascii="Arial" w:cs="Arial" w:eastAsia="Arial" w:hAnsi="Arial"/>
                <w:sz w:val="20"/>
                <w:szCs w:val="20"/>
                <w:color w:val="auto"/>
              </w:rPr>
              <w:t>10.4%</w:t>
            </w:r>
          </w:p>
        </w:tc>
        <w:tc>
          <w:tcPr>
            <w:tcW w:w="172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Note: Numbers may not add up precisely due to rounding. Constant currency % change is considered a non-GAAP metric.</w:t>
      </w:r>
    </w:p>
    <w:p>
      <w:pPr>
        <w:spacing w:after="0" w:line="256" w:lineRule="exact"/>
        <w:rPr>
          <w:sz w:val="20"/>
          <w:szCs w:val="20"/>
          <w:color w:val="auto"/>
        </w:rPr>
      </w:pPr>
    </w:p>
    <w:p>
      <w:pPr>
        <w:jc w:val="both"/>
        <w:ind w:right="20"/>
        <w:spacing w:after="0" w:line="370" w:lineRule="auto"/>
        <w:rPr>
          <w:sz w:val="20"/>
          <w:szCs w:val="20"/>
          <w:color w:val="auto"/>
        </w:rPr>
      </w:pPr>
      <w:r>
        <w:rPr>
          <w:rFonts w:ascii="Arial" w:cs="Arial" w:eastAsia="Arial" w:hAnsi="Arial"/>
          <w:sz w:val="20"/>
          <w:szCs w:val="20"/>
          <w:color w:val="auto"/>
        </w:rPr>
        <w:t>For discussion purposes, all sales growth rates below reflect comparable, constant currency growth. Constant currency growth accounts for the impact from fluctuations in the various currencies in which the Company operates as compared to reported growth.</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Cardiac Surgery</w:t>
      </w:r>
    </w:p>
    <w:p>
      <w:pPr>
        <w:spacing w:after="0" w:line="145"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Cardiac Surgery sales, which include cardiopulmonary products and heart valves, were $156.2 million, representing a 4.9 percent increase versus the first quarter of 2017.</w:t>
      </w:r>
    </w:p>
    <w:p>
      <w:pPr>
        <w:spacing w:after="0" w:line="339" w:lineRule="exact"/>
        <w:rPr>
          <w:sz w:val="20"/>
          <w:szCs w:val="20"/>
          <w:color w:val="auto"/>
        </w:rPr>
      </w:pPr>
    </w:p>
    <w:p>
      <w:pPr>
        <w:jc w:val="both"/>
        <w:ind w:right="20"/>
        <w:spacing w:after="0" w:line="336" w:lineRule="auto"/>
        <w:rPr>
          <w:sz w:val="20"/>
          <w:szCs w:val="20"/>
          <w:color w:val="auto"/>
        </w:rPr>
      </w:pPr>
      <w:r>
        <w:rPr>
          <w:rFonts w:ascii="Arial" w:cs="Arial" w:eastAsia="Arial" w:hAnsi="Arial"/>
          <w:sz w:val="20"/>
          <w:szCs w:val="20"/>
          <w:color w:val="auto"/>
        </w:rPr>
        <w:t>Sales in cardiopulmonary products were $125.1 million, representing a 9.1 percent increase versus the first quarter of 2017. Growth in heart-lung machines was the major contributor to favorable performance in every region, primarily due to customer upgrades from legacy S3</w:t>
      </w:r>
      <w:r>
        <w:rPr>
          <w:rFonts w:ascii="Arial" w:cs="Arial" w:eastAsia="Arial" w:hAnsi="Arial"/>
          <w:sz w:val="25"/>
          <w:szCs w:val="25"/>
          <w:color w:val="auto"/>
          <w:vertAlign w:val="superscript"/>
        </w:rPr>
        <w:t>®</w:t>
      </w:r>
      <w:r>
        <w:rPr>
          <w:rFonts w:ascii="Arial" w:cs="Arial" w:eastAsia="Arial" w:hAnsi="Arial"/>
          <w:sz w:val="20"/>
          <w:szCs w:val="20"/>
          <w:color w:val="auto"/>
        </w:rPr>
        <w:t xml:space="preserve"> to current S5 machines.</w:t>
      </w:r>
    </w:p>
    <w:p>
      <w:pPr>
        <w:spacing w:after="0" w:line="358" w:lineRule="exact"/>
        <w:rPr>
          <w:sz w:val="20"/>
          <w:szCs w:val="20"/>
          <w:color w:val="auto"/>
        </w:rPr>
      </w:pPr>
    </w:p>
    <w:p>
      <w:pPr>
        <w:jc w:val="both"/>
        <w:ind w:right="20"/>
        <w:spacing w:after="0" w:line="370" w:lineRule="auto"/>
        <w:rPr>
          <w:sz w:val="20"/>
          <w:szCs w:val="20"/>
          <w:color w:val="auto"/>
        </w:rPr>
      </w:pPr>
      <w:r>
        <w:rPr>
          <w:rFonts w:ascii="Arial" w:cs="Arial" w:eastAsia="Arial" w:hAnsi="Arial"/>
          <w:sz w:val="20"/>
          <w:szCs w:val="20"/>
          <w:color w:val="auto"/>
        </w:rPr>
        <w:t>Heart valve sales for both tissue and mechanical heart valves, were $31.0 million, a decrease of 9.5 percent compared to the first quarter of 2017. Strong growth in demand for the Perceval sutureless aortic heart valve was more than offset by the expected loss of a contract manufacturing customer and by continued declines in mechanical and traditional tissue valves.</w:t>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40"/>
          </w:cols>
          <w:pgMar w:left="240" w:top="963" w:right="21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Neuromodulation</w:t>
      </w:r>
    </w:p>
    <w:p>
      <w:pPr>
        <w:spacing w:after="0" w:line="145"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Neuromodulation sales were $93.8 million in the first quarter, representing a 6.2 percent increase versus the first quarter of 2017, driven by strong demand for the SenTiva VNS Therapy System.</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Cardiac Rhythm Management</w:t>
      </w:r>
    </w:p>
    <w:p>
      <w:pPr>
        <w:spacing w:after="0" w:line="199"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On November 20, 2017, LivaNova entered into a binding Letter of Intent for the sale of the company’s Cardiac Rhythm Management business to MicroPort Scientific Corporation. The transaction closed on April 30, 2018. All current quarter and historical financial results for this business are captured on the income statement under Discontinued Operations.</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Performance</w:t>
      </w:r>
    </w:p>
    <w:p>
      <w:pPr>
        <w:spacing w:after="0" w:line="145"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On a U.S. GAAP basis, first quarter 2018 operating income from continuing operations was $12.5 million. Adjusted operating income from continuing operations for the first quarter of 2018 was $41.5 million, a decrease of 9.6 percent as compared to the first quarter of 2017. This was primarily due to increased investments in sales and marketing activities, product innovation and clinical trials to support sales growth and gross margin expansion, and a negative impact from foreign currency.</w:t>
      </w:r>
    </w:p>
    <w:p>
      <w:pPr>
        <w:spacing w:after="0" w:line="345"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Our adjusted effective tax rate in the quarter was 15.7 percent, an improvement from 23.5 percent in the first quarter of 2017 as a result of ongoing tax efforts and the recent changes in U.S. and U.K. tax laws.</w:t>
      </w:r>
    </w:p>
    <w:p>
      <w:pPr>
        <w:spacing w:after="0" w:line="339" w:lineRule="exact"/>
        <w:rPr>
          <w:sz w:val="20"/>
          <w:szCs w:val="20"/>
          <w:color w:val="auto"/>
        </w:rPr>
      </w:pPr>
    </w:p>
    <w:p>
      <w:pPr>
        <w:jc w:val="both"/>
        <w:ind w:right="20"/>
        <w:spacing w:after="0" w:line="370" w:lineRule="auto"/>
        <w:rPr>
          <w:sz w:val="20"/>
          <w:szCs w:val="20"/>
          <w:color w:val="auto"/>
        </w:rPr>
      </w:pPr>
      <w:r>
        <w:rPr>
          <w:rFonts w:ascii="Arial" w:cs="Arial" w:eastAsia="Arial" w:hAnsi="Arial"/>
          <w:sz w:val="20"/>
          <w:szCs w:val="20"/>
          <w:color w:val="auto"/>
        </w:rPr>
        <w:t>On a U.S. GAAP basis, first quarter 2018 diluted earnings per share from continuing operations were $0.36. First quarter 2018 adjusted diluted earnings per share from continuing operations were $0.68, an increase of 1.5 percent as compared to the first quarter of 2017.</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2018 Revised Guidance</w:t>
      </w:r>
    </w:p>
    <w:p>
      <w:pPr>
        <w:spacing w:after="0" w:line="145"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Aligned with LivaNova’s strategic growth initiatives, we completed the acquisition of TandemLife on April 4, 2018. As a result of this acquisition and changes in the tax laws, certain guidance for full-year 2018 is being revised.</w:t>
      </w:r>
    </w:p>
    <w:p>
      <w:pPr>
        <w:spacing w:after="0" w:line="339"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LivaNova worldwide net sales for full-year 2018 are now expected to grow between 6 and 8 percent on a constant currency basis. Full-year 2018 effective tax rate is now expected to be in the range of 18 to 20 percent. Adjusted diluted earnings per share for 2018 are now expected to be in the range of $3.50 to $3.70.</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79"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145"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 xml:space="preserve">The Company will host a live audio webcast for interested parties commencing at 2 p.m. London time (9 a.m. Eastern Daylight Time) on Wednesday, May 2, 2018 that will be accessible through the Investor Relations section of the LivaNova corporate website at </w:t>
      </w:r>
      <w:r>
        <w:rPr>
          <w:rFonts w:ascii="Arial" w:cs="Arial" w:eastAsia="Arial" w:hAnsi="Arial"/>
          <w:sz w:val="20"/>
          <w:szCs w:val="20"/>
          <w:u w:val="single" w:color="auto"/>
          <w:color w:val="auto"/>
        </w:rPr>
        <w:t>www.livanova.com</w:t>
      </w:r>
      <w:r>
        <w:rPr>
          <w:rFonts w:ascii="Arial" w:cs="Arial" w:eastAsia="Arial" w:hAnsi="Arial"/>
          <w:sz w:val="20"/>
          <w:szCs w:val="20"/>
          <w:b w:val="1"/>
          <w:bCs w:val="1"/>
          <w:color w:val="auto"/>
        </w:rPr>
        <w:t>.</w:t>
      </w:r>
      <w:r>
        <w:rPr>
          <w:rFonts w:ascii="Arial" w:cs="Arial" w:eastAsia="Arial" w:hAnsi="Arial"/>
          <w:sz w:val="20"/>
          <w:szCs w:val="20"/>
          <w:color w:val="auto"/>
        </w:rPr>
        <w:t xml:space="preserve"> To listen to the conference call live by telephone, dial (866) 393-4306 (if dialing from within the U.S.) or (734) 385-2616 (if dialing from outside the U.S.). The conference ID is 4355139.</w:t>
      </w:r>
    </w:p>
    <w:p>
      <w:pPr>
        <w:spacing w:after="0" w:line="345"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Within 24 hours of the webcast, a replay will be available under the "News &amp; Events / Presentations" section of the Investor Relations portion of the LivaNova website, where it will be archived and accessible for approximately 12 months.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FF5C39"/>
        </w:rPr>
        <w:t>About LivaNova</w:t>
      </w:r>
    </w:p>
    <w:p>
      <w:pPr>
        <w:spacing w:after="0" w:line="216"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LivaNova has a presence in more than 100 countries worldwide. The Company currently employs more than 3,500 employees. LivaNova operates as two businesses: Cardiac Surgery and Neuromodulation, with operating headquarters in Mirandola (Italy) and Houston (U.S.A.),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 more information, please visit </w:t>
      </w:r>
      <w:r>
        <w:rPr>
          <w:rFonts w:ascii="Arial" w:cs="Arial" w:eastAsia="Arial" w:hAnsi="Arial"/>
          <w:sz w:val="20"/>
          <w:szCs w:val="20"/>
          <w:u w:val="single" w:color="auto"/>
          <w:color w:val="auto"/>
        </w:rPr>
        <w:t>www.livanova.com</w:t>
      </w:r>
      <w:r>
        <w:rPr>
          <w:rFonts w:ascii="Arial" w:cs="Arial" w:eastAsia="Arial" w:hAnsi="Arial"/>
          <w:sz w:val="20"/>
          <w:szCs w:val="20"/>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FF5C39"/>
        </w:rPr>
        <w:t>Use of Non-GAAP Financial Measures</w:t>
      </w:r>
    </w:p>
    <w:p>
      <w:pPr>
        <w:spacing w:after="0" w:line="108"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In this press release, management has disclosed financial measurements that present financial information not necessarily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212"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Unless otherwise noted, all sales growth rates in this release reflect comparable, constant currency growth. Management believes that referring to comparable, constant currency growth is the most useful way to evaluate the sales performance of LivaNova and to compare the sales performance of current periods to prior periods on a consistent basis. Constant currency growth, a non-GAAP financial measure, measures the change in sales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79"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between current and prior-year periods using average exchange rates in effect during the applicable prior-year period.</w:t>
      </w:r>
    </w:p>
    <w:p>
      <w:pPr>
        <w:spacing w:after="0" w:line="200" w:lineRule="exact"/>
        <w:rPr>
          <w:sz w:val="20"/>
          <w:szCs w:val="20"/>
          <w:color w:val="auto"/>
        </w:rPr>
      </w:pPr>
    </w:p>
    <w:p>
      <w:pPr>
        <w:spacing w:after="0" w:line="340"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The Company also believes adjusted financial measures such as adjusted diluted earnings per share, adjusted operating income and adjusted tax rate are meaningful and allow investors to evaluate the Company’s performance for different periods on a more comparable basis by adjusting for items that are not related to the ongoing operations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FF5C39"/>
        </w:rPr>
        <w:t>Safe Harbor Statement</w:t>
      </w:r>
    </w:p>
    <w:p>
      <w:pPr>
        <w:spacing w:after="0" w:line="121" w:lineRule="exact"/>
        <w:rPr>
          <w:sz w:val="20"/>
          <w:szCs w:val="20"/>
          <w:color w:val="auto"/>
        </w:rPr>
      </w:pPr>
    </w:p>
    <w:p>
      <w:pPr>
        <w:jc w:val="both"/>
        <w:spacing w:after="0" w:line="387" w:lineRule="auto"/>
        <w:rPr>
          <w:sz w:val="20"/>
          <w:szCs w:val="20"/>
          <w:color w:val="auto"/>
        </w:rPr>
      </w:pPr>
      <w:r>
        <w:rPr>
          <w:rFonts w:ascii="Arial" w:cs="Arial" w:eastAsia="Arial" w:hAnsi="Arial"/>
          <w:sz w:val="19"/>
          <w:szCs w:val="19"/>
          <w:color w:val="auto"/>
        </w:rPr>
        <w:t>Certain statements in this press release, other than purely historical information, are “forward-looking statements” within the meaning of the Private Securities Litigation Reform Act of 1995, Section 27A of the Securities Act and Section 21E of the Securities Exchange Act of 1934, as amended.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Investors are cautioned that all such statements involve risks and uncertainties, including without limitation, statements concerning achieving a stronger future, driving sustainable growth and value to our shareholders, projected net sales, adjusted diluted earnings per share, cash flow from operations, capital expenditures, and depreciation and amortization for 2018, advancing our growth, driving product launches and funding our equity investments, executing on our synergy targets and retaining our focus, energy and discipline as a company, serving the needs of our customers and patients, and delivering strong value to our shareholders. Important factors that may cause actual results to differ include, but are not limited to: (i) the inability of LivaNova to meet expectations regarding the timing, completion and accounting of tax treatments; (ii) organizational and governance structure; (iii) reductions in customer spending, a slowdown in customer payments and changes in customer demand for products and services; (iv) unanticipated changes relating to competitive factors in the industries in which LivaNova operates; (v) the ability to hire and retain key personnel; (vi) the ability to attract new customers and retain existing customers in the manner anticipated; (vii) changes in legislation 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906" w:right="239" w:bottom="1440" w:gutter="0" w:footer="0" w:header="0"/>
        </w:sectPr>
      </w:pPr>
    </w:p>
    <w:bookmarkStart w:id="8" w:name="page9"/>
    <w:bookmarkEnd w:id="8"/>
    <w:p>
      <w:pPr>
        <w:jc w:val="both"/>
        <w:spacing w:after="0" w:line="367" w:lineRule="auto"/>
        <w:rPr>
          <w:sz w:val="20"/>
          <w:szCs w:val="20"/>
          <w:color w:val="auto"/>
        </w:rPr>
      </w:pPr>
      <w:r>
        <w:rPr>
          <w:rFonts w:ascii="Arial" w:cs="Arial" w:eastAsia="Arial" w:hAnsi="Arial"/>
          <w:sz w:val="20"/>
          <w:szCs w:val="20"/>
          <w:color w:val="auto"/>
        </w:rPr>
        <w:t>governmental regulations affecting LivaNova; (viii) international, national or local economic, social or political conditions that could adversely affect LivaNova, its partners or its customers; (ix) conditions in the credit markets; (x) business and other financial risks inherent to the industries in which LivaNova operates; (xi) risks associated with assumptions made in connection with critical accounting estimates and legal proceedings; (xii) LivaNova’s international operations, which are subject to the risks of currency fluctuations and foreign exchange controls; (xiii) and the potential for international unrest, economic downturn or effects of currencies, tax assessments, tax adjustments, anticipated tax rates, raw material costs or availability, benefit or retirement plan costs, or other regulatory compliance costs. 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 other documents filed from time to time with the United States Securities and Exchange Commission by LivaNova.</w:t>
      </w:r>
    </w:p>
    <w:p>
      <w:pPr>
        <w:spacing w:after="0" w:line="211"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86"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Karen King</w:t>
      </w:r>
    </w:p>
    <w:p>
      <w:pPr>
        <w:ind w:left="80"/>
        <w:spacing w:after="0" w:line="236" w:lineRule="auto"/>
        <w:rPr>
          <w:sz w:val="20"/>
          <w:szCs w:val="20"/>
          <w:color w:val="auto"/>
        </w:rPr>
      </w:pPr>
      <w:r>
        <w:rPr>
          <w:rFonts w:ascii="Arial" w:cs="Arial" w:eastAsia="Arial" w:hAnsi="Arial"/>
          <w:sz w:val="20"/>
          <w:szCs w:val="20"/>
          <w:color w:val="auto"/>
        </w:rPr>
        <w:t>Vice President, Investor Relations &amp; Corporate Communications</w:t>
      </w:r>
    </w:p>
    <w:p>
      <w:pPr>
        <w:ind w:left="80"/>
        <w:spacing w:after="0" w:line="225" w:lineRule="auto"/>
        <w:rPr>
          <w:sz w:val="20"/>
          <w:szCs w:val="20"/>
          <w:color w:val="auto"/>
        </w:rPr>
      </w:pPr>
      <w:r>
        <w:rPr>
          <w:rFonts w:ascii="Arial" w:cs="Arial" w:eastAsia="Arial" w:hAnsi="Arial"/>
          <w:sz w:val="20"/>
          <w:szCs w:val="20"/>
          <w:color w:val="auto"/>
        </w:rPr>
        <w:t>Phone: +1 (281) 228-7262</w:t>
      </w:r>
    </w:p>
    <w:p>
      <w:pPr>
        <w:ind w:left="80"/>
        <w:spacing w:after="0" w:line="226" w:lineRule="auto"/>
        <w:rPr>
          <w:sz w:val="20"/>
          <w:szCs w:val="20"/>
          <w:color w:val="auto"/>
        </w:rPr>
      </w:pPr>
      <w:r>
        <w:rPr>
          <w:rFonts w:ascii="Arial" w:cs="Arial" w:eastAsia="Arial" w:hAnsi="Arial"/>
          <w:sz w:val="20"/>
          <w:szCs w:val="20"/>
          <w:color w:val="auto"/>
        </w:rPr>
        <w:t>Fax: +1 (281) 218-9332</w:t>
      </w:r>
    </w:p>
    <w:p>
      <w:pPr>
        <w:ind w:left="80"/>
        <w:spacing w:after="0"/>
        <w:rPr>
          <w:sz w:val="20"/>
          <w:szCs w:val="20"/>
          <w:color w:val="auto"/>
        </w:rPr>
      </w:pPr>
      <w:r>
        <w:rPr>
          <w:rFonts w:ascii="Arial" w:cs="Arial" w:eastAsia="Arial" w:hAnsi="Arial"/>
          <w:sz w:val="20"/>
          <w:szCs w:val="20"/>
          <w:color w:val="auto"/>
        </w:rPr>
        <w:t>e-mail: Corporate.Communications@LivaNova.com</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703" w:right="239" w:bottom="1440" w:gutter="0" w:footer="0" w:header="0"/>
        </w:sectPr>
      </w:pPr>
    </w:p>
    <w:bookmarkStart w:id="9" w:name="page10"/>
    <w:bookmarkEnd w:id="9"/>
    <w:p>
      <w:pPr>
        <w:ind w:left="5"/>
        <w:spacing w:after="0"/>
        <w:rPr>
          <w:sz w:val="20"/>
          <w:szCs w:val="20"/>
          <w:color w:val="auto"/>
        </w:rPr>
      </w:pPr>
      <w:r>
        <w:rPr>
          <w:rFonts w:ascii="Arial" w:cs="Arial" w:eastAsia="Arial" w:hAnsi="Arial"/>
          <w:sz w:val="18"/>
          <w:szCs w:val="18"/>
          <w:b w:val="1"/>
          <w:bCs w:val="1"/>
          <w:color w:val="auto"/>
        </w:rPr>
        <w:t>LIVANOVA PLC</w:t>
      </w:r>
    </w:p>
    <w:p>
      <w:pPr>
        <w:spacing w:after="0" w:line="5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QUARTERLY SALES</w:t>
      </w:r>
    </w:p>
    <w:p>
      <w:pPr>
        <w:spacing w:after="0" w:line="5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(U.S. dollars in millions)</w:t>
      </w:r>
    </w:p>
    <w:p>
      <w:pPr>
        <w:spacing w:after="0" w:line="189" w:lineRule="exact"/>
        <w:rPr>
          <w:sz w:val="20"/>
          <w:szCs w:val="20"/>
          <w:color w:val="auto"/>
        </w:rPr>
      </w:pPr>
    </w:p>
    <w:tbl>
      <w:tblPr>
        <w:tblLayout w:type="fixed"/>
        <w:tblInd w:w="5" w:type="dxa"/>
        <w:tblCellMar>
          <w:top w:w="0" w:type="dxa"/>
          <w:left w:w="0" w:type="dxa"/>
          <w:bottom w:w="0" w:type="dxa"/>
          <w:right w:w="0" w:type="dxa"/>
        </w:tblCellMar>
      </w:tblPr>
      <w:tr>
        <w:trPr>
          <w:trHeight w:val="241"/>
        </w:trPr>
        <w:tc>
          <w:tcPr>
            <w:tcW w:w="40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4"/>
          </w:tcPr>
          <w:p>
            <w:pPr>
              <w:ind w:left="920"/>
              <w:spacing w:after="0"/>
              <w:rPr>
                <w:sz w:val="20"/>
                <w:szCs w:val="20"/>
                <w:color w:val="auto"/>
              </w:rPr>
            </w:pPr>
            <w:r>
              <w:rPr>
                <w:rFonts w:ascii="Arial" w:cs="Arial" w:eastAsia="Arial" w:hAnsi="Arial"/>
                <w:sz w:val="16"/>
                <w:szCs w:val="16"/>
                <w:b w:val="1"/>
                <w:bCs w:val="1"/>
                <w:color w:val="auto"/>
              </w:rPr>
              <w:t>Three Months Ended March 31,</w:t>
            </w:r>
          </w:p>
        </w:tc>
        <w:tc>
          <w:tcPr>
            <w:tcW w:w="2060" w:type="dxa"/>
            <w:vAlign w:val="bottom"/>
            <w:tcBorders>
              <w:bottom w:val="single" w:sz="8" w:color="auto"/>
            </w:tcBorders>
          </w:tcPr>
          <w:p>
            <w:pPr>
              <w:spacing w:after="0"/>
              <w:rPr>
                <w:sz w:val="20"/>
                <w:szCs w:val="20"/>
                <w:color w:val="auto"/>
              </w:rPr>
            </w:pPr>
          </w:p>
        </w:tc>
      </w:tr>
      <w:tr>
        <w:trPr>
          <w:trHeight w:val="328"/>
        </w:trPr>
        <w:tc>
          <w:tcPr>
            <w:tcW w:w="4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2"/>
          </w:tcPr>
          <w:p>
            <w:pPr>
              <w:ind w:left="200"/>
              <w:spacing w:after="0"/>
              <w:rPr>
                <w:sz w:val="20"/>
                <w:szCs w:val="20"/>
                <w:color w:val="auto"/>
              </w:rPr>
            </w:pPr>
            <w:r>
              <w:rPr>
                <w:rFonts w:ascii="Arial" w:cs="Arial" w:eastAsia="Arial" w:hAnsi="Arial"/>
                <w:sz w:val="18"/>
                <w:szCs w:val="18"/>
                <w:b w:val="1"/>
                <w:bCs w:val="1"/>
                <w:color w:val="auto"/>
              </w:rPr>
              <w:t>% Change at Actual</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 Change at Constant</w:t>
            </w:r>
          </w:p>
        </w:tc>
      </w:tr>
      <w:tr>
        <w:trPr>
          <w:trHeight w:val="259"/>
        </w:trPr>
        <w:tc>
          <w:tcPr>
            <w:tcW w:w="4080" w:type="dxa"/>
            <w:vAlign w:val="bottom"/>
          </w:tcPr>
          <w:p>
            <w:pPr>
              <w:spacing w:after="0"/>
              <w:rPr>
                <w:sz w:val="22"/>
                <w:szCs w:val="22"/>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2160" w:type="dxa"/>
            <w:vAlign w:val="bottom"/>
            <w:gridSpan w:val="2"/>
          </w:tcPr>
          <w:p>
            <w:pPr>
              <w:ind w:left="360"/>
              <w:spacing w:after="0"/>
              <w:rPr>
                <w:sz w:val="20"/>
                <w:szCs w:val="20"/>
                <w:color w:val="auto"/>
              </w:rPr>
            </w:pPr>
            <w:r>
              <w:rPr>
                <w:rFonts w:ascii="Arial" w:cs="Arial" w:eastAsia="Arial" w:hAnsi="Arial"/>
                <w:sz w:val="18"/>
                <w:szCs w:val="18"/>
                <w:b w:val="1"/>
                <w:bCs w:val="1"/>
                <w:color w:val="auto"/>
              </w:rPr>
              <w:t>Currency Rates</w:t>
            </w:r>
          </w:p>
        </w:tc>
        <w:tc>
          <w:tcPr>
            <w:tcW w:w="2060" w:type="dxa"/>
            <w:vAlign w:val="bottom"/>
          </w:tcPr>
          <w:p>
            <w:pPr>
              <w:jc w:val="right"/>
              <w:ind w:right="210"/>
              <w:spacing w:after="0"/>
              <w:rPr>
                <w:sz w:val="20"/>
                <w:szCs w:val="20"/>
                <w:color w:val="auto"/>
              </w:rPr>
            </w:pPr>
            <w:r>
              <w:rPr>
                <w:rFonts w:ascii="Arial" w:cs="Arial" w:eastAsia="Arial" w:hAnsi="Arial"/>
                <w:sz w:val="18"/>
                <w:szCs w:val="18"/>
                <w:b w:val="1"/>
                <w:bCs w:val="1"/>
                <w:color w:val="auto"/>
              </w:rPr>
              <w:t>Currency Rates</w:t>
            </w:r>
            <w:r>
              <w:rPr>
                <w:rFonts w:ascii="Arial" w:cs="Arial" w:eastAsia="Arial" w:hAnsi="Arial"/>
                <w:sz w:val="21"/>
                <w:szCs w:val="21"/>
                <w:color w:val="auto"/>
                <w:vertAlign w:val="superscript"/>
              </w:rPr>
              <w:t>(1)</w:t>
            </w:r>
          </w:p>
        </w:tc>
      </w:tr>
      <w:tr>
        <w:trPr>
          <w:trHeight w:val="257"/>
        </w:trPr>
        <w:tc>
          <w:tcPr>
            <w:tcW w:w="4080" w:type="dxa"/>
            <w:vAlign w:val="bottom"/>
          </w:tcPr>
          <w:p>
            <w:pPr>
              <w:spacing w:after="0"/>
              <w:rPr>
                <w:sz w:val="20"/>
                <w:szCs w:val="20"/>
                <w:color w:val="auto"/>
              </w:rPr>
            </w:pPr>
            <w:r>
              <w:rPr>
                <w:rFonts w:ascii="Arial" w:cs="Arial" w:eastAsia="Arial" w:hAnsi="Arial"/>
                <w:sz w:val="18"/>
                <w:szCs w:val="18"/>
                <w:b w:val="1"/>
                <w:bCs w:val="1"/>
                <w:color w:val="auto"/>
              </w:rPr>
              <w:t>Cardiopulmonary</w:t>
            </w:r>
          </w:p>
        </w:tc>
        <w:tc>
          <w:tcPr>
            <w:tcW w:w="1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Borders>
              <w:top w:val="single" w:sz="8" w:color="auto"/>
            </w:tcBorders>
          </w:tcPr>
          <w:p>
            <w:pPr>
              <w:spacing w:after="0"/>
              <w:rPr>
                <w:sz w:val="22"/>
                <w:szCs w:val="22"/>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US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Europe</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7"/>
        </w:trPr>
        <w:tc>
          <w:tcPr>
            <w:tcW w:w="4080" w:type="dxa"/>
            <w:vAlign w:val="bottom"/>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44.5</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50"/>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107.3</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9.1%</w:t>
            </w:r>
          </w:p>
        </w:tc>
      </w:tr>
      <w:tr>
        <w:trPr>
          <w:trHeight w:val="446"/>
        </w:trPr>
        <w:tc>
          <w:tcPr>
            <w:tcW w:w="4080" w:type="dxa"/>
            <w:vAlign w:val="bottom"/>
          </w:tcPr>
          <w:p>
            <w:pPr>
              <w:spacing w:after="0"/>
              <w:rPr>
                <w:sz w:val="20"/>
                <w:szCs w:val="20"/>
                <w:color w:val="auto"/>
              </w:rPr>
            </w:pPr>
            <w:r>
              <w:rPr>
                <w:rFonts w:ascii="Arial" w:cs="Arial" w:eastAsia="Arial" w:hAnsi="Arial"/>
                <w:sz w:val="18"/>
                <w:szCs w:val="18"/>
                <w:b w:val="1"/>
                <w:bCs w:val="1"/>
                <w:color w:val="auto"/>
              </w:rPr>
              <w:t>Heart Valves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US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Europe</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7"/>
        </w:trPr>
        <w:tc>
          <w:tcPr>
            <w:tcW w:w="4080" w:type="dxa"/>
            <w:vAlign w:val="bottom"/>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50"/>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(9.5%)</w:t>
            </w:r>
          </w:p>
        </w:tc>
      </w:tr>
      <w:tr>
        <w:trPr>
          <w:trHeight w:val="446"/>
        </w:trPr>
        <w:tc>
          <w:tcPr>
            <w:tcW w:w="4080" w:type="dxa"/>
            <w:vAlign w:val="bottom"/>
          </w:tcPr>
          <w:p>
            <w:pPr>
              <w:spacing w:after="0"/>
              <w:rPr>
                <w:sz w:val="20"/>
                <w:szCs w:val="20"/>
                <w:color w:val="auto"/>
              </w:rPr>
            </w:pPr>
            <w:r>
              <w:rPr>
                <w:rFonts w:ascii="Arial" w:cs="Arial" w:eastAsia="Arial" w:hAnsi="Arial"/>
                <w:sz w:val="18"/>
                <w:szCs w:val="18"/>
                <w:b w:val="1"/>
                <w:bCs w:val="1"/>
                <w:color w:val="auto"/>
              </w:rPr>
              <w:t>Cardiac Surgery</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US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Europe</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7"/>
        </w:trPr>
        <w:tc>
          <w:tcPr>
            <w:tcW w:w="4080" w:type="dxa"/>
            <w:vAlign w:val="bottom"/>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60.0</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50"/>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139.2</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4.9%</w:t>
            </w:r>
          </w:p>
        </w:tc>
      </w:tr>
      <w:tr>
        <w:trPr>
          <w:trHeight w:val="446"/>
        </w:trPr>
        <w:tc>
          <w:tcPr>
            <w:tcW w:w="4080" w:type="dxa"/>
            <w:vAlign w:val="bottom"/>
          </w:tcPr>
          <w:p>
            <w:pPr>
              <w:spacing w:after="0"/>
              <w:rPr>
                <w:sz w:val="20"/>
                <w:szCs w:val="20"/>
                <w:color w:val="auto"/>
              </w:rPr>
            </w:pPr>
            <w:r>
              <w:rPr>
                <w:rFonts w:ascii="Arial" w:cs="Arial" w:eastAsia="Arial" w:hAnsi="Arial"/>
                <w:sz w:val="18"/>
                <w:szCs w:val="18"/>
                <w:b w:val="1"/>
                <w:bCs w:val="1"/>
                <w:color w:val="auto"/>
              </w:rPr>
              <w:t>Neuromodulation</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US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73.7</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Europe</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7"/>
        </w:trPr>
        <w:tc>
          <w:tcPr>
            <w:tcW w:w="4080" w:type="dxa"/>
            <w:vAlign w:val="bottom"/>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87.2</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6.2%</w:t>
            </w:r>
          </w:p>
        </w:tc>
      </w:tr>
      <w:tr>
        <w:trPr>
          <w:trHeight w:val="446"/>
        </w:trPr>
        <w:tc>
          <w:tcPr>
            <w:tcW w:w="408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US</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Europe</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77"/>
        </w:trPr>
        <w:tc>
          <w:tcPr>
            <w:tcW w:w="4080" w:type="dxa"/>
            <w:vAlign w:val="bottom"/>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50"/>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446"/>
        </w:trPr>
        <w:tc>
          <w:tcPr>
            <w:tcW w:w="408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US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111.9</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Europe</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7"/>
        </w:trPr>
        <w:tc>
          <w:tcPr>
            <w:tcW w:w="4080" w:type="dxa"/>
            <w:vAlign w:val="bottom"/>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66.0</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$250.4</w:t>
            </w:r>
          </w:p>
        </w:tc>
        <w:tc>
          <w:tcPr>
            <w:tcW w:w="12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$226.8</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10.4%</w:t>
            </w:r>
          </w:p>
        </w:tc>
        <w:tc>
          <w:tcPr>
            <w:tcW w:w="100" w:type="dxa"/>
            <w:vAlign w:val="bottom"/>
          </w:tcPr>
          <w:p>
            <w:pPr>
              <w:spacing w:after="0"/>
              <w:rPr>
                <w:sz w:val="22"/>
                <w:szCs w:val="22"/>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5.3%</w:t>
            </w:r>
          </w:p>
        </w:tc>
      </w:tr>
      <w:tr>
        <w:trPr>
          <w:trHeight w:val="20"/>
        </w:trPr>
        <w:tc>
          <w:tcPr>
            <w:tcW w:w="40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61" w:lineRule="exact"/>
        <w:rPr>
          <w:sz w:val="20"/>
          <w:szCs w:val="20"/>
          <w:color w:val="auto"/>
        </w:rPr>
      </w:pPr>
    </w:p>
    <w:p>
      <w:pPr>
        <w:ind w:left="5"/>
        <w:spacing w:after="0"/>
        <w:rPr>
          <w:sz w:val="20"/>
          <w:szCs w:val="20"/>
          <w:color w:val="auto"/>
        </w:rPr>
      </w:pPr>
      <w:r>
        <w:rPr>
          <w:rFonts w:ascii="Arial" w:cs="Arial" w:eastAsia="Arial" w:hAnsi="Arial"/>
          <w:sz w:val="14"/>
          <w:szCs w:val="14"/>
          <w:color w:val="auto"/>
        </w:rPr>
        <w:t>* The sales results presented are unaudited. Numbers may not add up precisely due to rounding.</w:t>
      </w:r>
    </w:p>
    <w:p>
      <w:pPr>
        <w:spacing w:after="0" w:line="86" w:lineRule="exact"/>
        <w:rPr>
          <w:sz w:val="20"/>
          <w:szCs w:val="20"/>
          <w:color w:val="auto"/>
        </w:rPr>
      </w:pPr>
    </w:p>
    <w:p>
      <w:pPr>
        <w:ind w:left="145" w:hanging="145"/>
        <w:spacing w:after="0"/>
        <w:tabs>
          <w:tab w:leader="none" w:pos="145" w:val="left"/>
        </w:tabs>
        <w:numPr>
          <w:ilvl w:val="0"/>
          <w:numId w:val="4"/>
        </w:numPr>
        <w:rPr>
          <w:rFonts w:ascii="Arial" w:cs="Arial" w:eastAsia="Arial" w:hAnsi="Arial"/>
          <w:sz w:val="17"/>
          <w:szCs w:val="17"/>
          <w:color w:val="auto"/>
          <w:vertAlign w:val="superscript"/>
        </w:rPr>
      </w:pPr>
      <w:r>
        <w:rPr>
          <w:rFonts w:ascii="Arial" w:cs="Arial" w:eastAsia="Arial" w:hAnsi="Arial"/>
          <w:sz w:val="14"/>
          <w:szCs w:val="14"/>
          <w:color w:val="auto"/>
        </w:rPr>
        <w:t>Constant currency is a non-GAAP measure.</w:t>
      </w:r>
    </w:p>
    <w:p>
      <w:pPr>
        <w:spacing w:after="0" w:line="262" w:lineRule="exact"/>
        <w:rPr>
          <w:sz w:val="20"/>
          <w:szCs w:val="20"/>
          <w:color w:val="auto"/>
        </w:rPr>
      </w:pPr>
    </w:p>
    <w:p>
      <w:pPr>
        <w:jc w:val="center"/>
        <w:ind w:right="15"/>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85"/>
          </w:cols>
          <w:pgMar w:left="275" w:top="778" w:right="2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LIVANOVA PLC AND SUBSIDIARIES</w:t>
      </w:r>
    </w:p>
    <w:p>
      <w:pPr>
        <w:spacing w:after="0" w:line="40" w:lineRule="exact"/>
        <w:rPr>
          <w:sz w:val="20"/>
          <w:szCs w:val="20"/>
          <w:color w:val="auto"/>
        </w:rPr>
      </w:pPr>
    </w:p>
    <w:p>
      <w:pPr>
        <w:spacing w:after="0" w:line="343" w:lineRule="auto"/>
        <w:rPr>
          <w:sz w:val="20"/>
          <w:szCs w:val="20"/>
          <w:color w:val="auto"/>
        </w:rPr>
      </w:pPr>
      <w:r>
        <w:rPr>
          <w:rFonts w:ascii="Arial" w:cs="Arial" w:eastAsia="Arial" w:hAnsi="Arial"/>
          <w:sz w:val="19"/>
          <w:szCs w:val="19"/>
          <w:b w:val="1"/>
          <w:bCs w:val="1"/>
          <w:color w:val="auto"/>
        </w:rPr>
        <w:t>CONSOLIDATED STATEMENTS OF INCOME - UNAUDITED (U.S.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Net sales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Cost of sales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Product remediation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Gross profit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Research and development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Merger and integration expenses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Restructuring expenses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Amortization of intangibles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expenses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from continuing operations</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Gain on acquisition of ImThera Medical, Inc.</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Foreign exchange and other (losses) gains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Income from continuing operations before tax</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Income tax expense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Losses from equity method investments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 income from continuing operations</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Net loss from discontinued operations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Basic income (loss) per common share: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Continuing operations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Discontinued operations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Diluted income (loss) per common share: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Continuing operations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Discontinued operations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common shares outstanding</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Basic</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Diluted</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(1)</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21"/>
          <w:szCs w:val="21"/>
          <w:color w:val="auto"/>
          <w:vertAlign w:val="superscript"/>
        </w:rPr>
        <w:t>(1)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21"/>
          <w:szCs w:val="21"/>
          <w:color w:val="auto"/>
          <w:vertAlign w:val="superscript"/>
        </w:rPr>
        <w:t>(1)</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Adjusted operating income from continuing operations </w:t>
      </w:r>
      <w:r>
        <w:rPr>
          <w:rFonts w:ascii="Arial" w:cs="Arial" w:eastAsia="Arial" w:hAnsi="Arial"/>
          <w:sz w:val="21"/>
          <w:szCs w:val="21"/>
          <w:color w:val="auto"/>
          <w:vertAlign w:val="superscript"/>
        </w:rPr>
        <w:t>(1)</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Adjusted income from continuing operations, net of tax </w:t>
      </w:r>
      <w:r>
        <w:rPr>
          <w:rFonts w:ascii="Arial" w:cs="Arial" w:eastAsia="Arial" w:hAnsi="Arial"/>
          <w:sz w:val="21"/>
          <w:szCs w:val="21"/>
          <w:color w:val="auto"/>
          <w:vertAlign w:val="superscript"/>
        </w:rPr>
        <w:t>(1)</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Adjusted diluted earnings per share from continuing operations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Borders>
              <w:bottom w:val="single" w:sz="8" w:color="auto"/>
            </w:tcBorders>
            <w:gridSpan w:val="3"/>
          </w:tcPr>
          <w:p>
            <w:pPr>
              <w:jc w:val="right"/>
              <w:ind w:right="438"/>
              <w:spacing w:after="0"/>
              <w:rPr>
                <w:sz w:val="20"/>
                <w:szCs w:val="20"/>
                <w:color w:val="auto"/>
              </w:rPr>
            </w:pPr>
            <w:r>
              <w:rPr>
                <w:rFonts w:ascii="Arial" w:cs="Arial" w:eastAsia="Arial" w:hAnsi="Arial"/>
                <w:sz w:val="16"/>
                <w:szCs w:val="16"/>
                <w:b w:val="1"/>
                <w:bCs w:val="1"/>
                <w:color w:val="auto"/>
              </w:rPr>
              <w:t>Three Months Ended March 31,</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70"/>
        </w:trPr>
        <w:tc>
          <w:tcPr>
            <w:tcW w:w="1700" w:type="dxa"/>
            <w:vAlign w:val="bottom"/>
            <w:tcBorders>
              <w:bottom w:val="single" w:sz="8" w:color="auto"/>
            </w:tcBorders>
          </w:tcPr>
          <w:p>
            <w:pPr>
              <w:jc w:val="right"/>
              <w:ind w:right="598"/>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3"/>
                <w:szCs w:val="23"/>
                <w:color w:val="auto"/>
              </w:rPr>
            </w:pPr>
          </w:p>
        </w:tc>
        <w:tc>
          <w:tcPr>
            <w:tcW w:w="1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color w:val="auto"/>
                <w:vertAlign w:val="superscript"/>
              </w:rPr>
              <w:t>(1)</w:t>
            </w:r>
          </w:p>
        </w:tc>
      </w:tr>
      <w:tr>
        <w:trPr>
          <w:trHeight w:val="433"/>
        </w:trPr>
        <w:tc>
          <w:tcPr>
            <w:tcW w:w="1700" w:type="dxa"/>
            <w:vAlign w:val="bottom"/>
          </w:tcPr>
          <w:p>
            <w:pPr>
              <w:jc w:val="right"/>
              <w:ind w:right="38"/>
              <w:spacing w:after="0"/>
              <w:rPr>
                <w:sz w:val="20"/>
                <w:szCs w:val="20"/>
                <w:color w:val="auto"/>
              </w:rPr>
            </w:pPr>
            <w:r>
              <w:rPr>
                <w:rFonts w:ascii="Arial" w:cs="Arial" w:eastAsia="Arial" w:hAnsi="Arial"/>
                <w:sz w:val="16"/>
                <w:szCs w:val="16"/>
                <w:color w:val="auto"/>
              </w:rPr>
              <w:t>$250.4</w:t>
            </w:r>
          </w:p>
        </w:tc>
        <w:tc>
          <w:tcPr>
            <w:tcW w:w="100" w:type="dxa"/>
            <w:vAlign w:val="bottom"/>
          </w:tcPr>
          <w:p>
            <w:pPr>
              <w:spacing w:after="0"/>
              <w:rPr>
                <w:sz w:val="24"/>
                <w:szCs w:val="24"/>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$226.8</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0"/>
        </w:trPr>
        <w:tc>
          <w:tcPr>
            <w:tcW w:w="1700" w:type="dxa"/>
            <w:vAlign w:val="bottom"/>
          </w:tcPr>
          <w:p>
            <w:pPr>
              <w:jc w:val="right"/>
              <w:ind w:right="38"/>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83"/>
        </w:trPr>
        <w:tc>
          <w:tcPr>
            <w:tcW w:w="17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250"/>
        </w:trPr>
        <w:tc>
          <w:tcPr>
            <w:tcW w:w="1700" w:type="dxa"/>
            <w:vAlign w:val="bottom"/>
          </w:tcPr>
          <w:p>
            <w:pPr>
              <w:jc w:val="right"/>
              <w:ind w:right="38"/>
              <w:spacing w:after="0"/>
              <w:rPr>
                <w:sz w:val="20"/>
                <w:szCs w:val="20"/>
                <w:color w:val="auto"/>
              </w:rPr>
            </w:pPr>
            <w:r>
              <w:rPr>
                <w:rFonts w:ascii="Arial" w:cs="Arial" w:eastAsia="Arial" w:hAnsi="Arial"/>
                <w:sz w:val="16"/>
                <w:szCs w:val="16"/>
                <w:color w:val="auto"/>
              </w:rPr>
              <w:t>162.1</w:t>
            </w:r>
          </w:p>
        </w:tc>
        <w:tc>
          <w:tcPr>
            <w:tcW w:w="100" w:type="dxa"/>
            <w:vAlign w:val="bottom"/>
          </w:tcPr>
          <w:p>
            <w:pPr>
              <w:spacing w:after="0"/>
              <w:rPr>
                <w:sz w:val="21"/>
                <w:szCs w:val="21"/>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147.6</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9.8%</w:t>
            </w:r>
          </w:p>
        </w:tc>
      </w:tr>
      <w:tr>
        <w:trPr>
          <w:trHeight w:val="683"/>
        </w:trPr>
        <w:tc>
          <w:tcPr>
            <w:tcW w:w="17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24"/>
                <w:szCs w:val="24"/>
                <w:color w:val="auto"/>
              </w:rPr>
            </w:pPr>
          </w:p>
        </w:tc>
        <w:tc>
          <w:tcPr>
            <w:tcW w:w="16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r>
      <w:tr>
        <w:trPr>
          <w:trHeight w:val="270"/>
        </w:trPr>
        <w:tc>
          <w:tcPr>
            <w:tcW w:w="1700" w:type="dxa"/>
            <w:vAlign w:val="bottom"/>
          </w:tcPr>
          <w:p>
            <w:pPr>
              <w:jc w:val="right"/>
              <w:ind w:right="38"/>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1700" w:type="dxa"/>
            <w:vAlign w:val="bottom"/>
          </w:tcPr>
          <w:p>
            <w:pPr>
              <w:jc w:val="right"/>
              <w:ind w:right="38"/>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1700" w:type="dxa"/>
            <w:vAlign w:val="bottom"/>
          </w:tcPr>
          <w:p>
            <w:pPr>
              <w:jc w:val="right"/>
              <w:ind w:right="38"/>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83"/>
        </w:trPr>
        <w:tc>
          <w:tcPr>
            <w:tcW w:w="17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250"/>
        </w:trPr>
        <w:tc>
          <w:tcPr>
            <w:tcW w:w="1700" w:type="dxa"/>
            <w:vAlign w:val="bottom"/>
          </w:tcPr>
          <w:p>
            <w:pPr>
              <w:jc w:val="right"/>
              <w:ind w:right="38"/>
              <w:spacing w:after="0"/>
              <w:rPr>
                <w:sz w:val="20"/>
                <w:szCs w:val="20"/>
                <w:color w:val="auto"/>
              </w:rPr>
            </w:pPr>
            <w:r>
              <w:rPr>
                <w:rFonts w:ascii="Arial" w:cs="Arial" w:eastAsia="Arial" w:hAnsi="Arial"/>
                <w:sz w:val="16"/>
                <w:szCs w:val="16"/>
                <w:color w:val="auto"/>
              </w:rPr>
              <w:t>149.6</w:t>
            </w:r>
          </w:p>
        </w:tc>
        <w:tc>
          <w:tcPr>
            <w:tcW w:w="100" w:type="dxa"/>
            <w:vAlign w:val="bottom"/>
          </w:tcPr>
          <w:p>
            <w:pPr>
              <w:spacing w:after="0"/>
              <w:rPr>
                <w:sz w:val="21"/>
                <w:szCs w:val="21"/>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127.9</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17.0%</w:t>
            </w:r>
          </w:p>
        </w:tc>
      </w:tr>
      <w:tr>
        <w:trPr>
          <w:trHeight w:val="189"/>
        </w:trPr>
        <w:tc>
          <w:tcPr>
            <w:tcW w:w="170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top w:val="single" w:sz="8" w:color="auto"/>
              <w:bottom w:val="single" w:sz="8" w:color="auto"/>
            </w:tcBorders>
          </w:tcPr>
          <w:p>
            <w:pPr>
              <w:spacing w:after="0"/>
              <w:rPr>
                <w:sz w:val="16"/>
                <w:szCs w:val="16"/>
                <w:color w:val="auto"/>
              </w:rPr>
            </w:pPr>
          </w:p>
        </w:tc>
      </w:tr>
      <w:tr>
        <w:trPr>
          <w:trHeight w:val="244"/>
        </w:trPr>
        <w:tc>
          <w:tcPr>
            <w:tcW w:w="1700" w:type="dxa"/>
            <w:vAlign w:val="bottom"/>
          </w:tcPr>
          <w:p>
            <w:pPr>
              <w:jc w:val="right"/>
              <w:ind w:right="38"/>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1"/>
                <w:szCs w:val="21"/>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19.7</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(36.5%)</w:t>
            </w:r>
          </w:p>
        </w:tc>
      </w:tr>
      <w:tr>
        <w:trPr>
          <w:trHeight w:val="386"/>
        </w:trPr>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4"/>
                <w:szCs w:val="24"/>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r>
      <w:tr>
        <w:trPr>
          <w:trHeight w:val="270"/>
        </w:trPr>
        <w:tc>
          <w:tcPr>
            <w:tcW w:w="1700" w:type="dxa"/>
            <w:vAlign w:val="bottom"/>
          </w:tcPr>
          <w:p>
            <w:pPr>
              <w:jc w:val="right"/>
              <w:ind w:right="38"/>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83"/>
        </w:trPr>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250"/>
        </w:trPr>
        <w:tc>
          <w:tcPr>
            <w:tcW w:w="1700" w:type="dxa"/>
            <w:vAlign w:val="bottom"/>
          </w:tcPr>
          <w:p>
            <w:pPr>
              <w:jc w:val="right"/>
              <w:ind w:right="38"/>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1"/>
                <w:szCs w:val="21"/>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20.9</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5.7%</w:t>
            </w:r>
          </w:p>
        </w:tc>
      </w:tr>
      <w:tr>
        <w:trPr>
          <w:trHeight w:val="413"/>
        </w:trPr>
        <w:tc>
          <w:tcPr>
            <w:tcW w:w="17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4"/>
                <w:szCs w:val="24"/>
                <w:color w:val="auto"/>
              </w:rPr>
            </w:pPr>
          </w:p>
        </w:tc>
        <w:tc>
          <w:tcPr>
            <w:tcW w:w="16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r>
      <w:tr>
        <w:trPr>
          <w:trHeight w:val="283"/>
        </w:trPr>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250"/>
        </w:trPr>
        <w:tc>
          <w:tcPr>
            <w:tcW w:w="1700" w:type="dxa"/>
            <w:vAlign w:val="bottom"/>
          </w:tcPr>
          <w:p>
            <w:pPr>
              <w:jc w:val="right"/>
              <w:ind w:right="38"/>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1"/>
                <w:szCs w:val="21"/>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13.2</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34.8%</w:t>
            </w:r>
          </w:p>
        </w:tc>
      </w:tr>
      <w:tr>
        <w:trPr>
          <w:trHeight w:val="270"/>
        </w:trPr>
        <w:tc>
          <w:tcPr>
            <w:tcW w:w="1700" w:type="dxa"/>
            <w:vAlign w:val="bottom"/>
            <w:tcBorders>
              <w:top w:val="single" w:sz="8" w:color="auto"/>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Borders>
              <w:top w:val="single" w:sz="8" w:color="auto"/>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Borders>
              <w:top w:val="single" w:sz="8" w:color="auto"/>
              <w:bottom w:val="single" w:sz="8" w:color="auto"/>
            </w:tcBorders>
          </w:tcPr>
          <w:p>
            <w:pPr>
              <w:spacing w:after="0"/>
              <w:rPr>
                <w:sz w:val="23"/>
                <w:szCs w:val="23"/>
                <w:color w:val="auto"/>
              </w:rPr>
            </w:pPr>
          </w:p>
        </w:tc>
      </w:tr>
      <w:tr>
        <w:trPr>
          <w:trHeight w:val="244"/>
        </w:trPr>
        <w:tc>
          <w:tcPr>
            <w:tcW w:w="17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125.0%</w:t>
            </w:r>
          </w:p>
        </w:tc>
      </w:tr>
      <w:tr>
        <w:trPr>
          <w:trHeight w:val="176"/>
        </w:trPr>
        <w:tc>
          <w:tcPr>
            <w:tcW w:w="170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top w:val="single" w:sz="8" w:color="auto"/>
              <w:bottom w:val="single" w:sz="8" w:color="auto"/>
            </w:tcBorders>
          </w:tcPr>
          <w:p>
            <w:pPr>
              <w:spacing w:after="0"/>
              <w:rPr>
                <w:sz w:val="15"/>
                <w:szCs w:val="15"/>
                <w:color w:val="auto"/>
              </w:rPr>
            </w:pPr>
          </w:p>
        </w:tc>
      </w:tr>
      <w:tr>
        <w:trPr>
          <w:trHeight w:val="301"/>
        </w:trPr>
        <w:tc>
          <w:tcPr>
            <w:tcW w:w="17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$11.3</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17.7%</w:t>
            </w:r>
          </w:p>
        </w:tc>
      </w:tr>
      <w:tr>
        <w:trPr>
          <w:trHeight w:val="774"/>
        </w:trPr>
        <w:tc>
          <w:tcPr>
            <w:tcW w:w="17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24"/>
                <w:szCs w:val="24"/>
                <w:color w:val="auto"/>
              </w:rPr>
            </w:pPr>
          </w:p>
        </w:tc>
        <w:tc>
          <w:tcPr>
            <w:tcW w:w="16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r>
      <w:tr>
        <w:trPr>
          <w:trHeight w:val="283"/>
        </w:trPr>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64"/>
        </w:trPr>
        <w:tc>
          <w:tcPr>
            <w:tcW w:w="17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22"/>
                <w:szCs w:val="22"/>
                <w:color w:val="auto"/>
              </w:rPr>
            </w:pP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683"/>
        </w:trPr>
        <w:tc>
          <w:tcPr>
            <w:tcW w:w="1700" w:type="dxa"/>
            <w:vAlign w:val="bottom"/>
          </w:tcPr>
          <w:p>
            <w:pPr>
              <w:jc w:val="right"/>
              <w:ind w:right="38"/>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24"/>
                <w:szCs w:val="24"/>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83"/>
        </w:trPr>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64"/>
        </w:trPr>
        <w:tc>
          <w:tcPr>
            <w:tcW w:w="17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22"/>
                <w:szCs w:val="22"/>
                <w:color w:val="auto"/>
              </w:rPr>
            </w:pP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662"/>
        </w:trPr>
        <w:tc>
          <w:tcPr>
            <w:tcW w:w="1700" w:type="dxa"/>
            <w:vAlign w:val="bottom"/>
          </w:tcPr>
          <w:p>
            <w:pPr>
              <w:jc w:val="right"/>
              <w:ind w:right="38"/>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4"/>
                <w:szCs w:val="24"/>
                <w:color w:val="auto"/>
              </w:rPr>
            </w:pPr>
          </w:p>
        </w:tc>
        <w:tc>
          <w:tcPr>
            <w:tcW w:w="1680" w:type="dxa"/>
            <w:vAlign w:val="bottom"/>
          </w:tcPr>
          <w:p>
            <w:pPr>
              <w:jc w:val="right"/>
              <w:ind w:right="18"/>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0"/>
        </w:trPr>
        <w:tc>
          <w:tcPr>
            <w:tcW w:w="1700" w:type="dxa"/>
            <w:vAlign w:val="bottom"/>
          </w:tcPr>
          <w:p>
            <w:pPr>
              <w:jc w:val="right"/>
              <w:ind w:right="38"/>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440"/>
        </w:trPr>
        <w:tc>
          <w:tcPr>
            <w:tcW w:w="1700" w:type="dxa"/>
            <w:vAlign w:val="bottom"/>
          </w:tcPr>
          <w:p>
            <w:pPr>
              <w:jc w:val="right"/>
              <w:ind w:right="38"/>
              <w:spacing w:after="0"/>
              <w:rPr>
                <w:sz w:val="20"/>
                <w:szCs w:val="20"/>
                <w:color w:val="auto"/>
              </w:rPr>
            </w:pPr>
            <w:r>
              <w:rPr>
                <w:rFonts w:ascii="Arial" w:cs="Arial" w:eastAsia="Arial" w:hAnsi="Arial"/>
                <w:sz w:val="16"/>
                <w:szCs w:val="16"/>
                <w:color w:val="auto"/>
              </w:rPr>
              <w:t>$167.4</w:t>
            </w:r>
          </w:p>
        </w:tc>
        <w:tc>
          <w:tcPr>
            <w:tcW w:w="100" w:type="dxa"/>
            <w:vAlign w:val="bottom"/>
          </w:tcPr>
          <w:p>
            <w:pPr>
              <w:spacing w:after="0"/>
              <w:rPr>
                <w:sz w:val="24"/>
                <w:szCs w:val="24"/>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$148.0</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13.1%</w:t>
            </w:r>
          </w:p>
        </w:tc>
      </w:tr>
      <w:tr>
        <w:trPr>
          <w:trHeight w:val="270"/>
        </w:trPr>
        <w:tc>
          <w:tcPr>
            <w:tcW w:w="1700" w:type="dxa"/>
            <w:vAlign w:val="bottom"/>
          </w:tcPr>
          <w:p>
            <w:pPr>
              <w:jc w:val="right"/>
              <w:ind w:right="38"/>
              <w:spacing w:after="0"/>
              <w:rPr>
                <w:sz w:val="20"/>
                <w:szCs w:val="20"/>
                <w:color w:val="auto"/>
              </w:rPr>
            </w:pPr>
            <w:r>
              <w:rPr>
                <w:rFonts w:ascii="Arial" w:cs="Arial" w:eastAsia="Arial" w:hAnsi="Arial"/>
                <w:sz w:val="16"/>
                <w:szCs w:val="16"/>
                <w:color w:val="auto"/>
              </w:rPr>
              <w:t>96.8</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81.9</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18.2%</w:t>
            </w:r>
          </w:p>
        </w:tc>
      </w:tr>
      <w:tr>
        <w:trPr>
          <w:trHeight w:val="270"/>
        </w:trPr>
        <w:tc>
          <w:tcPr>
            <w:tcW w:w="1700" w:type="dxa"/>
            <w:vAlign w:val="bottom"/>
          </w:tcPr>
          <w:p>
            <w:pPr>
              <w:jc w:val="right"/>
              <w:ind w:right="38"/>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20.2</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44.1%</w:t>
            </w:r>
          </w:p>
        </w:tc>
      </w:tr>
      <w:tr>
        <w:trPr>
          <w:trHeight w:val="270"/>
        </w:trPr>
        <w:tc>
          <w:tcPr>
            <w:tcW w:w="1700" w:type="dxa"/>
            <w:vAlign w:val="bottom"/>
          </w:tcPr>
          <w:p>
            <w:pPr>
              <w:jc w:val="right"/>
              <w:ind w:right="38"/>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45.9</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(9.6%)</w:t>
            </w:r>
          </w:p>
        </w:tc>
      </w:tr>
      <w:tr>
        <w:trPr>
          <w:trHeight w:val="270"/>
        </w:trPr>
        <w:tc>
          <w:tcPr>
            <w:tcW w:w="1700" w:type="dxa"/>
            <w:vAlign w:val="bottom"/>
          </w:tcPr>
          <w:p>
            <w:pPr>
              <w:jc w:val="right"/>
              <w:ind w:right="38"/>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32.4</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3.7%</w:t>
            </w:r>
          </w:p>
        </w:tc>
      </w:tr>
      <w:tr>
        <w:trPr>
          <w:trHeight w:val="270"/>
        </w:trPr>
        <w:tc>
          <w:tcPr>
            <w:tcW w:w="1700" w:type="dxa"/>
            <w:vAlign w:val="bottom"/>
          </w:tcPr>
          <w:p>
            <w:pPr>
              <w:jc w:val="right"/>
              <w:ind w:right="38"/>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$0.67</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1.5%</w:t>
            </w:r>
          </w:p>
        </w:tc>
      </w:tr>
    </w:tbl>
    <w:p>
      <w:pPr>
        <w:spacing w:after="0" w:line="246" w:lineRule="exact"/>
        <w:rPr>
          <w:sz w:val="20"/>
          <w:szCs w:val="20"/>
          <w:color w:val="auto"/>
        </w:rPr>
      </w:pPr>
    </w:p>
    <w:p>
      <w:pPr>
        <w:sectPr>
          <w:pgSz w:w="11900" w:h="16838" w:orient="portrait"/>
          <w:cols w:equalWidth="0" w:num="2">
            <w:col w:w="5440" w:space="520"/>
            <w:col w:w="5420"/>
          </w:cols>
          <w:pgMar w:left="280" w:top="774" w:right="239" w:bottom="570" w:gutter="0" w:footer="0" w:header="0"/>
        </w:sect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380"/>
          </w:cols>
          <w:pgMar w:left="280" w:top="774" w:right="239" w:bottom="57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3"/>
                <w:szCs w:val="23"/>
                <w:color w:val="auto"/>
              </w:rPr>
            </w:pPr>
          </w:p>
        </w:tc>
        <w:tc>
          <w:tcPr>
            <w:tcW w:w="3640" w:type="dxa"/>
            <w:vAlign w:val="bottom"/>
            <w:gridSpan w:val="4"/>
          </w:tcPr>
          <w:p>
            <w:pPr>
              <w:jc w:val="right"/>
              <w:ind w:right="39"/>
              <w:spacing w:after="0"/>
              <w:rPr>
                <w:sz w:val="20"/>
                <w:szCs w:val="20"/>
                <w:color w:val="auto"/>
              </w:rPr>
            </w:pPr>
            <w:r>
              <w:rPr>
                <w:rFonts w:ascii="Arial" w:cs="Arial" w:eastAsia="Arial" w:hAnsi="Arial"/>
                <w:sz w:val="16"/>
                <w:szCs w:val="16"/>
                <w:color w:val="auto"/>
              </w:rPr>
              <w:t>GAAP Three Months Ended March 31,</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60" w:type="dxa"/>
            <w:vAlign w:val="bottom"/>
            <w:gridSpan w:val="3"/>
          </w:tcPr>
          <w:p>
            <w:pPr>
              <w:jc w:val="right"/>
              <w:ind w:right="479"/>
              <w:spacing w:after="0"/>
              <w:rPr>
                <w:sz w:val="20"/>
                <w:szCs w:val="20"/>
                <w:color w:val="auto"/>
              </w:rPr>
            </w:pPr>
            <w:r>
              <w:rPr>
                <w:rFonts w:ascii="Arial" w:cs="Arial" w:eastAsia="Arial" w:hAnsi="Arial"/>
                <w:sz w:val="16"/>
                <w:szCs w:val="16"/>
                <w:color w:val="auto"/>
              </w:rPr>
              <w:t xml:space="preserve">Adjusted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Three Months Ended March 31,</w:t>
            </w:r>
          </w:p>
        </w:tc>
      </w:tr>
      <w:tr>
        <w:trPr>
          <w:trHeight w:val="208"/>
        </w:trPr>
        <w:tc>
          <w:tcPr>
            <w:tcW w:w="2760" w:type="dxa"/>
            <w:vAlign w:val="bottom"/>
          </w:tcPr>
          <w:p>
            <w:pPr>
              <w:spacing w:after="0"/>
              <w:rPr>
                <w:sz w:val="18"/>
                <w:szCs w:val="18"/>
                <w:color w:val="auto"/>
              </w:rPr>
            </w:pP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2018</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2017</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20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2017</w:t>
            </w:r>
          </w:p>
        </w:tc>
      </w:tr>
      <w:tr>
        <w:trPr>
          <w:trHeight w:val="237"/>
        </w:trPr>
        <w:tc>
          <w:tcPr>
            <w:tcW w:w="414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680" w:type="dxa"/>
            <w:vAlign w:val="bottom"/>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65.2%</w:t>
            </w:r>
          </w:p>
        </w:tc>
      </w:tr>
      <w:tr>
        <w:trPr>
          <w:trHeight w:val="270"/>
        </w:trPr>
        <w:tc>
          <w:tcPr>
            <w:tcW w:w="4140" w:type="dxa"/>
            <w:vAlign w:val="bottom"/>
            <w:gridSpan w:val="2"/>
          </w:tcPr>
          <w:p>
            <w:pPr>
              <w:spacing w:after="0"/>
              <w:rPr>
                <w:sz w:val="20"/>
                <w:szCs w:val="20"/>
                <w:color w:val="auto"/>
              </w:rPr>
            </w:pPr>
            <w:r>
              <w:rPr>
                <w:rFonts w:ascii="Arial" w:cs="Arial" w:eastAsia="Arial" w:hAnsi="Arial"/>
                <w:sz w:val="16"/>
                <w:szCs w:val="16"/>
                <w:color w:val="auto"/>
              </w:rPr>
              <w:t>SG&amp;A</w:t>
            </w:r>
          </w:p>
        </w:tc>
        <w:tc>
          <w:tcPr>
            <w:tcW w:w="68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70"/>
        </w:trPr>
        <w:tc>
          <w:tcPr>
            <w:tcW w:w="4140" w:type="dxa"/>
            <w:vAlign w:val="bottom"/>
            <w:gridSpan w:val="2"/>
          </w:tcPr>
          <w:p>
            <w:pPr>
              <w:spacing w:after="0"/>
              <w:rPr>
                <w:sz w:val="20"/>
                <w:szCs w:val="20"/>
                <w:color w:val="auto"/>
              </w:rPr>
            </w:pPr>
            <w:r>
              <w:rPr>
                <w:rFonts w:ascii="Arial" w:cs="Arial" w:eastAsia="Arial" w:hAnsi="Arial"/>
                <w:sz w:val="16"/>
                <w:szCs w:val="16"/>
                <w:color w:val="auto"/>
              </w:rPr>
              <w:t>R&amp;D</w:t>
            </w:r>
          </w:p>
        </w:tc>
        <w:tc>
          <w:tcPr>
            <w:tcW w:w="68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38"/>
        </w:trPr>
        <w:tc>
          <w:tcPr>
            <w:tcW w:w="4140" w:type="dxa"/>
            <w:vAlign w:val="bottom"/>
            <w:gridSpan w:val="2"/>
          </w:tcPr>
          <w:p>
            <w:pPr>
              <w:spacing w:after="0"/>
              <w:rPr>
                <w:sz w:val="20"/>
                <w:szCs w:val="20"/>
                <w:color w:val="auto"/>
              </w:rPr>
            </w:pPr>
            <w:r>
              <w:rPr>
                <w:rFonts w:ascii="Arial" w:cs="Arial" w:eastAsia="Arial" w:hAnsi="Arial"/>
                <w:sz w:val="16"/>
                <w:szCs w:val="16"/>
                <w:color w:val="auto"/>
              </w:rPr>
              <w:t>Operating income from continuing</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195"/>
        </w:trPr>
        <w:tc>
          <w:tcPr>
            <w:tcW w:w="4140" w:type="dxa"/>
            <w:vAlign w:val="bottom"/>
            <w:gridSpan w:val="2"/>
          </w:tcPr>
          <w:p>
            <w:pPr>
              <w:spacing w:after="0"/>
              <w:rPr>
                <w:sz w:val="20"/>
                <w:szCs w:val="20"/>
                <w:color w:val="auto"/>
              </w:rPr>
            </w:pPr>
            <w:r>
              <w:rPr>
                <w:rFonts w:ascii="Arial" w:cs="Arial" w:eastAsia="Arial" w:hAnsi="Arial"/>
                <w:sz w:val="16"/>
                <w:szCs w:val="16"/>
                <w:color w:val="auto"/>
              </w:rPr>
              <w:t>operations</w:t>
            </w:r>
          </w:p>
        </w:tc>
        <w:tc>
          <w:tcPr>
            <w:tcW w:w="6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238"/>
        </w:trPr>
        <w:tc>
          <w:tcPr>
            <w:tcW w:w="4140" w:type="dxa"/>
            <w:vAlign w:val="bottom"/>
            <w:gridSpan w:val="2"/>
          </w:tcPr>
          <w:p>
            <w:pPr>
              <w:spacing w:after="0"/>
              <w:rPr>
                <w:sz w:val="20"/>
                <w:szCs w:val="20"/>
                <w:color w:val="auto"/>
              </w:rPr>
            </w:pPr>
            <w:r>
              <w:rPr>
                <w:rFonts w:ascii="Arial" w:cs="Arial" w:eastAsia="Arial" w:hAnsi="Arial"/>
                <w:sz w:val="16"/>
                <w:szCs w:val="16"/>
                <w:color w:val="auto"/>
              </w:rPr>
              <w:t>Income from continuing operations,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195"/>
        </w:trPr>
        <w:tc>
          <w:tcPr>
            <w:tcW w:w="4140" w:type="dxa"/>
            <w:vAlign w:val="bottom"/>
            <w:gridSpan w:val="2"/>
          </w:tcPr>
          <w:p>
            <w:pPr>
              <w:spacing w:after="0"/>
              <w:rPr>
                <w:sz w:val="20"/>
                <w:szCs w:val="20"/>
                <w:color w:val="auto"/>
              </w:rPr>
            </w:pPr>
            <w:r>
              <w:rPr>
                <w:rFonts w:ascii="Arial" w:cs="Arial" w:eastAsia="Arial" w:hAnsi="Arial"/>
                <w:sz w:val="16"/>
                <w:szCs w:val="16"/>
                <w:color w:val="auto"/>
              </w:rPr>
              <w:t>net of tax</w:t>
            </w:r>
          </w:p>
        </w:tc>
        <w:tc>
          <w:tcPr>
            <w:tcW w:w="68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70"/>
        </w:trPr>
        <w:tc>
          <w:tcPr>
            <w:tcW w:w="414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68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23.5%</w:t>
            </w:r>
          </w:p>
        </w:tc>
      </w:tr>
    </w:tbl>
    <w:p>
      <w:pPr>
        <w:spacing w:after="0" w:line="240" w:lineRule="exact"/>
        <w:rPr>
          <w:sz w:val="20"/>
          <w:szCs w:val="20"/>
          <w:color w:val="auto"/>
        </w:rPr>
      </w:pPr>
    </w:p>
    <w:p>
      <w:pPr>
        <w:ind w:left="420" w:right="360" w:hanging="324"/>
        <w:spacing w:after="0" w:line="258" w:lineRule="auto"/>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86" w:lineRule="exact"/>
        <w:rPr>
          <w:sz w:val="20"/>
          <w:szCs w:val="20"/>
          <w:color w:val="auto"/>
        </w:rPr>
      </w:pPr>
    </w:p>
    <w:p>
      <w:pPr>
        <w:ind w:left="420" w:hanging="264"/>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80"/>
          </w:cols>
          <w:pgMar w:left="280" w:top="792" w:right="239" w:bottom="1440" w:gutter="0" w:footer="0" w:header="0"/>
        </w:sectPr>
      </w:pPr>
    </w:p>
    <w:bookmarkStart w:id="12" w:name="page13"/>
    <w:bookmarkEnd w:id="12"/>
    <w:p>
      <w:pPr>
        <w:ind w:left="40" w:right="5040"/>
        <w:spacing w:after="0" w:line="357" w:lineRule="auto"/>
        <w:rPr>
          <w:sz w:val="20"/>
          <w:szCs w:val="20"/>
          <w:color w:val="auto"/>
        </w:rPr>
      </w:pPr>
      <w:r>
        <w:rPr>
          <w:rFonts w:ascii="Arial" w:cs="Arial" w:eastAsia="Arial" w:hAnsi="Arial"/>
          <w:sz w:val="16"/>
          <w:szCs w:val="16"/>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611"/>
              <w:spacing w:after="0"/>
              <w:rPr>
                <w:sz w:val="20"/>
                <w:szCs w:val="20"/>
                <w:color w:val="auto"/>
              </w:rPr>
            </w:pPr>
            <w:r>
              <w:rPr>
                <w:rFonts w:ascii="Arial" w:cs="Arial" w:eastAsia="Arial" w:hAnsi="Arial"/>
                <w:sz w:val="13"/>
                <w:szCs w:val="13"/>
                <w:b w:val="1"/>
                <w:bCs w:val="1"/>
                <w:color w:val="auto"/>
                <w:w w:val="96"/>
              </w:rPr>
              <w:t>Specified Items</w:t>
            </w:r>
          </w:p>
        </w:tc>
        <w:tc>
          <w:tcPr>
            <w:tcW w:w="9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4"/>
              </w:rPr>
              <w:t>Non-</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Merger</w:t>
            </w:r>
          </w:p>
        </w:tc>
        <w:tc>
          <w:tcPr>
            <w:tcW w:w="8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Depreciation</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recurring</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8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Product</w:t>
            </w:r>
          </w:p>
        </w:tc>
        <w:tc>
          <w:tcPr>
            <w:tcW w:w="7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Legal and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Stock-based</w:t>
            </w:r>
          </w:p>
        </w:tc>
        <w:tc>
          <w:tcPr>
            <w:tcW w:w="8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Certain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GAAP</w:t>
            </w:r>
          </w:p>
        </w:tc>
        <w:tc>
          <w:tcPr>
            <w:tcW w:w="3940" w:type="dxa"/>
            <w:vAlign w:val="bottom"/>
            <w:gridSpan w:val="5"/>
          </w:tcPr>
          <w:p>
            <w:pPr>
              <w:jc w:val="right"/>
              <w:spacing w:after="0" w:line="135" w:lineRule="exact"/>
              <w:rPr>
                <w:sz w:val="20"/>
                <w:szCs w:val="20"/>
                <w:color w:val="auto"/>
              </w:rPr>
            </w:pPr>
            <w:r>
              <w:rPr>
                <w:rFonts w:ascii="Arial" w:cs="Arial" w:eastAsia="Arial" w:hAnsi="Arial"/>
                <w:sz w:val="13"/>
                <w:szCs w:val="13"/>
                <w:b w:val="1"/>
                <w:bCs w:val="1"/>
                <w:color w:val="auto"/>
                <w:w w:val="98"/>
              </w:rPr>
              <w:t>Integration Restructuring Amortization Remediation Acquisition</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Contingent</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880" w:type="dxa"/>
            <w:vAlign w:val="bottom"/>
          </w:tcPr>
          <w:p>
            <w:pPr>
              <w:jc w:val="right"/>
              <w:ind w:right="53"/>
              <w:spacing w:after="0" w:line="135" w:lineRule="exact"/>
              <w:rPr>
                <w:sz w:val="20"/>
                <w:szCs w:val="20"/>
                <w:color w:val="auto"/>
              </w:rPr>
            </w:pPr>
            <w:r>
              <w:rPr>
                <w:rFonts w:ascii="Arial" w:cs="Arial" w:eastAsia="Arial" w:hAnsi="Arial"/>
                <w:sz w:val="13"/>
                <w:szCs w:val="13"/>
                <w:b w:val="1"/>
                <w:bCs w:val="1"/>
                <w:color w:val="auto"/>
              </w:rPr>
              <w:t>Certain Tax</w:t>
            </w:r>
          </w:p>
        </w:tc>
        <w:tc>
          <w:tcPr>
            <w:tcW w:w="74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97"/>
              </w:rPr>
              <w:t>Interest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Adjusted</w:t>
            </w:r>
          </w:p>
        </w:tc>
        <w:tc>
          <w:tcPr>
            <w:tcW w:w="0" w:type="dxa"/>
            <w:vAlign w:val="bottom"/>
          </w:tcPr>
          <w:p>
            <w:pPr>
              <w:spacing w:after="0"/>
              <w:rPr>
                <w:sz w:val="1"/>
                <w:szCs w:val="1"/>
                <w:color w:val="auto"/>
              </w:rPr>
            </w:pPr>
          </w:p>
        </w:tc>
      </w:tr>
      <w:tr>
        <w:trPr>
          <w:trHeight w:val="135"/>
        </w:trPr>
        <w:tc>
          <w:tcPr>
            <w:tcW w:w="2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2018</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Financial</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Expenses</w:t>
            </w:r>
          </w:p>
        </w:tc>
        <w:tc>
          <w:tcPr>
            <w:tcW w:w="82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rPr>
              <w:t>Expenses</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Expenses</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Expenses</w:t>
            </w:r>
          </w:p>
        </w:tc>
        <w:tc>
          <w:tcPr>
            <w:tcW w:w="72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auto"/>
              </w:rPr>
              <w:t>Costs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Consideration</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Costs</w:t>
            </w:r>
          </w:p>
        </w:tc>
        <w:tc>
          <w:tcPr>
            <w:tcW w:w="16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8"/>
              </w:rPr>
              <w:t>Adjustments Adjustments</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Financial</w:t>
            </w:r>
          </w:p>
        </w:tc>
        <w:tc>
          <w:tcPr>
            <w:tcW w:w="0" w:type="dxa"/>
            <w:vAlign w:val="bottom"/>
          </w:tcPr>
          <w:p>
            <w:pPr>
              <w:spacing w:after="0"/>
              <w:rPr>
                <w:sz w:val="1"/>
                <w:szCs w:val="1"/>
                <w:color w:val="auto"/>
              </w:rPr>
            </w:pPr>
          </w:p>
        </w:tc>
      </w:tr>
      <w:tr>
        <w:trPr>
          <w:trHeight w:val="178"/>
        </w:trPr>
        <w:tc>
          <w:tcPr>
            <w:tcW w:w="27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w:t>
            </w: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(B)</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w:t>
            </w: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(H)</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0" w:type="dxa"/>
            <w:vAlign w:val="bottom"/>
          </w:tcPr>
          <w:p>
            <w:pPr>
              <w:spacing w:after="0"/>
              <w:rPr>
                <w:sz w:val="1"/>
                <w:szCs w:val="1"/>
                <w:color w:val="auto"/>
              </w:rPr>
            </w:pPr>
          </w:p>
        </w:tc>
      </w:tr>
      <w:tr>
        <w:trPr>
          <w:trHeight w:val="258"/>
        </w:trPr>
        <w:tc>
          <w:tcPr>
            <w:tcW w:w="2720" w:type="dxa"/>
            <w:vAlign w:val="bottom"/>
          </w:tcPr>
          <w:p>
            <w:pPr>
              <w:ind w:left="40"/>
              <w:spacing w:after="0"/>
              <w:rPr>
                <w:sz w:val="20"/>
                <w:szCs w:val="20"/>
                <w:color w:val="auto"/>
              </w:rPr>
            </w:pPr>
            <w:r>
              <w:rPr>
                <w:rFonts w:ascii="Arial" w:cs="Arial" w:eastAsia="Arial" w:hAnsi="Arial"/>
                <w:sz w:val="14"/>
                <w:szCs w:val="14"/>
                <w:color w:val="auto"/>
              </w:rPr>
              <w:t>Net sales</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$250.4</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$250.4</w:t>
            </w:r>
          </w:p>
        </w:tc>
        <w:tc>
          <w:tcPr>
            <w:tcW w:w="0" w:type="dxa"/>
            <w:vAlign w:val="bottom"/>
          </w:tcPr>
          <w:p>
            <w:pPr>
              <w:spacing w:after="0"/>
              <w:rPr>
                <w:sz w:val="1"/>
                <w:szCs w:val="1"/>
                <w:color w:val="auto"/>
              </w:rPr>
            </w:pPr>
          </w:p>
        </w:tc>
      </w:tr>
      <w:tr>
        <w:trPr>
          <w:trHeight w:val="270"/>
        </w:trPr>
        <w:tc>
          <w:tcPr>
            <w:tcW w:w="2720" w:type="dxa"/>
            <w:vAlign w:val="bottom"/>
          </w:tcPr>
          <w:p>
            <w:pPr>
              <w:ind w:left="40"/>
              <w:spacing w:after="0"/>
              <w:rPr>
                <w:sz w:val="20"/>
                <w:szCs w:val="20"/>
                <w:color w:val="auto"/>
              </w:rPr>
            </w:pPr>
            <w:r>
              <w:rPr>
                <w:rFonts w:ascii="Arial" w:cs="Arial" w:eastAsia="Arial" w:hAnsi="Arial"/>
                <w:sz w:val="14"/>
                <w:szCs w:val="14"/>
                <w:color w:val="auto"/>
              </w:rPr>
              <w:t>Cost of sales</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84.6</w:t>
            </w: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jc w:val="center"/>
              <w:ind w:left="310"/>
              <w:spacing w:after="0"/>
              <w:rPr>
                <w:sz w:val="20"/>
                <w:szCs w:val="20"/>
                <w:color w:val="auto"/>
              </w:rPr>
            </w:pPr>
            <w:r>
              <w:rPr>
                <w:rFonts w:ascii="Arial" w:cs="Arial" w:eastAsia="Arial" w:hAnsi="Arial"/>
                <w:sz w:val="14"/>
                <w:szCs w:val="14"/>
                <w:color w:val="auto"/>
                <w:w w:val="97"/>
              </w:rPr>
              <w:t>(0.8)</w:t>
            </w: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00" w:type="dxa"/>
            <w:vAlign w:val="bottom"/>
          </w:tcPr>
          <w:p>
            <w:pPr>
              <w:jc w:val="center"/>
              <w:ind w:left="411"/>
              <w:spacing w:after="0"/>
              <w:rPr>
                <w:sz w:val="20"/>
                <w:szCs w:val="20"/>
                <w:color w:val="auto"/>
              </w:rPr>
            </w:pPr>
            <w:r>
              <w:rPr>
                <w:rFonts w:ascii="Arial" w:cs="Arial" w:eastAsia="Arial" w:hAnsi="Arial"/>
                <w:sz w:val="14"/>
                <w:szCs w:val="14"/>
                <w:color w:val="auto"/>
              </w:rPr>
              <w:t>(0.6)</w:t>
            </w:r>
          </w:p>
        </w:tc>
        <w:tc>
          <w:tcPr>
            <w:tcW w:w="920" w:type="dxa"/>
            <w:vAlign w:val="bottom"/>
          </w:tcPr>
          <w:p>
            <w:pPr>
              <w:jc w:val="center"/>
              <w:ind w:left="431"/>
              <w:spacing w:after="0"/>
              <w:rPr>
                <w:sz w:val="20"/>
                <w:szCs w:val="20"/>
                <w:color w:val="auto"/>
              </w:rPr>
            </w:pPr>
            <w:r>
              <w:rPr>
                <w:rFonts w:ascii="Arial" w:cs="Arial" w:eastAsia="Arial" w:hAnsi="Arial"/>
                <w:sz w:val="14"/>
                <w:szCs w:val="14"/>
                <w:color w:val="auto"/>
              </w:rPr>
              <w:t>(0.3)</w:t>
            </w: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276"/>
        </w:trPr>
        <w:tc>
          <w:tcPr>
            <w:tcW w:w="2720" w:type="dxa"/>
            <w:vAlign w:val="bottom"/>
          </w:tcPr>
          <w:p>
            <w:pPr>
              <w:ind w:left="40"/>
              <w:spacing w:after="0"/>
              <w:rPr>
                <w:sz w:val="20"/>
                <w:szCs w:val="20"/>
                <w:color w:val="auto"/>
              </w:rPr>
            </w:pPr>
            <w:r>
              <w:rPr>
                <w:rFonts w:ascii="Arial" w:cs="Arial" w:eastAsia="Arial" w:hAnsi="Arial"/>
                <w:sz w:val="14"/>
                <w:szCs w:val="14"/>
                <w:color w:val="auto"/>
              </w:rPr>
              <w:t>Product remediation</w:t>
            </w: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3.7</w:t>
            </w: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left="251"/>
              <w:spacing w:after="0"/>
              <w:rPr>
                <w:sz w:val="20"/>
                <w:szCs w:val="20"/>
                <w:color w:val="auto"/>
              </w:rPr>
            </w:pPr>
            <w:r>
              <w:rPr>
                <w:rFonts w:ascii="Arial" w:cs="Arial" w:eastAsia="Arial" w:hAnsi="Arial"/>
                <w:sz w:val="14"/>
                <w:szCs w:val="14"/>
                <w:color w:val="auto"/>
              </w:rPr>
              <w:t>(3.7)</w:t>
            </w: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720" w:type="dxa"/>
            <w:vAlign w:val="bottom"/>
          </w:tcPr>
          <w:p>
            <w:pPr>
              <w:ind w:left="280"/>
              <w:spacing w:after="0"/>
              <w:rPr>
                <w:sz w:val="20"/>
                <w:szCs w:val="20"/>
                <w:color w:val="auto"/>
              </w:rPr>
            </w:pPr>
            <w:r>
              <w:rPr>
                <w:rFonts w:ascii="Arial" w:cs="Arial" w:eastAsia="Arial" w:hAnsi="Arial"/>
                <w:sz w:val="14"/>
                <w:szCs w:val="14"/>
                <w:color w:val="auto"/>
              </w:rPr>
              <w:t>Gross profit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162.1</w:t>
            </w: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jc w:val="center"/>
              <w:ind w:left="310"/>
              <w:spacing w:after="0"/>
              <w:rPr>
                <w:sz w:val="20"/>
                <w:szCs w:val="20"/>
                <w:color w:val="auto"/>
              </w:rPr>
            </w:pPr>
            <w:r>
              <w:rPr>
                <w:rFonts w:ascii="Arial" w:cs="Arial" w:eastAsia="Arial" w:hAnsi="Arial"/>
                <w:sz w:val="14"/>
                <w:szCs w:val="14"/>
                <w:color w:val="auto"/>
              </w:rPr>
              <w:t>0.8</w:t>
            </w:r>
          </w:p>
        </w:tc>
        <w:tc>
          <w:tcPr>
            <w:tcW w:w="780" w:type="dxa"/>
            <w:vAlign w:val="bottom"/>
          </w:tcPr>
          <w:p>
            <w:pPr>
              <w:jc w:val="center"/>
              <w:ind w:left="271"/>
              <w:spacing w:after="0"/>
              <w:rPr>
                <w:sz w:val="20"/>
                <w:szCs w:val="20"/>
                <w:color w:val="auto"/>
              </w:rPr>
            </w:pPr>
            <w:r>
              <w:rPr>
                <w:rFonts w:ascii="Arial" w:cs="Arial" w:eastAsia="Arial" w:hAnsi="Arial"/>
                <w:sz w:val="14"/>
                <w:szCs w:val="14"/>
                <w:color w:val="auto"/>
              </w:rPr>
              <w:t>3.7</w:t>
            </w:r>
          </w:p>
        </w:tc>
        <w:tc>
          <w:tcPr>
            <w:tcW w:w="720" w:type="dxa"/>
            <w:vAlign w:val="bottom"/>
          </w:tcPr>
          <w:p>
            <w:pPr>
              <w:spacing w:after="0"/>
              <w:rPr>
                <w:sz w:val="17"/>
                <w:szCs w:val="17"/>
                <w:color w:val="auto"/>
              </w:rPr>
            </w:pPr>
          </w:p>
        </w:tc>
        <w:tc>
          <w:tcPr>
            <w:tcW w:w="900" w:type="dxa"/>
            <w:vAlign w:val="bottom"/>
          </w:tcPr>
          <w:p>
            <w:pPr>
              <w:jc w:val="center"/>
              <w:ind w:left="431"/>
              <w:spacing w:after="0"/>
              <w:rPr>
                <w:sz w:val="20"/>
                <w:szCs w:val="20"/>
                <w:color w:val="auto"/>
              </w:rPr>
            </w:pPr>
            <w:r>
              <w:rPr>
                <w:rFonts w:ascii="Arial" w:cs="Arial" w:eastAsia="Arial" w:hAnsi="Arial"/>
                <w:sz w:val="14"/>
                <w:szCs w:val="14"/>
                <w:color w:val="auto"/>
              </w:rPr>
              <w:t>0.6</w:t>
            </w:r>
          </w:p>
        </w:tc>
        <w:tc>
          <w:tcPr>
            <w:tcW w:w="920" w:type="dxa"/>
            <w:vAlign w:val="bottom"/>
          </w:tcPr>
          <w:p>
            <w:pPr>
              <w:jc w:val="center"/>
              <w:ind w:left="411"/>
              <w:spacing w:after="0"/>
              <w:rPr>
                <w:sz w:val="20"/>
                <w:szCs w:val="20"/>
                <w:color w:val="auto"/>
              </w:rPr>
            </w:pPr>
            <w:r>
              <w:rPr>
                <w:rFonts w:ascii="Arial" w:cs="Arial" w:eastAsia="Arial" w:hAnsi="Arial"/>
                <w:sz w:val="14"/>
                <w:szCs w:val="14"/>
                <w:color w:val="auto"/>
              </w:rPr>
              <w:t>0.3</w:t>
            </w: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270"/>
        </w:trPr>
        <w:tc>
          <w:tcPr>
            <w:tcW w:w="27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2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104.2</w:t>
            </w: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jc w:val="center"/>
              <w:ind w:left="310"/>
              <w:spacing w:after="0"/>
              <w:rPr>
                <w:sz w:val="20"/>
                <w:szCs w:val="20"/>
                <w:color w:val="auto"/>
              </w:rPr>
            </w:pPr>
            <w:r>
              <w:rPr>
                <w:rFonts w:ascii="Arial" w:cs="Arial" w:eastAsia="Arial" w:hAnsi="Arial"/>
                <w:sz w:val="14"/>
                <w:szCs w:val="14"/>
                <w:color w:val="auto"/>
                <w:w w:val="97"/>
              </w:rPr>
              <w:t>(0.2)</w:t>
            </w:r>
          </w:p>
        </w:tc>
        <w:tc>
          <w:tcPr>
            <w:tcW w:w="7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(0.4)</w:t>
            </w:r>
          </w:p>
        </w:tc>
        <w:tc>
          <w:tcPr>
            <w:tcW w:w="900" w:type="dxa"/>
            <w:vAlign w:val="bottom"/>
          </w:tcPr>
          <w:p>
            <w:pPr>
              <w:jc w:val="center"/>
              <w:ind w:left="411"/>
              <w:spacing w:after="0"/>
              <w:rPr>
                <w:sz w:val="20"/>
                <w:szCs w:val="20"/>
                <w:color w:val="auto"/>
              </w:rPr>
            </w:pPr>
            <w:r>
              <w:rPr>
                <w:rFonts w:ascii="Arial" w:cs="Arial" w:eastAsia="Arial" w:hAnsi="Arial"/>
                <w:sz w:val="14"/>
                <w:szCs w:val="14"/>
                <w:color w:val="auto"/>
              </w:rPr>
              <w:t>(3.4)</w:t>
            </w:r>
          </w:p>
        </w:tc>
        <w:tc>
          <w:tcPr>
            <w:tcW w:w="920" w:type="dxa"/>
            <w:vAlign w:val="bottom"/>
          </w:tcPr>
          <w:p>
            <w:pPr>
              <w:jc w:val="center"/>
              <w:ind w:left="431"/>
              <w:spacing w:after="0"/>
              <w:rPr>
                <w:sz w:val="20"/>
                <w:szCs w:val="20"/>
                <w:color w:val="auto"/>
              </w:rPr>
            </w:pPr>
            <w:r>
              <w:rPr>
                <w:rFonts w:ascii="Arial" w:cs="Arial" w:eastAsia="Arial" w:hAnsi="Arial"/>
                <w:sz w:val="14"/>
                <w:szCs w:val="14"/>
                <w:color w:val="auto"/>
              </w:rPr>
              <w:t>(3.3)</w:t>
            </w: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r>
        <w:trPr>
          <w:trHeight w:val="270"/>
        </w:trPr>
        <w:tc>
          <w:tcPr>
            <w:tcW w:w="272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31.8</w:t>
            </w: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jc w:val="center"/>
              <w:ind w:left="310"/>
              <w:spacing w:after="0"/>
              <w:rPr>
                <w:sz w:val="20"/>
                <w:szCs w:val="20"/>
                <w:color w:val="auto"/>
              </w:rPr>
            </w:pPr>
            <w:r>
              <w:rPr>
                <w:rFonts w:ascii="Arial" w:cs="Arial" w:eastAsia="Arial" w:hAnsi="Arial"/>
                <w:sz w:val="14"/>
                <w:szCs w:val="14"/>
                <w:color w:val="auto"/>
                <w:w w:val="97"/>
              </w:rPr>
              <w:t>(0.1)</w:t>
            </w:r>
          </w:p>
        </w:tc>
        <w:tc>
          <w:tcPr>
            <w:tcW w:w="7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(1.3)</w:t>
            </w:r>
          </w:p>
        </w:tc>
        <w:tc>
          <w:tcPr>
            <w:tcW w:w="900" w:type="dxa"/>
            <w:vAlign w:val="bottom"/>
          </w:tcPr>
          <w:p>
            <w:pPr>
              <w:jc w:val="center"/>
              <w:ind w:left="411"/>
              <w:spacing w:after="0"/>
              <w:rPr>
                <w:sz w:val="20"/>
                <w:szCs w:val="20"/>
                <w:color w:val="auto"/>
              </w:rPr>
            </w:pPr>
            <w:r>
              <w:rPr>
                <w:rFonts w:ascii="Arial" w:cs="Arial" w:eastAsia="Arial" w:hAnsi="Arial"/>
                <w:sz w:val="14"/>
                <w:szCs w:val="14"/>
                <w:color w:val="auto"/>
              </w:rPr>
              <w:t>(0.2)</w:t>
            </w:r>
          </w:p>
        </w:tc>
        <w:tc>
          <w:tcPr>
            <w:tcW w:w="920" w:type="dxa"/>
            <w:vAlign w:val="bottom"/>
          </w:tcPr>
          <w:p>
            <w:pPr>
              <w:jc w:val="center"/>
              <w:ind w:left="431"/>
              <w:spacing w:after="0"/>
              <w:rPr>
                <w:sz w:val="20"/>
                <w:szCs w:val="20"/>
                <w:color w:val="auto"/>
              </w:rPr>
            </w:pPr>
            <w:r>
              <w:rPr>
                <w:rFonts w:ascii="Arial" w:cs="Arial" w:eastAsia="Arial" w:hAnsi="Arial"/>
                <w:sz w:val="14"/>
                <w:szCs w:val="14"/>
                <w:color w:val="auto"/>
              </w:rPr>
              <w:t>(1.2)</w:t>
            </w: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70"/>
        </w:trPr>
        <w:tc>
          <w:tcPr>
            <w:tcW w:w="2720" w:type="dxa"/>
            <w:vAlign w:val="bottom"/>
          </w:tcPr>
          <w:p>
            <w:pPr>
              <w:ind w:left="180"/>
              <w:spacing w:after="0"/>
              <w:rPr>
                <w:sz w:val="20"/>
                <w:szCs w:val="20"/>
                <w:color w:val="auto"/>
              </w:rPr>
            </w:pPr>
            <w:r>
              <w:rPr>
                <w:rFonts w:ascii="Arial" w:cs="Arial" w:eastAsia="Arial" w:hAnsi="Arial"/>
                <w:sz w:val="14"/>
                <w:szCs w:val="14"/>
                <w:color w:val="auto"/>
              </w:rPr>
              <w:t>Merger and integration expenses</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760" w:type="dxa"/>
            <w:vAlign w:val="bottom"/>
          </w:tcPr>
          <w:p>
            <w:pPr>
              <w:jc w:val="center"/>
              <w:ind w:left="172"/>
              <w:spacing w:after="0"/>
              <w:rPr>
                <w:sz w:val="20"/>
                <w:szCs w:val="20"/>
                <w:color w:val="auto"/>
              </w:rPr>
            </w:pPr>
            <w:r>
              <w:rPr>
                <w:rFonts w:ascii="Arial" w:cs="Arial" w:eastAsia="Arial" w:hAnsi="Arial"/>
                <w:sz w:val="14"/>
                <w:szCs w:val="14"/>
                <w:color w:val="auto"/>
                <w:w w:val="97"/>
              </w:rPr>
              <w:t>(3.0)</w:t>
            </w:r>
          </w:p>
        </w:tc>
        <w:tc>
          <w:tcPr>
            <w:tcW w:w="8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720" w:type="dxa"/>
            <w:vAlign w:val="bottom"/>
          </w:tcPr>
          <w:p>
            <w:pPr>
              <w:ind w:left="180"/>
              <w:spacing w:after="0"/>
              <w:rPr>
                <w:sz w:val="20"/>
                <w:szCs w:val="20"/>
                <w:color w:val="auto"/>
              </w:rPr>
            </w:pPr>
            <w:r>
              <w:rPr>
                <w:rFonts w:ascii="Arial" w:cs="Arial" w:eastAsia="Arial" w:hAnsi="Arial"/>
                <w:sz w:val="14"/>
                <w:szCs w:val="14"/>
                <w:color w:val="auto"/>
              </w:rPr>
              <w:t>Restructuring expenses</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1.9</w:t>
            </w:r>
          </w:p>
        </w:tc>
        <w:tc>
          <w:tcPr>
            <w:tcW w:w="7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w:t>
            </w: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20" w:type="dxa"/>
            <w:vAlign w:val="bottom"/>
          </w:tcPr>
          <w:p>
            <w:pPr>
              <w:ind w:left="180"/>
              <w:spacing w:after="0"/>
              <w:rPr>
                <w:sz w:val="20"/>
                <w:szCs w:val="20"/>
                <w:color w:val="auto"/>
              </w:rPr>
            </w:pPr>
            <w:r>
              <w:rPr>
                <w:rFonts w:ascii="Arial" w:cs="Arial" w:eastAsia="Arial" w:hAnsi="Arial"/>
                <w:sz w:val="14"/>
                <w:szCs w:val="14"/>
                <w:color w:val="auto"/>
              </w:rPr>
              <w:t>Amortization of intangibles</w:t>
            </w: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8.8</w:t>
            </w: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left="310"/>
              <w:spacing w:after="0"/>
              <w:rPr>
                <w:sz w:val="20"/>
                <w:szCs w:val="20"/>
                <w:color w:val="auto"/>
              </w:rPr>
            </w:pPr>
            <w:r>
              <w:rPr>
                <w:rFonts w:ascii="Arial" w:cs="Arial" w:eastAsia="Arial" w:hAnsi="Arial"/>
                <w:sz w:val="14"/>
                <w:szCs w:val="14"/>
                <w:color w:val="auto"/>
                <w:w w:val="97"/>
              </w:rPr>
              <w:t>(8.8)</w:t>
            </w:r>
          </w:p>
        </w:tc>
        <w:tc>
          <w:tcPr>
            <w:tcW w:w="7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720" w:type="dxa"/>
            <w:vAlign w:val="bottom"/>
          </w:tcPr>
          <w:p>
            <w:pPr>
              <w:ind w:left="280"/>
              <w:spacing w:after="0"/>
              <w:rPr>
                <w:sz w:val="20"/>
                <w:szCs w:val="20"/>
                <w:color w:val="auto"/>
              </w:rPr>
            </w:pPr>
            <w:r>
              <w:rPr>
                <w:rFonts w:ascii="Arial" w:cs="Arial" w:eastAsia="Arial" w:hAnsi="Arial"/>
                <w:sz w:val="14"/>
                <w:szCs w:val="14"/>
                <w:color w:val="auto"/>
              </w:rPr>
              <w:t>Total operating expenses</w:t>
            </w: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149.6</w:t>
            </w:r>
          </w:p>
        </w:tc>
        <w:tc>
          <w:tcPr>
            <w:tcW w:w="760" w:type="dxa"/>
            <w:vAlign w:val="bottom"/>
            <w:tcBorders>
              <w:bottom w:val="single" w:sz="8" w:color="auto"/>
            </w:tcBorders>
          </w:tcPr>
          <w:p>
            <w:pPr>
              <w:jc w:val="center"/>
              <w:ind w:left="172"/>
              <w:spacing w:after="0"/>
              <w:rPr>
                <w:sz w:val="20"/>
                <w:szCs w:val="20"/>
                <w:color w:val="auto"/>
              </w:rPr>
            </w:pPr>
            <w:r>
              <w:rPr>
                <w:rFonts w:ascii="Arial" w:cs="Arial" w:eastAsia="Arial" w:hAnsi="Arial"/>
                <w:sz w:val="14"/>
                <w:szCs w:val="14"/>
                <w:color w:val="auto"/>
                <w:w w:val="97"/>
              </w:rPr>
              <w:t>(3.0)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860" w:type="dxa"/>
            <w:vAlign w:val="bottom"/>
            <w:tcBorders>
              <w:bottom w:val="single" w:sz="8" w:color="auto"/>
            </w:tcBorders>
          </w:tcPr>
          <w:p>
            <w:pPr>
              <w:jc w:val="center"/>
              <w:ind w:left="310"/>
              <w:spacing w:after="0"/>
              <w:rPr>
                <w:sz w:val="20"/>
                <w:szCs w:val="20"/>
                <w:color w:val="auto"/>
              </w:rPr>
            </w:pPr>
            <w:r>
              <w:rPr>
                <w:rFonts w:ascii="Arial" w:cs="Arial" w:eastAsia="Arial" w:hAnsi="Arial"/>
                <w:sz w:val="14"/>
                <w:szCs w:val="14"/>
                <w:color w:val="auto"/>
                <w:w w:val="97"/>
              </w:rPr>
              <w:t>(9.1)</w:t>
            </w:r>
          </w:p>
        </w:tc>
        <w:tc>
          <w:tcPr>
            <w:tcW w:w="7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(1.7)</w:t>
            </w:r>
          </w:p>
        </w:tc>
        <w:tc>
          <w:tcPr>
            <w:tcW w:w="900" w:type="dxa"/>
            <w:vAlign w:val="bottom"/>
            <w:tcBorders>
              <w:bottom w:val="single" w:sz="8" w:color="auto"/>
            </w:tcBorders>
          </w:tcPr>
          <w:p>
            <w:pPr>
              <w:jc w:val="center"/>
              <w:ind w:left="411"/>
              <w:spacing w:after="0"/>
              <w:rPr>
                <w:sz w:val="20"/>
                <w:szCs w:val="20"/>
                <w:color w:val="auto"/>
              </w:rPr>
            </w:pPr>
            <w:r>
              <w:rPr>
                <w:rFonts w:ascii="Arial" w:cs="Arial" w:eastAsia="Arial" w:hAnsi="Arial"/>
                <w:sz w:val="14"/>
                <w:szCs w:val="14"/>
                <w:color w:val="auto"/>
              </w:rPr>
              <w:t>(3.6)</w:t>
            </w:r>
          </w:p>
        </w:tc>
        <w:tc>
          <w:tcPr>
            <w:tcW w:w="920" w:type="dxa"/>
            <w:vAlign w:val="bottom"/>
            <w:tcBorders>
              <w:bottom w:val="single" w:sz="8" w:color="auto"/>
            </w:tcBorders>
          </w:tcPr>
          <w:p>
            <w:pPr>
              <w:jc w:val="center"/>
              <w:ind w:left="431"/>
              <w:spacing w:after="0"/>
              <w:rPr>
                <w:sz w:val="20"/>
                <w:szCs w:val="20"/>
                <w:color w:val="auto"/>
              </w:rPr>
            </w:pPr>
            <w:r>
              <w:rPr>
                <w:rFonts w:ascii="Arial" w:cs="Arial" w:eastAsia="Arial" w:hAnsi="Arial"/>
                <w:sz w:val="14"/>
                <w:szCs w:val="14"/>
                <w:color w:val="auto"/>
              </w:rPr>
              <w:t>(4.4)</w:t>
            </w:r>
          </w:p>
        </w:tc>
        <w:tc>
          <w:tcPr>
            <w:tcW w:w="8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125.9</w:t>
            </w:r>
          </w:p>
        </w:tc>
        <w:tc>
          <w:tcPr>
            <w:tcW w:w="0" w:type="dxa"/>
            <w:vAlign w:val="bottom"/>
          </w:tcPr>
          <w:p>
            <w:pPr>
              <w:spacing w:after="0"/>
              <w:rPr>
                <w:sz w:val="1"/>
                <w:szCs w:val="1"/>
                <w:color w:val="auto"/>
              </w:rPr>
            </w:pPr>
          </w:p>
        </w:tc>
      </w:tr>
      <w:tr>
        <w:trPr>
          <w:trHeight w:val="180"/>
        </w:trPr>
        <w:tc>
          <w:tcPr>
            <w:tcW w:w="2720" w:type="dxa"/>
            <w:vAlign w:val="bottom"/>
          </w:tcPr>
          <w:p>
            <w:pPr>
              <w:ind w:left="280"/>
              <w:spacing w:after="0"/>
              <w:rPr>
                <w:sz w:val="20"/>
                <w:szCs w:val="20"/>
                <w:color w:val="auto"/>
              </w:rPr>
            </w:pPr>
            <w:r>
              <w:rPr>
                <w:rFonts w:ascii="Arial" w:cs="Arial" w:eastAsia="Arial" w:hAnsi="Arial"/>
                <w:sz w:val="14"/>
                <w:szCs w:val="14"/>
                <w:color w:val="auto"/>
              </w:rPr>
              <w:t>Operating income from continuing</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20" w:type="dxa"/>
            <w:vAlign w:val="bottom"/>
          </w:tcPr>
          <w:p>
            <w:pPr>
              <w:ind w:left="280"/>
              <w:spacing w:after="0"/>
              <w:rPr>
                <w:sz w:val="20"/>
                <w:szCs w:val="20"/>
                <w:color w:val="auto"/>
              </w:rPr>
            </w:pPr>
            <w:r>
              <w:rPr>
                <w:rFonts w:ascii="Arial" w:cs="Arial" w:eastAsia="Arial" w:hAnsi="Arial"/>
                <w:sz w:val="14"/>
                <w:szCs w:val="14"/>
                <w:color w:val="auto"/>
              </w:rPr>
              <w:t>operations</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12.5</w:t>
            </w:r>
          </w:p>
        </w:tc>
        <w:tc>
          <w:tcPr>
            <w:tcW w:w="760" w:type="dxa"/>
            <w:vAlign w:val="bottom"/>
          </w:tcPr>
          <w:p>
            <w:pPr>
              <w:jc w:val="center"/>
              <w:ind w:left="172"/>
              <w:spacing w:after="0"/>
              <w:rPr>
                <w:sz w:val="20"/>
                <w:szCs w:val="20"/>
                <w:color w:val="auto"/>
              </w:rPr>
            </w:pPr>
            <w:r>
              <w:rPr>
                <w:rFonts w:ascii="Arial" w:cs="Arial" w:eastAsia="Arial" w:hAnsi="Arial"/>
                <w:sz w:val="14"/>
                <w:szCs w:val="14"/>
                <w:color w:val="auto"/>
              </w:rPr>
              <w:t>3.0</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1.9</w:t>
            </w:r>
          </w:p>
        </w:tc>
        <w:tc>
          <w:tcPr>
            <w:tcW w:w="860" w:type="dxa"/>
            <w:vAlign w:val="bottom"/>
          </w:tcPr>
          <w:p>
            <w:pPr>
              <w:jc w:val="center"/>
              <w:ind w:left="310"/>
              <w:spacing w:after="0"/>
              <w:rPr>
                <w:sz w:val="20"/>
                <w:szCs w:val="20"/>
                <w:color w:val="auto"/>
              </w:rPr>
            </w:pPr>
            <w:r>
              <w:rPr>
                <w:rFonts w:ascii="Arial" w:cs="Arial" w:eastAsia="Arial" w:hAnsi="Arial"/>
                <w:sz w:val="14"/>
                <w:szCs w:val="14"/>
                <w:color w:val="auto"/>
              </w:rPr>
              <w:t>9.8</w:t>
            </w:r>
          </w:p>
        </w:tc>
        <w:tc>
          <w:tcPr>
            <w:tcW w:w="780" w:type="dxa"/>
            <w:vAlign w:val="bottom"/>
          </w:tcPr>
          <w:p>
            <w:pPr>
              <w:jc w:val="center"/>
              <w:ind w:left="271"/>
              <w:spacing w:after="0"/>
              <w:rPr>
                <w:sz w:val="20"/>
                <w:szCs w:val="20"/>
                <w:color w:val="auto"/>
              </w:rPr>
            </w:pPr>
            <w:r>
              <w:rPr>
                <w:rFonts w:ascii="Arial" w:cs="Arial" w:eastAsia="Arial" w:hAnsi="Arial"/>
                <w:sz w:val="14"/>
                <w:szCs w:val="14"/>
                <w:color w:val="auto"/>
              </w:rPr>
              <w:t>3.7</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1.7</w:t>
            </w:r>
          </w:p>
        </w:tc>
        <w:tc>
          <w:tcPr>
            <w:tcW w:w="900" w:type="dxa"/>
            <w:vAlign w:val="bottom"/>
          </w:tcPr>
          <w:p>
            <w:pPr>
              <w:jc w:val="center"/>
              <w:ind w:left="431"/>
              <w:spacing w:after="0"/>
              <w:rPr>
                <w:sz w:val="20"/>
                <w:szCs w:val="20"/>
                <w:color w:val="auto"/>
              </w:rPr>
            </w:pPr>
            <w:r>
              <w:rPr>
                <w:rFonts w:ascii="Arial" w:cs="Arial" w:eastAsia="Arial" w:hAnsi="Arial"/>
                <w:sz w:val="14"/>
                <w:szCs w:val="14"/>
                <w:color w:val="auto"/>
              </w:rPr>
              <w:t>4.2</w:t>
            </w:r>
          </w:p>
        </w:tc>
        <w:tc>
          <w:tcPr>
            <w:tcW w:w="920" w:type="dxa"/>
            <w:vAlign w:val="bottom"/>
          </w:tcPr>
          <w:p>
            <w:pPr>
              <w:jc w:val="center"/>
              <w:ind w:left="411"/>
              <w:spacing w:after="0"/>
              <w:rPr>
                <w:sz w:val="20"/>
                <w:szCs w:val="20"/>
                <w:color w:val="auto"/>
              </w:rPr>
            </w:pPr>
            <w:r>
              <w:rPr>
                <w:rFonts w:ascii="Arial" w:cs="Arial" w:eastAsia="Arial" w:hAnsi="Arial"/>
                <w:sz w:val="14"/>
                <w:szCs w:val="14"/>
                <w:color w:val="auto"/>
              </w:rPr>
              <w:t>4.7</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70"/>
        </w:trPr>
        <w:tc>
          <w:tcPr>
            <w:tcW w:w="272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0.4</w:t>
            </w: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0"/>
        </w:trPr>
        <w:tc>
          <w:tcPr>
            <w:tcW w:w="272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660" w:type="dxa"/>
            <w:vAlign w:val="bottom"/>
          </w:tcPr>
          <w:p>
            <w:pPr>
              <w:jc w:val="right"/>
              <w:spacing w:after="0"/>
              <w:rPr>
                <w:sz w:val="20"/>
                <w:szCs w:val="20"/>
                <w:color w:val="auto"/>
              </w:rPr>
            </w:pPr>
            <w:r>
              <w:rPr>
                <w:rFonts w:ascii="Arial" w:cs="Arial" w:eastAsia="Arial" w:hAnsi="Arial"/>
                <w:sz w:val="14"/>
                <w:szCs w:val="14"/>
                <w:color w:val="auto"/>
              </w:rPr>
              <w:t>(2.1)</w:t>
            </w: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4"/>
                <w:szCs w:val="14"/>
                <w:color w:val="auto"/>
              </w:rPr>
              <w:t>0.7</w:t>
            </w: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6"/>
        </w:trPr>
        <w:tc>
          <w:tcPr>
            <w:tcW w:w="2720" w:type="dxa"/>
            <w:vAlign w:val="bottom"/>
          </w:tcPr>
          <w:p>
            <w:pPr>
              <w:ind w:left="40"/>
              <w:spacing w:after="0"/>
              <w:rPr>
                <w:sz w:val="20"/>
                <w:szCs w:val="20"/>
                <w:color w:val="auto"/>
              </w:rPr>
            </w:pPr>
            <w:r>
              <w:rPr>
                <w:rFonts w:ascii="Arial" w:cs="Arial" w:eastAsia="Arial" w:hAnsi="Arial"/>
                <w:sz w:val="14"/>
                <w:szCs w:val="14"/>
                <w:color w:val="auto"/>
              </w:rPr>
              <w:t>Gain on acquisition of ImThera Medical,</w:t>
            </w: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720" w:type="dxa"/>
            <w:vAlign w:val="bottom"/>
          </w:tcPr>
          <w:p>
            <w:pPr>
              <w:ind w:left="40"/>
              <w:spacing w:after="0"/>
              <w:rPr>
                <w:sz w:val="20"/>
                <w:szCs w:val="20"/>
                <w:color w:val="auto"/>
              </w:rPr>
            </w:pPr>
            <w:r>
              <w:rPr>
                <w:rFonts w:ascii="Arial" w:cs="Arial" w:eastAsia="Arial" w:hAnsi="Arial"/>
                <w:sz w:val="14"/>
                <w:szCs w:val="14"/>
                <w:color w:val="auto"/>
              </w:rPr>
              <w:t>Inc.</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11.5</w:t>
            </w: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(11.5)</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720" w:type="dxa"/>
            <w:vAlign w:val="bottom"/>
          </w:tcPr>
          <w:p>
            <w:pPr>
              <w:ind w:left="40"/>
              <w:spacing w:after="0"/>
              <w:rPr>
                <w:sz w:val="20"/>
                <w:szCs w:val="20"/>
                <w:color w:val="auto"/>
              </w:rPr>
            </w:pPr>
            <w:r>
              <w:rPr>
                <w:rFonts w:ascii="Arial" w:cs="Arial" w:eastAsia="Arial" w:hAnsi="Arial"/>
                <w:sz w:val="14"/>
                <w:szCs w:val="14"/>
                <w:color w:val="auto"/>
              </w:rPr>
              <w:t>Foreign exchange and other (losses)</w:t>
            </w: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720" w:type="dxa"/>
            <w:vAlign w:val="bottom"/>
          </w:tcPr>
          <w:p>
            <w:pPr>
              <w:ind w:left="40"/>
              <w:spacing w:after="0"/>
              <w:rPr>
                <w:sz w:val="20"/>
                <w:szCs w:val="20"/>
                <w:color w:val="auto"/>
              </w:rPr>
            </w:pPr>
            <w:r>
              <w:rPr>
                <w:rFonts w:ascii="Arial" w:cs="Arial" w:eastAsia="Arial" w:hAnsi="Arial"/>
                <w:sz w:val="14"/>
                <w:szCs w:val="14"/>
                <w:color w:val="auto"/>
              </w:rPr>
              <w:t>gains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7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0"/>
        </w:trPr>
        <w:tc>
          <w:tcPr>
            <w:tcW w:w="2720" w:type="dxa"/>
            <w:vAlign w:val="bottom"/>
          </w:tcPr>
          <w:p>
            <w:pPr>
              <w:ind w:left="40"/>
              <w:spacing w:after="0"/>
              <w:rPr>
                <w:sz w:val="20"/>
                <w:szCs w:val="20"/>
                <w:color w:val="auto"/>
              </w:rPr>
            </w:pPr>
            <w:r>
              <w:rPr>
                <w:rFonts w:ascii="Arial" w:cs="Arial" w:eastAsia="Arial" w:hAnsi="Arial"/>
                <w:sz w:val="14"/>
                <w:szCs w:val="14"/>
                <w:color w:val="auto"/>
              </w:rPr>
              <w:t>Income from continuing operations before</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20" w:type="dxa"/>
            <w:vAlign w:val="bottom"/>
          </w:tcPr>
          <w:p>
            <w:pPr>
              <w:ind w:left="40"/>
              <w:spacing w:after="0"/>
              <w:rPr>
                <w:sz w:val="20"/>
                <w:szCs w:val="20"/>
                <w:color w:val="auto"/>
              </w:rPr>
            </w:pPr>
            <w:r>
              <w:rPr>
                <w:rFonts w:ascii="Arial" w:cs="Arial" w:eastAsia="Arial" w:hAnsi="Arial"/>
                <w:sz w:val="14"/>
                <w:szCs w:val="14"/>
                <w:color w:val="auto"/>
              </w:rPr>
              <w:t>tax</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22.1</w:t>
            </w:r>
          </w:p>
        </w:tc>
        <w:tc>
          <w:tcPr>
            <w:tcW w:w="760" w:type="dxa"/>
            <w:vAlign w:val="bottom"/>
          </w:tcPr>
          <w:p>
            <w:pPr>
              <w:jc w:val="center"/>
              <w:ind w:left="172"/>
              <w:spacing w:after="0"/>
              <w:rPr>
                <w:sz w:val="20"/>
                <w:szCs w:val="20"/>
                <w:color w:val="auto"/>
              </w:rPr>
            </w:pPr>
            <w:r>
              <w:rPr>
                <w:rFonts w:ascii="Arial" w:cs="Arial" w:eastAsia="Arial" w:hAnsi="Arial"/>
                <w:sz w:val="14"/>
                <w:szCs w:val="14"/>
                <w:color w:val="auto"/>
              </w:rPr>
              <w:t>3.0</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1.9</w:t>
            </w:r>
          </w:p>
        </w:tc>
        <w:tc>
          <w:tcPr>
            <w:tcW w:w="860" w:type="dxa"/>
            <w:vAlign w:val="bottom"/>
          </w:tcPr>
          <w:p>
            <w:pPr>
              <w:jc w:val="center"/>
              <w:ind w:left="310"/>
              <w:spacing w:after="0"/>
              <w:rPr>
                <w:sz w:val="20"/>
                <w:szCs w:val="20"/>
                <w:color w:val="auto"/>
              </w:rPr>
            </w:pPr>
            <w:r>
              <w:rPr>
                <w:rFonts w:ascii="Arial" w:cs="Arial" w:eastAsia="Arial" w:hAnsi="Arial"/>
                <w:sz w:val="14"/>
                <w:szCs w:val="14"/>
                <w:color w:val="auto"/>
              </w:rPr>
              <w:t>9.8</w:t>
            </w:r>
          </w:p>
        </w:tc>
        <w:tc>
          <w:tcPr>
            <w:tcW w:w="780" w:type="dxa"/>
            <w:vAlign w:val="bottom"/>
          </w:tcPr>
          <w:p>
            <w:pPr>
              <w:jc w:val="center"/>
              <w:ind w:left="271"/>
              <w:spacing w:after="0"/>
              <w:rPr>
                <w:sz w:val="20"/>
                <w:szCs w:val="20"/>
                <w:color w:val="auto"/>
              </w:rPr>
            </w:pPr>
            <w:r>
              <w:rPr>
                <w:rFonts w:ascii="Arial" w:cs="Arial" w:eastAsia="Arial" w:hAnsi="Arial"/>
                <w:sz w:val="14"/>
                <w:szCs w:val="14"/>
                <w:color w:val="auto"/>
              </w:rPr>
              <w:t>3.7</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(9.8)</w:t>
            </w:r>
          </w:p>
        </w:tc>
        <w:tc>
          <w:tcPr>
            <w:tcW w:w="900" w:type="dxa"/>
            <w:vAlign w:val="bottom"/>
          </w:tcPr>
          <w:p>
            <w:pPr>
              <w:jc w:val="center"/>
              <w:ind w:left="431"/>
              <w:spacing w:after="0"/>
              <w:rPr>
                <w:sz w:val="20"/>
                <w:szCs w:val="20"/>
                <w:color w:val="auto"/>
              </w:rPr>
            </w:pPr>
            <w:r>
              <w:rPr>
                <w:rFonts w:ascii="Arial" w:cs="Arial" w:eastAsia="Arial" w:hAnsi="Arial"/>
                <w:sz w:val="14"/>
                <w:szCs w:val="14"/>
                <w:color w:val="auto"/>
              </w:rPr>
              <w:t>4.2</w:t>
            </w:r>
          </w:p>
        </w:tc>
        <w:tc>
          <w:tcPr>
            <w:tcW w:w="920" w:type="dxa"/>
            <w:vAlign w:val="bottom"/>
          </w:tcPr>
          <w:p>
            <w:pPr>
              <w:jc w:val="center"/>
              <w:ind w:left="411"/>
              <w:spacing w:after="0"/>
              <w:rPr>
                <w:sz w:val="20"/>
                <w:szCs w:val="20"/>
                <w:color w:val="auto"/>
              </w:rPr>
            </w:pPr>
            <w:r>
              <w:rPr>
                <w:rFonts w:ascii="Arial" w:cs="Arial" w:eastAsia="Arial" w:hAnsi="Arial"/>
                <w:sz w:val="14"/>
                <w:szCs w:val="14"/>
                <w:color w:val="auto"/>
              </w:rPr>
              <w:t>4.7</w:t>
            </w:r>
          </w:p>
        </w:tc>
        <w:tc>
          <w:tcPr>
            <w:tcW w:w="880" w:type="dxa"/>
            <w:vAlign w:val="bottom"/>
          </w:tcPr>
          <w:p>
            <w:pPr>
              <w:spacing w:after="0"/>
              <w:rPr>
                <w:sz w:val="14"/>
                <w:szCs w:val="14"/>
                <w:color w:val="auto"/>
              </w:rPr>
            </w:pPr>
          </w:p>
        </w:tc>
        <w:tc>
          <w:tcPr>
            <w:tcW w:w="740" w:type="dxa"/>
            <w:vAlign w:val="bottom"/>
          </w:tcPr>
          <w:p>
            <w:pPr>
              <w:ind w:left="440"/>
              <w:spacing w:after="0"/>
              <w:rPr>
                <w:sz w:val="20"/>
                <w:szCs w:val="20"/>
                <w:color w:val="auto"/>
              </w:rPr>
            </w:pPr>
            <w:r>
              <w:rPr>
                <w:rFonts w:ascii="Arial" w:cs="Arial" w:eastAsia="Arial" w:hAnsi="Arial"/>
                <w:sz w:val="14"/>
                <w:szCs w:val="14"/>
                <w:color w:val="auto"/>
              </w:rPr>
              <w:t>0.7</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Arial" w:cs="Arial" w:eastAsia="Arial" w:hAnsi="Arial"/>
                <w:sz w:val="14"/>
                <w:szCs w:val="14"/>
                <w:color w:val="auto"/>
              </w:rPr>
              <w:t>Income tax expense</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3.9</w:t>
            </w:r>
          </w:p>
        </w:tc>
        <w:tc>
          <w:tcPr>
            <w:tcW w:w="760" w:type="dxa"/>
            <w:vAlign w:val="bottom"/>
          </w:tcPr>
          <w:p>
            <w:pPr>
              <w:jc w:val="center"/>
              <w:ind w:left="172"/>
              <w:spacing w:after="0"/>
              <w:rPr>
                <w:sz w:val="20"/>
                <w:szCs w:val="20"/>
                <w:color w:val="auto"/>
              </w:rPr>
            </w:pPr>
            <w:r>
              <w:rPr>
                <w:rFonts w:ascii="Arial" w:cs="Arial" w:eastAsia="Arial" w:hAnsi="Arial"/>
                <w:sz w:val="14"/>
                <w:szCs w:val="14"/>
                <w:color w:val="auto"/>
              </w:rPr>
              <w:t>0.6</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0.5</w:t>
            </w:r>
          </w:p>
        </w:tc>
        <w:tc>
          <w:tcPr>
            <w:tcW w:w="860" w:type="dxa"/>
            <w:vAlign w:val="bottom"/>
          </w:tcPr>
          <w:p>
            <w:pPr>
              <w:jc w:val="center"/>
              <w:ind w:left="310"/>
              <w:spacing w:after="0"/>
              <w:rPr>
                <w:sz w:val="20"/>
                <w:szCs w:val="20"/>
                <w:color w:val="auto"/>
              </w:rPr>
            </w:pPr>
            <w:r>
              <w:rPr>
                <w:rFonts w:ascii="Arial" w:cs="Arial" w:eastAsia="Arial" w:hAnsi="Arial"/>
                <w:sz w:val="14"/>
                <w:szCs w:val="14"/>
                <w:color w:val="auto"/>
              </w:rPr>
              <w:t>2.4</w:t>
            </w:r>
          </w:p>
        </w:tc>
        <w:tc>
          <w:tcPr>
            <w:tcW w:w="780" w:type="dxa"/>
            <w:vAlign w:val="bottom"/>
          </w:tcPr>
          <w:p>
            <w:pPr>
              <w:jc w:val="center"/>
              <w:ind w:left="271"/>
              <w:spacing w:after="0"/>
              <w:rPr>
                <w:sz w:val="20"/>
                <w:szCs w:val="20"/>
                <w:color w:val="auto"/>
              </w:rPr>
            </w:pPr>
            <w:r>
              <w:rPr>
                <w:rFonts w:ascii="Arial" w:cs="Arial" w:eastAsia="Arial" w:hAnsi="Arial"/>
                <w:sz w:val="14"/>
                <w:szCs w:val="14"/>
                <w:color w:val="auto"/>
              </w:rPr>
              <w:t>0.9</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0.4</w:t>
            </w:r>
          </w:p>
        </w:tc>
        <w:tc>
          <w:tcPr>
            <w:tcW w:w="900" w:type="dxa"/>
            <w:vAlign w:val="bottom"/>
          </w:tcPr>
          <w:p>
            <w:pPr>
              <w:jc w:val="center"/>
              <w:ind w:left="431"/>
              <w:spacing w:after="0"/>
              <w:rPr>
                <w:sz w:val="20"/>
                <w:szCs w:val="20"/>
                <w:color w:val="auto"/>
              </w:rPr>
            </w:pPr>
            <w:r>
              <w:rPr>
                <w:rFonts w:ascii="Arial" w:cs="Arial" w:eastAsia="Arial" w:hAnsi="Arial"/>
                <w:sz w:val="14"/>
                <w:szCs w:val="14"/>
                <w:color w:val="auto"/>
              </w:rPr>
              <w:t>1.1</w:t>
            </w:r>
          </w:p>
        </w:tc>
        <w:tc>
          <w:tcPr>
            <w:tcW w:w="920" w:type="dxa"/>
            <w:vAlign w:val="bottom"/>
          </w:tcPr>
          <w:p>
            <w:pPr>
              <w:jc w:val="center"/>
              <w:ind w:left="411"/>
              <w:spacing w:after="0"/>
              <w:rPr>
                <w:sz w:val="20"/>
                <w:szCs w:val="20"/>
                <w:color w:val="auto"/>
              </w:rPr>
            </w:pPr>
            <w:r>
              <w:rPr>
                <w:rFonts w:ascii="Arial" w:cs="Arial" w:eastAsia="Arial" w:hAnsi="Arial"/>
                <w:sz w:val="14"/>
                <w:szCs w:val="14"/>
                <w:color w:val="auto"/>
              </w:rPr>
              <w:t>1.1</w:t>
            </w: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(4.7)</w:t>
            </w:r>
          </w:p>
        </w:tc>
        <w:tc>
          <w:tcPr>
            <w:tcW w:w="740" w:type="dxa"/>
            <w:vAlign w:val="bottom"/>
          </w:tcPr>
          <w:p>
            <w:pPr>
              <w:ind w:left="440"/>
              <w:spacing w:after="0"/>
              <w:rPr>
                <w:sz w:val="20"/>
                <w:szCs w:val="20"/>
                <w:color w:val="auto"/>
              </w:rPr>
            </w:pPr>
            <w:r>
              <w:rPr>
                <w:rFonts w:ascii="Arial" w:cs="Arial" w:eastAsia="Arial" w:hAnsi="Arial"/>
                <w:sz w:val="14"/>
                <w:szCs w:val="14"/>
                <w:color w:val="auto"/>
              </w:rPr>
              <w:t>0.2</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6"/>
        </w:trPr>
        <w:tc>
          <w:tcPr>
            <w:tcW w:w="2720" w:type="dxa"/>
            <w:vAlign w:val="bottom"/>
          </w:tcPr>
          <w:p>
            <w:pPr>
              <w:ind w:left="180"/>
              <w:spacing w:after="0"/>
              <w:rPr>
                <w:sz w:val="20"/>
                <w:szCs w:val="20"/>
                <w:color w:val="auto"/>
              </w:rPr>
            </w:pPr>
            <w:r>
              <w:rPr>
                <w:rFonts w:ascii="Arial" w:cs="Arial" w:eastAsia="Arial" w:hAnsi="Arial"/>
                <w:sz w:val="14"/>
                <w:szCs w:val="14"/>
                <w:color w:val="auto"/>
              </w:rPr>
              <w:t>Losses from equity method</w:t>
            </w: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720" w:type="dxa"/>
            <w:vAlign w:val="bottom"/>
          </w:tcPr>
          <w:p>
            <w:pPr>
              <w:ind w:left="180"/>
              <w:spacing w:after="0"/>
              <w:rPr>
                <w:sz w:val="20"/>
                <w:szCs w:val="20"/>
                <w:color w:val="auto"/>
              </w:rPr>
            </w:pPr>
            <w:r>
              <w:rPr>
                <w:rFonts w:ascii="Arial" w:cs="Arial" w:eastAsia="Arial" w:hAnsi="Arial"/>
                <w:sz w:val="14"/>
                <w:szCs w:val="14"/>
                <w:color w:val="auto"/>
              </w:rPr>
              <w:t>investments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7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6"/>
        </w:trPr>
        <w:tc>
          <w:tcPr>
            <w:tcW w:w="2720" w:type="dxa"/>
            <w:vAlign w:val="bottom"/>
          </w:tcPr>
          <w:p>
            <w:pPr>
              <w:ind w:left="40"/>
              <w:spacing w:after="0"/>
              <w:rPr>
                <w:sz w:val="20"/>
                <w:szCs w:val="20"/>
                <w:color w:val="auto"/>
              </w:rPr>
            </w:pPr>
            <w:r>
              <w:rPr>
                <w:rFonts w:ascii="Arial" w:cs="Arial" w:eastAsia="Arial" w:hAnsi="Arial"/>
                <w:sz w:val="14"/>
                <w:szCs w:val="14"/>
                <w:color w:val="auto"/>
              </w:rPr>
              <w:t>Net income from continuing operations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$4.7</w:t>
            </w:r>
          </w:p>
        </w:tc>
        <w:tc>
          <w:tcPr>
            <w:tcW w:w="7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$0.5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2720" w:type="dxa"/>
            <w:vAlign w:val="bottom"/>
          </w:tcPr>
          <w:p>
            <w:pPr>
              <w:ind w:left="40"/>
              <w:spacing w:after="0"/>
              <w:rPr>
                <w:sz w:val="20"/>
                <w:szCs w:val="20"/>
                <w:color w:val="auto"/>
              </w:rPr>
            </w:pPr>
            <w:r>
              <w:rPr>
                <w:rFonts w:ascii="Arial" w:cs="Arial" w:eastAsia="Arial" w:hAnsi="Arial"/>
                <w:sz w:val="14"/>
                <w:szCs w:val="14"/>
                <w:color w:val="auto"/>
              </w:rPr>
              <w:t>Diluted EPS - Continuing Operations</w:t>
            </w:r>
          </w:p>
        </w:tc>
        <w:tc>
          <w:tcPr>
            <w:tcW w:w="660" w:type="dxa"/>
            <w:vAlign w:val="bottom"/>
          </w:tcPr>
          <w:p>
            <w:pPr>
              <w:jc w:val="right"/>
              <w:spacing w:after="0"/>
              <w:rPr>
                <w:sz w:val="20"/>
                <w:szCs w:val="20"/>
                <w:color w:val="auto"/>
              </w:rPr>
            </w:pPr>
            <w:r>
              <w:rPr>
                <w:rFonts w:ascii="Arial" w:cs="Arial" w:eastAsia="Arial" w:hAnsi="Arial"/>
                <w:sz w:val="14"/>
                <w:szCs w:val="14"/>
                <w:color w:val="auto"/>
              </w:rPr>
              <w:t>$0.36</w:t>
            </w:r>
          </w:p>
        </w:tc>
        <w:tc>
          <w:tcPr>
            <w:tcW w:w="760" w:type="dxa"/>
            <w:vAlign w:val="bottom"/>
          </w:tcPr>
          <w:p>
            <w:pPr>
              <w:jc w:val="center"/>
              <w:ind w:left="172"/>
              <w:spacing w:after="0"/>
              <w:rPr>
                <w:sz w:val="20"/>
                <w:szCs w:val="20"/>
                <w:color w:val="auto"/>
              </w:rPr>
            </w:pPr>
            <w:r>
              <w:rPr>
                <w:rFonts w:ascii="Arial" w:cs="Arial" w:eastAsia="Arial" w:hAnsi="Arial"/>
                <w:sz w:val="14"/>
                <w:szCs w:val="14"/>
                <w:color w:val="auto"/>
              </w:rPr>
              <w:t>$0.05</w:t>
            </w:r>
          </w:p>
        </w:tc>
        <w:tc>
          <w:tcPr>
            <w:tcW w:w="820" w:type="dxa"/>
            <w:vAlign w:val="bottom"/>
          </w:tcPr>
          <w:p>
            <w:pPr>
              <w:jc w:val="right"/>
              <w:spacing w:after="0"/>
              <w:rPr>
                <w:sz w:val="20"/>
                <w:szCs w:val="20"/>
                <w:color w:val="auto"/>
              </w:rPr>
            </w:pPr>
            <w:r>
              <w:rPr>
                <w:rFonts w:ascii="Arial" w:cs="Arial" w:eastAsia="Arial" w:hAnsi="Arial"/>
                <w:sz w:val="14"/>
                <w:szCs w:val="14"/>
                <w:color w:val="auto"/>
              </w:rPr>
              <w:t>$0.03</w:t>
            </w:r>
          </w:p>
        </w:tc>
        <w:tc>
          <w:tcPr>
            <w:tcW w:w="860" w:type="dxa"/>
            <w:vAlign w:val="bottom"/>
          </w:tcPr>
          <w:p>
            <w:pPr>
              <w:jc w:val="center"/>
              <w:ind w:left="310"/>
              <w:spacing w:after="0"/>
              <w:rPr>
                <w:sz w:val="20"/>
                <w:szCs w:val="20"/>
                <w:color w:val="auto"/>
              </w:rPr>
            </w:pPr>
            <w:r>
              <w:rPr>
                <w:rFonts w:ascii="Arial" w:cs="Arial" w:eastAsia="Arial" w:hAnsi="Arial"/>
                <w:sz w:val="14"/>
                <w:szCs w:val="14"/>
                <w:color w:val="auto"/>
              </w:rPr>
              <w:t>$0.15</w:t>
            </w:r>
          </w:p>
        </w:tc>
        <w:tc>
          <w:tcPr>
            <w:tcW w:w="780" w:type="dxa"/>
            <w:vAlign w:val="bottom"/>
          </w:tcPr>
          <w:p>
            <w:pPr>
              <w:jc w:val="center"/>
              <w:ind w:left="271"/>
              <w:spacing w:after="0"/>
              <w:rPr>
                <w:sz w:val="20"/>
                <w:szCs w:val="20"/>
                <w:color w:val="auto"/>
              </w:rPr>
            </w:pPr>
            <w:r>
              <w:rPr>
                <w:rFonts w:ascii="Arial" w:cs="Arial" w:eastAsia="Arial" w:hAnsi="Arial"/>
                <w:sz w:val="14"/>
                <w:szCs w:val="14"/>
                <w:color w:val="auto"/>
              </w:rPr>
              <w:t>$0.06</w:t>
            </w:r>
          </w:p>
        </w:tc>
        <w:tc>
          <w:tcPr>
            <w:tcW w:w="720" w:type="dxa"/>
            <w:vAlign w:val="bottom"/>
          </w:tcPr>
          <w:p>
            <w:pPr>
              <w:jc w:val="right"/>
              <w:spacing w:after="0"/>
              <w:rPr>
                <w:sz w:val="20"/>
                <w:szCs w:val="20"/>
                <w:color w:val="auto"/>
              </w:rPr>
            </w:pPr>
            <w:r>
              <w:rPr>
                <w:rFonts w:ascii="Arial" w:cs="Arial" w:eastAsia="Arial" w:hAnsi="Arial"/>
                <w:sz w:val="14"/>
                <w:szCs w:val="14"/>
                <w:color w:val="auto"/>
              </w:rPr>
              <w:t>($0.21)</w:t>
            </w:r>
          </w:p>
        </w:tc>
        <w:tc>
          <w:tcPr>
            <w:tcW w:w="900" w:type="dxa"/>
            <w:vAlign w:val="bottom"/>
          </w:tcPr>
          <w:p>
            <w:pPr>
              <w:jc w:val="center"/>
              <w:ind w:left="431"/>
              <w:spacing w:after="0"/>
              <w:rPr>
                <w:sz w:val="20"/>
                <w:szCs w:val="20"/>
                <w:color w:val="auto"/>
              </w:rPr>
            </w:pPr>
            <w:r>
              <w:rPr>
                <w:rFonts w:ascii="Arial" w:cs="Arial" w:eastAsia="Arial" w:hAnsi="Arial"/>
                <w:sz w:val="14"/>
                <w:szCs w:val="14"/>
                <w:color w:val="auto"/>
              </w:rPr>
              <w:t>$0.06</w:t>
            </w:r>
          </w:p>
        </w:tc>
        <w:tc>
          <w:tcPr>
            <w:tcW w:w="920" w:type="dxa"/>
            <w:vAlign w:val="bottom"/>
          </w:tcPr>
          <w:p>
            <w:pPr>
              <w:jc w:val="center"/>
              <w:ind w:left="451"/>
              <w:spacing w:after="0"/>
              <w:rPr>
                <w:sz w:val="20"/>
                <w:szCs w:val="20"/>
                <w:color w:val="auto"/>
              </w:rPr>
            </w:pPr>
            <w:r>
              <w:rPr>
                <w:rFonts w:ascii="Arial" w:cs="Arial" w:eastAsia="Arial" w:hAnsi="Arial"/>
                <w:sz w:val="14"/>
                <w:szCs w:val="14"/>
                <w:color w:val="auto"/>
              </w:rPr>
              <w:t>$0.07</w:t>
            </w: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$0.10</w:t>
            </w:r>
          </w:p>
        </w:tc>
        <w:tc>
          <w:tcPr>
            <w:tcW w:w="740" w:type="dxa"/>
            <w:vAlign w:val="bottom"/>
          </w:tcPr>
          <w:p>
            <w:pPr>
              <w:jc w:val="right"/>
              <w:spacing w:after="0"/>
              <w:rPr>
                <w:sz w:val="20"/>
                <w:szCs w:val="20"/>
                <w:color w:val="auto"/>
              </w:rPr>
            </w:pPr>
            <w:r>
              <w:rPr>
                <w:rFonts w:ascii="Arial" w:cs="Arial" w:eastAsia="Arial" w:hAnsi="Arial"/>
                <w:sz w:val="14"/>
                <w:szCs w:val="14"/>
                <w:color w:val="auto"/>
              </w:rPr>
              <w:t>$0.01</w:t>
            </w:r>
          </w:p>
        </w:tc>
        <w:tc>
          <w:tcPr>
            <w:tcW w:w="660" w:type="dxa"/>
            <w:vAlign w:val="bottom"/>
          </w:tcPr>
          <w:p>
            <w:pPr>
              <w:jc w:val="right"/>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GAAP results for the three months ended March 31, 2018 include:</w:t>
      </w:r>
    </w:p>
    <w:p>
      <w:pPr>
        <w:spacing w:after="0" w:line="82" w:lineRule="exact"/>
        <w:rPr>
          <w:sz w:val="20"/>
          <w:szCs w:val="20"/>
          <w:color w:val="auto"/>
        </w:rPr>
      </w:pPr>
    </w:p>
    <w:p>
      <w:pPr>
        <w:ind w:left="1440" w:hanging="826"/>
        <w:spacing w:after="0"/>
        <w:tabs>
          <w:tab w:leader="none" w:pos="1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55" w:lineRule="exact"/>
        <w:rPr>
          <w:rFonts w:ascii="Arial" w:cs="Arial" w:eastAsia="Arial" w:hAnsi="Arial"/>
          <w:sz w:val="14"/>
          <w:szCs w:val="14"/>
          <w:color w:val="auto"/>
        </w:rPr>
      </w:pPr>
    </w:p>
    <w:p>
      <w:pPr>
        <w:ind w:left="1440" w:hanging="826"/>
        <w:spacing w:after="0"/>
        <w:tabs>
          <w:tab w:leader="none" w:pos="1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1440" w:hanging="829"/>
        <w:spacing w:after="0"/>
        <w:tabs>
          <w:tab w:leader="none" w:pos="1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1440" w:hanging="829"/>
        <w:spacing w:after="0"/>
        <w:tabs>
          <w:tab w:leader="none" w:pos="1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1440" w:hanging="826"/>
        <w:spacing w:after="0"/>
        <w:tabs>
          <w:tab w:leader="none" w:pos="1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Costs related to acquisitions</w:t>
      </w:r>
    </w:p>
    <w:p>
      <w:pPr>
        <w:spacing w:after="0" w:line="55" w:lineRule="exact"/>
        <w:rPr>
          <w:rFonts w:ascii="Arial" w:cs="Arial" w:eastAsia="Arial" w:hAnsi="Arial"/>
          <w:sz w:val="14"/>
          <w:szCs w:val="14"/>
          <w:color w:val="auto"/>
        </w:rPr>
      </w:pPr>
    </w:p>
    <w:p>
      <w:pPr>
        <w:ind w:left="1440" w:hanging="821"/>
        <w:spacing w:after="0"/>
        <w:tabs>
          <w:tab w:leader="none" w:pos="1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Contingent consideration related to acquisitions and legal expenses primarily related to 3T Heater-Cooler defense and other matters</w:t>
      </w:r>
    </w:p>
    <w:p>
      <w:pPr>
        <w:spacing w:after="0" w:line="55" w:lineRule="exact"/>
        <w:rPr>
          <w:rFonts w:ascii="Arial" w:cs="Arial" w:eastAsia="Arial" w:hAnsi="Arial"/>
          <w:sz w:val="14"/>
          <w:szCs w:val="14"/>
          <w:color w:val="auto"/>
        </w:rPr>
      </w:pPr>
    </w:p>
    <w:p>
      <w:pPr>
        <w:ind w:left="1440" w:hanging="834"/>
        <w:spacing w:after="0"/>
        <w:tabs>
          <w:tab w:leader="none" w:pos="1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55" w:lineRule="exact"/>
        <w:rPr>
          <w:rFonts w:ascii="Arial" w:cs="Arial" w:eastAsia="Arial" w:hAnsi="Arial"/>
          <w:sz w:val="14"/>
          <w:szCs w:val="14"/>
          <w:color w:val="auto"/>
        </w:rPr>
      </w:pPr>
    </w:p>
    <w:p>
      <w:pPr>
        <w:ind w:left="1440" w:hanging="829"/>
        <w:spacing w:after="0"/>
        <w:tabs>
          <w:tab w:leader="none" w:pos="1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55" w:lineRule="exact"/>
        <w:rPr>
          <w:sz w:val="20"/>
          <w:szCs w:val="20"/>
          <w:color w:val="auto"/>
        </w:rPr>
      </w:pPr>
    </w:p>
    <w:p>
      <w:pPr>
        <w:ind w:left="40" w:right="3520" w:firstLine="602"/>
        <w:spacing w:after="0" w:line="338" w:lineRule="auto"/>
        <w:tabs>
          <w:tab w:leader="none" w:pos="1445" w:val="left"/>
        </w:tabs>
        <w:numPr>
          <w:ilvl w:val="1"/>
          <w:numId w:val="8"/>
        </w:numPr>
        <w:rPr>
          <w:rFonts w:ascii="Arial" w:cs="Arial" w:eastAsia="Arial" w:hAnsi="Arial"/>
          <w:sz w:val="14"/>
          <w:szCs w:val="14"/>
          <w:color w:val="auto"/>
        </w:rPr>
      </w:pPr>
      <w:r>
        <w:rPr>
          <w:rFonts w:ascii="Arial" w:cs="Arial" w:eastAsia="Arial" w:hAnsi="Arial"/>
          <w:sz w:val="14"/>
          <w:szCs w:val="14"/>
          <w:color w:val="auto"/>
        </w:rPr>
        <w:t>Primarily related to intellectual property migration and other non-recurring impacts to interest expense * Numbers may not add up precisely due to rounding.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783" w:right="239" w:bottom="1440" w:gutter="0" w:footer="0" w:header="0"/>
        </w:sectPr>
      </w:pPr>
    </w:p>
    <w:bookmarkStart w:id="13" w:name="page14"/>
    <w:bookmarkEnd w:id="13"/>
    <w:p>
      <w:pPr>
        <w:ind w:left="40" w:right="5040"/>
        <w:spacing w:after="0" w:line="357" w:lineRule="auto"/>
        <w:rPr>
          <w:sz w:val="20"/>
          <w:szCs w:val="20"/>
          <w:color w:val="auto"/>
        </w:rPr>
      </w:pPr>
      <w:r>
        <w:rPr>
          <w:rFonts w:ascii="Arial" w:cs="Arial" w:eastAsia="Arial" w:hAnsi="Arial"/>
          <w:sz w:val="16"/>
          <w:szCs w:val="16"/>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ind w:left="480"/>
              <w:spacing w:after="0"/>
              <w:rPr>
                <w:sz w:val="20"/>
                <w:szCs w:val="20"/>
                <w:color w:val="auto"/>
              </w:rPr>
            </w:pPr>
            <w:r>
              <w:rPr>
                <w:rFonts w:ascii="Arial" w:cs="Arial" w:eastAsia="Arial" w:hAnsi="Arial"/>
                <w:sz w:val="13"/>
                <w:szCs w:val="13"/>
                <w:b w:val="1"/>
                <w:bCs w:val="1"/>
                <w:color w:val="auto"/>
              </w:rPr>
              <w:t>Specified Items</w:t>
            </w:r>
          </w:p>
        </w:tc>
        <w:tc>
          <w:tcPr>
            <w:tcW w:w="9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rPr>
              <w:t>Non-</w:t>
            </w: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Depreciation</w:t>
            </w:r>
          </w:p>
        </w:tc>
        <w:tc>
          <w:tcPr>
            <w:tcW w:w="8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recurring</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Merger and</w:t>
            </w:r>
          </w:p>
        </w:tc>
        <w:tc>
          <w:tcPr>
            <w:tcW w:w="9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and</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Product</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Legal and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Stock-based</w:t>
            </w:r>
          </w:p>
        </w:tc>
        <w:tc>
          <w:tcPr>
            <w:tcW w:w="8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Certain</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88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5"/>
              </w:rPr>
              <w:t>GAAP</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Integration</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Restructuring</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Amortization</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Remediation</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Contingent</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Compensation</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Certain Tax</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Interest</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Adjusted</w:t>
            </w:r>
          </w:p>
        </w:tc>
        <w:tc>
          <w:tcPr>
            <w:tcW w:w="0" w:type="dxa"/>
            <w:vAlign w:val="bottom"/>
          </w:tcPr>
          <w:p>
            <w:pPr>
              <w:spacing w:after="0"/>
              <w:rPr>
                <w:sz w:val="1"/>
                <w:szCs w:val="1"/>
                <w:color w:val="auto"/>
              </w:rPr>
            </w:pPr>
          </w:p>
        </w:tc>
      </w:tr>
      <w:tr>
        <w:trPr>
          <w:trHeight w:val="135"/>
        </w:trPr>
        <w:tc>
          <w:tcPr>
            <w:tcW w:w="2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2017</w:t>
            </w:r>
          </w:p>
        </w:tc>
        <w:tc>
          <w:tcPr>
            <w:tcW w:w="88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9"/>
              </w:rPr>
              <w:t>Financial</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Expenses</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Expenses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Expenses</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Expenses</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Consideration</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Costs</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Adjustments</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Adjustments</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Financial</w:t>
            </w:r>
          </w:p>
        </w:tc>
        <w:tc>
          <w:tcPr>
            <w:tcW w:w="0" w:type="dxa"/>
            <w:vAlign w:val="bottom"/>
          </w:tcPr>
          <w:p>
            <w:pPr>
              <w:spacing w:after="0"/>
              <w:rPr>
                <w:sz w:val="1"/>
                <w:szCs w:val="1"/>
                <w:color w:val="auto"/>
              </w:rPr>
            </w:pPr>
          </w:p>
        </w:tc>
      </w:tr>
      <w:tr>
        <w:trPr>
          <w:trHeight w:val="178"/>
        </w:trPr>
        <w:tc>
          <w:tcPr>
            <w:tcW w:w="27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b w:val="1"/>
                <w:bCs w:val="1"/>
                <w:color w:val="auto"/>
                <w:w w:val="96"/>
              </w:rPr>
              <w:t>Measures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420"/>
          </w:cols>
          <w:pgMar w:left="240" w:top="959" w:right="239" w:bottom="1440" w:gutter="0" w:footer="0" w:header="0"/>
        </w:sectPr>
      </w:pPr>
    </w:p>
    <w:p>
      <w:pPr>
        <w:ind w:left="40"/>
        <w:spacing w:after="0"/>
        <w:rPr>
          <w:sz w:val="20"/>
          <w:szCs w:val="20"/>
          <w:color w:val="auto"/>
        </w:rPr>
      </w:pPr>
      <w:r>
        <w:rPr>
          <w:rFonts w:ascii="Arial" w:cs="Arial" w:eastAsia="Arial" w:hAnsi="Arial"/>
          <w:sz w:val="14"/>
          <w:szCs w:val="14"/>
          <w:color w:val="auto"/>
        </w:rPr>
        <w:t>Net sales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 of sales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Product remediation</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Gross profit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expenses: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Selling, general and administrative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Research and development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Merger and integration expenses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Restructuring expenses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Amortization of intangibles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operating expenses</w:t>
      </w:r>
    </w:p>
    <w:p>
      <w:pPr>
        <w:spacing w:after="0" w:line="55" w:lineRule="exact"/>
        <w:rPr>
          <w:sz w:val="20"/>
          <w:szCs w:val="20"/>
          <w:color w:val="auto"/>
        </w:rPr>
      </w:pPr>
    </w:p>
    <w:p>
      <w:pPr>
        <w:ind w:left="280" w:right="320"/>
        <w:spacing w:after="0" w:line="258" w:lineRule="auto"/>
        <w:rPr>
          <w:sz w:val="20"/>
          <w:szCs w:val="20"/>
          <w:color w:val="auto"/>
        </w:rPr>
      </w:pPr>
      <w:r>
        <w:rPr>
          <w:rFonts w:ascii="Arial" w:cs="Arial" w:eastAsia="Arial" w:hAnsi="Arial"/>
          <w:sz w:val="14"/>
          <w:szCs w:val="14"/>
          <w:color w:val="auto"/>
        </w:rPr>
        <w:t>Operating income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exchange and other (losses) gains</w:t>
      </w:r>
    </w:p>
    <w:p>
      <w:pPr>
        <w:spacing w:after="0" w:line="55" w:lineRule="exact"/>
        <w:rPr>
          <w:sz w:val="20"/>
          <w:szCs w:val="20"/>
          <w:color w:val="auto"/>
        </w:rPr>
      </w:pPr>
    </w:p>
    <w:p>
      <w:pPr>
        <w:ind w:left="40" w:right="60"/>
        <w:spacing w:after="0" w:line="258" w:lineRule="auto"/>
        <w:rPr>
          <w:sz w:val="20"/>
          <w:szCs w:val="20"/>
          <w:color w:val="auto"/>
        </w:rPr>
      </w:pPr>
      <w:r>
        <w:rPr>
          <w:rFonts w:ascii="Arial" w:cs="Arial" w:eastAsia="Arial" w:hAnsi="Arial"/>
          <w:sz w:val="14"/>
          <w:szCs w:val="14"/>
          <w:color w:val="auto"/>
        </w:rPr>
        <w:t>Income from continuing operations before tax</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tax expense</w:t>
      </w:r>
    </w:p>
    <w:p>
      <w:pPr>
        <w:spacing w:after="0" w:line="109" w:lineRule="exact"/>
        <w:rPr>
          <w:sz w:val="20"/>
          <w:szCs w:val="20"/>
          <w:color w:val="auto"/>
        </w:rPr>
      </w:pPr>
    </w:p>
    <w:p>
      <w:pPr>
        <w:ind w:left="40" w:right="60" w:firstLine="135"/>
        <w:spacing w:after="0" w:line="379" w:lineRule="auto"/>
        <w:rPr>
          <w:sz w:val="20"/>
          <w:szCs w:val="20"/>
          <w:color w:val="auto"/>
        </w:rPr>
      </w:pPr>
      <w:r>
        <w:rPr>
          <w:rFonts w:ascii="Arial" w:cs="Arial" w:eastAsia="Arial" w:hAnsi="Arial"/>
          <w:sz w:val="14"/>
          <w:szCs w:val="14"/>
          <w:color w:val="auto"/>
        </w:rPr>
        <w:t>Losses from equity method investments Net income from continuing operations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00" w:type="dxa"/>
            <w:vAlign w:val="bottom"/>
          </w:tcPr>
          <w:p>
            <w:pPr>
              <w:jc w:val="right"/>
              <w:ind w:right="228"/>
              <w:spacing w:after="0"/>
              <w:rPr>
                <w:sz w:val="20"/>
                <w:szCs w:val="20"/>
                <w:color w:val="auto"/>
              </w:rPr>
            </w:pPr>
            <w:r>
              <w:rPr>
                <w:rFonts w:ascii="Arial" w:cs="Arial" w:eastAsia="Arial" w:hAnsi="Arial"/>
                <w:sz w:val="14"/>
                <w:szCs w:val="14"/>
                <w:color w:val="auto"/>
              </w:rPr>
              <w:t>$226.8</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$226.8</w:t>
            </w:r>
          </w:p>
        </w:tc>
      </w:tr>
      <w:tr>
        <w:trPr>
          <w:trHeight w:val="270"/>
        </w:trPr>
        <w:tc>
          <w:tcPr>
            <w:tcW w:w="1000" w:type="dxa"/>
            <w:vAlign w:val="bottom"/>
          </w:tcPr>
          <w:p>
            <w:pPr>
              <w:jc w:val="right"/>
              <w:ind w:right="228"/>
              <w:spacing w:after="0"/>
              <w:rPr>
                <w:sz w:val="20"/>
                <w:szCs w:val="20"/>
                <w:color w:val="auto"/>
              </w:rPr>
            </w:pPr>
            <w:r>
              <w:rPr>
                <w:rFonts w:ascii="Arial" w:cs="Arial" w:eastAsia="Arial" w:hAnsi="Arial"/>
                <w:sz w:val="14"/>
                <w:szCs w:val="14"/>
                <w:color w:val="auto"/>
              </w:rPr>
              <w:t>80.0</w:t>
            </w:r>
          </w:p>
        </w:tc>
        <w:tc>
          <w:tcPr>
            <w:tcW w:w="8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(1.1)</w:t>
            </w:r>
          </w:p>
        </w:tc>
        <w:tc>
          <w:tcPr>
            <w:tcW w:w="9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78.8</w:t>
            </w:r>
          </w:p>
        </w:tc>
      </w:tr>
      <w:tr>
        <w:trPr>
          <w:trHeight w:val="276"/>
        </w:trPr>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(0.8)</w:t>
            </w: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0.8</w:t>
            </w:r>
          </w:p>
        </w:tc>
        <w:tc>
          <w:tcPr>
            <w:tcW w:w="9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1000" w:type="dxa"/>
            <w:vAlign w:val="bottom"/>
          </w:tcPr>
          <w:p>
            <w:pPr>
              <w:jc w:val="right"/>
              <w:ind w:right="228"/>
              <w:spacing w:after="0"/>
              <w:rPr>
                <w:sz w:val="20"/>
                <w:szCs w:val="20"/>
                <w:color w:val="auto"/>
              </w:rPr>
            </w:pPr>
            <w:r>
              <w:rPr>
                <w:rFonts w:ascii="Arial" w:cs="Arial" w:eastAsia="Arial" w:hAnsi="Arial"/>
                <w:sz w:val="14"/>
                <w:szCs w:val="14"/>
                <w:color w:val="auto"/>
              </w:rPr>
              <w:t>147.6</w:t>
            </w: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jc w:val="right"/>
              <w:ind w:right="288"/>
              <w:spacing w:after="0"/>
              <w:rPr>
                <w:sz w:val="20"/>
                <w:szCs w:val="20"/>
                <w:color w:val="auto"/>
              </w:rPr>
            </w:pPr>
            <w:r>
              <w:rPr>
                <w:rFonts w:ascii="Arial" w:cs="Arial" w:eastAsia="Arial" w:hAnsi="Arial"/>
                <w:sz w:val="14"/>
                <w:szCs w:val="14"/>
                <w:color w:val="auto"/>
              </w:rPr>
              <w:t>1.1</w:t>
            </w: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(0.8)</w:t>
            </w:r>
          </w:p>
        </w:tc>
        <w:tc>
          <w:tcPr>
            <w:tcW w:w="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148.0</w:t>
            </w:r>
          </w:p>
        </w:tc>
      </w:tr>
      <w:tr>
        <w:trPr>
          <w:trHeight w:val="540"/>
        </w:trPr>
        <w:tc>
          <w:tcPr>
            <w:tcW w:w="1000" w:type="dxa"/>
            <w:vAlign w:val="bottom"/>
          </w:tcPr>
          <w:p>
            <w:pPr>
              <w:jc w:val="right"/>
              <w:ind w:right="228"/>
              <w:spacing w:after="0"/>
              <w:rPr>
                <w:sz w:val="20"/>
                <w:szCs w:val="20"/>
                <w:color w:val="auto"/>
              </w:rPr>
            </w:pPr>
            <w:r>
              <w:rPr>
                <w:rFonts w:ascii="Arial" w:cs="Arial" w:eastAsia="Arial" w:hAnsi="Arial"/>
                <w:sz w:val="14"/>
                <w:szCs w:val="14"/>
                <w:color w:val="auto"/>
              </w:rPr>
              <w:t>87.3</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(0.3)</w:t>
            </w:r>
          </w:p>
        </w:tc>
        <w:tc>
          <w:tcPr>
            <w:tcW w:w="90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Arial" w:cs="Arial" w:eastAsia="Arial" w:hAnsi="Arial"/>
                <w:sz w:val="14"/>
                <w:szCs w:val="14"/>
                <w:color w:val="auto"/>
              </w:rPr>
              <w:t>(1.6)</w:t>
            </w: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(3.6)</w:t>
            </w: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81.9</w:t>
            </w:r>
          </w:p>
        </w:tc>
      </w:tr>
      <w:tr>
        <w:trPr>
          <w:trHeight w:val="270"/>
        </w:trPr>
        <w:tc>
          <w:tcPr>
            <w:tcW w:w="1000" w:type="dxa"/>
            <w:vAlign w:val="bottom"/>
          </w:tcPr>
          <w:p>
            <w:pPr>
              <w:jc w:val="right"/>
              <w:ind w:right="228"/>
              <w:spacing w:after="0"/>
              <w:rPr>
                <w:sz w:val="20"/>
                <w:szCs w:val="20"/>
                <w:color w:val="auto"/>
              </w:rPr>
            </w:pPr>
            <w:r>
              <w:rPr>
                <w:rFonts w:ascii="Arial" w:cs="Arial" w:eastAsia="Arial" w:hAnsi="Arial"/>
                <w:sz w:val="14"/>
                <w:szCs w:val="14"/>
                <w:color w:val="auto"/>
              </w:rPr>
              <w:t>20.4</w:t>
            </w:r>
          </w:p>
        </w:tc>
        <w:tc>
          <w:tcPr>
            <w:tcW w:w="8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(0.1)</w:t>
            </w:r>
          </w:p>
        </w:tc>
        <w:tc>
          <w:tcPr>
            <w:tcW w:w="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20.2</w:t>
            </w:r>
          </w:p>
        </w:tc>
      </w:tr>
      <w:tr>
        <w:trPr>
          <w:trHeight w:val="270"/>
        </w:trPr>
        <w:tc>
          <w:tcPr>
            <w:tcW w:w="1000" w:type="dxa"/>
            <w:vAlign w:val="bottom"/>
          </w:tcPr>
          <w:p>
            <w:pPr>
              <w:jc w:val="right"/>
              <w:ind w:right="228"/>
              <w:spacing w:after="0"/>
              <w:rPr>
                <w:sz w:val="20"/>
                <w:szCs w:val="20"/>
                <w:color w:val="auto"/>
              </w:rPr>
            </w:pPr>
            <w:r>
              <w:rPr>
                <w:rFonts w:ascii="Arial" w:cs="Arial" w:eastAsia="Arial" w:hAnsi="Arial"/>
                <w:sz w:val="14"/>
                <w:szCs w:val="14"/>
                <w:color w:val="auto"/>
              </w:rPr>
              <w:t>2.2</w:t>
            </w:r>
          </w:p>
        </w:tc>
        <w:tc>
          <w:tcPr>
            <w:tcW w:w="800" w:type="dxa"/>
            <w:vAlign w:val="bottom"/>
          </w:tcPr>
          <w:p>
            <w:pPr>
              <w:jc w:val="right"/>
              <w:ind w:right="208"/>
              <w:spacing w:after="0"/>
              <w:rPr>
                <w:sz w:val="20"/>
                <w:szCs w:val="20"/>
                <w:color w:val="auto"/>
              </w:rPr>
            </w:pPr>
            <w:r>
              <w:rPr>
                <w:rFonts w:ascii="Arial" w:cs="Arial" w:eastAsia="Arial" w:hAnsi="Arial"/>
                <w:sz w:val="14"/>
                <w:szCs w:val="14"/>
                <w:color w:val="auto"/>
              </w:rPr>
              <w:t>(2.2)</w:t>
            </w:r>
          </w:p>
        </w:tc>
        <w:tc>
          <w:tcPr>
            <w:tcW w:w="9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00" w:type="dxa"/>
            <w:vAlign w:val="bottom"/>
          </w:tcPr>
          <w:p>
            <w:pPr>
              <w:jc w:val="right"/>
              <w:ind w:right="228"/>
              <w:spacing w:after="0"/>
              <w:rPr>
                <w:sz w:val="20"/>
                <w:szCs w:val="20"/>
                <w:color w:val="auto"/>
              </w:rPr>
            </w:pPr>
            <w:r>
              <w:rPr>
                <w:rFonts w:ascii="Arial" w:cs="Arial" w:eastAsia="Arial" w:hAnsi="Arial"/>
                <w:sz w:val="14"/>
                <w:szCs w:val="14"/>
                <w:color w:val="auto"/>
              </w:rPr>
              <w:t>10.0</w:t>
            </w:r>
          </w:p>
        </w:tc>
        <w:tc>
          <w:tcPr>
            <w:tcW w:w="800" w:type="dxa"/>
            <w:vAlign w:val="bottom"/>
          </w:tcPr>
          <w:p>
            <w:pPr>
              <w:spacing w:after="0"/>
              <w:rPr>
                <w:sz w:val="23"/>
                <w:szCs w:val="23"/>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(10.0)</w:t>
            </w:r>
          </w:p>
        </w:tc>
        <w:tc>
          <w:tcPr>
            <w:tcW w:w="9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8.0</w:t>
            </w: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(8.0)</w:t>
            </w:r>
          </w:p>
        </w:tc>
        <w:tc>
          <w:tcPr>
            <w:tcW w:w="9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127.9</w:t>
            </w: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w:t>
            </w: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(10.0)</w:t>
            </w: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(8.3)</w:t>
            </w:r>
          </w:p>
        </w:tc>
        <w:tc>
          <w:tcPr>
            <w:tcW w:w="9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(1.6)</w:t>
            </w: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(3.8)</w:t>
            </w:r>
          </w:p>
        </w:tc>
        <w:tc>
          <w:tcPr>
            <w:tcW w:w="8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102.1</w:t>
            </w:r>
          </w:p>
        </w:tc>
      </w:tr>
      <w:tr>
        <w:trPr>
          <w:trHeight w:val="352"/>
        </w:trPr>
        <w:tc>
          <w:tcPr>
            <w:tcW w:w="1000" w:type="dxa"/>
            <w:vAlign w:val="bottom"/>
          </w:tcPr>
          <w:p>
            <w:pPr>
              <w:jc w:val="right"/>
              <w:ind w:right="228"/>
              <w:spacing w:after="0"/>
              <w:rPr>
                <w:sz w:val="20"/>
                <w:szCs w:val="20"/>
                <w:color w:val="auto"/>
              </w:rPr>
            </w:pPr>
            <w:r>
              <w:rPr>
                <w:rFonts w:ascii="Arial" w:cs="Arial" w:eastAsia="Arial" w:hAnsi="Arial"/>
                <w:sz w:val="14"/>
                <w:szCs w:val="14"/>
                <w:color w:val="auto"/>
              </w:rPr>
              <w:t>19.7</w:t>
            </w:r>
          </w:p>
        </w:tc>
        <w:tc>
          <w:tcPr>
            <w:tcW w:w="800" w:type="dxa"/>
            <w:vAlign w:val="bottom"/>
          </w:tcPr>
          <w:p>
            <w:pPr>
              <w:jc w:val="right"/>
              <w:ind w:right="248"/>
              <w:spacing w:after="0"/>
              <w:rPr>
                <w:sz w:val="20"/>
                <w:szCs w:val="20"/>
                <w:color w:val="auto"/>
              </w:rPr>
            </w:pPr>
            <w:r>
              <w:rPr>
                <w:rFonts w:ascii="Arial" w:cs="Arial" w:eastAsia="Arial" w:hAnsi="Arial"/>
                <w:sz w:val="14"/>
                <w:szCs w:val="14"/>
                <w:color w:val="auto"/>
              </w:rPr>
              <w:t>2.2</w:t>
            </w: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10.0</w:t>
            </w:r>
          </w:p>
        </w:tc>
        <w:tc>
          <w:tcPr>
            <w:tcW w:w="900" w:type="dxa"/>
            <w:vAlign w:val="bottom"/>
          </w:tcPr>
          <w:p>
            <w:pPr>
              <w:jc w:val="right"/>
              <w:ind w:right="288"/>
              <w:spacing w:after="0"/>
              <w:rPr>
                <w:sz w:val="20"/>
                <w:szCs w:val="20"/>
                <w:color w:val="auto"/>
              </w:rPr>
            </w:pPr>
            <w:r>
              <w:rPr>
                <w:rFonts w:ascii="Arial" w:cs="Arial" w:eastAsia="Arial" w:hAnsi="Arial"/>
                <w:sz w:val="14"/>
                <w:szCs w:val="14"/>
                <w:color w:val="auto"/>
              </w:rPr>
              <w:t>9.4</w:t>
            </w: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(0.8)</w:t>
            </w:r>
          </w:p>
        </w:tc>
        <w:tc>
          <w:tcPr>
            <w:tcW w:w="940" w:type="dxa"/>
            <w:vAlign w:val="bottom"/>
          </w:tcPr>
          <w:p>
            <w:pPr>
              <w:jc w:val="right"/>
              <w:ind w:right="308"/>
              <w:spacing w:after="0"/>
              <w:rPr>
                <w:sz w:val="20"/>
                <w:szCs w:val="20"/>
                <w:color w:val="auto"/>
              </w:rPr>
            </w:pPr>
            <w:r>
              <w:rPr>
                <w:rFonts w:ascii="Arial" w:cs="Arial" w:eastAsia="Arial" w:hAnsi="Arial"/>
                <w:sz w:val="14"/>
                <w:szCs w:val="14"/>
                <w:color w:val="auto"/>
              </w:rPr>
              <w:t>1.6</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3.8</w:t>
            </w: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45.9</w:t>
            </w:r>
          </w:p>
        </w:tc>
      </w:tr>
      <w:tr>
        <w:trPr>
          <w:trHeight w:val="270"/>
        </w:trPr>
        <w:tc>
          <w:tcPr>
            <w:tcW w:w="1000" w:type="dxa"/>
            <w:vAlign w:val="bottom"/>
          </w:tcPr>
          <w:p>
            <w:pPr>
              <w:jc w:val="right"/>
              <w:ind w:right="228"/>
              <w:spacing w:after="0"/>
              <w:rPr>
                <w:sz w:val="20"/>
                <w:szCs w:val="20"/>
                <w:color w:val="auto"/>
              </w:rPr>
            </w:pPr>
            <w:r>
              <w:rPr>
                <w:rFonts w:ascii="Arial" w:cs="Arial" w:eastAsia="Arial" w:hAnsi="Arial"/>
                <w:sz w:val="14"/>
                <w:szCs w:val="14"/>
                <w:color w:val="auto"/>
              </w:rPr>
              <w:t>0.3</w:t>
            </w:r>
          </w:p>
        </w:tc>
        <w:tc>
          <w:tcPr>
            <w:tcW w:w="8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0.3</w:t>
            </w:r>
          </w:p>
        </w:tc>
      </w:tr>
      <w:tr>
        <w:trPr>
          <w:trHeight w:val="270"/>
        </w:trPr>
        <w:tc>
          <w:tcPr>
            <w:tcW w:w="1000" w:type="dxa"/>
            <w:vAlign w:val="bottom"/>
          </w:tcPr>
          <w:p>
            <w:pPr>
              <w:jc w:val="right"/>
              <w:ind w:right="188"/>
              <w:spacing w:after="0"/>
              <w:rPr>
                <w:sz w:val="20"/>
                <w:szCs w:val="20"/>
                <w:color w:val="auto"/>
              </w:rPr>
            </w:pPr>
            <w:r>
              <w:rPr>
                <w:rFonts w:ascii="Arial" w:cs="Arial" w:eastAsia="Arial" w:hAnsi="Arial"/>
                <w:sz w:val="14"/>
                <w:szCs w:val="14"/>
                <w:color w:val="auto"/>
              </w:rPr>
              <w:t>(2.3)</w:t>
            </w:r>
          </w:p>
        </w:tc>
        <w:tc>
          <w:tcPr>
            <w:tcW w:w="8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Arial" w:cs="Arial" w:eastAsia="Arial" w:hAnsi="Arial"/>
                <w:sz w:val="14"/>
                <w:szCs w:val="14"/>
                <w:color w:val="auto"/>
              </w:rPr>
              <w:t>1.1</w:t>
            </w:r>
          </w:p>
        </w:tc>
        <w:tc>
          <w:tcPr>
            <w:tcW w:w="6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76"/>
        </w:trPr>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3.2</w:t>
            </w: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(3.2)</w:t>
            </w: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352"/>
        </w:trPr>
        <w:tc>
          <w:tcPr>
            <w:tcW w:w="1000" w:type="dxa"/>
            <w:vAlign w:val="bottom"/>
          </w:tcPr>
          <w:p>
            <w:pPr>
              <w:jc w:val="right"/>
              <w:ind w:right="228"/>
              <w:spacing w:after="0"/>
              <w:rPr>
                <w:sz w:val="20"/>
                <w:szCs w:val="20"/>
                <w:color w:val="auto"/>
              </w:rPr>
            </w:pPr>
            <w:r>
              <w:rPr>
                <w:rFonts w:ascii="Arial" w:cs="Arial" w:eastAsia="Arial" w:hAnsi="Arial"/>
                <w:sz w:val="14"/>
                <w:szCs w:val="14"/>
                <w:color w:val="auto"/>
              </w:rPr>
              <w:t>20.9</w:t>
            </w:r>
          </w:p>
        </w:tc>
        <w:tc>
          <w:tcPr>
            <w:tcW w:w="800" w:type="dxa"/>
            <w:vAlign w:val="bottom"/>
          </w:tcPr>
          <w:p>
            <w:pPr>
              <w:jc w:val="right"/>
              <w:ind w:right="248"/>
              <w:spacing w:after="0"/>
              <w:rPr>
                <w:sz w:val="20"/>
                <w:szCs w:val="20"/>
                <w:color w:val="auto"/>
              </w:rPr>
            </w:pPr>
            <w:r>
              <w:rPr>
                <w:rFonts w:ascii="Arial" w:cs="Arial" w:eastAsia="Arial" w:hAnsi="Arial"/>
                <w:sz w:val="14"/>
                <w:szCs w:val="14"/>
                <w:color w:val="auto"/>
              </w:rPr>
              <w:t>2.2</w:t>
            </w: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10.0</w:t>
            </w:r>
          </w:p>
        </w:tc>
        <w:tc>
          <w:tcPr>
            <w:tcW w:w="900" w:type="dxa"/>
            <w:vAlign w:val="bottom"/>
          </w:tcPr>
          <w:p>
            <w:pPr>
              <w:jc w:val="right"/>
              <w:ind w:right="288"/>
              <w:spacing w:after="0"/>
              <w:rPr>
                <w:sz w:val="20"/>
                <w:szCs w:val="20"/>
                <w:color w:val="auto"/>
              </w:rPr>
            </w:pPr>
            <w:r>
              <w:rPr>
                <w:rFonts w:ascii="Arial" w:cs="Arial" w:eastAsia="Arial" w:hAnsi="Arial"/>
                <w:sz w:val="14"/>
                <w:szCs w:val="14"/>
                <w:color w:val="auto"/>
              </w:rPr>
              <w:t>9.4</w:t>
            </w: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(0.8)</w:t>
            </w:r>
          </w:p>
        </w:tc>
        <w:tc>
          <w:tcPr>
            <w:tcW w:w="940" w:type="dxa"/>
            <w:vAlign w:val="bottom"/>
          </w:tcPr>
          <w:p>
            <w:pPr>
              <w:jc w:val="right"/>
              <w:ind w:right="268"/>
              <w:spacing w:after="0"/>
              <w:rPr>
                <w:sz w:val="20"/>
                <w:szCs w:val="20"/>
                <w:color w:val="auto"/>
              </w:rPr>
            </w:pPr>
            <w:r>
              <w:rPr>
                <w:rFonts w:ascii="Arial" w:cs="Arial" w:eastAsia="Arial" w:hAnsi="Arial"/>
                <w:sz w:val="14"/>
                <w:szCs w:val="14"/>
                <w:color w:val="auto"/>
              </w:rPr>
              <w:t>(1.6)</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3.8</w:t>
            </w:r>
          </w:p>
        </w:tc>
        <w:tc>
          <w:tcPr>
            <w:tcW w:w="88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14"/>
                <w:szCs w:val="14"/>
                <w:color w:val="auto"/>
              </w:rPr>
              <w:t>1.1</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44.9</w:t>
            </w:r>
          </w:p>
        </w:tc>
      </w:tr>
      <w:tr>
        <w:trPr>
          <w:trHeight w:val="270"/>
        </w:trPr>
        <w:tc>
          <w:tcPr>
            <w:tcW w:w="1000" w:type="dxa"/>
            <w:vAlign w:val="bottom"/>
          </w:tcPr>
          <w:p>
            <w:pPr>
              <w:jc w:val="right"/>
              <w:ind w:right="228"/>
              <w:spacing w:after="0"/>
              <w:rPr>
                <w:sz w:val="20"/>
                <w:szCs w:val="20"/>
                <w:color w:val="auto"/>
              </w:rPr>
            </w:pPr>
            <w:r>
              <w:rPr>
                <w:rFonts w:ascii="Arial" w:cs="Arial" w:eastAsia="Arial" w:hAnsi="Arial"/>
                <w:sz w:val="14"/>
                <w:szCs w:val="14"/>
                <w:color w:val="auto"/>
              </w:rPr>
              <w:t>5.7</w:t>
            </w:r>
          </w:p>
        </w:tc>
        <w:tc>
          <w:tcPr>
            <w:tcW w:w="800" w:type="dxa"/>
            <w:vAlign w:val="bottom"/>
          </w:tcPr>
          <w:p>
            <w:pPr>
              <w:jc w:val="right"/>
              <w:ind w:right="248"/>
              <w:spacing w:after="0"/>
              <w:rPr>
                <w:sz w:val="20"/>
                <w:szCs w:val="20"/>
                <w:color w:val="auto"/>
              </w:rPr>
            </w:pPr>
            <w:r>
              <w:rPr>
                <w:rFonts w:ascii="Arial" w:cs="Arial" w:eastAsia="Arial" w:hAnsi="Arial"/>
                <w:sz w:val="14"/>
                <w:szCs w:val="14"/>
                <w:color w:val="auto"/>
              </w:rPr>
              <w:t>0.6</w:t>
            </w: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1.3</w:t>
            </w:r>
          </w:p>
        </w:tc>
        <w:tc>
          <w:tcPr>
            <w:tcW w:w="900" w:type="dxa"/>
            <w:vAlign w:val="bottom"/>
          </w:tcPr>
          <w:p>
            <w:pPr>
              <w:jc w:val="right"/>
              <w:ind w:right="288"/>
              <w:spacing w:after="0"/>
              <w:rPr>
                <w:sz w:val="20"/>
                <w:szCs w:val="20"/>
                <w:color w:val="auto"/>
              </w:rPr>
            </w:pPr>
            <w:r>
              <w:rPr>
                <w:rFonts w:ascii="Arial" w:cs="Arial" w:eastAsia="Arial" w:hAnsi="Arial"/>
                <w:sz w:val="14"/>
                <w:szCs w:val="14"/>
                <w:color w:val="auto"/>
              </w:rPr>
              <w:t>4.8</w:t>
            </w: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(0.3)</w:t>
            </w:r>
          </w:p>
        </w:tc>
        <w:tc>
          <w:tcPr>
            <w:tcW w:w="940" w:type="dxa"/>
            <w:vAlign w:val="bottom"/>
          </w:tcPr>
          <w:p>
            <w:pPr>
              <w:jc w:val="right"/>
              <w:ind w:right="308"/>
              <w:spacing w:after="0"/>
              <w:rPr>
                <w:sz w:val="20"/>
                <w:szCs w:val="20"/>
                <w:color w:val="auto"/>
              </w:rPr>
            </w:pPr>
            <w:r>
              <w:rPr>
                <w:rFonts w:ascii="Arial" w:cs="Arial" w:eastAsia="Arial" w:hAnsi="Arial"/>
                <w:sz w:val="14"/>
                <w:szCs w:val="14"/>
                <w:color w:val="auto"/>
              </w:rPr>
              <w:t>0.6</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0.6</w:t>
            </w:r>
          </w:p>
        </w:tc>
        <w:tc>
          <w:tcPr>
            <w:tcW w:w="880" w:type="dxa"/>
            <w:vAlign w:val="bottom"/>
          </w:tcPr>
          <w:p>
            <w:pPr>
              <w:jc w:val="right"/>
              <w:ind w:right="268"/>
              <w:spacing w:after="0"/>
              <w:rPr>
                <w:sz w:val="20"/>
                <w:szCs w:val="20"/>
                <w:color w:val="auto"/>
              </w:rPr>
            </w:pPr>
            <w:r>
              <w:rPr>
                <w:rFonts w:ascii="Arial" w:cs="Arial" w:eastAsia="Arial" w:hAnsi="Arial"/>
                <w:sz w:val="14"/>
                <w:szCs w:val="14"/>
                <w:color w:val="auto"/>
              </w:rPr>
              <w:t>(2.6)</w:t>
            </w:r>
          </w:p>
        </w:tc>
        <w:tc>
          <w:tcPr>
            <w:tcW w:w="7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10.6</w:t>
            </w:r>
          </w:p>
        </w:tc>
      </w:tr>
      <w:tr>
        <w:trPr>
          <w:trHeight w:val="276"/>
        </w:trPr>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w:t>
            </w: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0.1</w:t>
            </w:r>
          </w:p>
        </w:tc>
        <w:tc>
          <w:tcPr>
            <w:tcW w:w="9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210"/>
        </w:trPr>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$13.2</w:t>
            </w: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$1.6</w:t>
            </w: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$8.7</w:t>
            </w: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$4.6</w:t>
            </w: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($0.5)</w:t>
            </w: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($2.2)</w:t>
            </w: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$3.2</w:t>
            </w: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$2.6</w:t>
            </w: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$1.1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2">
            <w:col w:w="2760" w:space="40"/>
            <w:col w:w="8620"/>
          </w:cols>
          <w:pgMar w:left="240" w:top="959" w:right="239" w:bottom="1440" w:gutter="0" w:footer="0" w:header="0"/>
          <w:type w:val="continuous"/>
        </w:sectPr>
      </w:pPr>
    </w:p>
    <w:tbl>
      <w:tblPr>
        <w:tblLayout w:type="fixed"/>
        <w:tblInd w:w="40" w:type="dxa"/>
        <w:tblCellMar>
          <w:top w:w="0" w:type="dxa"/>
          <w:left w:w="0" w:type="dxa"/>
          <w:bottom w:w="0" w:type="dxa"/>
          <w:right w:w="0" w:type="dxa"/>
        </w:tblCellMar>
      </w:tblPr>
      <w:tr>
        <w:trPr>
          <w:trHeight w:val="172"/>
        </w:trPr>
        <w:tc>
          <w:tcPr>
            <w:tcW w:w="2760" w:type="dxa"/>
            <w:vAlign w:val="bottom"/>
          </w:tcPr>
          <w:p>
            <w:pPr>
              <w:spacing w:after="0"/>
              <w:rPr>
                <w:sz w:val="20"/>
                <w:szCs w:val="20"/>
                <w:color w:val="auto"/>
              </w:rPr>
            </w:pPr>
            <w:r>
              <w:rPr>
                <w:rFonts w:ascii="Arial" w:cs="Arial" w:eastAsia="Arial" w:hAnsi="Arial"/>
                <w:sz w:val="14"/>
                <w:szCs w:val="14"/>
                <w:color w:val="auto"/>
              </w:rPr>
              <w:t>Diluted EPS - Continuing Operations</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$0.27</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$0.03</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$0.18</w:t>
            </w: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$0.10</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($0.01)</w:t>
            </w: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($0.05)</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$0.07</w:t>
            </w: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$0.05</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$0.02</w:t>
            </w:r>
          </w:p>
        </w:tc>
        <w:tc>
          <w:tcPr>
            <w:tcW w:w="580" w:type="dxa"/>
            <w:vAlign w:val="bottom"/>
          </w:tcPr>
          <w:p>
            <w:pPr>
              <w:jc w:val="right"/>
              <w:spacing w:after="0"/>
              <w:rPr>
                <w:sz w:val="20"/>
                <w:szCs w:val="20"/>
                <w:color w:val="auto"/>
              </w:rPr>
            </w:pPr>
            <w:r>
              <w:rPr>
                <w:rFonts w:ascii="Arial" w:cs="Arial" w:eastAsia="Arial" w:hAnsi="Arial"/>
                <w:sz w:val="14"/>
                <w:szCs w:val="14"/>
                <w:color w:val="auto"/>
              </w:rPr>
              <w:t>$0.67</w:t>
            </w:r>
          </w:p>
        </w:tc>
      </w:tr>
    </w:tbl>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GAAP results for the three months ended March 31, 2017 include:</w:t>
      </w:r>
    </w:p>
    <w:p>
      <w:pPr>
        <w:spacing w:after="0" w:line="82" w:lineRule="exact"/>
        <w:rPr>
          <w:sz w:val="20"/>
          <w:szCs w:val="20"/>
          <w:color w:val="auto"/>
        </w:rPr>
      </w:pPr>
    </w:p>
    <w:p>
      <w:pPr>
        <w:ind w:left="320" w:hanging="266"/>
        <w:spacing w:after="0"/>
        <w:tabs>
          <w:tab w:leader="none" w:pos="320" w:val="left"/>
        </w:tabs>
        <w:numPr>
          <w:ilvl w:val="1"/>
          <w:numId w:val="9"/>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55" w:lineRule="exact"/>
        <w:rPr>
          <w:rFonts w:ascii="Arial" w:cs="Arial" w:eastAsia="Arial" w:hAnsi="Arial"/>
          <w:sz w:val="14"/>
          <w:szCs w:val="14"/>
          <w:color w:val="auto"/>
        </w:rPr>
      </w:pPr>
    </w:p>
    <w:p>
      <w:pPr>
        <w:ind w:left="320" w:hanging="266"/>
        <w:spacing w:after="0"/>
        <w:tabs>
          <w:tab w:leader="none" w:pos="320" w:val="left"/>
        </w:tabs>
        <w:numPr>
          <w:ilvl w:val="1"/>
          <w:numId w:val="9"/>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320" w:hanging="270"/>
        <w:spacing w:after="0"/>
        <w:tabs>
          <w:tab w:leader="none" w:pos="320" w:val="left"/>
        </w:tabs>
        <w:numPr>
          <w:ilvl w:val="1"/>
          <w:numId w:val="9"/>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320" w:hanging="270"/>
        <w:spacing w:after="0"/>
        <w:tabs>
          <w:tab w:leader="none" w:pos="320" w:val="left"/>
        </w:tabs>
        <w:numPr>
          <w:ilvl w:val="1"/>
          <w:numId w:val="9"/>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Contingent consideration related to acquisitions, legal expenses primarily related to 3T Heater-Cooler defense, gain on sale of Instituto Europeo di Oncologia S.R.L. and other</w:t>
      </w:r>
    </w:p>
    <w:p>
      <w:pPr>
        <w:spacing w:after="0" w:line="1" w:lineRule="exact"/>
        <w:rPr>
          <w:rFonts w:ascii="Arial" w:cs="Arial" w:eastAsia="Arial" w:hAnsi="Arial"/>
          <w:sz w:val="14"/>
          <w:szCs w:val="14"/>
          <w:color w:val="auto"/>
        </w:rPr>
      </w:pPr>
    </w:p>
    <w:p>
      <w:pPr>
        <w:ind w:left="320" w:hanging="266"/>
        <w:spacing w:after="0"/>
        <w:tabs>
          <w:tab w:leader="none" w:pos="320" w:val="left"/>
        </w:tabs>
        <w:numPr>
          <w:ilvl w:val="1"/>
          <w:numId w:val="9"/>
        </w:numPr>
        <w:rPr>
          <w:rFonts w:ascii="Arial" w:cs="Arial" w:eastAsia="Arial" w:hAnsi="Arial"/>
          <w:sz w:val="14"/>
          <w:szCs w:val="14"/>
          <w:color w:val="auto"/>
        </w:rPr>
      </w:pPr>
      <w:r>
        <w:rPr>
          <w:rFonts w:ascii="Arial" w:cs="Arial" w:eastAsia="Arial" w:hAnsi="Arial"/>
          <w:sz w:val="14"/>
          <w:szCs w:val="14"/>
          <w:color w:val="auto"/>
        </w:rPr>
        <w:t>matters</w:t>
      </w:r>
    </w:p>
    <w:p>
      <w:pPr>
        <w:spacing w:after="0" w:line="55" w:lineRule="exact"/>
        <w:rPr>
          <w:rFonts w:ascii="Arial" w:cs="Arial" w:eastAsia="Arial" w:hAnsi="Arial"/>
          <w:sz w:val="14"/>
          <w:szCs w:val="14"/>
          <w:color w:val="auto"/>
        </w:rPr>
      </w:pPr>
    </w:p>
    <w:p>
      <w:pPr>
        <w:ind w:left="320" w:hanging="262"/>
        <w:spacing w:after="0"/>
        <w:tabs>
          <w:tab w:leader="none" w:pos="320" w:val="left"/>
        </w:tabs>
        <w:numPr>
          <w:ilvl w:val="1"/>
          <w:numId w:val="9"/>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55" w:lineRule="exact"/>
        <w:rPr>
          <w:rFonts w:ascii="Arial" w:cs="Arial" w:eastAsia="Arial" w:hAnsi="Arial"/>
          <w:sz w:val="14"/>
          <w:szCs w:val="14"/>
          <w:color w:val="auto"/>
        </w:rPr>
      </w:pPr>
    </w:p>
    <w:p>
      <w:pPr>
        <w:ind w:left="320" w:hanging="274"/>
        <w:spacing w:after="0"/>
        <w:tabs>
          <w:tab w:leader="none" w:pos="320" w:val="left"/>
        </w:tabs>
        <w:numPr>
          <w:ilvl w:val="1"/>
          <w:numId w:val="9"/>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55" w:lineRule="exact"/>
        <w:rPr>
          <w:rFonts w:ascii="Arial" w:cs="Arial" w:eastAsia="Arial" w:hAnsi="Arial"/>
          <w:sz w:val="14"/>
          <w:szCs w:val="14"/>
          <w:color w:val="auto"/>
        </w:rPr>
      </w:pPr>
    </w:p>
    <w:p>
      <w:pPr>
        <w:ind w:left="40" w:right="4640" w:firstLine="10"/>
        <w:spacing w:after="0" w:line="338" w:lineRule="auto"/>
        <w:tabs>
          <w:tab w:leader="none" w:pos="324" w:val="left"/>
        </w:tabs>
        <w:numPr>
          <w:ilvl w:val="1"/>
          <w:numId w:val="9"/>
        </w:numPr>
        <w:rPr>
          <w:rFonts w:ascii="Arial" w:cs="Arial" w:eastAsia="Arial" w:hAnsi="Arial"/>
          <w:sz w:val="14"/>
          <w:szCs w:val="14"/>
          <w:color w:val="auto"/>
        </w:rPr>
      </w:pPr>
      <w:r>
        <w:rPr>
          <w:rFonts w:ascii="Arial" w:cs="Arial" w:eastAsia="Arial" w:hAnsi="Arial"/>
          <w:sz w:val="14"/>
          <w:szCs w:val="14"/>
          <w:color w:val="auto"/>
        </w:rPr>
        <w:t>Primarily related to intellectual property migration and other non-recurring impacts to interest expense * Numbers may not add up precisely due to rounding.</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959" w:right="239" w:bottom="1440" w:gutter="0" w:footer="0" w:header="0"/>
          <w:type w:val="continuous"/>
        </w:sectPr>
      </w:pPr>
    </w:p>
    <w:bookmarkStart w:id="14" w:name="page15"/>
    <w:bookmarkEnd w:id="14"/>
    <w:p>
      <w:pPr>
        <w:ind w:left="40"/>
        <w:spacing w:after="0"/>
        <w:rPr>
          <w:sz w:val="20"/>
          <w:szCs w:val="20"/>
          <w:color w:val="auto"/>
        </w:rPr>
      </w:pPr>
      <w:r>
        <w:rPr>
          <w:rFonts w:ascii="Arial" w:cs="Arial" w:eastAsia="Arial" w:hAnsi="Arial"/>
          <w:sz w:val="16"/>
          <w:szCs w:val="16"/>
          <w:b w:val="1"/>
          <w:bCs w:val="1"/>
          <w:color w:val="auto"/>
        </w:rPr>
        <w:t>LIVANOVA PLC AND SUBSIDIARIES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(U.S. dollars in millions)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96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March 31, 2018</w:t>
            </w:r>
          </w:p>
        </w:tc>
        <w:tc>
          <w:tcPr>
            <w:tcW w:w="120" w:type="dxa"/>
            <w:vAlign w:val="bottom"/>
          </w:tcPr>
          <w:p>
            <w:pPr>
              <w:spacing w:after="0"/>
              <w:rPr>
                <w:sz w:val="19"/>
                <w:szCs w:val="19"/>
                <w:color w:val="auto"/>
              </w:rPr>
            </w:pPr>
          </w:p>
        </w:tc>
        <w:tc>
          <w:tcPr>
            <w:tcW w:w="2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December 31, 2017</w:t>
            </w:r>
          </w:p>
        </w:tc>
        <w:tc>
          <w:tcPr>
            <w:tcW w:w="0" w:type="dxa"/>
            <w:vAlign w:val="bottom"/>
          </w:tcPr>
          <w:p>
            <w:pPr>
              <w:spacing w:after="0"/>
              <w:rPr>
                <w:sz w:val="1"/>
                <w:szCs w:val="1"/>
                <w:color w:val="auto"/>
              </w:rPr>
            </w:pPr>
          </w:p>
        </w:tc>
      </w:tr>
      <w:tr>
        <w:trPr>
          <w:trHeight w:val="251"/>
        </w:trPr>
        <w:tc>
          <w:tcPr>
            <w:tcW w:w="6960" w:type="dxa"/>
            <w:vAlign w:val="bottom"/>
          </w:tcPr>
          <w:p>
            <w:pPr>
              <w:ind w:left="120"/>
              <w:spacing w:after="0"/>
              <w:rPr>
                <w:sz w:val="20"/>
                <w:szCs w:val="20"/>
                <w:color w:val="auto"/>
              </w:rPr>
            </w:pPr>
            <w:r>
              <w:rPr>
                <w:rFonts w:ascii="Arial" w:cs="Arial" w:eastAsia="Arial" w:hAnsi="Arial"/>
                <w:sz w:val="16"/>
                <w:szCs w:val="16"/>
                <w:b w:val="1"/>
                <w:bCs w:val="1"/>
                <w:color w:val="auto"/>
              </w:rPr>
              <w:t>ASSETS</w:t>
            </w: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(Unaudited)</w:t>
            </w: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6"/>
                <w:szCs w:val="16"/>
                <w:color w:val="auto"/>
              </w:rPr>
              <w:t>Current Assets:</w:t>
            </w: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279.8</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282.1</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154.3</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144.5</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Prepaid and refundable taxes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Assets of discontinued operations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257.1</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250.7</w:t>
            </w:r>
          </w:p>
        </w:tc>
        <w:tc>
          <w:tcPr>
            <w:tcW w:w="0" w:type="dxa"/>
            <w:vAlign w:val="bottom"/>
          </w:tcPr>
          <w:p>
            <w:pPr>
              <w:spacing w:after="0"/>
              <w:rPr>
                <w:sz w:val="1"/>
                <w:szCs w:val="1"/>
                <w:color w:val="auto"/>
              </w:rPr>
            </w:pPr>
          </w:p>
        </w:tc>
      </w:tr>
      <w:tr>
        <w:trPr>
          <w:trHeight w:val="283"/>
        </w:trPr>
        <w:tc>
          <w:tcPr>
            <w:tcW w:w="696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0"/>
                <w:szCs w:val="20"/>
                <w:color w:val="auto"/>
              </w:rPr>
            </w:pPr>
            <w:r>
              <w:rPr>
                <w:rFonts w:ascii="Arial" w:cs="Arial" w:eastAsia="Arial" w:hAnsi="Arial"/>
                <w:sz w:val="16"/>
                <w:szCs w:val="16"/>
                <w:color w:val="auto"/>
              </w:rPr>
              <w:t>Total Current Assets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848.1</w:t>
            </w:r>
          </w:p>
        </w:tc>
        <w:tc>
          <w:tcPr>
            <w:tcW w:w="120" w:type="dxa"/>
            <w:vAlign w:val="bottom"/>
          </w:tcPr>
          <w:p>
            <w:pPr>
              <w:spacing w:after="0"/>
              <w:rPr>
                <w:sz w:val="21"/>
                <w:szCs w:val="21"/>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869.9</w:t>
            </w:r>
          </w:p>
        </w:tc>
        <w:tc>
          <w:tcPr>
            <w:tcW w:w="0" w:type="dxa"/>
            <w:vAlign w:val="bottom"/>
          </w:tcPr>
          <w:p>
            <w:pPr>
              <w:spacing w:after="0"/>
              <w:rPr>
                <w:sz w:val="1"/>
                <w:szCs w:val="1"/>
                <w:color w:val="auto"/>
              </w:rPr>
            </w:pPr>
          </w:p>
        </w:tc>
      </w:tr>
      <w:tr>
        <w:trPr>
          <w:trHeight w:val="237"/>
        </w:trPr>
        <w:tc>
          <w:tcPr>
            <w:tcW w:w="6960" w:type="dxa"/>
            <w:vAlign w:val="bottom"/>
          </w:tcPr>
          <w:p>
            <w:pPr>
              <w:ind w:left="120"/>
              <w:spacing w:after="0"/>
              <w:rPr>
                <w:sz w:val="20"/>
                <w:szCs w:val="20"/>
                <w:color w:val="auto"/>
              </w:rPr>
            </w:pPr>
            <w:r>
              <w:rPr>
                <w:rFonts w:ascii="Arial" w:cs="Arial" w:eastAsia="Arial" w:hAnsi="Arial"/>
                <w:sz w:val="16"/>
                <w:szCs w:val="16"/>
                <w:color w:val="auto"/>
              </w:rPr>
              <w:t>Property, plant and equipment, net</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191.7</w:t>
            </w:r>
          </w:p>
        </w:tc>
        <w:tc>
          <w:tcPr>
            <w:tcW w:w="120" w:type="dxa"/>
            <w:vAlign w:val="bottom"/>
          </w:tcPr>
          <w:p>
            <w:pPr>
              <w:spacing w:after="0"/>
              <w:rPr>
                <w:sz w:val="20"/>
                <w:szCs w:val="20"/>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192.4</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Goodwill</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875.6</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784.2</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Intangible assets, net</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692.0</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535.4</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Investments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Deferred tax assets, net</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83"/>
        </w:trPr>
        <w:tc>
          <w:tcPr>
            <w:tcW w:w="6960" w:type="dxa"/>
            <w:vAlign w:val="bottom"/>
          </w:tcPr>
          <w:p>
            <w:pPr>
              <w:ind w:left="120"/>
              <w:spacing w:after="0"/>
              <w:rPr>
                <w:sz w:val="20"/>
                <w:szCs w:val="20"/>
                <w:color w:val="auto"/>
              </w:rPr>
            </w:pPr>
            <w:r>
              <w:rPr>
                <w:rFonts w:ascii="Arial" w:cs="Arial" w:eastAsia="Arial" w:hAnsi="Arial"/>
                <w:sz w:val="16"/>
                <w:szCs w:val="16"/>
                <w:color w:val="auto"/>
              </w:rPr>
              <w:t>Other assets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4"/>
                <w:szCs w:val="24"/>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0"/>
                <w:szCs w:val="20"/>
                <w:color w:val="auto"/>
              </w:rPr>
            </w:pPr>
            <w:r>
              <w:rPr>
                <w:rFonts w:ascii="Arial" w:cs="Arial" w:eastAsia="Arial" w:hAnsi="Arial"/>
                <w:sz w:val="16"/>
                <w:szCs w:val="16"/>
                <w:color w:val="auto"/>
              </w:rPr>
              <w:t>Total Assets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$2,704.9</w:t>
            </w:r>
          </w:p>
        </w:tc>
        <w:tc>
          <w:tcPr>
            <w:tcW w:w="120" w:type="dxa"/>
            <w:vAlign w:val="bottom"/>
          </w:tcPr>
          <w:p>
            <w:pPr>
              <w:spacing w:after="0"/>
              <w:rPr>
                <w:sz w:val="22"/>
                <w:szCs w:val="22"/>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$2,503.9</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LIABILITIES AND STOCKHOLDERS' EQUITY</w:t>
            </w: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96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6"/>
                <w:szCs w:val="16"/>
                <w:color w:val="auto"/>
              </w:rPr>
              <w:t>Current Liabilities:</w:t>
            </w: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Current debt obligations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$119.7</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89.9</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Accrued liabilities and other</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Taxes payable</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Accrued employee compensation and related benefits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83"/>
        </w:trPr>
        <w:tc>
          <w:tcPr>
            <w:tcW w:w="6960" w:type="dxa"/>
            <w:vAlign w:val="bottom"/>
          </w:tcPr>
          <w:p>
            <w:pPr>
              <w:ind w:left="120"/>
              <w:spacing w:after="0"/>
              <w:rPr>
                <w:sz w:val="20"/>
                <w:szCs w:val="20"/>
                <w:color w:val="auto"/>
              </w:rPr>
            </w:pPr>
            <w:r>
              <w:rPr>
                <w:rFonts w:ascii="Arial" w:cs="Arial" w:eastAsia="Arial" w:hAnsi="Arial"/>
                <w:sz w:val="16"/>
                <w:szCs w:val="16"/>
                <w:color w:val="auto"/>
              </w:rPr>
              <w:t>Liabilities of discontinued operations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24"/>
                <w:szCs w:val="24"/>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459.5</w:t>
            </w:r>
          </w:p>
        </w:tc>
        <w:tc>
          <w:tcPr>
            <w:tcW w:w="120" w:type="dxa"/>
            <w:vAlign w:val="bottom"/>
          </w:tcPr>
          <w:p>
            <w:pPr>
              <w:spacing w:after="0"/>
              <w:rPr>
                <w:sz w:val="21"/>
                <w:szCs w:val="21"/>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406.0</w:t>
            </w:r>
          </w:p>
        </w:tc>
        <w:tc>
          <w:tcPr>
            <w:tcW w:w="0" w:type="dxa"/>
            <w:vAlign w:val="bottom"/>
          </w:tcPr>
          <w:p>
            <w:pPr>
              <w:spacing w:after="0"/>
              <w:rPr>
                <w:sz w:val="1"/>
                <w:szCs w:val="1"/>
                <w:color w:val="auto"/>
              </w:rPr>
            </w:pPr>
          </w:p>
        </w:tc>
      </w:tr>
      <w:tr>
        <w:trPr>
          <w:trHeight w:val="237"/>
        </w:trPr>
        <w:tc>
          <w:tcPr>
            <w:tcW w:w="6960" w:type="dxa"/>
            <w:vAlign w:val="bottom"/>
          </w:tcPr>
          <w:p>
            <w:pPr>
              <w:ind w:left="120"/>
              <w:spacing w:after="0"/>
              <w:rPr>
                <w:sz w:val="20"/>
                <w:szCs w:val="20"/>
                <w:color w:val="auto"/>
              </w:rPr>
            </w:pPr>
            <w:r>
              <w:rPr>
                <w:rFonts w:ascii="Arial" w:cs="Arial" w:eastAsia="Arial" w:hAnsi="Arial"/>
                <w:sz w:val="16"/>
                <w:szCs w:val="16"/>
                <w:color w:val="auto"/>
              </w:rPr>
              <w:t>Long-term debt obligations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63.7</w:t>
            </w:r>
          </w:p>
        </w:tc>
        <w:tc>
          <w:tcPr>
            <w:tcW w:w="120" w:type="dxa"/>
            <w:vAlign w:val="bottom"/>
          </w:tcPr>
          <w:p>
            <w:pPr>
              <w:spacing w:after="0"/>
              <w:rPr>
                <w:sz w:val="20"/>
                <w:szCs w:val="20"/>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Deferred income taxes liability</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149.7</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Long-term employee compensation and related benefits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83"/>
        </w:trPr>
        <w:tc>
          <w:tcPr>
            <w:tcW w:w="6960" w:type="dxa"/>
            <w:vAlign w:val="bottom"/>
          </w:tcPr>
          <w:p>
            <w:pPr>
              <w:ind w:left="120"/>
              <w:spacing w:after="0"/>
              <w:rPr>
                <w:sz w:val="20"/>
                <w:szCs w:val="20"/>
                <w:color w:val="auto"/>
              </w:rPr>
            </w:pPr>
            <w:r>
              <w:rPr>
                <w:rFonts w:ascii="Arial" w:cs="Arial" w:eastAsia="Arial" w:hAnsi="Arial"/>
                <w:sz w:val="16"/>
                <w:szCs w:val="16"/>
                <w:color w:val="auto"/>
              </w:rPr>
              <w:t>Other long-term liabilities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184.0</w:t>
            </w:r>
          </w:p>
        </w:tc>
        <w:tc>
          <w:tcPr>
            <w:tcW w:w="120" w:type="dxa"/>
            <w:vAlign w:val="bottom"/>
          </w:tcPr>
          <w:p>
            <w:pPr>
              <w:spacing w:after="0"/>
              <w:rPr>
                <w:sz w:val="24"/>
                <w:szCs w:val="24"/>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0"/>
                <w:szCs w:val="20"/>
                <w:color w:val="auto"/>
              </w:rPr>
            </w:pPr>
            <w:r>
              <w:rPr>
                <w:rFonts w:ascii="Arial" w:cs="Arial" w:eastAsia="Arial" w:hAnsi="Arial"/>
                <w:sz w:val="16"/>
                <w:szCs w:val="16"/>
                <w:color w:val="auto"/>
              </w:rPr>
              <w:t>Total Liabilities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885.9</w:t>
            </w:r>
          </w:p>
        </w:tc>
        <w:tc>
          <w:tcPr>
            <w:tcW w:w="120" w:type="dxa"/>
            <w:vAlign w:val="bottom"/>
          </w:tcPr>
          <w:p>
            <w:pPr>
              <w:spacing w:after="0"/>
              <w:rPr>
                <w:sz w:val="21"/>
                <w:szCs w:val="21"/>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688.6</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1,819.0</w:t>
            </w:r>
          </w:p>
        </w:tc>
        <w:tc>
          <w:tcPr>
            <w:tcW w:w="120" w:type="dxa"/>
            <w:vAlign w:val="bottom"/>
          </w:tcPr>
          <w:p>
            <w:pPr>
              <w:spacing w:after="0"/>
              <w:rPr>
                <w:sz w:val="21"/>
                <w:szCs w:val="21"/>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1,815.3</w:t>
            </w:r>
          </w:p>
        </w:tc>
        <w:tc>
          <w:tcPr>
            <w:tcW w:w="0" w:type="dxa"/>
            <w:vAlign w:val="bottom"/>
          </w:tcPr>
          <w:p>
            <w:pPr>
              <w:spacing w:after="0"/>
              <w:rPr>
                <w:sz w:val="1"/>
                <w:szCs w:val="1"/>
                <w:color w:val="auto"/>
              </w:rPr>
            </w:pPr>
          </w:p>
        </w:tc>
      </w:tr>
      <w:tr>
        <w:trPr>
          <w:trHeight w:val="267"/>
        </w:trPr>
        <w:tc>
          <w:tcPr>
            <w:tcW w:w="696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$2,704.9</w:t>
            </w:r>
          </w:p>
        </w:tc>
        <w:tc>
          <w:tcPr>
            <w:tcW w:w="120" w:type="dxa"/>
            <w:vAlign w:val="bottom"/>
          </w:tcPr>
          <w:p>
            <w:pPr>
              <w:spacing w:after="0"/>
              <w:rPr>
                <w:sz w:val="23"/>
                <w:szCs w:val="23"/>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$2,503.9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783" w:right="2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LIVANOVA PLC AND SUBSIDIARIES</w:t>
      </w:r>
    </w:p>
    <w:p>
      <w:pPr>
        <w:spacing w:after="0" w:line="40" w:lineRule="exact"/>
        <w:rPr>
          <w:sz w:val="20"/>
          <w:szCs w:val="20"/>
          <w:color w:val="auto"/>
        </w:rPr>
      </w:pPr>
    </w:p>
    <w:p>
      <w:pPr>
        <w:ind w:right="4480"/>
        <w:spacing w:after="0" w:line="300" w:lineRule="auto"/>
        <w:rPr>
          <w:sz w:val="20"/>
          <w:szCs w:val="20"/>
          <w:color w:val="auto"/>
        </w:rPr>
      </w:pPr>
      <w:r>
        <w:rPr>
          <w:rFonts w:ascii="Arial" w:cs="Arial" w:eastAsia="Arial" w:hAnsi="Arial"/>
          <w:sz w:val="20"/>
          <w:szCs w:val="20"/>
          <w:b w:val="1"/>
          <w:bCs w:val="1"/>
          <w:color w:val="auto"/>
        </w:rPr>
        <w:t>CONDENSED CONSOLIDATED STATEMENTS OF CASH FLOW (U.S. dollars in millions)</w:t>
      </w:r>
    </w:p>
    <w:p>
      <w:pPr>
        <w:spacing w:after="0" w:line="2" w:lineRule="exact"/>
        <w:rPr>
          <w:sz w:val="20"/>
          <w:szCs w:val="20"/>
          <w:color w:val="auto"/>
        </w:rPr>
      </w:pPr>
    </w:p>
    <w:p>
      <w:pPr>
        <w:jc w:val="right"/>
        <w:ind w:right="4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31750</wp:posOffset>
            </wp:positionV>
            <wp:extent cx="2101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0320"/>
          </w:cols>
          <w:pgMar w:left="780" w:top="774" w:right="799" w:bottom="1440" w:gutter="0" w:footer="0" w:header="0"/>
        </w:sectPr>
      </w:pP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Non-cash items included in net income:</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Depreciation</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Amortization</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Stock-based compensation</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Deferred income tax benefit</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Losses from equity method investments</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Gain on acquisition of ImThera Medical, Inc.</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Impairment of property, plant and equipment</w:t>
      </w:r>
    </w:p>
    <w:p>
      <w:pPr>
        <w:spacing w:after="0" w:line="86" w:lineRule="exact"/>
        <w:rPr>
          <w:sz w:val="20"/>
          <w:szCs w:val="20"/>
          <w:color w:val="auto"/>
        </w:rPr>
      </w:pPr>
    </w:p>
    <w:p>
      <w:pPr>
        <w:ind w:left="540" w:right="920"/>
        <w:spacing w:after="0" w:line="339" w:lineRule="auto"/>
        <w:rPr>
          <w:sz w:val="20"/>
          <w:szCs w:val="20"/>
          <w:color w:val="auto"/>
        </w:rPr>
      </w:pPr>
      <w:r>
        <w:rPr>
          <w:rFonts w:ascii="Arial" w:cs="Arial" w:eastAsia="Arial" w:hAnsi="Arial"/>
          <w:sz w:val="16"/>
          <w:szCs w:val="16"/>
          <w:color w:val="auto"/>
        </w:rPr>
        <w:t>Amortization of income taxes payable on inter-company transfers of property Other</w:t>
      </w:r>
    </w:p>
    <w:p>
      <w:pPr>
        <w:spacing w:after="0"/>
        <w:rPr>
          <w:sz w:val="20"/>
          <w:szCs w:val="20"/>
          <w:color w:val="auto"/>
        </w:rPr>
      </w:pPr>
      <w:r>
        <w:rPr>
          <w:rFonts w:ascii="Arial" w:cs="Arial" w:eastAsia="Arial" w:hAnsi="Arial"/>
          <w:sz w:val="16"/>
          <w:szCs w:val="16"/>
          <w:b w:val="1"/>
          <w:bCs w:val="1"/>
          <w:color w:val="auto"/>
        </w:rPr>
        <w:t>Changes in operating assets and liabilities: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Other current and non-current assets</w:t>
      </w:r>
    </w:p>
    <w:p>
      <w:pPr>
        <w:spacing w:after="0" w:line="86" w:lineRule="exact"/>
        <w:rPr>
          <w:sz w:val="20"/>
          <w:szCs w:val="20"/>
          <w:color w:val="auto"/>
        </w:rPr>
      </w:pPr>
    </w:p>
    <w:p>
      <w:pPr>
        <w:ind w:left="540" w:right="1800"/>
        <w:spacing w:after="0" w:line="339" w:lineRule="auto"/>
        <w:rPr>
          <w:sz w:val="20"/>
          <w:szCs w:val="20"/>
          <w:color w:val="auto"/>
        </w:rPr>
      </w:pPr>
      <w:r>
        <w:rPr>
          <w:rFonts w:ascii="Arial" w:cs="Arial" w:eastAsia="Arial" w:hAnsi="Arial"/>
          <w:sz w:val="16"/>
          <w:szCs w:val="16"/>
          <w:color w:val="auto"/>
        </w:rPr>
        <w:t>Accounts payable and accrued current and non-current liabilities Restructuring reserve</w:t>
      </w:r>
    </w:p>
    <w:p>
      <w:pPr>
        <w:ind w:left="68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Investing Activities: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Acquisition of ImThera Medical, Inc., net of cash acquired</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Purchases of property, plant and equipment and other</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Proceeds from sale of cost-method investment</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Loans to equity-method investees</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Proceeds from asset sales</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Other</w:t>
      </w:r>
    </w:p>
    <w:p>
      <w:pPr>
        <w:spacing w:after="0" w:line="66"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Activities: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Change in short-term borrowing, net</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Proceeds from short-term borrowing (maturities greater than 90 days)</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Repayment of long-term debt obligations</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Proceeds from exercise of stock options</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Other</w:t>
      </w:r>
    </w:p>
    <w:p>
      <w:pPr>
        <w:spacing w:after="0" w:line="66"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Net cash provided by (used in) financing activities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Effect of exchange rate changes on cash and cash equivalents</w:t>
      </w:r>
    </w:p>
    <w:p>
      <w:pPr>
        <w:spacing w:after="0" w:line="66"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Net (decrease) increase in cash and cash equivalents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 at end of period</w:t>
      </w:r>
    </w:p>
    <w:p>
      <w:pPr>
        <w:spacing w:after="0" w:line="246" w:lineRule="exact"/>
        <w:rPr>
          <w:sz w:val="20"/>
          <w:szCs w:val="20"/>
          <w:color w:val="auto"/>
        </w:rPr>
      </w:pPr>
    </w:p>
    <w:p>
      <w:pPr>
        <w:ind w:left="540" w:hanging="122"/>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4"/>
          <w:szCs w:val="14"/>
          <w:color w:val="auto"/>
        </w:rPr>
        <w:t>Numbers may not add up precisely due to rounding.</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31750</wp:posOffset>
            </wp:positionV>
            <wp:extent cx="9950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$13.3</w:t>
      </w:r>
    </w:p>
    <w:p>
      <w:pPr>
        <w:spacing w:after="0" w:line="35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8.3</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8.8</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6.7</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(0.9)</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1.6</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(11.5)</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0.5</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2.0</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(1.0)</w:t>
      </w:r>
    </w:p>
    <w:p>
      <w:pPr>
        <w:spacing w:after="0" w:line="35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9.1</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(6.3)</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(16.7)</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5.7</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19050</wp:posOffset>
            </wp:positionV>
            <wp:extent cx="9950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46" w:lineRule="exact"/>
        <w:rPr>
          <w:sz w:val="20"/>
          <w:szCs w:val="20"/>
          <w:color w:val="auto"/>
        </w:rPr>
      </w:pPr>
    </w:p>
    <w:p>
      <w:pPr>
        <w:jc w:val="right"/>
        <w:ind w:right="180"/>
        <w:spacing w:after="0"/>
        <w:rPr>
          <w:sz w:val="20"/>
          <w:szCs w:val="20"/>
          <w:color w:val="auto"/>
        </w:rPr>
      </w:pPr>
      <w:r>
        <w:rPr>
          <w:rFonts w:ascii="Arial" w:cs="Arial" w:eastAsia="Arial" w:hAnsi="Arial"/>
          <w:sz w:val="16"/>
          <w:szCs w:val="16"/>
          <w:b w:val="1"/>
          <w:bCs w:val="1"/>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31750</wp:posOffset>
            </wp:positionV>
            <wp:extent cx="995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(77.6)</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(5.8)</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0.1</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19050</wp:posOffset>
            </wp:positionV>
            <wp:extent cx="9950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46" w:lineRule="exact"/>
        <w:rPr>
          <w:sz w:val="20"/>
          <w:szCs w:val="20"/>
          <w:color w:val="auto"/>
        </w:rPr>
      </w:pPr>
    </w:p>
    <w:p>
      <w:pPr>
        <w:jc w:val="right"/>
        <w:ind w:right="120"/>
        <w:spacing w:after="0"/>
        <w:rPr>
          <w:sz w:val="20"/>
          <w:szCs w:val="20"/>
          <w:color w:val="auto"/>
        </w:rPr>
      </w:pPr>
      <w:r>
        <w:rPr>
          <w:rFonts w:ascii="Arial" w:cs="Arial" w:eastAsia="Arial" w:hAnsi="Arial"/>
          <w:sz w:val="16"/>
          <w:szCs w:val="16"/>
          <w:b w:val="1"/>
          <w:bCs w:val="1"/>
          <w:color w:val="auto"/>
        </w:rPr>
        <w:t>(83.4)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31750</wp:posOffset>
            </wp:positionV>
            <wp:extent cx="995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15.5</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20.0</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(0.3)</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1.6</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19050</wp:posOffset>
            </wp:positionV>
            <wp:extent cx="9950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46" w:lineRule="exact"/>
        <w:rPr>
          <w:sz w:val="20"/>
          <w:szCs w:val="20"/>
          <w:color w:val="auto"/>
        </w:rPr>
      </w:pPr>
    </w:p>
    <w:p>
      <w:pPr>
        <w:jc w:val="right"/>
        <w:ind w:right="180"/>
        <w:spacing w:after="0"/>
        <w:rPr>
          <w:sz w:val="20"/>
          <w:szCs w:val="20"/>
          <w:color w:val="auto"/>
        </w:rPr>
      </w:pPr>
      <w:r>
        <w:rPr>
          <w:rFonts w:ascii="Arial" w:cs="Arial" w:eastAsia="Arial" w:hAnsi="Arial"/>
          <w:sz w:val="16"/>
          <w:szCs w:val="16"/>
          <w:b w:val="1"/>
          <w:bCs w:val="1"/>
          <w:color w:val="auto"/>
        </w:rPr>
        <w:t>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31750</wp:posOffset>
            </wp:positionV>
            <wp:extent cx="995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21"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19050</wp:posOffset>
            </wp:positionV>
            <wp:extent cx="995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46" w:lineRule="exact"/>
        <w:rPr>
          <w:sz w:val="20"/>
          <w:szCs w:val="20"/>
          <w:color w:val="auto"/>
        </w:rPr>
      </w:pPr>
    </w:p>
    <w:p>
      <w:pPr>
        <w:jc w:val="right"/>
        <w:ind w:right="120"/>
        <w:spacing w:after="0"/>
        <w:rPr>
          <w:sz w:val="20"/>
          <w:szCs w:val="20"/>
          <w:color w:val="auto"/>
        </w:rPr>
      </w:pPr>
      <w:r>
        <w:rPr>
          <w:rFonts w:ascii="Arial" w:cs="Arial" w:eastAsia="Arial" w:hAnsi="Arial"/>
          <w:sz w:val="16"/>
          <w:szCs w:val="16"/>
          <w:b w:val="1"/>
          <w:bCs w:val="1"/>
          <w:color w:val="auto"/>
        </w:rPr>
        <w:t>(28.7)</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19050</wp:posOffset>
            </wp:positionV>
            <wp:extent cx="995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31750</wp:posOffset>
            </wp:positionV>
            <wp:extent cx="995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48895</wp:posOffset>
            </wp:positionV>
            <wp:extent cx="995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31750</wp:posOffset>
            </wp:positionV>
            <wp:extent cx="9690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$11.3</w:t>
      </w:r>
    </w:p>
    <w:p>
      <w:pPr>
        <w:spacing w:after="0" w:line="35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8.8</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11.4</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3.8</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(5.5)</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3.1</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4.7</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6.5</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pacing w:after="0" w:line="35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6.6</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(4.4)</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(9.3)</w:t>
      </w:r>
    </w:p>
    <w:p>
      <w:pPr>
        <w:spacing w:after="0" w:line="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5.0</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19050</wp:posOffset>
            </wp:positionV>
            <wp:extent cx="9690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46"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31750</wp:posOffset>
            </wp:positionV>
            <wp:extent cx="9690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(7.6)</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3.2</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(5.3)</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19050</wp:posOffset>
            </wp:positionV>
            <wp:extent cx="9690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31750</wp:posOffset>
            </wp:positionV>
            <wp:extent cx="9690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0.3</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0.9</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19050</wp:posOffset>
            </wp:positionV>
            <wp:extent cx="9690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31750</wp:posOffset>
            </wp:positionV>
            <wp:extent cx="9690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2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19050</wp:posOffset>
            </wp:positionV>
            <wp:extent cx="9690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46"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22.9</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19050</wp:posOffset>
            </wp:positionV>
            <wp:extent cx="9690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31750</wp:posOffset>
            </wp:positionV>
            <wp:extent cx="9690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69010"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48895</wp:posOffset>
            </wp:positionV>
            <wp:extent cx="9690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643" w:lineRule="exact"/>
        <w:rPr>
          <w:sz w:val="20"/>
          <w:szCs w:val="20"/>
          <w:color w:val="auto"/>
        </w:rPr>
      </w:pPr>
    </w:p>
    <w:p>
      <w:pPr>
        <w:sectPr>
          <w:pgSz w:w="11900" w:h="16838" w:orient="portrait"/>
          <w:cols w:equalWidth="0" w:num="3">
            <w:col w:w="6940" w:space="720"/>
            <w:col w:w="1040" w:space="720"/>
            <w:col w:w="900"/>
          </w:cols>
          <w:pgMar w:left="780" w:top="774" w:right="799" w:bottom="1440" w:gutter="0" w:footer="0" w:header="0"/>
          <w:type w:val="continuous"/>
        </w:sectPr>
      </w:pP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13</w:t>
      </w:r>
    </w:p>
    <w:sectPr>
      <w:pgSz w:w="11900" w:h="16838" w:orient="portrait"/>
      <w:cols w:equalWidth="0" w:num="1">
        <w:col w:w="10320"/>
      </w:cols>
      <w:pgMar w:left="780" w:top="774" w:right="7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upperLetter"/>
      <w:start w:val="1"/>
    </w:lvl>
  </w:abstractNum>
  <w:abstractNum w:abstractNumId="7">
    <w:nsid w:val="12200854"/>
    <w:multiLevelType w:val="hybridMultilevel"/>
    <w:lvl w:ilvl="0">
      <w:lvlJc w:val="left"/>
      <w:lvlText w:val="*"/>
      <w:numFmt w:val="bullet"/>
      <w:start w:val="1"/>
    </w:lvl>
    <w:lvl w:ilvl="1">
      <w:lvlJc w:val="left"/>
      <w:lvlText w:val="(%2)"/>
      <w:numFmt w:val="upperLetter"/>
      <w:start w:val="9"/>
    </w:lvl>
  </w:abstractNum>
  <w:abstractNum w:abstractNumId="8">
    <w:nsid w:val="4DB127F8"/>
    <w:multiLevelType w:val="hybridMultilevel"/>
    <w:lvl w:ilvl="0">
      <w:lvlJc w:val="left"/>
      <w:lvlText w:val="*"/>
      <w:numFmt w:val="bullet"/>
      <w:start w:val="1"/>
    </w:lvl>
    <w:lvl w:ilvl="1">
      <w:lvlJc w:val="left"/>
      <w:lvlText w:val="(%2)"/>
      <w:numFmt w:val="upperLetter"/>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2019-12-08T13:08:23Z</dcterms:created>
  <dcterms:modified xsi:type="dcterms:W3CDTF">2019-12-08T13:08:23Z</dcterms:modified>
</cp:coreProperties>
</file>