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7509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7509510"/>
                    </a:xfrm>
                    <a:prstGeom prst="rect">
                      <a:avLst/>
                    </a:prstGeom>
                    <a:noFill/>
                  </pic:spPr>
                </pic:pic>
              </a:graphicData>
            </a:graphic>
          </wp:anchor>
        </w:drawing>
      </w:r>
    </w:p>
    <w:p>
      <w:pPr>
        <w:spacing w:after="0" w:line="1195" w:lineRule="exact"/>
        <w:rPr>
          <w:sz w:val="24"/>
          <w:szCs w:val="24"/>
          <w:color w:val="auto"/>
        </w:rPr>
      </w:pPr>
    </w:p>
    <w:p>
      <w:pPr>
        <w:sectPr>
          <w:pgSz w:w="11900" w:h="16931" w:orient="portrait"/>
          <w:cols w:equalWidth="0" w:num="2">
            <w:col w:w="2280" w:space="360"/>
            <w:col w:w="8440"/>
          </w:cols>
          <w:pgMar w:left="460" w:top="215"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Shvartsburg Alex</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03/30/2025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828"/>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11" w:lineRule="exact"/>
        <w:rPr>
          <w:sz w:val="24"/>
          <w:szCs w:val="24"/>
          <w:color w:val="auto"/>
        </w:rPr>
      </w:pPr>
    </w:p>
    <w:p>
      <w:pPr>
        <w:sectPr>
          <w:pgSz w:w="11900" w:h="16931" w:orient="portrait"/>
          <w:cols w:equalWidth="0" w:num="3">
            <w:col w:w="3180" w:space="720"/>
            <w:col w:w="3112" w:space="720"/>
            <w:col w:w="3348"/>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6"/>
            <w:vMerge w:val="continue"/>
          </w:tcPr>
          <w:p>
            <w:pPr>
              <w:spacing w:after="0"/>
              <w:rPr>
                <w:sz w:val="7"/>
                <w:szCs w:val="7"/>
                <w:color w:val="auto"/>
              </w:rPr>
            </w:pPr>
          </w:p>
        </w:tc>
        <w:tc>
          <w:tcPr>
            <w:tcW w:w="35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74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X0</w:t>
            </w:r>
          </w:p>
        </w:tc>
        <w:tc>
          <w:tcPr>
            <w:tcW w:w="9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W26LG</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2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44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2"/>
          </w:tcPr>
          <w:p>
            <w:pPr>
              <w:ind w:left="8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gridSpan w:val="2"/>
          </w:tcPr>
          <w:p>
            <w:pPr>
              <w:ind w:left="7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4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03/30/2025</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23"/>
              <w:spacing w:after="0"/>
              <w:rPr>
                <w:sz w:val="20"/>
                <w:szCs w:val="20"/>
                <w:color w:val="auto"/>
              </w:rPr>
            </w:pPr>
            <w:r>
              <w:rPr>
                <w:rFonts w:ascii="Times New Roman" w:cs="Times New Roman" w:eastAsia="Times New Roman" w:hAnsi="Times New Roman"/>
                <w:sz w:val="16"/>
                <w:szCs w:val="16"/>
                <w:color w:val="0000FF"/>
              </w:rPr>
              <w:t>11,083</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center"/>
              <w:ind w:right="8"/>
              <w:spacing w:after="0" w:line="302"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128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6"/>
                <w:szCs w:val="16"/>
                <w:color w:val="0000FF"/>
              </w:rPr>
              <w:t>30,196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9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03/30/2025</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3,516</w:t>
            </w:r>
            <w:r>
              <w:rPr>
                <w:rFonts w:ascii="Times New Roman" w:cs="Times New Roman" w:eastAsia="Times New Roman" w:hAnsi="Times New Roman"/>
                <w:sz w:val="21"/>
                <w:szCs w:val="21"/>
                <w:color w:val="008000"/>
                <w:vertAlign w:val="superscript"/>
              </w:rPr>
              <w:t>(2)</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39.13</w:t>
            </w:r>
          </w:p>
        </w:tc>
        <w:tc>
          <w:tcPr>
            <w:tcW w:w="1280" w:type="dxa"/>
            <w:vAlign w:val="bottom"/>
            <w:tcBorders>
              <w:bottom w:val="single" w:sz="8" w:color="2C2C2C"/>
            </w:tcBorders>
            <w:gridSpan w:val="3"/>
          </w:tcPr>
          <w:p>
            <w:pPr>
              <w:jc w:val="right"/>
              <w:ind w:right="340"/>
              <w:spacing w:after="0"/>
              <w:rPr>
                <w:sz w:val="20"/>
                <w:szCs w:val="20"/>
                <w:color w:val="auto"/>
              </w:rPr>
            </w:pPr>
            <w:r>
              <w:rPr>
                <w:rFonts w:ascii="Times New Roman" w:cs="Times New Roman" w:eastAsia="Times New Roman" w:hAnsi="Times New Roman"/>
                <w:sz w:val="16"/>
                <w:szCs w:val="16"/>
                <w:color w:val="0000FF"/>
              </w:rPr>
              <w:t>26,680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jc w:val="center"/>
              <w:ind w:right="499"/>
              <w:spacing w:after="0"/>
              <w:rPr>
                <w:sz w:val="20"/>
                <w:szCs w:val="20"/>
                <w:color w:val="auto"/>
              </w:rPr>
            </w:pPr>
            <w:r>
              <w:rPr>
                <w:rFonts w:ascii="Arial" w:cs="Arial" w:eastAsia="Arial" w:hAnsi="Arial"/>
                <w:sz w:val="11"/>
                <w:szCs w:val="11"/>
                <w:b w:val="1"/>
                <w:bCs w:val="1"/>
                <w:color w:val="auto"/>
                <w:w w:val="86"/>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Execution Date,</w:t>
            </w:r>
          </w:p>
        </w:tc>
        <w:tc>
          <w:tcPr>
            <w:tcW w:w="640" w:type="dxa"/>
            <w:vAlign w:val="bottom"/>
          </w:tcPr>
          <w:p>
            <w:pPr>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if any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20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jc w:val="center"/>
              <w:ind w:right="47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853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853</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(3)</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914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914</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2"/>
              </w:rPr>
              <w:t>914</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2,364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2,364</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4,728</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(6)</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1,788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1,788</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5,362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1,610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1,610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1,434</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1,434</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(9)</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2,120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2,120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008000"/>
                <w:w w:val="93"/>
              </w:rPr>
              <w:t>(6)</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ind w:left="1"/>
              <w:spacing w:after="0"/>
              <w:rPr>
                <w:sz w:val="20"/>
                <w:szCs w:val="20"/>
                <w:color w:val="auto"/>
              </w:rPr>
            </w:pPr>
            <w:r>
              <w:rPr>
                <w:rFonts w:ascii="Times New Roman" w:cs="Times New Roman" w:eastAsia="Times New Roman" w:hAnsi="Times New Roman"/>
                <w:sz w:val="13"/>
                <w:szCs w:val="13"/>
                <w:color w:val="0000FF"/>
                <w:w w:val="94"/>
              </w:rPr>
              <w:t>10,861</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10,861</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10,861</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5,430</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5,430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5,430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5,430</w:t>
            </w: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5,430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240"/>
              <w:spacing w:after="0"/>
              <w:rPr>
                <w:sz w:val="20"/>
                <w:szCs w:val="20"/>
                <w:color w:val="auto"/>
              </w:rPr>
            </w:pPr>
            <w:r>
              <w:rPr>
                <w:rFonts w:ascii="Times New Roman" w:cs="Times New Roman" w:eastAsia="Times New Roman" w:hAnsi="Times New Roman"/>
                <w:sz w:val="13"/>
                <w:szCs w:val="13"/>
                <w:color w:val="0000FF"/>
                <w:w w:val="95"/>
              </w:rPr>
              <w:t>5,430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ind w:left="1"/>
              <w:spacing w:after="0"/>
              <w:rPr>
                <w:sz w:val="20"/>
                <w:szCs w:val="20"/>
                <w:color w:val="auto"/>
              </w:rPr>
            </w:pPr>
            <w:r>
              <w:rPr>
                <w:rFonts w:ascii="Times New Roman" w:cs="Times New Roman" w:eastAsia="Times New Roman" w:hAnsi="Times New Roman"/>
                <w:sz w:val="13"/>
                <w:szCs w:val="13"/>
                <w:color w:val="0000FF"/>
                <w:w w:val="94"/>
              </w:rPr>
              <w:t>10,861</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10,861</w:t>
            </w:r>
          </w:p>
        </w:tc>
        <w:tc>
          <w:tcPr>
            <w:tcW w:w="700" w:type="dxa"/>
            <w:vAlign w:val="bottom"/>
            <w:gridSpan w:val="2"/>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10,861</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700" w:type="dxa"/>
            <w:vAlign w:val="bottom"/>
          </w:tcPr>
          <w:p>
            <w:pPr>
              <w:spacing w:after="0"/>
              <w:rPr>
                <w:sz w:val="15"/>
                <w:szCs w:val="15"/>
                <w:color w:val="auto"/>
              </w:rPr>
            </w:pP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23,777</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Appreciation</w:t>
            </w:r>
          </w:p>
        </w:tc>
        <w:tc>
          <w:tcPr>
            <w:tcW w:w="74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39.13</w:t>
            </w:r>
          </w:p>
        </w:tc>
        <w:tc>
          <w:tcPr>
            <w:tcW w:w="98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03/30/2025</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ind w:left="1"/>
              <w:spacing w:after="0" w:line="127" w:lineRule="exact"/>
              <w:rPr>
                <w:sz w:val="20"/>
                <w:szCs w:val="20"/>
                <w:color w:val="auto"/>
              </w:rPr>
            </w:pPr>
            <w:r>
              <w:rPr>
                <w:rFonts w:ascii="Times New Roman" w:cs="Times New Roman" w:eastAsia="Times New Roman" w:hAnsi="Times New Roman"/>
                <w:sz w:val="13"/>
                <w:szCs w:val="13"/>
                <w:color w:val="0000FF"/>
                <w:w w:val="94"/>
              </w:rPr>
              <w:t>23,777</w:t>
            </w:r>
          </w:p>
        </w:tc>
        <w:tc>
          <w:tcPr>
            <w:tcW w:w="4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7"/>
              </w:rPr>
              <w:t>03/30/2035</w:t>
            </w: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gridSpan w:val="2"/>
          </w:tcPr>
          <w:p>
            <w:pPr>
              <w:jc w:val="center"/>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3"/>
                <w:szCs w:val="13"/>
                <w:color w:val="0000FF"/>
                <w:w w:val="94"/>
              </w:rPr>
              <w:t>23,777</w:t>
            </w: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-4632325</wp:posOffset>
            </wp:positionV>
            <wp:extent cx="28575" cy="4638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463804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and vested performance stock units (PSUs) settled in ordinary shares of LivaNova PLC (the Company), GBP 1.00 par value.</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2015 Incentive Award Plan (the 2015 Plan) and the award agreement.</w:t>
      </w:r>
    </w:p>
    <w:p>
      <w:pPr>
        <w:spacing w:after="0" w:line="40"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in equal annual installments, the first vesting having occurred on March 30, 2022. The RSUs are subject to forfeiture prior to vesting in accordance with the terms of the 2015 Plan and the award agreement.</w:t>
      </w:r>
    </w:p>
    <w:p>
      <w:pPr>
        <w:spacing w:after="0" w:line="20"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in equal annual installments, the first vesting having occurred on March 30, 2023. The RSUs are subject to forfeiture prior to vesting in accordance with the terms of the 2015 Plan and the award agreement.</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2022 Incentive Award Plan (the 2022 Plan) and the award agreement.</w:t>
      </w:r>
    </w:p>
    <w:p>
      <w:pPr>
        <w:spacing w:after="0" w:line="40" w:lineRule="exact"/>
        <w:rPr>
          <w:rFonts w:ascii="Times New Roman" w:cs="Times New Roman" w:eastAsia="Times New Roman" w:hAnsi="Times New Roman"/>
          <w:sz w:val="13"/>
          <w:szCs w:val="13"/>
          <w:color w:val="008000"/>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in equal annual installments, the first vesting having occurred on March 30, 2024. The RSUs are subject to forfeiture prior to vesting in accordance with the terms of the 2022 Plan and the award agreement.</w:t>
      </w:r>
    </w:p>
    <w:p>
      <w:pPr>
        <w:sectPr>
          <w:pgSz w:w="11900" w:h="16931" w:orient="portrait"/>
          <w:cols w:equalWidth="0" w:num="1">
            <w:col w:w="11080"/>
          </w:cols>
          <w:pgMar w:left="460" w:top="215" w:right="359" w:bottom="0" w:gutter="0" w:footer="0" w:header="0"/>
          <w:type w:val="continuous"/>
        </w:sectPr>
      </w:pPr>
    </w:p>
    <w:bookmarkStart w:id="1" w:name="page2"/>
    <w:bookmarkEnd w:id="1"/>
    <w:p>
      <w:pPr>
        <w:ind w:left="1" w:right="60" w:hanging="1"/>
        <w:spacing w:after="0" w:line="24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having occurred on March 30, 2025. The RSUs are subject to forfeiture prior to vesting in accordance with the terms of the 2022 Plan and the award agreement.</w:t>
      </w:r>
    </w:p>
    <w:p>
      <w:pPr>
        <w:spacing w:after="0" w:line="2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a contingent right to receive one ordinary share of the Company in accordance with the terms of the 2015 Plan and the award agreement.</w:t>
      </w:r>
    </w:p>
    <w:p>
      <w:pPr>
        <w:spacing w:after="0" w:line="40" w:lineRule="exact"/>
        <w:rPr>
          <w:rFonts w:ascii="Times New Roman" w:cs="Times New Roman" w:eastAsia="Times New Roman" w:hAnsi="Times New Roman"/>
          <w:sz w:val="13"/>
          <w:szCs w:val="13"/>
          <w:color w:val="008000"/>
        </w:rPr>
      </w:pPr>
    </w:p>
    <w:p>
      <w:pPr>
        <w:jc w:val="both"/>
        <w:ind w:left="1" w:right="280" w:hanging="1"/>
        <w:spacing w:after="0" w:line="236"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the Company's cumulative free cash flow (FCF) for performance period 2022-2024 compared to a target determined by the 2015 Plan Administrator. The Company has determined that 88.1% of the underlying PSUs shall vest on March 30, 2025, subject to continued service during the vesting period and the award agreement. The performance achieved was 88.1%, and the actual number of vested shares is presented as the quantity that was acquired.</w:t>
      </w:r>
    </w:p>
    <w:p>
      <w:pPr>
        <w:spacing w:after="0" w:line="26" w:lineRule="exact"/>
        <w:rPr>
          <w:rFonts w:ascii="Times New Roman" w:cs="Times New Roman" w:eastAsia="Times New Roman" w:hAnsi="Times New Roman"/>
          <w:sz w:val="13"/>
          <w:szCs w:val="13"/>
          <w:color w:val="008000"/>
        </w:rPr>
      </w:pPr>
    </w:p>
    <w:p>
      <w:pPr>
        <w:ind w:left="1" w:right="40" w:hanging="1"/>
        <w:spacing w:after="0" w:line="247" w:lineRule="auto"/>
        <w:tabs>
          <w:tab w:leader="none" w:pos="18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the Company's Return on Investment Capital (ROIC) for performance period 2022-2024 compared to a target determined by the 2015 Plan Administrator. The performance achieved was 78.5%, and the actual number of vested shares is presented as the quantity that was acquired.</w:t>
      </w:r>
    </w:p>
    <w:p>
      <w:pPr>
        <w:spacing w:after="0" w:line="20" w:lineRule="exact"/>
        <w:rPr>
          <w:rFonts w:ascii="Times New Roman" w:cs="Times New Roman" w:eastAsia="Times New Roman" w:hAnsi="Times New Roman"/>
          <w:sz w:val="13"/>
          <w:szCs w:val="13"/>
          <w:color w:val="008000"/>
        </w:rPr>
      </w:pPr>
    </w:p>
    <w:p>
      <w:pPr>
        <w:ind w:left="1" w:right="120" w:hanging="1"/>
        <w:spacing w:after="0" w:line="236"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PSUs to vest or lapse on March 30, 2025 based on the Company's total shareholder return (TSR) for the three-year period beginning on January 1, 2022 and ending December 31, 2024 relative to the total shareholder return of a peer group of companies, as determined by the 2015 Plan Administrator. The Company's performance achieved a result of 58%, and the actual number of vested shares is presented as the quantity that was acquired.</w:t>
      </w:r>
    </w:p>
    <w:p>
      <w:pPr>
        <w:spacing w:after="0" w:line="26" w:lineRule="exact"/>
        <w:rPr>
          <w:rFonts w:ascii="Times New Roman" w:cs="Times New Roman" w:eastAsia="Times New Roman" w:hAnsi="Times New Roman"/>
          <w:sz w:val="13"/>
          <w:szCs w:val="13"/>
          <w:color w:val="008000"/>
        </w:rPr>
      </w:pPr>
    </w:p>
    <w:p>
      <w:pPr>
        <w:ind w:left="1" w:right="280"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occurring on March 30, 2026. The RSUs are subject to forfeiture prior to vesting in accordance with the terms of the 2022 Plan and the award agreement.</w:t>
      </w:r>
    </w:p>
    <w:p>
      <w:pPr>
        <w:spacing w:after="0" w:line="20"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represents a contingent right to receive one ordinary share of the Company in accordance with the terms of the 2022 Plan and the award agreement.</w:t>
      </w:r>
    </w:p>
    <w:p>
      <w:pPr>
        <w:spacing w:after="0" w:line="40" w:lineRule="exact"/>
        <w:rPr>
          <w:rFonts w:ascii="Times New Roman" w:cs="Times New Roman" w:eastAsia="Times New Roman" w:hAnsi="Times New Roman"/>
          <w:sz w:val="13"/>
          <w:szCs w:val="13"/>
          <w:color w:val="008000"/>
        </w:rPr>
      </w:pPr>
    </w:p>
    <w:p>
      <w:pPr>
        <w:ind w:left="1"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how the Company's FCF for performance period 2025-2027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0" w:lineRule="exact"/>
        <w:rPr>
          <w:rFonts w:ascii="Times New Roman" w:cs="Times New Roman" w:eastAsia="Times New Roman" w:hAnsi="Times New Roman"/>
          <w:sz w:val="13"/>
          <w:szCs w:val="13"/>
          <w:color w:val="008000"/>
        </w:rPr>
      </w:pPr>
    </w:p>
    <w:p>
      <w:pPr>
        <w:ind w:left="1" w:right="60" w:hanging="1"/>
        <w:spacing w:after="0" w:line="285" w:lineRule="auto"/>
        <w:tabs>
          <w:tab w:leader="none" w:pos="19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30, 2025, reporting person was granted PSUs to vest or lapse on March 30, 2028 based on how the Company's ROIC calculated for the performance period 2025-2027 compares to a target determined by the 2022 Plan Administrator. The number included in column 5 of Table II reflects the target number of PSUs eligible for vesting subject to continued service during the vesting period and the award agreement.</w:t>
      </w:r>
    </w:p>
    <w:p>
      <w:pPr>
        <w:ind w:left="1" w:right="80" w:hanging="1"/>
        <w:spacing w:after="0" w:line="236"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PSUs to vest or lapse on March 30, 2028 based on the Company's TSR for the three-year period beginning on January 1, 2025 and ending December 31, 2027 relative to the TSR of an index of companies, as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1" w:right="20" w:hanging="1"/>
        <w:spacing w:after="0" w:line="247" w:lineRule="auto"/>
        <w:tabs>
          <w:tab w:leader="none" w:pos="19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stock appreciation rights (SARs) subject to a four-year vesting in equal annual installments, the first vesting occurring on March 30, 2026. The SARs are subject to forfeiture prior to vesting in accordance with the terms of the 2022 Plan and the award agreement.</w:t>
      </w:r>
    </w:p>
    <w:p>
      <w:pPr>
        <w:sectPr>
          <w:pgSz w:w="11900" w:h="16838" w:orient="portrait"/>
          <w:cols w:equalWidth="0" w:num="1">
            <w:col w:w="10881"/>
          </w:cols>
          <w:pgMar w:left="499" w:top="177" w:right="519" w:bottom="1440" w:gutter="0" w:footer="0" w:header="0"/>
        </w:sectPr>
      </w:pP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/s/ Sarah K. Mohr,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-3810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-11430</wp:posOffset>
            </wp:positionV>
            <wp:extent cx="179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37" w:lineRule="exact"/>
        <w:rPr>
          <w:sz w:val="20"/>
          <w:szCs w:val="20"/>
          <w:color w:val="auto"/>
        </w:rPr>
      </w:pPr>
    </w:p>
    <w:p>
      <w:pPr>
        <w:ind w:left="6561"/>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474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0" w:lineRule="exact"/>
        <w:rPr>
          <w:sz w:val="20"/>
          <w:szCs w:val="20"/>
          <w:color w:val="auto"/>
        </w:rPr>
      </w:pPr>
    </w:p>
    <w:p>
      <w:pPr>
        <w:sectPr>
          <w:pgSz w:w="11900" w:h="16838" w:orient="portrait"/>
          <w:cols w:equalWidth="0" w:num="2">
            <w:col w:w="8621" w:space="140"/>
            <w:col w:w="2120"/>
          </w:cols>
          <w:pgMar w:left="499" w:top="177" w:right="519" w:bottom="1440" w:gutter="0" w:footer="0" w:header="0"/>
          <w:type w:val="continuous"/>
        </w:sect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600" w:hanging="1"/>
        <w:spacing w:after="0" w:line="329"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7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083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2025-04-01T20:10:25Z</dcterms:created>
  <dcterms:modified xsi:type="dcterms:W3CDTF">2025-04-01T20:10:25Z</dcterms:modified>
</cp:coreProperties>
</file>