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20"/>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0"/>
        <w:spacing w:after="0" w:line="200"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3" w:lineRule="exact"/>
        <w:rPr>
          <w:rFonts w:ascii="MS PGothic" w:cs="MS PGothic" w:eastAsia="MS PGothic" w:hAnsi="MS PGothic"/>
          <w:sz w:val="18"/>
          <w:szCs w:val="18"/>
          <w:color w:val="auto"/>
        </w:rPr>
      </w:pPr>
    </w:p>
    <w:p>
      <w:pPr>
        <w:ind w:left="1180" w:right="6240"/>
        <w:spacing w:after="0" w:line="297" w:lineRule="auto"/>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OF THE SECURITIES EXCHANGE ACT OF 1934 </w:t>
      </w:r>
      <w:r>
        <w:rPr>
          <w:rFonts w:ascii="Times New Roman" w:cs="Times New Roman" w:eastAsia="Times New Roman" w:hAnsi="Times New Roman"/>
          <w:sz w:val="18"/>
          <w:szCs w:val="18"/>
          <w:color w:val="auto"/>
        </w:rPr>
        <w:t>For the quarterly period ended March 31, 2019</w:t>
      </w:r>
    </w:p>
    <w:p>
      <w:pPr>
        <w:spacing w:after="0" w:line="2"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4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3"/>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center"/>
              <w:ind w:right="215"/>
              <w:spacing w:after="0"/>
              <w:rPr>
                <w:sz w:val="20"/>
                <w:szCs w:val="20"/>
                <w:color w:val="auto"/>
              </w:rPr>
            </w:pPr>
            <w:r>
              <w:rPr>
                <w:rFonts w:ascii="Times New Roman" w:cs="Times New Roman" w:eastAsia="Times New Roman" w:hAnsi="Times New Roman"/>
                <w:sz w:val="29"/>
                <w:szCs w:val="29"/>
                <w:b w:val="1"/>
                <w:bCs w:val="1"/>
                <w:color w:val="auto"/>
                <w:w w:val="99"/>
              </w:rPr>
              <w:t>LivaNova PLC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ind w:right="21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3640" w:type="dxa"/>
            <w:vAlign w:val="bottom"/>
          </w:tcPr>
          <w:p>
            <w:pPr>
              <w:spacing w:after="0"/>
              <w:rPr>
                <w:sz w:val="24"/>
                <w:szCs w:val="24"/>
                <w:color w:val="auto"/>
              </w:rPr>
            </w:pPr>
          </w:p>
        </w:tc>
        <w:tc>
          <w:tcPr>
            <w:tcW w:w="3760" w:type="dxa"/>
            <w:vAlign w:val="bottom"/>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98-1268150</w:t>
            </w:r>
          </w:p>
        </w:tc>
        <w:tc>
          <w:tcPr>
            <w:tcW w:w="0" w:type="dxa"/>
            <w:vAlign w:val="bottom"/>
          </w:tcPr>
          <w:p>
            <w:pPr>
              <w:spacing w:after="0"/>
              <w:rPr>
                <w:sz w:val="1"/>
                <w:szCs w:val="1"/>
                <w:color w:val="auto"/>
              </w:rPr>
            </w:pPr>
          </w:p>
        </w:tc>
      </w:tr>
      <w:tr>
        <w:trPr>
          <w:trHeight w:val="161"/>
        </w:trPr>
        <w:tc>
          <w:tcPr>
            <w:tcW w:w="4040" w:type="dxa"/>
            <w:vAlign w:val="bottom"/>
            <w:gridSpan w:val="2"/>
          </w:tcPr>
          <w:p>
            <w:pPr>
              <w:jc w:val="center"/>
              <w:ind w:left="160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640" w:type="dxa"/>
            <w:vAlign w:val="bottom"/>
          </w:tcPr>
          <w:p>
            <w:pPr>
              <w:spacing w:after="0"/>
              <w:rPr>
                <w:sz w:val="13"/>
                <w:szCs w:val="13"/>
                <w:color w:val="auto"/>
              </w:rPr>
            </w:pPr>
          </w:p>
        </w:tc>
        <w:tc>
          <w:tcPr>
            <w:tcW w:w="3760" w:type="dxa"/>
            <w:vAlign w:val="bottom"/>
          </w:tcPr>
          <w:p>
            <w:pPr>
              <w:jc w:val="center"/>
              <w:ind w:right="190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4040" w:type="dxa"/>
            <w:vAlign w:val="bottom"/>
            <w:gridSpan w:val="2"/>
          </w:tcPr>
          <w:p>
            <w:pPr>
              <w:jc w:val="center"/>
              <w:ind w:left="162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640" w:type="dxa"/>
            <w:vAlign w:val="bottom"/>
          </w:tcPr>
          <w:p>
            <w:pPr>
              <w:spacing w:after="0"/>
              <w:rPr>
                <w:sz w:val="16"/>
                <w:szCs w:val="16"/>
                <w:color w:val="auto"/>
              </w:rPr>
            </w:pPr>
          </w:p>
        </w:tc>
        <w:tc>
          <w:tcPr>
            <w:tcW w:w="3760" w:type="dxa"/>
            <w:vAlign w:val="bottom"/>
          </w:tcPr>
          <w:p>
            <w:pPr>
              <w:jc w:val="center"/>
              <w:ind w:right="190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61"/>
        </w:trPr>
        <w:tc>
          <w:tcPr>
            <w:tcW w:w="4040" w:type="dxa"/>
            <w:vAlign w:val="bottom"/>
            <w:gridSpan w:val="2"/>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20 Eastbourne Terrace</w:t>
            </w:r>
          </w:p>
        </w:tc>
        <w:tc>
          <w:tcPr>
            <w:tcW w:w="3640" w:type="dxa"/>
            <w:vAlign w:val="bottom"/>
          </w:tcPr>
          <w:p>
            <w:pPr>
              <w:spacing w:after="0"/>
              <w:rPr>
                <w:sz w:val="13"/>
                <w:szCs w:val="13"/>
                <w:color w:val="auto"/>
              </w:rPr>
            </w:pPr>
          </w:p>
        </w:tc>
        <w:tc>
          <w:tcPr>
            <w:tcW w:w="3760" w:type="dxa"/>
            <w:vAlign w:val="bottom"/>
            <w:vMerge w:val="restart"/>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W2 6LG</w:t>
            </w:r>
          </w:p>
        </w:tc>
        <w:tc>
          <w:tcPr>
            <w:tcW w:w="0" w:type="dxa"/>
            <w:vAlign w:val="bottom"/>
          </w:tcPr>
          <w:p>
            <w:pPr>
              <w:spacing w:after="0"/>
              <w:rPr>
                <w:sz w:val="1"/>
                <w:szCs w:val="1"/>
                <w:color w:val="auto"/>
              </w:rPr>
            </w:pPr>
          </w:p>
        </w:tc>
      </w:tr>
      <w:tr>
        <w:trPr>
          <w:trHeight w:val="190"/>
        </w:trPr>
        <w:tc>
          <w:tcPr>
            <w:tcW w:w="4040" w:type="dxa"/>
            <w:vAlign w:val="bottom"/>
            <w:gridSpan w:val="2"/>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364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jc w:val="center"/>
              <w:ind w:left="160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640" w:type="dxa"/>
            <w:vAlign w:val="bottom"/>
          </w:tcPr>
          <w:p>
            <w:pPr>
              <w:spacing w:after="0"/>
              <w:rPr>
                <w:sz w:val="17"/>
                <w:szCs w:val="17"/>
                <w:color w:val="auto"/>
              </w:rPr>
            </w:pPr>
          </w:p>
        </w:tc>
        <w:tc>
          <w:tcPr>
            <w:tcW w:w="3760" w:type="dxa"/>
            <w:vAlign w:val="bottom"/>
          </w:tcPr>
          <w:p>
            <w:pPr>
              <w:jc w:val="center"/>
              <w:ind w:right="190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70"/>
        </w:trPr>
        <w:tc>
          <w:tcPr>
            <w:tcW w:w="392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(44) (0) 20 3325 0660</w:t>
            </w:r>
          </w:p>
        </w:tc>
        <w:tc>
          <w:tcPr>
            <w:tcW w:w="1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680" w:type="dxa"/>
            <w:vAlign w:val="bottom"/>
            <w:gridSpan w:val="3"/>
          </w:tcPr>
          <w:p>
            <w:pPr>
              <w:jc w:val="center"/>
              <w:ind w:right="187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Ordinary Shares - £1.00 par value per share</w:t>
            </w: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color w:val="auto"/>
              </w:rPr>
              <w:t>LIVN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-577850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-577850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-2692400</wp:posOffset>
            </wp:positionV>
            <wp:extent cx="207518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79" w:lineRule="exact"/>
        <w:rPr>
          <w:sz w:val="24"/>
          <w:szCs w:val="24"/>
          <w:color w:val="auto"/>
        </w:rPr>
      </w:pPr>
    </w:p>
    <w:p>
      <w:pPr>
        <w:ind w:right="240"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right="120"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right="500" w:firstLine="162"/>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0"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01" w:lineRule="exact"/>
        <w:rPr>
          <w:sz w:val="24"/>
          <w:szCs w:val="24"/>
          <w:color w:val="auto"/>
        </w:rPr>
      </w:pPr>
    </w:p>
    <w:p>
      <w:pPr>
        <w:sectPr>
          <w:pgSz w:w="11900" w:h="16838" w:orient="portrait"/>
          <w:cols w:equalWidth="0" w:num="1">
            <w:col w:w="11440"/>
          </w:cols>
          <w:pgMar w:left="240" w:top="760" w:right="219" w:bottom="1440" w:gutter="0" w:footer="0" w:header="0"/>
        </w:sectPr>
      </w:pPr>
    </w:p>
    <w:p>
      <w:pPr>
        <w:ind w:left="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47" w:lineRule="exact"/>
        <w:rPr>
          <w:sz w:val="24"/>
          <w:szCs w:val="24"/>
          <w:color w:val="auto"/>
        </w:rPr>
      </w:pPr>
    </w:p>
    <w:p>
      <w:pPr>
        <w:sectPr>
          <w:pgSz w:w="11900" w:h="16838" w:orient="portrait"/>
          <w:cols w:equalWidth="0" w:num="2">
            <w:col w:w="10180" w:space="180"/>
            <w:col w:w="1080"/>
          </w:cols>
          <w:pgMar w:left="240" w:top="760" w:right="219" w:bottom="1440" w:gutter="0" w:footer="0" w:header="0"/>
          <w:type w:val="continuous"/>
        </w:sectPr>
      </w:pPr>
    </w:p>
    <w:p>
      <w:pPr>
        <w:ind w:left="180"/>
        <w:spacing w:after="0" w:line="161" w:lineRule="exact"/>
        <w:tabs>
          <w:tab w:leader="none" w:pos="66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1"/>
          <w:szCs w:val="11"/>
          <w:color w:val="auto"/>
        </w:rPr>
        <w:t>☑</w:t>
      </w:r>
    </w:p>
    <w:p>
      <w:pPr>
        <w:sectPr>
          <w:pgSz w:w="11900" w:h="16838" w:orient="portrait"/>
          <w:cols w:equalWidth="0" w:num="1">
            <w:col w:w="11440"/>
          </w:cols>
          <w:pgMar w:left="240" w:top="760" w:right="219" w:bottom="1440" w:gutter="0" w:footer="0" w:header="0"/>
          <w:type w:val="continuous"/>
        </w:sectPr>
      </w:pPr>
    </w:p>
    <w:p>
      <w:pPr>
        <w:spacing w:after="0" w:line="18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i w:val="1"/>
          <w:iCs w:val="1"/>
          <w:color w:val="auto"/>
        </w:rPr>
        <w:t>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Outstanding at April 29, 2019</w:t>
      </w:r>
    </w:p>
    <w:p>
      <w:pPr>
        <w:spacing w:after="0" w:line="66" w:lineRule="exact"/>
        <w:rPr>
          <w:sz w:val="24"/>
          <w:szCs w:val="24"/>
          <w:color w:val="auto"/>
        </w:rPr>
      </w:pPr>
    </w:p>
    <w:p>
      <w:pPr>
        <w:sectPr>
          <w:pgSz w:w="11900" w:h="16838" w:orient="portrait"/>
          <w:cols w:equalWidth="0" w:num="2">
            <w:col w:w="6740" w:space="720"/>
            <w:col w:w="3980"/>
          </w:cols>
          <w:pgMar w:left="240" w:top="760" w:right="21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48,320,894</w:t>
      </w:r>
    </w:p>
    <w:p>
      <w:pPr>
        <w:spacing w:after="0" w:line="200" w:lineRule="exact"/>
        <w:rPr>
          <w:sz w:val="24"/>
          <w:szCs w:val="24"/>
          <w:color w:val="auto"/>
        </w:rPr>
      </w:pPr>
    </w:p>
    <w:p>
      <w:pPr>
        <w:sectPr>
          <w:pgSz w:w="11900" w:h="16838" w:orient="portrait"/>
          <w:cols w:equalWidth="0" w:num="2">
            <w:col w:w="7400" w:space="720"/>
            <w:col w:w="3320"/>
          </w:cols>
          <w:pgMar w:left="240" w:top="760" w:right="219" w:bottom="1440" w:gutter="0" w:footer="0" w:header="0"/>
          <w:type w:val="continuous"/>
        </w:sectPr>
      </w:pP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40"/>
          </w:cols>
          <w:pgMar w:left="240" w:top="760" w:right="2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Times New Roman" w:cs="Times New Roman" w:eastAsia="Times New Roman" w:hAnsi="Times New Roman"/>
                <w:sz w:val="18"/>
                <w:szCs w:val="18"/>
                <w:color w:val="0000EE"/>
                <w:w w:val="94"/>
              </w:rPr>
            </w:pPr>
            <w:hyperlink w:anchor="page41">
              <w:r>
                <w:rPr>
                  <w:rFonts w:ascii="Times New Roman" w:cs="Times New Roman" w:eastAsia="Times New Roman" w:hAnsi="Times New Roman"/>
                  <w:sz w:val="18"/>
                  <w:szCs w:val="18"/>
                  <w:color w:val="0000EE"/>
                  <w:w w:val="94"/>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41</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Times New Roman" w:cs="Times New Roman" w:eastAsia="Times New Roman" w:hAnsi="Times New Roman"/>
                <w:sz w:val="18"/>
                <w:szCs w:val="18"/>
                <w:color w:val="0000EE"/>
                <w:w w:val="94"/>
              </w:rPr>
            </w:pPr>
            <w:hyperlink w:anchor="page42">
              <w:r>
                <w:rPr>
                  <w:rFonts w:ascii="Times New Roman" w:cs="Times New Roman" w:eastAsia="Times New Roman" w:hAnsi="Times New Roman"/>
                  <w:sz w:val="18"/>
                  <w:szCs w:val="18"/>
                  <w:color w:val="0000EE"/>
                  <w:w w:val="94"/>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Times New Roman" w:cs="Times New Roman" w:eastAsia="Times New Roman" w:hAnsi="Times New Roman"/>
                <w:sz w:val="18"/>
                <w:szCs w:val="18"/>
                <w:color w:val="0000EE"/>
                <w:w w:val="94"/>
              </w:rPr>
            </w:pPr>
            <w:hyperlink w:anchor="page44">
              <w:r>
                <w:rPr>
                  <w:rFonts w:ascii="Times New Roman" w:cs="Times New Roman" w:eastAsia="Times New Roman" w:hAnsi="Times New Roman"/>
                  <w:sz w:val="18"/>
                  <w:szCs w:val="18"/>
                  <w:color w:val="0000EE"/>
                  <w:w w:val="94"/>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Times New Roman" w:cs="Times New Roman" w:eastAsia="Times New Roman" w:hAnsi="Times New Roman"/>
                <w:sz w:val="18"/>
                <w:szCs w:val="18"/>
                <w:color w:val="0000EE"/>
                <w:w w:val="96"/>
              </w:rPr>
            </w:pPr>
            <w:hyperlink w:anchor="page44">
              <w:r>
                <w:rPr>
                  <w:rFonts w:ascii="Times New Roman" w:cs="Times New Roman" w:eastAsia="Times New Roman" w:hAnsi="Times New Roman"/>
                  <w:sz w:val="18"/>
                  <w:szCs w:val="18"/>
                  <w:color w:val="0000EE"/>
                  <w:w w:val="96"/>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44</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this Quarterly Report on Form 10-Q, “LivaNova,” “the Company,” “we,” “us” and “our” refer to LivaNova PLC and its consolidated subsidiaries.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VNS therapy systems, the VNS Therapy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System, the VITARIA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System and our proprietary pulse generator products: Model 102 (Pulse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102R (Pulse Duo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103 (Demipulse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104 (Demipulse Duo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105 (AspireHC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Model 106 (AspireSR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Model 1000 (SenTiva™).</w:t>
      </w:r>
    </w:p>
    <w:p>
      <w:pPr>
        <w:spacing w:after="0" w:line="3" w:lineRule="exact"/>
        <w:rPr>
          <w:rFonts w:ascii="Times New Roman" w:cs="Times New Roman" w:eastAsia="Times New Roman" w:hAnsi="Times New Roman"/>
          <w:sz w:val="18"/>
          <w:szCs w:val="18"/>
          <w:color w:val="auto"/>
        </w:rPr>
      </w:pPr>
    </w:p>
    <w:p>
      <w:pPr>
        <w:ind w:left="660" w:right="780" w:hanging="328"/>
        <w:spacing w:after="0" w:line="19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Cardiopulmonary product systems: S5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heart-lung machine, S3</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heart-lung machine, Inspire™, Heartlink™, XTRA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Autotransfusion System, 3T Heater-Cooler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Connect™ and Revolution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1"/>
          <w:szCs w:val="21"/>
          <w:color w:val="auto"/>
        </w:rPr>
        <w:t>.</w:t>
      </w:r>
    </w:p>
    <w:p>
      <w:pPr>
        <w:ind w:left="660" w:right="100" w:hanging="328"/>
        <w:spacing w:after="0" w:line="19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line of surgical tissue and mechanical valve replacements and repair products: Mitroflow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Crown PRT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Solo Smart™, Perceval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Top Hat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Reduced Series Aortic Valves™, Carbomedics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Carbo-Seal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Carbo-Seal Valsalva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Carbomedics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Standard™, Orbis™ and Optiform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Memo 3D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Memo 3D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ReChord™, MEMO 4D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MEMO 4D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ReChord™, AnnuloFlo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AnnuloFlex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Bicarbon Slimline™, Bicarbon Filtline™ and Bicarbon Overline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w:t>
      </w:r>
    </w:p>
    <w:p>
      <w:pPr>
        <w:spacing w:after="0" w:line="44" w:lineRule="exact"/>
        <w:rPr>
          <w:sz w:val="20"/>
          <w:szCs w:val="20"/>
          <w:color w:val="auto"/>
        </w:rPr>
      </w:pPr>
    </w:p>
    <w:p>
      <w:pPr>
        <w:ind w:right="120" w:firstLine="162"/>
        <w:spacing w:after="0" w:line="284" w:lineRule="auto"/>
        <w:rPr>
          <w:sz w:val="20"/>
          <w:szCs w:val="20"/>
          <w:color w:val="auto"/>
        </w:rPr>
      </w:pPr>
      <w:r>
        <w:rPr>
          <w:rFonts w:ascii="Times New Roman" w:cs="Times New Roman" w:eastAsia="Times New Roman" w:hAnsi="Times New Roman"/>
          <w:sz w:val="18"/>
          <w:szCs w:val="18"/>
          <w:color w:val="auto"/>
        </w:rPr>
        <w:t>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spacing w:after="0" w:line="1" w:lineRule="exact"/>
        <w:rPr>
          <w:sz w:val="20"/>
          <w:szCs w:val="20"/>
          <w:color w:val="auto"/>
        </w:rPr>
      </w:pPr>
    </w:p>
    <w:p>
      <w:pPr>
        <w:ind w:right="360" w:firstLine="8"/>
        <w:spacing w:after="0" w:line="238" w:lineRule="auto"/>
        <w:tabs>
          <w:tab w:leader="none" w:pos="154"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under applicable law, our rights to these trademarks and tradenames.</w:t>
      </w:r>
    </w:p>
    <w:p>
      <w:pPr>
        <w:spacing w:after="0" w:line="2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8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 LOOKING STATEMENTS</w:t>
      </w:r>
    </w:p>
    <w:p>
      <w:pPr>
        <w:spacing w:after="0" w:line="162"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1" w:lineRule="exact"/>
        <w:rPr>
          <w:sz w:val="20"/>
          <w:szCs w:val="20"/>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price;</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profitability;</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activities and announcements, including the failure to obtain regulatory approvals for our new products;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future quarterly operating results;</w:t>
      </w:r>
    </w:p>
    <w:p>
      <w:pPr>
        <w:spacing w:after="0" w:line="117" w:lineRule="exact"/>
        <w:rPr>
          <w:rFonts w:ascii="Times New Roman" w:cs="Times New Roman" w:eastAsia="Times New Roman" w:hAnsi="Times New Roman"/>
          <w:sz w:val="18"/>
          <w:szCs w:val="18"/>
          <w:color w:val="auto"/>
        </w:rPr>
      </w:pPr>
    </w:p>
    <w:p>
      <w:pPr>
        <w:ind w:left="580" w:right="40" w:hanging="329"/>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expand or maintain market acceptance of our products for the treatment of our approved indications;</w:t>
      </w:r>
    </w:p>
    <w:p>
      <w:pPr>
        <w:spacing w:after="0" w:line="117" w:lineRule="exact"/>
        <w:rPr>
          <w:rFonts w:ascii="Times New Roman" w:cs="Times New Roman" w:eastAsia="Times New Roman" w:hAnsi="Times New Roman"/>
          <w:sz w:val="18"/>
          <w:szCs w:val="18"/>
          <w:color w:val="auto"/>
        </w:rPr>
      </w:pPr>
    </w:p>
    <w:p>
      <w:pPr>
        <w:ind w:left="580" w:right="40" w:hanging="329"/>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current regulatory approvals for our products’ approved indications;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coverage and reimbursement for our products’ approved indications;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clinical studies;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sales and operating expenses relative to estimates;</w:t>
      </w:r>
    </w:p>
    <w:p>
      <w:pPr>
        <w:spacing w:after="0" w:line="117" w:lineRule="exact"/>
        <w:rPr>
          <w:rFonts w:ascii="Times New Roman" w:cs="Times New Roman" w:eastAsia="Times New Roman" w:hAnsi="Times New Roman"/>
          <w:sz w:val="18"/>
          <w:szCs w:val="18"/>
          <w:color w:val="auto"/>
        </w:rPr>
      </w:pPr>
    </w:p>
    <w:p>
      <w:pPr>
        <w:ind w:left="580" w:right="40" w:hanging="329"/>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suppliers and manufacturers to provide certain materials, components and contract services necessary for the production of our products;</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intellectual property, shareholder-related, environmental-related, income tax and other litigation, disputes, losses and costs;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expiration and validity of our intellectual property;</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the development of superior or alternative technology or devices by competitors;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providers of alternative medical therapies, such as pharmaceutical companies and providers of cannabis;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other disruptions to our information technology systems;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U.S. laws and regulations, including federal and state privacy and security laws and regulations;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non-U.S. laws and regulations;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operational and economic risks and concerns;</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738" w:right="259" w:bottom="1440" w:gutter="0" w:footer="0" w:header="0"/>
        </w:sectPr>
      </w:pPr>
    </w:p>
    <w:bookmarkStart w:id="3" w:name="page4"/>
    <w:bookmarkEnd w:id="3"/>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or retain key personnel;</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new acquisitions to further our strategic objectives or strengthen our existing businesses;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costs from pending or future lawsuits and governmental investigations;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that adversely affect the characterization of our consolidated financial position, results of operations or cash flows;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w:t>
      </w:r>
    </w:p>
    <w:p>
      <w:pPr>
        <w:spacing w:after="0" w:line="117" w:lineRule="exact"/>
        <w:rPr>
          <w:rFonts w:ascii="Times New Roman" w:cs="Times New Roman" w:eastAsia="Times New Roman" w:hAnsi="Times New Roman"/>
          <w:sz w:val="18"/>
          <w:szCs w:val="18"/>
          <w:color w:val="auto"/>
        </w:rPr>
      </w:pPr>
    </w:p>
    <w:p>
      <w:pPr>
        <w:ind w:left="580" w:right="320" w:hanging="329"/>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changes related to Brexit, or exposure to additional income tax liabilities;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harsh weather or natural disasters that interrupt our business operations or the business operations of our hospital-customers; and</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2018 (“2018 Form 10-K”), (3) our reports and registration statements filed and furnished from time to time with the Securities and Exchange Commission (“SEC”) and (4) other announcements we make from time to time.</w:t>
      </w:r>
    </w:p>
    <w:p>
      <w:pPr>
        <w:spacing w:after="0" w:line="72" w:lineRule="exact"/>
        <w:rPr>
          <w:sz w:val="20"/>
          <w:szCs w:val="20"/>
          <w:color w:val="auto"/>
        </w:rPr>
      </w:pPr>
    </w:p>
    <w:p>
      <w:pPr>
        <w:ind w:right="20" w:firstLine="162"/>
        <w:spacing w:after="0" w:line="25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months ended March 31, 2019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2018 Form 10-K.</w:t>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Financial Information and Currency of Financial Statements</w:t>
      </w:r>
    </w:p>
    <w:p>
      <w:pPr>
        <w:spacing w:after="0" w:line="162" w:lineRule="exact"/>
        <w:rPr>
          <w:sz w:val="20"/>
          <w:szCs w:val="20"/>
          <w:color w:val="auto"/>
        </w:rPr>
      </w:pPr>
    </w:p>
    <w:p>
      <w:pPr>
        <w:jc w:val="both"/>
        <w:ind w:right="280" w:firstLine="162"/>
        <w:spacing w:after="0" w:line="266" w:lineRule="auto"/>
        <w:rPr>
          <w:sz w:val="20"/>
          <w:szCs w:val="20"/>
          <w:color w:val="auto"/>
        </w:rPr>
      </w:pPr>
      <w:r>
        <w:rPr>
          <w:rFonts w:ascii="Times New Roman" w:cs="Times New Roman" w:eastAsia="Times New Roman" w:hAnsi="Times New Roman"/>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8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68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Financial Statements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250,398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 exclusive of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84,598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remediation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3,715</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104,161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31,752</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 (losses)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before tax</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17,822</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13,273</w:t>
            </w:r>
          </w:p>
        </w:tc>
      </w:tr>
      <w:tr>
        <w:trPr>
          <w:trHeight w:val="311"/>
        </w:trPr>
        <w:tc>
          <w:tcPr>
            <w:tcW w:w="8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income per share:</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7"/>
        </w:trPr>
        <w:tc>
          <w:tcPr>
            <w:tcW w:w="8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r>
        <w:trPr>
          <w:trHeight w:val="67"/>
        </w:trPr>
        <w:tc>
          <w:tcPr>
            <w:tcW w:w="8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8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basic (loss) income per share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48,324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computing diluted (loss) income per share</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49,187</w:t>
            </w:r>
          </w:p>
        </w:tc>
      </w:tr>
      <w:tr>
        <w:trPr>
          <w:trHeight w:val="27"/>
        </w:trPr>
        <w:tc>
          <w:tcPr>
            <w:tcW w:w="8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89" w:right="2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13,273</w:t>
            </w:r>
          </w:p>
        </w:tc>
      </w:tr>
      <w:tr>
        <w:trPr>
          <w:trHeight w:val="27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loss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10,553</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9,598</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22,871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84" w:right="2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ind w:left="5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40" w:type="dxa"/>
            <w:vAlign w:val="bottom"/>
          </w:tcPr>
          <w:p>
            <w:pPr>
              <w:spacing w:after="0"/>
              <w:rPr>
                <w:sz w:val="24"/>
                <w:szCs w:val="24"/>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47,204</w:t>
            </w: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of $11,484 at March 31, 2019 and $11,598 at</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2018</w:t>
            </w:r>
          </w:p>
        </w:tc>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256,135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153,535</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46,852</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29,571</w:t>
            </w:r>
          </w:p>
        </w:tc>
        <w:tc>
          <w:tcPr>
            <w:tcW w:w="0" w:type="dxa"/>
            <w:vAlign w:val="bottom"/>
          </w:tcPr>
          <w:p>
            <w:pPr>
              <w:spacing w:after="0"/>
              <w:rPr>
                <w:sz w:val="1"/>
                <w:szCs w:val="1"/>
                <w:color w:val="auto"/>
              </w:rPr>
            </w:pPr>
          </w:p>
        </w:tc>
      </w:tr>
      <w:tr>
        <w:trPr>
          <w:trHeight w:val="217"/>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540,602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533,297</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191,400</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952,117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956,815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758,528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770,439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(Note 10)</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24,823</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74,876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68,146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r>
        <w:trPr>
          <w:trHeight w:val="284"/>
        </w:trPr>
        <w:tc>
          <w:tcPr>
            <w:tcW w:w="7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2,599,544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2,549,701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28,794</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76,735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124,285</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252,051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161,851</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22,530</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82,551</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622,310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496,746</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141,850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139,538</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161,381</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132,210</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68,189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 (Note 10)</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25,264</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22,635</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1,112,738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1,045,963</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£1.00 par value: unlimited shares authorized; 49,329,119 shares issued and 48,318,226 shares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March 31, 2019; 49,323,418 shares issued and 48,205,783 shares outstanding at December 31, 2018</w:t>
            </w:r>
          </w:p>
        </w:tc>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76,144</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1,707,117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1,705,111</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(251,579)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 1,010,893 shares at March 31, 2019 and 1,117,635 shares at December 31, 2018</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1,486,806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1,503,738</w:t>
            </w:r>
          </w:p>
        </w:tc>
        <w:tc>
          <w:tcPr>
            <w:tcW w:w="0" w:type="dxa"/>
            <w:vAlign w:val="bottom"/>
          </w:tcPr>
          <w:p>
            <w:pPr>
              <w:spacing w:after="0"/>
              <w:rPr>
                <w:sz w:val="1"/>
                <w:szCs w:val="1"/>
                <w:color w:val="auto"/>
              </w:rPr>
            </w:pPr>
          </w:p>
        </w:tc>
      </w:tr>
      <w:tr>
        <w:trPr>
          <w:trHeight w:val="244"/>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2,599,544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2,549,701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671" w:right="239" w:bottom="1440" w:gutter="0" w:footer="0" w:header="0"/>
        </w:sectPr>
      </w:pPr>
    </w:p>
    <w:p>
      <w:pPr>
        <w:spacing w:after="0" w:line="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60" w:top="671" w:right="239" w:bottom="1440" w:gutter="0" w:footer="0" w:header="0"/>
          <w:type w:val="continuous"/>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52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items included in net (loss) income:</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acquisition</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income taxes payable on inter-company transfers of property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Remeasurement of contingent consideration to fair value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current and non-current liabilities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reserve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20,393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 and other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(83,352)</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short-term borrowing,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 (maturities greater than 90 days)</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obligations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repurchased from employees for minimum tax withholding</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7,589</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32,047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93,615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50,776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64,964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2"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LivaNova as of, and for the three months ended March 31, 2019 and March 31, 2018, have been prepared in accordance with U.S. GAAP for interim financial information and the instructions to Form 10-Q and Article 10 of Regulation S-X. The accompanying condensed consolidated balance sheet of LivaNova at December 31, 2018 has been derived from audited financial statements contained in our 2018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months ended March 31, 2019 and are not necessarily indicative of the results that may be expected for the year ending December 31, 2019. The financial information presented herein should be read in conjunction with the audited consolidated financial statements and notes thereto accompanying our 2018 Form 10-K.</w:t>
      </w:r>
    </w:p>
    <w:p>
      <w:pPr>
        <w:spacing w:after="0" w:line="77"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LivaNova will continue as a going concern. As further discussed in “Note 11. Commitments and Contingencies,” the Company recorded a $294.1 million litigation provision liability as of December 31, 2018 based on management’s best estimate, of which $161.9 million is anticipated to be paid during 2019 and the majority of the remainder is expected to be paid in the first half of 2020. In connection with our assessment of going concern considerations as of the issuance date of our 2018 Form 10-K in accordance with ASU 2014-15, “Disclosures of Uncertainties about an Entity’s Ability to Continue as a Going Concern,” the Company determined that collectively the payments of the $294.1 million liability and the $23.3 million of current debt obligations represented a condition that raised substantial doubt about our ability to continue as a going concern. However, on February 25, 2019, the Company received $350 million in aggregate financing commitments pursuant to a commitment letter from Bank of America Merrill Lynch International DAC, Barclays Bank PLC, BNP Paribas and Intesa Sanpaolo S.P.A for a debt facility (the “Commitment Letter”). We concluded that the anticipated execution of the debt facility agreement based on the Commitment Letter, when combined with current and anticipated future operating cash flows, alleviated the substantial doubt about the Company’s ability to continue as a going concern over the 12-month period beginning from the issuance date of our 2018 Form 10-K. On March 26, 2019, we entered into a facility agreement that provides a multicurrency term loan facility in an aggregate principal amount of $350 million and terminates on March 26, 2022 (the “Facility Agreement”).</w:t>
      </w:r>
    </w:p>
    <w:p>
      <w:pPr>
        <w:spacing w:after="0" w:line="83" w:lineRule="exact"/>
        <w:rPr>
          <w:sz w:val="20"/>
          <w:szCs w:val="20"/>
          <w:color w:val="auto"/>
        </w:rPr>
      </w:pPr>
    </w:p>
    <w:p>
      <w:pPr>
        <w:ind w:right="100" w:firstLine="162"/>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that our existing cash and cash equivalents, future cash generated from operations and borrowings will be sufficient to fund our expected operating needs, working capital requirements, R&amp;D opportunities, capital expenditures, obligations anticipated for the litigation involving our 3T device and debt service requirements over the 12-month period beginning from the issuance date of these financial statements. Accordingly, there are no conditions present as of the issuance date of these financial statements that raise substantial doubt about our ability to continue as a going concern. Our liquidity could be adversely affected by a material deterioration of future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Reclassifications</w:t>
      </w:r>
    </w:p>
    <w:p>
      <w:pPr>
        <w:spacing w:after="0" w:line="112" w:lineRule="exact"/>
        <w:rPr>
          <w:sz w:val="20"/>
          <w:szCs w:val="20"/>
          <w:color w:val="auto"/>
        </w:rPr>
      </w:pPr>
    </w:p>
    <w:p>
      <w:pPr>
        <w:ind w:right="740" w:firstLine="162"/>
        <w:spacing w:after="0" w:line="282" w:lineRule="auto"/>
        <w:rPr>
          <w:sz w:val="20"/>
          <w:szCs w:val="20"/>
          <w:color w:val="auto"/>
        </w:rPr>
      </w:pPr>
      <w:r>
        <w:rPr>
          <w:rFonts w:ascii="Times New Roman" w:cs="Times New Roman" w:eastAsia="Times New Roman" w:hAnsi="Times New Roman"/>
          <w:sz w:val="18"/>
          <w:szCs w:val="18"/>
          <w:color w:val="auto"/>
        </w:rPr>
        <w:t>We have reclassified certain prior period amounts for comparative purposes. These reclassifications did not have a material effect on our financial condition, results of operations or cash flows.</w:t>
      </w:r>
    </w:p>
    <w:p>
      <w:pPr>
        <w:spacing w:after="0" w:line="54"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Gross profit, as previously presented for the three months ended March 31, 2018, excluded amortization of certain intangible assets. For the three months ended March 31, 2018, $3.1 million of such amortization expense should have been included in cost of sales. The Company has determined that this misclassification error was not material to any prior annual or interim periods. For comparability among periods, the Company no longer presents gross profit within its consolidated statements of income (loss) for all periods.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2" w:lineRule="exact"/>
        <w:rPr>
          <w:sz w:val="20"/>
          <w:szCs w:val="20"/>
          <w:color w:val="auto"/>
        </w:rPr>
      </w:pPr>
    </w:p>
    <w:p>
      <w:pPr>
        <w:ind w:right="240" w:firstLine="162"/>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detailed in "Note 2. Basis of Presentation, Use of Accounting Estimates and Significant Accounting Policies" and “Note 3. Revenue Recognition” of our 2018 Form 10-K. Changes to our accounting policies as a result of adopting the new lease accounting standard are discussed below.</w:t>
      </w:r>
    </w:p>
    <w:p>
      <w:pPr>
        <w:spacing w:after="0" w:line="66" w:lineRule="exact"/>
        <w:rPr>
          <w:sz w:val="20"/>
          <w:szCs w:val="20"/>
          <w:color w:val="auto"/>
        </w:rPr>
      </w:pPr>
    </w:p>
    <w:p>
      <w:pPr>
        <w:ind w:right="280" w:firstLine="162"/>
        <w:spacing w:after="0" w:line="284" w:lineRule="auto"/>
        <w:rPr>
          <w:sz w:val="20"/>
          <w:szCs w:val="20"/>
          <w:color w:val="auto"/>
        </w:rPr>
      </w:pPr>
      <w:r>
        <w:rPr>
          <w:rFonts w:ascii="Times New Roman" w:cs="Times New Roman" w:eastAsia="Times New Roman" w:hAnsi="Times New Roman"/>
          <w:sz w:val="18"/>
          <w:szCs w:val="18"/>
          <w:color w:val="auto"/>
        </w:rPr>
        <w:t xml:space="preserve">On January 1, 2019, we adopted ASC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including subsequent related accounting updates (collectively referred to as “Topic 842”), which supersedes the previous accounting model for leases. We adopted the standard</w:t>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4" w:right="239" w:bottom="1440" w:gutter="0" w:footer="0" w:header="0"/>
        </w:sectPr>
      </w:pPr>
    </w:p>
    <w:bookmarkStart w:id="9" w:name="page10"/>
    <w:bookmarkEnd w:id="9"/>
    <w:p>
      <w:pPr>
        <w:ind w:right="20"/>
        <w:spacing w:after="0" w:line="256" w:lineRule="auto"/>
        <w:rPr>
          <w:sz w:val="20"/>
          <w:szCs w:val="20"/>
          <w:color w:val="auto"/>
        </w:rPr>
      </w:pPr>
      <w:r>
        <w:rPr>
          <w:rFonts w:ascii="Times New Roman" w:cs="Times New Roman" w:eastAsia="Times New Roman" w:hAnsi="Times New Roman"/>
          <w:sz w:val="18"/>
          <w:szCs w:val="18"/>
          <w:color w:val="auto"/>
        </w:rPr>
        <w:t>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80"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In addition, we elected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76" w:lineRule="exact"/>
        <w:rPr>
          <w:sz w:val="20"/>
          <w:szCs w:val="20"/>
          <w:color w:val="auto"/>
        </w:rPr>
      </w:pPr>
    </w:p>
    <w:p>
      <w:pPr>
        <w:ind w:right="260" w:firstLine="162"/>
        <w:spacing w:after="0" w:line="261" w:lineRule="auto"/>
        <w:rPr>
          <w:sz w:val="20"/>
          <w:szCs w:val="20"/>
          <w:color w:val="auto"/>
        </w:rPr>
      </w:pPr>
      <w:r>
        <w:rPr>
          <w:rFonts w:ascii="Times New Roman" w:cs="Times New Roman" w:eastAsia="Times New Roman" w:hAnsi="Times New Roman"/>
          <w:sz w:val="18"/>
          <w:szCs w:val="18"/>
          <w:color w:val="auto"/>
        </w:rPr>
        <w:t>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recognition and disclosure under the new standard.</w:t>
      </w:r>
    </w:p>
    <w:p>
      <w:pPr>
        <w:spacing w:after="0" w:line="72"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additional information refer to “Note 10. Leases.”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Business Combinations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ImThera Medical, Inc.</w:t>
      </w:r>
    </w:p>
    <w:p>
      <w:pPr>
        <w:spacing w:after="0" w:line="112" w:lineRule="exact"/>
        <w:rPr>
          <w:sz w:val="20"/>
          <w:szCs w:val="20"/>
          <w:color w:val="auto"/>
        </w:rPr>
      </w:pPr>
    </w:p>
    <w:p>
      <w:pPr>
        <w:ind w:firstLine="162"/>
        <w:spacing w:after="0" w:line="266" w:lineRule="auto"/>
        <w:rPr>
          <w:sz w:val="20"/>
          <w:szCs w:val="20"/>
          <w:color w:val="auto"/>
        </w:rPr>
      </w:pPr>
      <w:r>
        <w:rPr>
          <w:rFonts w:ascii="Times New Roman" w:cs="Times New Roman" w:eastAsia="Times New Roman" w:hAnsi="Times New Roman"/>
          <w:sz w:val="18"/>
          <w:szCs w:val="18"/>
          <w:color w:val="auto"/>
        </w:rPr>
        <w:t>ImThera manufactures an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68" w:lineRule="exact"/>
        <w:rPr>
          <w:sz w:val="20"/>
          <w:szCs w:val="20"/>
          <w:color w:val="auto"/>
        </w:rPr>
      </w:pPr>
    </w:p>
    <w:p>
      <w:pPr>
        <w:ind w:right="360" w:firstLine="162"/>
        <w:spacing w:after="0" w:line="266" w:lineRule="auto"/>
        <w:rPr>
          <w:sz w:val="20"/>
          <w:szCs w:val="20"/>
          <w:color w:val="auto"/>
        </w:rPr>
      </w:pPr>
      <w:r>
        <w:rPr>
          <w:rFonts w:ascii="Times New Roman" w:cs="Times New Roman" w:eastAsia="Times New Roman" w:hAnsi="Times New Roman"/>
          <w:sz w:val="18"/>
          <w:szCs w:val="18"/>
          <w:color w:val="auto"/>
        </w:rPr>
        <w:t>On January 16, 2018, we acquired the remaining 86% outstanding interest in ImThera Medical, Inc. (“ImThera”) for cash consideration of up to $225 million. Cash in the amount of $78.3 million was paid at closing with the balance to be paid based on achievement of a certain regulatory milestone and a sales-based earnout.</w:t>
      </w:r>
    </w:p>
    <w:p>
      <w:pPr>
        <w:spacing w:after="0" w:line="68" w:lineRule="exact"/>
        <w:rPr>
          <w:sz w:val="20"/>
          <w:szCs w:val="20"/>
          <w:color w:val="auto"/>
        </w:rPr>
      </w:pPr>
    </w:p>
    <w:p>
      <w:pPr>
        <w:ind w:right="68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acquisition date fair value of the consideration transferred and the fair value of our interest in ImThera prior to the acquisition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78,332</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112,744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Fair value of our interest in ImThera prior to the acquisition </w:t>
            </w:r>
            <w:r>
              <w:rPr>
                <w:rFonts w:ascii="Times New Roman" w:cs="Times New Roman" w:eastAsia="Times New Roman" w:hAnsi="Times New Roman"/>
                <w:sz w:val="25"/>
                <w:szCs w:val="25"/>
                <w:b w:val="1"/>
                <w:bCs w:val="1"/>
                <w:color w:val="auto"/>
                <w:vertAlign w:val="superscript"/>
              </w:rPr>
              <w:t>(1)</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25,580</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216,656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660" w:right="180" w:hanging="328"/>
        <w:spacing w:after="0" w:line="28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fair value of our previously-held interest in ImThera was determined based on the fair value of total consideration transferred and application of a discount for lack of control. As a result, we recognized a gain of $11.5 million for the fair value in excess of our carrying value of $14.1 million. The gain is included in gain on acquisition on our condensed consolidated statement of income for the three months ended March 31, 2018.</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The purchase price allocation for the ImThera acquisition was finalized during the first quarter of 2019 and is presented in the following table, including certain measurement period adjustments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Adjusted Purchase</w:t>
            </w:r>
          </w:p>
        </w:tc>
      </w:tr>
      <w:tr>
        <w:trPr>
          <w:trHeight w:val="265"/>
        </w:trPr>
        <w:tc>
          <w:tcPr>
            <w:tcW w:w="5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40" w:type="dxa"/>
            <w:vAlign w:val="bottom"/>
          </w:tcPr>
          <w:p>
            <w:pPr>
              <w:spacing w:after="0"/>
              <w:rPr>
                <w:sz w:val="23"/>
                <w:szCs w:val="23"/>
                <w:color w:val="auto"/>
              </w:rPr>
            </w:pPr>
          </w:p>
        </w:tc>
        <w:tc>
          <w:tcPr>
            <w:tcW w:w="1900" w:type="dxa"/>
            <w:vAlign w:val="bottom"/>
            <w:gridSpan w:val="2"/>
          </w:tcPr>
          <w:p>
            <w:pPr>
              <w:jc w:val="center"/>
              <w:ind w:right="240"/>
              <w:spacing w:after="0" w:line="265"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5"/>
                <w:szCs w:val="25"/>
                <w:b w:val="1"/>
                <w:bCs w:val="1"/>
                <w:color w:val="auto"/>
                <w:w w:val="96"/>
                <w:vertAlign w:val="superscript"/>
              </w:rPr>
              <w:t>(1)</w:t>
            </w:r>
          </w:p>
        </w:tc>
        <w:tc>
          <w:tcPr>
            <w:tcW w:w="180" w:type="dxa"/>
            <w:vAlign w:val="bottom"/>
          </w:tcPr>
          <w:p>
            <w:pPr>
              <w:spacing w:after="0"/>
              <w:rPr>
                <w:sz w:val="23"/>
                <w:szCs w:val="23"/>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In-process research and development </w:t>
            </w:r>
            <w:r>
              <w:rPr>
                <w:rFonts w:ascii="Times New Roman" w:cs="Times New Roman" w:eastAsia="Times New Roman" w:hAnsi="Times New Roman"/>
                <w:sz w:val="25"/>
                <w:szCs w:val="25"/>
                <w:b w:val="1"/>
                <w:bCs w:val="1"/>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162,282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82,596</w:t>
            </w:r>
          </w:p>
        </w:tc>
      </w:tr>
      <w:tr>
        <w:trPr>
          <w:trHeight w:val="270"/>
        </w:trPr>
        <w:tc>
          <w:tcPr>
            <w:tcW w:w="53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Deferred tax liabilities, net </w:t>
            </w:r>
            <w:r>
              <w:rPr>
                <w:rFonts w:ascii="Times New Roman" w:cs="Times New Roman" w:eastAsia="Times New Roman" w:hAnsi="Times New Roman"/>
                <w:sz w:val="25"/>
                <w:szCs w:val="25"/>
                <w:b w:val="1"/>
                <w:bCs w:val="1"/>
                <w:color w:val="auto"/>
                <w:vertAlign w:val="superscript"/>
              </w:rPr>
              <w:t>(3)</w:t>
            </w:r>
          </w:p>
        </w:tc>
        <w:tc>
          <w:tcPr>
            <w:tcW w:w="1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(29,258)</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217,185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216,656</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100" w:hanging="328"/>
        <w:spacing w:after="0" w:line="269"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During the second quarter of 2018, measurement period adjustments were recorded based upon new information obtained about facts and circumstances that existed as of the acquisition date.</w:t>
      </w:r>
    </w:p>
    <w:p>
      <w:pPr>
        <w:ind w:left="660" w:right="60" w:hanging="328"/>
        <w:spacing w:after="0" w:line="264"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fair value of in-process research and development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on the condensed consolidated balance sheets at March 31, 2019 and December 31, 2018.</w:t>
      </w: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amounts are presented net of deferred tax assets acquired.</w:t>
      </w:r>
    </w:p>
    <w:p>
      <w:pPr>
        <w:spacing w:after="0" w:line="168" w:lineRule="exact"/>
        <w:rPr>
          <w:sz w:val="20"/>
          <w:szCs w:val="20"/>
          <w:color w:val="auto"/>
        </w:rPr>
      </w:pPr>
    </w:p>
    <w:p>
      <w:pPr>
        <w:ind w:right="240" w:firstLine="162"/>
        <w:spacing w:after="0" w:line="282" w:lineRule="auto"/>
        <w:rPr>
          <w:sz w:val="20"/>
          <w:szCs w:val="20"/>
          <w:color w:val="auto"/>
        </w:rPr>
      </w:pPr>
      <w:r>
        <w:rPr>
          <w:rFonts w:ascii="Times New Roman" w:cs="Times New Roman" w:eastAsia="Times New Roman" w:hAnsi="Times New Roman"/>
          <w:sz w:val="18"/>
          <w:szCs w:val="18"/>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54" w:lineRule="exact"/>
        <w:rPr>
          <w:sz w:val="20"/>
          <w:szCs w:val="20"/>
          <w:color w:val="auto"/>
        </w:rPr>
      </w:pPr>
    </w:p>
    <w:p>
      <w:pPr>
        <w:ind w:right="220" w:firstLine="162"/>
        <w:spacing w:after="0" w:line="258" w:lineRule="auto"/>
        <w:rPr>
          <w:sz w:val="20"/>
          <w:szCs w:val="20"/>
          <w:color w:val="auto"/>
        </w:rPr>
      </w:pPr>
      <w:r>
        <w:rPr>
          <w:rFonts w:ascii="Times New Roman" w:cs="Times New Roman" w:eastAsia="Times New Roman" w:hAnsi="Times New Roman"/>
          <w:sz w:val="18"/>
          <w:szCs w:val="18"/>
          <w:color w:val="auto"/>
        </w:rPr>
        <w:t>The results of the ImThera acquisition added $0.1 million in revenue and $1.0 million in operating losses during the three months ended March 31, 2018. Additionally, we recognized ImThera acquisition-related expenses of approximately $0.2 million for legal and valuation expenses during the three months ended March 31, 2018. These expenses are included within “Selling, general and administrative” expenses in the condensed consolidated statement of income. Pro forma financial information assuming the ImThera acquisition had occurred as of the beginning of the calendar year prior to the year of acquisition was not material for disclosure purposes.</w:t>
      </w:r>
    </w:p>
    <w:p>
      <w:pPr>
        <w:spacing w:after="0" w:line="76" w:lineRule="exact"/>
        <w:rPr>
          <w:sz w:val="20"/>
          <w:szCs w:val="20"/>
          <w:color w:val="auto"/>
        </w:rPr>
      </w:pPr>
    </w:p>
    <w:p>
      <w:pPr>
        <w:ind w:right="300" w:firstLine="162"/>
        <w:spacing w:after="0" w:line="261"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 Both arrangements are Level 3 fair value measurements and include the following significant unobservable inputs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January 16,</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- 4.7%</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- 2021</w:t>
            </w:r>
          </w:p>
        </w:tc>
      </w:tr>
      <w:tr>
        <w:trPr>
          <w:trHeight w:val="32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Sales-based earnout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Monte Carlo simulation</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w:t>
            </w:r>
          </w:p>
        </w:tc>
      </w:tr>
      <w:tr>
        <w:trPr>
          <w:trHeight w:val="237"/>
        </w:trPr>
        <w:tc>
          <w:tcPr>
            <w:tcW w:w="3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112,744</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a reconciliation of the beginning and ending balance of the contingent consideration refer to “Note 7. Fair Value Measurements.”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TandemLife</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TandemLife is focused on the delivery of leading-edge temporary life support systems, including cardiopulmonary and respiratory support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TandemLife complements our Cardiovascular portfolio, and expands our existing line of cardiopulmonary products.</w:t>
      </w:r>
    </w:p>
    <w:p>
      <w:pPr>
        <w:spacing w:after="0" w:line="99" w:lineRule="exact"/>
        <w:rPr>
          <w:sz w:val="20"/>
          <w:szCs w:val="20"/>
          <w:color w:val="auto"/>
        </w:rPr>
      </w:pPr>
    </w:p>
    <w:p>
      <w:pPr>
        <w:ind w:right="520" w:firstLine="162"/>
        <w:spacing w:after="0" w:line="282" w:lineRule="auto"/>
        <w:rPr>
          <w:sz w:val="20"/>
          <w:szCs w:val="20"/>
          <w:color w:val="auto"/>
        </w:rPr>
      </w:pPr>
      <w:r>
        <w:rPr>
          <w:rFonts w:ascii="Times New Roman" w:cs="Times New Roman" w:eastAsia="Times New Roman" w:hAnsi="Times New Roman"/>
          <w:sz w:val="18"/>
          <w:szCs w:val="18"/>
          <w:color w:val="auto"/>
        </w:rPr>
        <w:t>On April 4, 2018, we acquired CardiacAssist, Inc., doing business as TandemLife (“TandemLife”) for cash consideration of up to $254 million. Cash of $204 million was paid at closing with up to $50 million in contingent consideration based on achieving regulatory milestones.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the acquisition date fair value of the consideration transferred (in thousands):</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203,671</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40,190</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preliminary purchase price allocation at fair value for the TandemLife acquisition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Adjusted Purchase</w:t>
            </w:r>
          </w:p>
        </w:tc>
      </w:tr>
      <w:tr>
        <w:trPr>
          <w:trHeight w:val="265"/>
        </w:trPr>
        <w:tc>
          <w:tcPr>
            <w:tcW w:w="5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40" w:type="dxa"/>
            <w:vAlign w:val="bottom"/>
          </w:tcPr>
          <w:p>
            <w:pPr>
              <w:spacing w:after="0"/>
              <w:rPr>
                <w:sz w:val="23"/>
                <w:szCs w:val="23"/>
                <w:color w:val="auto"/>
              </w:rPr>
            </w:pPr>
          </w:p>
        </w:tc>
        <w:tc>
          <w:tcPr>
            <w:tcW w:w="1900" w:type="dxa"/>
            <w:vAlign w:val="bottom"/>
            <w:gridSpan w:val="2"/>
          </w:tcPr>
          <w:p>
            <w:pPr>
              <w:jc w:val="center"/>
              <w:ind w:right="240"/>
              <w:spacing w:after="0" w:line="265"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5"/>
                <w:szCs w:val="25"/>
                <w:b w:val="1"/>
                <w:bCs w:val="1"/>
                <w:color w:val="auto"/>
                <w:w w:val="96"/>
                <w:vertAlign w:val="superscript"/>
              </w:rPr>
              <w:t>(1)</w:t>
            </w:r>
          </w:p>
        </w:tc>
        <w:tc>
          <w:tcPr>
            <w:tcW w:w="180" w:type="dxa"/>
            <w:vAlign w:val="bottom"/>
          </w:tcPr>
          <w:p>
            <w:pPr>
              <w:spacing w:after="0"/>
              <w:rPr>
                <w:sz w:val="23"/>
                <w:szCs w:val="23"/>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In-process research and development </w:t>
            </w:r>
            <w:r>
              <w:rPr>
                <w:rFonts w:ascii="Times New Roman" w:cs="Times New Roman" w:eastAsia="Times New Roman" w:hAnsi="Times New Roman"/>
                <w:sz w:val="25"/>
                <w:szCs w:val="25"/>
                <w:b w:val="1"/>
                <w:bCs w:val="1"/>
                <w:color w:val="auto"/>
                <w:vertAlign w:val="superscript"/>
              </w:rPr>
              <w:t>(2) (3)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107,503</w:t>
            </w:r>
          </w:p>
        </w:tc>
      </w:tr>
      <w:tr>
        <w:trPr>
          <w:trHeight w:val="270"/>
        </w:trPr>
        <w:tc>
          <w:tcPr>
            <w:tcW w:w="53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Trade names </w:t>
            </w:r>
            <w:r>
              <w:rPr>
                <w:rFonts w:ascii="Times New Roman" w:cs="Times New Roman" w:eastAsia="Times New Roman" w:hAnsi="Times New Roman"/>
                <w:sz w:val="25"/>
                <w:szCs w:val="25"/>
                <w:b w:val="1"/>
                <w:bCs w:val="1"/>
                <w:color w:val="auto"/>
                <w:vertAlign w:val="superscript"/>
              </w:rPr>
              <w:t>(2)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11,539</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118,120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243,861</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243,861</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120" w:hanging="328"/>
        <w:spacing w:after="0" w:line="267"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During the third quarter of 2018, measurement period adjustments were recorded based upon new information regarding future estimates of R&amp;D expenses that existed as of the acquisition date. In addition, during the first quarter of 2019, measurement period adjustments related to finalizing our tax attributes were recorded, which resulted in an increase of $3.3 million in deferred tax assets and a commensurate decrease to goodwill.</w:t>
      </w:r>
    </w:p>
    <w:p>
      <w:pPr>
        <w:spacing w:after="0" w:line="1" w:lineRule="exact"/>
        <w:rPr>
          <w:rFonts w:ascii="Times New Roman" w:cs="Times New Roman" w:eastAsia="Times New Roman" w:hAnsi="Times New Roman"/>
          <w:sz w:val="14"/>
          <w:szCs w:val="14"/>
          <w:color w:val="auto"/>
        </w:rPr>
      </w:pPr>
    </w:p>
    <w:p>
      <w:pPr>
        <w:ind w:left="660" w:right="580" w:hanging="328"/>
        <w:spacing w:after="0" w:line="264"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are included in intangible assets, net in the condensed consolidated balance sheets at March 31, 2019 and December 31, 2018. Trade names and developed technology are amortized over remaining useful lives of 15 and 2 years, respectively.</w:t>
      </w:r>
    </w:p>
    <w:p>
      <w:pPr>
        <w:ind w:left="660" w:right="200" w:hanging="328"/>
        <w:spacing w:after="0" w:line="272"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w:t>
      </w:r>
    </w:p>
    <w:p>
      <w:pPr>
        <w:spacing w:after="0" w:line="72" w:lineRule="exact"/>
        <w:rPr>
          <w:sz w:val="20"/>
          <w:szCs w:val="20"/>
          <w:color w:val="auto"/>
        </w:rPr>
      </w:pPr>
    </w:p>
    <w:p>
      <w:pPr>
        <w:ind w:right="420" w:firstLine="162"/>
        <w:spacing w:after="0" w:line="261" w:lineRule="auto"/>
        <w:rPr>
          <w:sz w:val="20"/>
          <w:szCs w:val="20"/>
          <w:color w:val="auto"/>
        </w:rPr>
      </w:pPr>
      <w:r>
        <w:rPr>
          <w:rFonts w:ascii="Times New Roman" w:cs="Times New Roman" w:eastAsia="Times New Roman" w:hAnsi="Times New Roman"/>
          <w:sz w:val="18"/>
          <w:szCs w:val="18"/>
          <w:color w:val="auto"/>
        </w:rPr>
        <w:t>Goodwill arising from the TandemLife acquisition, which is not deductible for tax purposes, primarily represents the synergies anticipated between TandemLife and our existing cardiovascular business. The assets acquired, including goodwill, are recognized in our Cardiovascular segment. Pro forma financial information assuming the TandemLife acquisition had occurred as of the beginning of the calendar year prior to the year of acquisition was not material for disclosure purposes.</w:t>
      </w:r>
    </w:p>
    <w:p>
      <w:pPr>
        <w:spacing w:after="0" w:line="72"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TandemLife Acquisition</w:t>
            </w:r>
          </w:p>
        </w:tc>
        <w:tc>
          <w:tcPr>
            <w:tcW w:w="14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4, 2018</w:t>
            </w:r>
          </w:p>
        </w:tc>
        <w:tc>
          <w:tcPr>
            <w:tcW w:w="2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Ranges</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milestone-based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40,190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r>
      <w:tr>
        <w:trPr>
          <w:trHeight w:val="243"/>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- 2020</w:t>
            </w:r>
          </w:p>
        </w:tc>
      </w:tr>
      <w:tr>
        <w:trPr>
          <w:trHeight w:val="567"/>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color w:val="auto"/>
        </w:rPr>
        <w:t>For a reconciliation of the beginning and ending balance of the contingent consideration refer to “Note 7. Fair Value Measurements.”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Discontinued Operations</w:t>
      </w:r>
    </w:p>
    <w:p>
      <w:pPr>
        <w:spacing w:after="0" w:line="116" w:lineRule="exact"/>
        <w:rPr>
          <w:sz w:val="20"/>
          <w:szCs w:val="20"/>
          <w:color w:val="auto"/>
        </w:rPr>
      </w:pPr>
    </w:p>
    <w:p>
      <w:pPr>
        <w:ind w:right="260" w:firstLine="162"/>
        <w:spacing w:after="0" w:line="266" w:lineRule="auto"/>
        <w:rPr>
          <w:sz w:val="20"/>
          <w:szCs w:val="20"/>
          <w:color w:val="auto"/>
        </w:rPr>
      </w:pPr>
      <w:r>
        <w:rPr>
          <w:rFonts w:ascii="Times New Roman" w:cs="Times New Roman" w:eastAsia="Times New Roman" w:hAnsi="Times New Roman"/>
          <w:sz w:val="18"/>
          <w:szCs w:val="18"/>
          <w:color w:val="auto"/>
        </w:rPr>
        <w:t>In November 2017, we concluded that the sale of our Cardiac Rhythm Management (“CRM”) business franchise represented a strategic shift in our business that would have a major effect on future operations and financial results. Accordingly, the operating results of CRM are classified as discontinued operations on our condensed consolidated statements of income (loss) for all the periods presented in this Quarterly Report on Form 10-Q.</w:t>
      </w:r>
    </w:p>
    <w:p>
      <w:pPr>
        <w:spacing w:after="0" w:line="68" w:lineRule="exact"/>
        <w:rPr>
          <w:sz w:val="20"/>
          <w:szCs w:val="20"/>
          <w:color w:val="auto"/>
        </w:rPr>
      </w:pPr>
    </w:p>
    <w:p>
      <w:pPr>
        <w:ind w:right="100" w:firstLine="162"/>
        <w:spacing w:after="0" w:line="274" w:lineRule="auto"/>
        <w:rPr>
          <w:sz w:val="20"/>
          <w:szCs w:val="20"/>
          <w:color w:val="auto"/>
        </w:rPr>
      </w:pPr>
      <w:r>
        <w:rPr>
          <w:rFonts w:ascii="Times New Roman" w:cs="Times New Roman" w:eastAsia="Times New Roman" w:hAnsi="Times New Roman"/>
          <w:sz w:val="17"/>
          <w:szCs w:val="17"/>
          <w:color w:val="auto"/>
        </w:rPr>
        <w:t>We completed the CRM Sale on April 30, 2018 to MicroPort Cardiac Rhythm B.V. and MicroPort Scientific Corporation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During three months ended March 31, 2019, we recognized income of $0.6 million for providing these services. Income recognized related to the transition services agreements is recorded as a reduction to the related expenses in the associated expense line items in the condensed consolidated statements of income (loss).</w:t>
      </w:r>
    </w:p>
    <w:p>
      <w:pPr>
        <w:spacing w:after="0" w:line="65" w:lineRule="exact"/>
        <w:rPr>
          <w:sz w:val="20"/>
          <w:szCs w:val="20"/>
          <w:color w:val="auto"/>
        </w:rPr>
      </w:pPr>
    </w:p>
    <w:p>
      <w:pPr>
        <w:ind w:right="8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financial results of CRM presented as net loss from discontinued operations in the condensed consolidated statements of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9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31, 2018</w:t>
            </w:r>
          </w:p>
        </w:tc>
      </w:tr>
      <w:tr>
        <w:trPr>
          <w:trHeight w:val="27"/>
        </w:trPr>
        <w:tc>
          <w:tcPr>
            <w:tcW w:w="9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18"/>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60,107</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22,138</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r>
      <w:tr>
        <w:trPr>
          <w:trHeight w:val="324"/>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31,826</w:t>
            </w:r>
          </w:p>
        </w:tc>
      </w:tr>
      <w:tr>
        <w:trPr>
          <w:trHeight w:val="108"/>
        </w:trPr>
        <w:tc>
          <w:tcPr>
            <w:tcW w:w="9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24"/>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11,281</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r>
      <w:tr>
        <w:trPr>
          <w:trHeight w:val="324"/>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50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r>
      <w:tr>
        <w:trPr>
          <w:trHeight w:val="108"/>
        </w:trPr>
        <w:tc>
          <w:tcPr>
            <w:tcW w:w="9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24"/>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gain on assets and liabilities held for sale</w:t>
            </w:r>
          </w:p>
        </w:tc>
        <w:tc>
          <w:tcPr>
            <w:tcW w:w="5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r>
      <w:tr>
        <w:trPr>
          <w:trHeight w:val="318"/>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108"/>
        </w:trPr>
        <w:tc>
          <w:tcPr>
            <w:tcW w:w="9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24"/>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w:t>
            </w:r>
          </w:p>
        </w:tc>
        <w:tc>
          <w:tcPr>
            <w:tcW w:w="5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r>
      <w:tr>
        <w:trPr>
          <w:trHeight w:val="318"/>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 before tax</w:t>
            </w:r>
          </w:p>
        </w:tc>
        <w:tc>
          <w:tcPr>
            <w:tcW w:w="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108"/>
        </w:trPr>
        <w:tc>
          <w:tcPr>
            <w:tcW w:w="9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24"/>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108"/>
        </w:trPr>
        <w:tc>
          <w:tcPr>
            <w:tcW w:w="90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r>
      <w:tr>
        <w:trPr>
          <w:trHeight w:val="324"/>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108"/>
        </w:trPr>
        <w:tc>
          <w:tcPr>
            <w:tcW w:w="90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r>
      <w:tr>
        <w:trPr>
          <w:trHeight w:val="318"/>
        </w:trPr>
        <w:tc>
          <w:tcPr>
            <w:tcW w:w="9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108"/>
        </w:trPr>
        <w:tc>
          <w:tcPr>
            <w:tcW w:w="902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r>
      <w:tr>
        <w:trPr>
          <w:trHeight w:val="20"/>
        </w:trPr>
        <w:tc>
          <w:tcPr>
            <w:tcW w:w="9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20" w:firstLine="162"/>
        <w:spacing w:after="0" w:line="282" w:lineRule="auto"/>
        <w:rPr>
          <w:sz w:val="20"/>
          <w:szCs w:val="20"/>
          <w:color w:val="auto"/>
        </w:rPr>
      </w:pPr>
      <w:r>
        <w:rPr>
          <w:rFonts w:ascii="Times New Roman" w:cs="Times New Roman" w:eastAsia="Times New Roman" w:hAnsi="Times New Roman"/>
          <w:sz w:val="18"/>
          <w:szCs w:val="18"/>
          <w:color w:val="auto"/>
        </w:rPr>
        <w:t>Cash flows attributable to our discontinued operations are included in our condensed consolidated statements of cash flows. For the three months ended March 31, 2018, CRM’s capital expenditures were $0.9 million and stock-based compensation expense was $2.0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Restructuring</w:t>
      </w:r>
    </w:p>
    <w:p>
      <w:pPr>
        <w:spacing w:after="0" w:line="116" w:lineRule="exact"/>
        <w:rPr>
          <w:sz w:val="20"/>
          <w:szCs w:val="20"/>
          <w:color w:val="auto"/>
        </w:rPr>
      </w:pPr>
    </w:p>
    <w:p>
      <w:pPr>
        <w:ind w:right="660" w:firstLine="162"/>
        <w:spacing w:after="0" w:line="266" w:lineRule="auto"/>
        <w:rPr>
          <w:sz w:val="20"/>
          <w:szCs w:val="20"/>
          <w:color w:val="auto"/>
        </w:rPr>
      </w:pPr>
      <w:r>
        <w:rPr>
          <w:rFonts w:ascii="Times New Roman" w:cs="Times New Roman" w:eastAsia="Times New Roman" w:hAnsi="Times New Roman"/>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68" w:lineRule="exact"/>
        <w:rPr>
          <w:sz w:val="20"/>
          <w:szCs w:val="20"/>
          <w:color w:val="auto"/>
        </w:rPr>
      </w:pPr>
    </w:p>
    <w:p>
      <w:pPr>
        <w:ind w:right="60" w:firstLine="162"/>
        <w:spacing w:after="0" w:line="266" w:lineRule="auto"/>
        <w:rPr>
          <w:sz w:val="20"/>
          <w:szCs w:val="20"/>
          <w:color w:val="auto"/>
        </w:rPr>
      </w:pPr>
      <w:r>
        <w:rPr>
          <w:rFonts w:ascii="Times New Roman" w:cs="Times New Roman" w:eastAsia="Times New Roman" w:hAnsi="Times New Roman"/>
          <w:sz w:val="18"/>
          <w:szCs w:val="18"/>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We completed the Prior Plans during 2018.</w:t>
      </w:r>
    </w:p>
    <w:p>
      <w:pPr>
        <w:spacing w:after="0" w:line="68" w:lineRule="exact"/>
        <w:rPr>
          <w:sz w:val="20"/>
          <w:szCs w:val="20"/>
          <w:color w:val="auto"/>
        </w:rPr>
      </w:pPr>
    </w:p>
    <w:p>
      <w:pPr>
        <w:ind w:right="680" w:firstLine="162"/>
        <w:spacing w:after="0" w:line="266" w:lineRule="auto"/>
        <w:rPr>
          <w:sz w:val="20"/>
          <w:szCs w:val="20"/>
          <w:color w:val="auto"/>
        </w:rPr>
      </w:pPr>
      <w:r>
        <w:rPr>
          <w:rFonts w:ascii="Times New Roman" w:cs="Times New Roman" w:eastAsia="Times New Roman" w:hAnsi="Times New Roman"/>
          <w:sz w:val="18"/>
          <w:szCs w:val="18"/>
          <w:color w:val="auto"/>
        </w:rPr>
        <w:t>In December 2018, we initiated a reorganization plan (the “2018 Plan”) in order to reduce manufacturing and operational costs associated with our Cardiovascular facilities in Saluggia and Mirandola, Italy and Arvada, Colorado. We estimate that the 2018 Plan will result in a net reduction of approximately 75 personnel and is expected to be completed by the end of 2019.</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accruals, inventory obsolescence and other reserves, recorded in connection with our reorganization plans (in thousands):</w:t>
      </w:r>
    </w:p>
    <w:p>
      <w:pPr>
        <w:sectPr>
          <w:pgSz w:w="11900" w:h="16838" w:orient="portrait"/>
          <w:cols w:equalWidth="0" w:num="1">
            <w:col w:w="11420"/>
          </w:cols>
          <w:pgMar w:left="240" w:top="688" w:right="23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Severance and</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Termination Costs</w:t>
            </w:r>
          </w:p>
        </w:tc>
        <w:tc>
          <w:tcPr>
            <w:tcW w:w="28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13,264</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r>
      <w:tr>
        <w:trPr>
          <w:trHeight w:val="257"/>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5,563</w:t>
            </w:r>
          </w:p>
        </w:tc>
      </w:tr>
      <w:tr>
        <w:trPr>
          <w:trHeight w:val="20"/>
        </w:trPr>
        <w:tc>
          <w:tcPr>
            <w:tcW w:w="584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5"/>
        </w:trPr>
        <w:tc>
          <w:tcPr>
            <w:tcW w:w="8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restructuring expense by reportable segment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r>
      <w:tr>
        <w:trPr>
          <w:trHeight w:val="257"/>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Product Remediation Liability</w:t>
      </w:r>
    </w:p>
    <w:p>
      <w:pPr>
        <w:spacing w:after="0" w:line="116"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72"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81"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On October 11, 2018, after review of information provided by us, the FDA concluded that we could commence the vacuum canister and internal sealing upgrade program in the U.S.</w:t>
      </w:r>
    </w:p>
    <w:p>
      <w:pPr>
        <w:spacing w:after="0" w:line="72" w:lineRule="exact"/>
        <w:rPr>
          <w:sz w:val="20"/>
          <w:szCs w:val="20"/>
          <w:color w:val="auto"/>
        </w:rPr>
      </w:pPr>
    </w:p>
    <w:p>
      <w:pPr>
        <w:ind w:right="160" w:firstLine="162"/>
        <w:spacing w:after="0" w:line="256" w:lineRule="auto"/>
        <w:rPr>
          <w:sz w:val="20"/>
          <w:szCs w:val="20"/>
          <w:color w:val="auto"/>
        </w:rPr>
      </w:pPr>
      <w:r>
        <w:rPr>
          <w:rFonts w:ascii="Times New Roman" w:cs="Times New Roman" w:eastAsia="Times New Roman" w:hAnsi="Times New Roman"/>
          <w:sz w:val="18"/>
          <w:szCs w:val="18"/>
          <w:color w:val="auto"/>
        </w:rPr>
        <w:t>As part of the remediation plan,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 Also,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3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4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14,745</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Remediation activity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Balance at March 31, 2019 </w:t>
            </w:r>
            <w:r>
              <w:rPr>
                <w:rFonts w:ascii="Times New Roman" w:cs="Times New Roman" w:eastAsia="Times New Roman" w:hAnsi="Times New Roman"/>
                <w:sz w:val="25"/>
                <w:szCs w:val="25"/>
                <w:b w:val="1"/>
                <w:bCs w:val="1"/>
                <w:color w:val="auto"/>
                <w:vertAlign w:val="superscript"/>
              </w:rPr>
              <w:t>(1)</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11,521</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At March 31, 2019, the product remediation liability balance is included within accrued liabilities and other on the condensed consolidated balance sheet.</w:t>
      </w:r>
    </w:p>
    <w:p>
      <w:pPr>
        <w:spacing w:after="0" w:line="176" w:lineRule="exact"/>
        <w:rPr>
          <w:sz w:val="20"/>
          <w:szCs w:val="20"/>
          <w:color w:val="auto"/>
        </w:rPr>
      </w:pPr>
    </w:p>
    <w:p>
      <w:pPr>
        <w:ind w:right="240" w:firstLine="162"/>
        <w:spacing w:after="0" w:line="256" w:lineRule="auto"/>
        <w:rPr>
          <w:sz w:val="20"/>
          <w:szCs w:val="20"/>
          <w:color w:val="auto"/>
        </w:rPr>
      </w:pPr>
      <w:r>
        <w:rPr>
          <w:rFonts w:ascii="Times New Roman" w:cs="Times New Roman" w:eastAsia="Times New Roman" w:hAnsi="Times New Roman"/>
          <w:sz w:val="18"/>
          <w:szCs w:val="18"/>
          <w:color w:val="auto"/>
        </w:rPr>
        <w:t>We recognized product remediation expenses during the three months ended March 31, 2019, of $2.9 million and $3.7 million during the three months ended March 31, 2018.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During the fourth quarter of 2018, we recognized a $294.1 million liability related to the litigation involving the 3T device. Our related legal costs are expensed as incurred. For further information, please refer to “Note 11. Commitments and Contingencies.”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Investments</w:t>
      </w:r>
    </w:p>
    <w:p>
      <w:pPr>
        <w:spacing w:after="0" w:line="116" w:lineRule="exact"/>
        <w:rPr>
          <w:sz w:val="20"/>
          <w:szCs w:val="20"/>
          <w:color w:val="auto"/>
        </w:rPr>
      </w:pPr>
    </w:p>
    <w:p>
      <w:pPr>
        <w:ind w:right="100" w:firstLine="162"/>
        <w:spacing w:after="0" w:line="261" w:lineRule="auto"/>
        <w:rPr>
          <w:sz w:val="20"/>
          <w:szCs w:val="20"/>
          <w:color w:val="auto"/>
        </w:rPr>
      </w:pPr>
      <w:r>
        <w:rPr>
          <w:rFonts w:ascii="Times New Roman" w:cs="Times New Roman" w:eastAsia="Times New Roman" w:hAnsi="Times New Roman"/>
          <w:sz w:val="18"/>
          <w:szCs w:val="18"/>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equity investments are included in investments on the condensed consolidated balance sheets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Respicardia Inc. </w:t>
            </w:r>
            <w:r>
              <w:rPr>
                <w:rFonts w:ascii="Times New Roman" w:cs="Times New Roman" w:eastAsia="Times New Roman" w:hAnsi="Times New Roman"/>
                <w:sz w:val="25"/>
                <w:szCs w:val="25"/>
                <w:b w:val="1"/>
                <w:bCs w:val="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Ceribell, Inc.</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Rainbow Medical Ltd.</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MD Start II</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Highlife S.A.S.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120" w:hanging="328"/>
        <w:spacing w:after="0" w:line="290"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as of March 31, 2019 and December 31, 2018, which is included in prepaid expenses and other current assets in the condensed consolidated balance sheet.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Fair Value Measurements</w:t>
      </w:r>
    </w:p>
    <w:p>
      <w:pPr>
        <w:spacing w:after="0" w:line="116" w:lineRule="exact"/>
        <w:rPr>
          <w:sz w:val="20"/>
          <w:szCs w:val="20"/>
          <w:color w:val="auto"/>
        </w:rPr>
      </w:pPr>
    </w:p>
    <w:p>
      <w:pPr>
        <w:ind w:right="20" w:firstLine="162"/>
        <w:spacing w:after="0" w:line="266" w:lineRule="auto"/>
        <w:rPr>
          <w:sz w:val="20"/>
          <w:szCs w:val="20"/>
          <w:color w:val="auto"/>
        </w:rPr>
      </w:pPr>
      <w:r>
        <w:rPr>
          <w:rFonts w:ascii="Times New Roman" w:cs="Times New Roman" w:eastAsia="Times New Roman" w:hAnsi="Times New Roman"/>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2019 and 2018.</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 - freestanding instruments (foreign currency</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rate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189,382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189,382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189,382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 - freestanding instruments (foreign currency</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rate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5"/>
                <w:szCs w:val="25"/>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179,911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179,911</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60" w:hanging="328"/>
        <w:spacing w:after="0" w:line="29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contingent consideration liability represents contingent payments related to four completed acquisitions: Inversiones Drilltex SAS (“Drillex”), Caisson, ImThera and TandemLife. See the table below for additional information.</w:t>
      </w:r>
    </w:p>
    <w:p>
      <w:pPr>
        <w:spacing w:after="0" w:line="106"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contingent consideration liability at December 31, 2018</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179,911</w:t>
            </w:r>
          </w:p>
        </w:tc>
        <w:tc>
          <w:tcPr>
            <w:tcW w:w="0" w:type="dxa"/>
            <w:vAlign w:val="bottom"/>
          </w:tcPr>
          <w:p>
            <w:pPr>
              <w:spacing w:after="0"/>
              <w:rPr>
                <w:sz w:val="1"/>
                <w:szCs w:val="1"/>
                <w:color w:val="auto"/>
              </w:rPr>
            </w:pPr>
          </w:p>
        </w:tc>
      </w:tr>
      <w:tr>
        <w:trPr>
          <w:trHeight w:val="270"/>
        </w:trPr>
        <w:tc>
          <w:tcPr>
            <w:tcW w:w="92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5"/>
                <w:szCs w:val="25"/>
                <w:color w:val="auto"/>
                <w:vertAlign w:val="superscript"/>
              </w:rPr>
              <w:t>(1)</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9,457</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contingent consideration liability at March 31, 2019</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189,382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current portion of contingent consideration liability at March 31, 2019</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42,302</w:t>
            </w:r>
          </w:p>
        </w:tc>
        <w:tc>
          <w:tcPr>
            <w:tcW w:w="0" w:type="dxa"/>
            <w:vAlign w:val="bottom"/>
          </w:tcPr>
          <w:p>
            <w:pPr>
              <w:spacing w:after="0"/>
              <w:rPr>
                <w:sz w:val="1"/>
                <w:szCs w:val="1"/>
                <w:color w:val="auto"/>
              </w:rPr>
            </w:pP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portion of contingent consideration liability at March 31, 2019</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147,080</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570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2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7" w:right="239" w:bottom="1440" w:gutter="0" w:footer="0" w:header="0"/>
        </w:sectPr>
      </w:pPr>
    </w:p>
    <w:bookmarkStart w:id="16" w:name="page17"/>
    <w:bookmarkEnd w:id="16"/>
    <w:p>
      <w:pPr>
        <w:ind w:left="660" w:right="80" w:hanging="328"/>
        <w:spacing w:after="0" w:line="302"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fair value was primarily due to the impact of decreases in interest rates subsequent to December 31, 2018, which directly impacts the discount rate utilized in the valuation of contingent consideration.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Financing Arrangements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0"/>
                <w:szCs w:val="20"/>
                <w:color w:val="auto"/>
              </w:rPr>
            </w:pP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2017 European Investment Bank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103,570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103,570</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2026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70"/>
        </w:trPr>
        <w:tc>
          <w:tcPr>
            <w:tcW w:w="3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2014 European Investment Bank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47,606</w:t>
            </w:r>
          </w:p>
        </w:tc>
        <w:tc>
          <w:tcPr>
            <w:tcW w:w="120" w:type="dxa"/>
            <w:vAlign w:val="bottom"/>
          </w:tcPr>
          <w:p>
            <w:pPr>
              <w:spacing w:after="0"/>
              <w:rPr>
                <w:sz w:val="23"/>
                <w:szCs w:val="23"/>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2021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Mediocredito Italiano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7,623</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0.50% - 3.02%</w:t>
            </w: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of America, U.S.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January 2021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Banca del Mezzogiorno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2019</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0.50% - 3.07%</w:t>
            </w: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Region Wallonne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 and June 2033</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0.75% - 1.24%</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5"/>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Mediocredito Italiano - mortgages and other</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2021 and September</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0.77% - 1.27%</w:t>
            </w:r>
          </w:p>
        </w:tc>
      </w:tr>
      <w:tr>
        <w:trPr>
          <w:trHeight w:val="261"/>
        </w:trPr>
        <w:tc>
          <w:tcPr>
            <w:tcW w:w="3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237"/>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164,730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162,841</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23,303</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141,850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139,538</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40" w:hanging="328"/>
        <w:spacing w:after="0" w:line="269"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2017 European Investment Bank (“2017 EIB”) loan was obtained to support certain product development projects. The interest rate for the 2017 EIB loan is reset by the lender each principal payment date based on LIBOR. Interest payments are paid quarterly and principal payments are paid semi-annually.</w:t>
      </w:r>
    </w:p>
    <w:p>
      <w:pPr>
        <w:ind w:left="660" w:right="260" w:hanging="328"/>
        <w:spacing w:after="0" w:line="264"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2014 European Investment Bank (“2014 EIB”) loan was obtained in July 2014 to support certain product development projects. The interest rate for the 2014 EIB loan is reset by the lender each quarter based on the Euribor. Interest payments are paid quarterly and principal payments are paid semi-annually.</w:t>
      </w:r>
    </w:p>
    <w:p>
      <w:pPr>
        <w:ind w:left="660" w:right="480" w:hanging="328"/>
        <w:spacing w:after="0" w:line="264"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obtained the Mediocredito Italiano Bank loan in July 2016 as part of the Fondo Innovazione Teconologica program implemented by the Italian Ministry of Education.</w:t>
      </w:r>
    </w:p>
    <w:p>
      <w:pPr>
        <w:ind w:left="660" w:right="240" w:hanging="328"/>
        <w:spacing w:after="0" w:line="288"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Banca del Mezzogiorno loan was obtained in January 2015 to support R&amp;D projects as a part of the Large Strategic Project program of the Italian Ministry of Education.</w:t>
      </w:r>
    </w:p>
    <w:p>
      <w:pPr>
        <w:spacing w:after="0" w:line="5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On March 26, 2019, we entered into a Facility Agreement with Bank of America Merrill Lynch International DAC, Barclays Bank PLC, BNP Paribas (London Branch) and Intesa Sanpaolo S.P.A. that provides a multicurrency term loan facility in an aggregate amount of $350 million and terminates on March 26, 2022. As of March 31, 2019, there have been no borrowings drawn under the facility. Future borrowings under the facility will bear interest at a rate of LIBOR plus 1.6% for borrowings in U.S. dollars and EURIBOR plus 1.4% for euro-denominated borrowings. The proceeds of the facility are intended to be used towards general corporate and working capital purposes, excluding acquisitions, dividends and share buybacks. The facility became available on March 26, 2019, subject to satisfaction of certain customary conditions precedent including payment of certain upfront fees and evidence of cancellation and repayment in full of our $70.0 million revolving credit facility from Barclays Bank PLC on or before the first utilization date. The Facility Agreement contains financial covenants that require LivaNova to maintain a maximum consolidated net debt to EBITDA ratio, a minimum interest coverage ratio and a maximum consolidated net debt to net worth ratio. LivaNova must also maintain a minimum amount of consolidated net worth. The Facility Agreement also contains customary representations and warranties, covenants, and events of default.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w:t>
      </w:r>
    </w:p>
    <w:p>
      <w:pPr>
        <w:spacing w:after="0" w:line="112"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The outstanding principal amount of our short-term unsecured revolving credit agreements and other agreements with various banks was $16.6 million and $5.5 million, at March 31, 2019 and December 31, 2018, respectively, with interest rates ranging from 0.2% to 9.1% and loan terms ranging from 30 days to 180 days as of March 31, 2019.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Derivatives and Risk Management</w:t>
      </w:r>
    </w:p>
    <w:p>
      <w:pPr>
        <w:spacing w:after="0" w:line="116" w:lineRule="exact"/>
        <w:rPr>
          <w:sz w:val="20"/>
          <w:szCs w:val="20"/>
          <w:color w:val="auto"/>
        </w:rPr>
      </w:pPr>
    </w:p>
    <w:p>
      <w:pPr>
        <w:ind w:right="80" w:firstLine="162"/>
        <w:spacing w:after="0" w:line="281" w:lineRule="auto"/>
        <w:rPr>
          <w:sz w:val="20"/>
          <w:szCs w:val="20"/>
          <w:color w:val="auto"/>
        </w:rPr>
      </w:pPr>
      <w:r>
        <w:rPr>
          <w:rFonts w:ascii="Times New Roman" w:cs="Times New Roman" w:eastAsia="Times New Roman" w:hAnsi="Times New Roman"/>
          <w:sz w:val="17"/>
          <w:szCs w:val="17"/>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condensed</w:t>
      </w: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98" w:right="23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68" w:lineRule="exact"/>
        <w:rPr>
          <w:sz w:val="20"/>
          <w:szCs w:val="20"/>
          <w:color w:val="auto"/>
        </w:rPr>
      </w:pPr>
    </w:p>
    <w:p>
      <w:pPr>
        <w:ind w:right="180" w:firstLine="162"/>
        <w:spacing w:after="0" w:line="256" w:lineRule="auto"/>
        <w:rPr>
          <w:sz w:val="20"/>
          <w:szCs w:val="20"/>
          <w:color w:val="auto"/>
        </w:rPr>
      </w:pPr>
      <w:r>
        <w:rPr>
          <w:rFonts w:ascii="Times New Roman" w:cs="Times New Roman" w:eastAsia="Times New Roman" w:hAnsi="Times New Roman"/>
          <w:sz w:val="18"/>
          <w:szCs w:val="18"/>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and on an ongoing basis. If a derivative is no longer expected to be highly effective hedge accounting is discontinued and the gains or losses are reclassified into earnings. Cash flows from derivative contracts are reported as operating activities on our condensed consolidated statements of cash flows.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 Contracts</w:t>
      </w:r>
    </w:p>
    <w:p>
      <w:pPr>
        <w:spacing w:after="0" w:line="112"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The gross notional amount of FX derivative contracts, not designated as hedging instruments, outstanding at March 31, 2019 and December 31, 2018 was $185.1 million and $320.2 million, respectively. These derivative contracts are designed to offset the FX effects in earnings of various intercompany loans, our 2014 EIB loan, and trade receivables. We recorded net gains for these freestanding derivatives of $3.7 million for the three months ended March 31, 2019 and net losses of $7.6 million for the three months ended March 31, 2018. These gains and losses are included in foreign exchange and other gains (losses) on our condensed consolidated statements of income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 Hedges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Derivative Contract</w:t>
            </w: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British Pounds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9,629</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Japanese Yen</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23,985</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Canadian Dollars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7,637</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Euros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29,768</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38,115</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109,134</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60" w:firstLine="162"/>
        <w:spacing w:after="0" w:line="282" w:lineRule="auto"/>
        <w:rPr>
          <w:sz w:val="20"/>
          <w:szCs w:val="20"/>
          <w:color w:val="auto"/>
        </w:rPr>
      </w:pPr>
      <w:r>
        <w:rPr>
          <w:rFonts w:ascii="Times New Roman" w:cs="Times New Roman" w:eastAsia="Times New Roman" w:hAnsi="Times New Roman"/>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Amount Expected to be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After-tax net loss in AOCI</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Reclassified to Earnings in</w:t>
            </w:r>
          </w:p>
        </w:tc>
        <w:tc>
          <w:tcPr>
            <w:tcW w:w="0" w:type="dxa"/>
            <w:vAlign w:val="bottom"/>
          </w:tcPr>
          <w:p>
            <w:pPr>
              <w:spacing w:after="0"/>
              <w:rPr>
                <w:sz w:val="1"/>
                <w:szCs w:val="1"/>
                <w:color w:val="auto"/>
              </w:rPr>
            </w:pPr>
          </w:p>
        </w:tc>
      </w:tr>
      <w:tr>
        <w:trPr>
          <w:trHeight w:val="238"/>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Derivative Contract</w:t>
            </w: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March 31, 2019</w:t>
            </w: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Next 12 Months</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3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2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8" w:name="page19"/>
    <w:bookmarkEnd w:id="18"/>
    <w:p>
      <w:pPr>
        <w:ind w:right="180" w:firstLine="162"/>
        <w:spacing w:after="0" w:line="282" w:lineRule="auto"/>
        <w:rPr>
          <w:sz w:val="20"/>
          <w:szCs w:val="20"/>
          <w:color w:val="auto"/>
        </w:rPr>
      </w:pPr>
      <w:r>
        <w:rPr>
          <w:rFonts w:ascii="Times New Roman" w:cs="Times New Roman" w:eastAsia="Times New Roman" w:hAnsi="Times New Roman"/>
          <w:sz w:val="18"/>
          <w:szCs w:val="18"/>
          <w:color w:val="auto"/>
        </w:rPr>
        <w:t>Pre-tax gains (losses) for derivative contracts designated as cash flow hedges recognized in Other Comprehensive (Loss) Income (“OCI”) and the amount reclassified to earnings from AOCI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 Reclassified</w:t>
            </w:r>
          </w:p>
        </w:tc>
      </w:tr>
      <w:tr>
        <w:trPr>
          <w:trHeight w:val="216"/>
        </w:trPr>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Description of Derivative</w:t>
            </w:r>
          </w:p>
        </w:tc>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Location in Earnings of</w:t>
            </w: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Gains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Reclassified from</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Gains Recognized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from AOCI to</w:t>
            </w:r>
          </w:p>
        </w:tc>
      </w:tr>
      <w:tr>
        <w:trPr>
          <w:trHeight w:val="238"/>
        </w:trPr>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AOCI to Earnings</w:t>
            </w:r>
          </w:p>
        </w:tc>
        <w:tc>
          <w:tcPr>
            <w:tcW w:w="3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OCI</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41"/>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on a gross basis, and the location of, derivative contracts reported in the condensed consolidated balance sheets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20" w:type="dxa"/>
            <w:vAlign w:val="bottom"/>
          </w:tcPr>
          <w:p>
            <w:pPr>
              <w:spacing w:after="0"/>
              <w:rPr>
                <w:sz w:val="20"/>
                <w:szCs w:val="20"/>
                <w:color w:val="auto"/>
              </w:rPr>
            </w:pPr>
          </w:p>
        </w:tc>
        <w:tc>
          <w:tcPr>
            <w:tcW w:w="288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5"/>
                <w:szCs w:val="25"/>
                <w:b w:val="1"/>
                <w:bCs w:val="1"/>
                <w:color w:val="auto"/>
                <w:w w:val="95"/>
                <w:vertAlign w:val="superscript"/>
              </w:rPr>
              <w:t>(1)</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5"/>
                <w:szCs w:val="25"/>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0"/>
                <w:szCs w:val="20"/>
                <w:color w:val="auto"/>
              </w:rPr>
            </w:pPr>
          </w:p>
        </w:tc>
        <w:tc>
          <w:tcPr>
            <w:tcW w:w="28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5"/>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5"/>
                <w:szCs w:val="25"/>
                <w:b w:val="1"/>
                <w:bCs w:val="1"/>
                <w:color w:val="auto"/>
                <w:w w:val="95"/>
                <w:vertAlign w:val="superscript"/>
              </w:rPr>
              <w:t>(1)</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5"/>
                <w:szCs w:val="25"/>
                <w:b w:val="1"/>
                <w:bCs w:val="1"/>
                <w:color w:val="auto"/>
                <w:w w:val="95"/>
                <w:vertAlign w:val="superscript"/>
              </w:rPr>
              <w:t>(1)</w:t>
            </w:r>
          </w:p>
        </w:tc>
      </w:tr>
      <w:tr>
        <w:trPr>
          <w:trHeight w:val="218"/>
        </w:trPr>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05"/>
        </w:trPr>
        <w:tc>
          <w:tcPr>
            <w:tcW w:w="35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1"/>
        </w:trPr>
        <w:tc>
          <w:tcPr>
            <w:tcW w:w="35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05"/>
        </w:trPr>
        <w:tc>
          <w:tcPr>
            <w:tcW w:w="3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Pr>
          <w:p>
            <w:pPr>
              <w:spacing w:after="0"/>
              <w:rPr>
                <w:sz w:val="20"/>
                <w:szCs w:val="20"/>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3,173</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3,173</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5,392</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the classification of inputs used to evaluate the fair value of our derivatives, refer to “Note 7.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Leases</w:t>
      </w:r>
    </w:p>
    <w:p>
      <w:pPr>
        <w:spacing w:after="0" w:line="116"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We have operating leases primarily for (i) office space, (ii) manufacturing, warehouse and research and development facilities and (iii) vehicles. Our leases have remaining lease terms up to 13 years, some of which include options to extend the leases, and some of which include options to terminate the leases at our sole discretion. The components of operating lease assets, liabilities and costs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Assets and Liabilities</w:t>
            </w: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120" w:type="dxa"/>
            <w:vAlign w:val="bottom"/>
            <w:gridSpan w:val="5"/>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5120" w:type="dxa"/>
            <w:vAlign w:val="bottom"/>
            <w:gridSpan w:val="5"/>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6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800" w:type="dxa"/>
            <w:vAlign w:val="bottom"/>
            <w:gridSpan w:val="4"/>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120" w:type="dxa"/>
            <w:vAlign w:val="bottom"/>
            <w:tcBorders>
              <w:bottom w:val="single" w:sz="8" w:color="CCEEFF"/>
            </w:tcBorders>
            <w:gridSpan w:val="5"/>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6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4780" w:type="dxa"/>
            <w:vAlign w:val="bottom"/>
            <w:gridSpan w:val="3"/>
          </w:tcPr>
          <w:p>
            <w:pPr>
              <w:spacing w:after="0"/>
              <w:rPr>
                <w:sz w:val="22"/>
                <w:szCs w:val="22"/>
                <w:color w:val="auto"/>
              </w:rPr>
            </w:pPr>
          </w:p>
        </w:tc>
        <w:tc>
          <w:tcPr>
            <w:tcW w:w="3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8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20" w:name="page21"/>
    <w:bookmarkEnd w:id="2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Contractual maturities of our lease liabilities as of March 31, 2019, are as follows (in thousands):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3"/>
        </w:trPr>
        <w:tc>
          <w:tcPr>
            <w:tcW w:w="8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8,790</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10,428</w:t>
            </w: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8,557</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7,499</w:t>
            </w: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6,463</w:t>
            </w:r>
          </w:p>
        </w:tc>
      </w:tr>
      <w:tr>
        <w:trPr>
          <w:trHeight w:val="243"/>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22,095</w:t>
            </w:r>
          </w:p>
        </w:tc>
      </w:tr>
      <w:tr>
        <w:trPr>
          <w:trHeight w:val="27"/>
        </w:trPr>
        <w:tc>
          <w:tcPr>
            <w:tcW w:w="8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63,832</w:t>
            </w:r>
          </w:p>
        </w:tc>
      </w:tr>
      <w:tr>
        <w:trPr>
          <w:trHeight w:val="243"/>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5,826</w:t>
            </w:r>
          </w:p>
        </w:tc>
      </w:tr>
      <w:tr>
        <w:trPr>
          <w:trHeight w:val="27"/>
        </w:trPr>
        <w:tc>
          <w:tcPr>
            <w:tcW w:w="8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58,006</w:t>
            </w:r>
          </w:p>
        </w:tc>
      </w:tr>
      <w:tr>
        <w:trPr>
          <w:trHeight w:val="20"/>
        </w:trPr>
        <w:tc>
          <w:tcPr>
            <w:tcW w:w="8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73"/>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320" w:type="dxa"/>
            <w:vAlign w:val="bottom"/>
          </w:tcPr>
          <w:p>
            <w:pPr>
              <w:spacing w:after="0"/>
              <w:rPr>
                <w:sz w:val="24"/>
                <w:szCs w:val="24"/>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8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1"/>
                <w:szCs w:val="21"/>
                <w:color w:val="auto"/>
              </w:rPr>
            </w:pPr>
          </w:p>
        </w:tc>
        <w:tc>
          <w:tcPr>
            <w:tcW w:w="19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2.3%</w:t>
            </w:r>
          </w:p>
        </w:tc>
      </w:tr>
      <w:tr>
        <w:trPr>
          <w:trHeight w:val="491"/>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9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31, 2019</w:t>
            </w:r>
          </w:p>
        </w:tc>
      </w:tr>
      <w:tr>
        <w:trPr>
          <w:trHeight w:val="27"/>
        </w:trPr>
        <w:tc>
          <w:tcPr>
            <w:tcW w:w="89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9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89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for leases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3,842</w:t>
            </w:r>
          </w:p>
        </w:tc>
      </w:tr>
      <w:tr>
        <w:trPr>
          <w:trHeight w:val="324"/>
        </w:trPr>
        <w:tc>
          <w:tcPr>
            <w:tcW w:w="89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3"/>
        </w:trPr>
        <w:tc>
          <w:tcPr>
            <w:tcW w:w="9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8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Disclosures Related to Periods Prior to Adoption of Topic 842</w:t>
      </w:r>
    </w:p>
    <w:p>
      <w:pPr>
        <w:spacing w:after="0" w:line="121" w:lineRule="exact"/>
        <w:rPr>
          <w:sz w:val="20"/>
          <w:szCs w:val="20"/>
          <w:color w:val="auto"/>
        </w:rPr>
      </w:pPr>
    </w:p>
    <w:p>
      <w:pPr>
        <w:ind w:right="120" w:firstLine="162"/>
        <w:spacing w:after="0" w:line="275" w:lineRule="auto"/>
        <w:rPr>
          <w:sz w:val="20"/>
          <w:szCs w:val="20"/>
          <w:color w:val="auto"/>
        </w:rPr>
      </w:pPr>
      <w:r>
        <w:rPr>
          <w:rFonts w:ascii="Times New Roman" w:cs="Times New Roman" w:eastAsia="Times New Roman" w:hAnsi="Times New Roman"/>
          <w:sz w:val="20"/>
          <w:szCs w:val="20"/>
          <w:color w:val="auto"/>
        </w:rPr>
        <w:t xml:space="preserve">On January 1, 2019, we adopted Topic 842 using the modified retrospective adoption approach, as noted in “Note 1. Unaudited Condensed Consolidated Financial Statements.” As required and as previously disclosed in our </w:t>
      </w:r>
      <w:r>
        <w:rPr>
          <w:rFonts w:ascii="Times New Roman" w:cs="Times New Roman" w:eastAsia="Times New Roman" w:hAnsi="Times New Roman"/>
          <w:sz w:val="18"/>
          <w:szCs w:val="18"/>
          <w:color w:val="auto"/>
        </w:rPr>
        <w:t>2018 Form 10-K</w:t>
      </w:r>
      <w:r>
        <w:rPr>
          <w:rFonts w:ascii="Times New Roman" w:cs="Times New Roman" w:eastAsia="Times New Roman" w:hAnsi="Times New Roman"/>
          <w:sz w:val="20"/>
          <w:szCs w:val="20"/>
          <w:color w:val="auto"/>
        </w:rPr>
        <w:t>, the following table summarizes our future minimum operating lease payments as of December 31, 2018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than one year</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to three years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21,031</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to five years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14,998</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20,943</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68,958</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FDA Warning Letter</w:t>
      </w:r>
    </w:p>
    <w:p>
      <w:pPr>
        <w:spacing w:after="0" w:line="116" w:lineRule="exact"/>
        <w:rPr>
          <w:sz w:val="20"/>
          <w:szCs w:val="20"/>
          <w:color w:val="auto"/>
        </w:rPr>
      </w:pPr>
    </w:p>
    <w:p>
      <w:pPr>
        <w:jc w:val="both"/>
        <w:ind w:right="100" w:firstLine="162"/>
        <w:spacing w:after="0" w:line="282" w:lineRule="auto"/>
        <w:rPr>
          <w:sz w:val="20"/>
          <w:szCs w:val="20"/>
          <w:color w:val="auto"/>
        </w:rPr>
      </w:pPr>
      <w:r>
        <w:rPr>
          <w:rFonts w:ascii="Times New Roman" w:cs="Times New Roman" w:eastAsia="Times New Roman" w:hAnsi="Times New Roman"/>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54" w:lineRule="exact"/>
        <w:rPr>
          <w:sz w:val="20"/>
          <w:szCs w:val="20"/>
          <w:color w:val="auto"/>
        </w:rPr>
      </w:pPr>
    </w:p>
    <w:p>
      <w:pPr>
        <w:ind w:right="80" w:firstLine="162"/>
        <w:spacing w:after="0" w:line="256" w:lineRule="auto"/>
        <w:rPr>
          <w:sz w:val="20"/>
          <w:szCs w:val="20"/>
          <w:color w:val="auto"/>
        </w:rPr>
      </w:pPr>
      <w:r>
        <w:rPr>
          <w:rFonts w:ascii="Times New Roman" w:cs="Times New Roman" w:eastAsia="Times New Roman" w:hAnsi="Times New Roman"/>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0" w:lineRule="exact"/>
        <w:rPr>
          <w:sz w:val="20"/>
          <w:szCs w:val="20"/>
          <w:color w:val="auto"/>
        </w:rPr>
      </w:pPr>
    </w:p>
    <w:p>
      <w:pPr>
        <w:jc w:val="both"/>
        <w:ind w:right="100" w:firstLine="162"/>
        <w:spacing w:after="0" w:line="266" w:lineRule="auto"/>
        <w:rPr>
          <w:sz w:val="20"/>
          <w:szCs w:val="20"/>
          <w:color w:val="auto"/>
        </w:rPr>
      </w:pPr>
      <w:r>
        <w:rPr>
          <w:rFonts w:ascii="Times New Roman" w:cs="Times New Roman" w:eastAsia="Times New Roman" w:hAnsi="Times New Roman"/>
          <w:sz w:val="18"/>
          <w:szCs w:val="18"/>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color w:val="auto"/>
        </w:rPr>
        <w:t>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7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68"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CDC and FDA Safety Communications and Company Field Safety Notice Update</w:t>
      </w:r>
    </w:p>
    <w:p>
      <w:pPr>
        <w:spacing w:after="0" w:line="116"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81"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sealing upgrade program in the U.S. Furthermore,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w:t>
      </w:r>
    </w:p>
    <w:p>
      <w:pPr>
        <w:spacing w:after="0" w:line="85"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March 31, 2019, the product remediation liability was $11.5 million. Refer to “Note 5. Product Remediation Liability”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Product Liability</w:t>
      </w:r>
    </w:p>
    <w:p>
      <w:pPr>
        <w:spacing w:after="0" w:line="116" w:lineRule="exact"/>
        <w:rPr>
          <w:sz w:val="20"/>
          <w:szCs w:val="20"/>
          <w:color w:val="auto"/>
        </w:rPr>
      </w:pPr>
    </w:p>
    <w:p>
      <w:pPr>
        <w:ind w:right="180" w:firstLine="162"/>
        <w:spacing w:after="0" w:line="256" w:lineRule="auto"/>
        <w:rPr>
          <w:sz w:val="20"/>
          <w:szCs w:val="20"/>
          <w:color w:val="auto"/>
        </w:rPr>
      </w:pPr>
      <w:r>
        <w:rPr>
          <w:rFonts w:ascii="Times New Roman" w:cs="Times New Roman" w:eastAsia="Times New Roman" w:hAnsi="Times New Roman"/>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As of April 30, 2019, we are aware of approximately 210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3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sectPr>
      </w:pPr>
    </w:p>
    <w:bookmarkStart w:id="22" w:name="page23"/>
    <w:bookmarkEnd w:id="22"/>
    <w:p>
      <w:pPr>
        <w:ind w:right="40"/>
        <w:spacing w:after="0" w:line="254" w:lineRule="auto"/>
        <w:rPr>
          <w:sz w:val="20"/>
          <w:szCs w:val="20"/>
          <w:color w:val="auto"/>
        </w:rPr>
      </w:pPr>
      <w:r>
        <w:rPr>
          <w:rFonts w:ascii="Times New Roman" w:cs="Times New Roman" w:eastAsia="Times New Roman" w:hAnsi="Times New Roman"/>
          <w:sz w:val="18"/>
          <w:szCs w:val="18"/>
          <w:color w:val="auto"/>
        </w:rPr>
        <w:t>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with up to $135 million to be paid no earlier than July 2019 and the remainder in January 2020. However, cases in state courts in the U.S. and in jurisdictions outside the U.S continue to progress. In the fourth quarter of 2018, we recognized a $294.1 million provision, which represents our best estimate of the Company’s liability for these matters. At March 31, 2019, the provision estimate remains unchanged. While the amount accrued represents our best estimate, the actual liability for resolution of these matters remains uncertain and may vary from our estimate.</w:t>
      </w:r>
    </w:p>
    <w:p>
      <w:pPr>
        <w:spacing w:after="0" w:line="78" w:lineRule="exact"/>
        <w:rPr>
          <w:sz w:val="20"/>
          <w:szCs w:val="20"/>
          <w:color w:val="auto"/>
        </w:rPr>
      </w:pPr>
    </w:p>
    <w:p>
      <w:pPr>
        <w:jc w:val="both"/>
        <w:ind w:right="300" w:firstLine="162"/>
        <w:spacing w:after="0" w:line="266" w:lineRule="auto"/>
        <w:rPr>
          <w:sz w:val="20"/>
          <w:szCs w:val="20"/>
          <w:color w:val="auto"/>
        </w:rPr>
      </w:pPr>
      <w:r>
        <w:rPr>
          <w:rFonts w:ascii="Times New Roman" w:cs="Times New Roman" w:eastAsia="Times New Roman" w:hAnsi="Times New Roman"/>
          <w:sz w:val="18"/>
          <w:szCs w:val="18"/>
          <w:color w:val="auto"/>
        </w:rPr>
        <w:t>Total coverage under the Company’s product liability insurance policies is $32.9 million, once the self-retention limit of $11.0 million is met. While the Company has not currently recorded a receivable for recovery under the insurance policies as of March 31, 2019, the Company intends to pursue recovery under the policies in connection with the settlement of the litigation involving our 3T device.</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Environmental Liability</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SNIA Litigation</w:t>
      </w:r>
    </w:p>
    <w:p>
      <w:pPr>
        <w:spacing w:after="0" w:line="117" w:lineRule="exact"/>
        <w:rPr>
          <w:sz w:val="20"/>
          <w:szCs w:val="20"/>
          <w:color w:val="auto"/>
        </w:rPr>
      </w:pPr>
    </w:p>
    <w:p>
      <w:pPr>
        <w:ind w:right="120" w:firstLine="162"/>
        <w:spacing w:after="0" w:line="261" w:lineRule="auto"/>
        <w:rPr>
          <w:sz w:val="20"/>
          <w:szCs w:val="20"/>
          <w:color w:val="auto"/>
        </w:rPr>
      </w:pPr>
      <w:r>
        <w:rPr>
          <w:rFonts w:ascii="Times New Roman" w:cs="Times New Roman" w:eastAsia="Times New Roman" w:hAnsi="Times New Roman"/>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2"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76" w:lineRule="exact"/>
        <w:rPr>
          <w:sz w:val="20"/>
          <w:szCs w:val="20"/>
          <w:color w:val="auto"/>
        </w:rPr>
      </w:pPr>
    </w:p>
    <w:p>
      <w:pPr>
        <w:ind w:right="40" w:firstLine="162"/>
        <w:spacing w:after="0" w:line="255" w:lineRule="auto"/>
        <w:rPr>
          <w:sz w:val="20"/>
          <w:szCs w:val="20"/>
          <w:color w:val="auto"/>
        </w:rPr>
      </w:pPr>
      <w:r>
        <w:rPr>
          <w:rFonts w:ascii="Times New Roman" w:cs="Times New Roman" w:eastAsia="Times New Roman" w:hAnsi="Times New Roman"/>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$328,000 for legal fees. The Public Administrations appealed the 2016 Decision to the Court of Appeal of Milan. On March 5, 2019, the Court of Appeal issued a partial decision on the merits: the Court has declared Sorin/LivaNova jointly liable with SNIA for SNIA’s environmental liabilities in an amount up to the fair value of the net worth received by Sorin because of the Sorin spin-off. Additionally the Court issued a separate order, staying the proceeding until a Panel of three experts is appointed to identify the environmental damages and the costs that the Public Administrations already has borne for the clean-up of the Sites to allow the Court to decide on the second claim of the Public Administrations, for a refund for the SNIA environmental liabilities.</w:t>
      </w:r>
    </w:p>
    <w:p>
      <w:pPr>
        <w:spacing w:after="0" w:line="77" w:lineRule="exact"/>
        <w:rPr>
          <w:sz w:val="20"/>
          <w:szCs w:val="20"/>
          <w:color w:val="auto"/>
        </w:rPr>
      </w:pPr>
    </w:p>
    <w:p>
      <w:pPr>
        <w:ind w:right="80" w:firstLine="162"/>
        <w:spacing w:after="0" w:line="282" w:lineRule="auto"/>
        <w:rPr>
          <w:sz w:val="20"/>
          <w:szCs w:val="20"/>
          <w:color w:val="auto"/>
        </w:rPr>
      </w:pPr>
      <w:r>
        <w:rPr>
          <w:rFonts w:ascii="Times New Roman" w:cs="Times New Roman" w:eastAsia="Times New Roman" w:hAnsi="Times New Roman"/>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Opposition to Merger Proceedings</w:t>
      </w:r>
    </w:p>
    <w:p>
      <w:pPr>
        <w:spacing w:after="0" w:line="116"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On July 28, 2015, the Public Administrations filed an opposition proceeding before the Commercial Courts of Milan to the merger of Sorin and Cyberonics, Inc., the predecessor companies to LivaNova. The Court authorized the merger and the Public Administrations did not appeal that decision. The proceeding then continued as a civil case, with the Public Administrations seeking damages. The Commercial Court of Milan delivered a decision in October 2016, fully rejecting the Public Administrations’ request and awarding us approximately €400,000 (approximately $449,000 as of March 31, 2019) in damages for frivolous litigation and legal fees. The Public Administrations appealed to the Court of Appeal of Milan. On May 15, 2018, the Court of Appeal of Milan confirmed its decision authorizing the merger but annulled the penalty for frivolous litigation and reduced the overall contribution to legal fees to €84,000 (approximately $94,000 as of March 31, 2019) for legal fees. The Public Administrations subsequently filed an appeal with the Supreme Court against the decision of the Court of Appeal of</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sectPr>
      </w:pPr>
    </w:p>
    <w:bookmarkStart w:id="23" w:name="page24"/>
    <w:bookmarkEnd w:id="23"/>
    <w:p>
      <w:pPr>
        <w:ind w:right="40"/>
        <w:spacing w:after="0" w:line="266" w:lineRule="auto"/>
        <w:rPr>
          <w:sz w:val="20"/>
          <w:szCs w:val="20"/>
          <w:color w:val="auto"/>
        </w:rPr>
      </w:pPr>
      <w:r>
        <w:rPr>
          <w:rFonts w:ascii="Times New Roman" w:cs="Times New Roman" w:eastAsia="Times New Roman" w:hAnsi="Times New Roman"/>
          <w:sz w:val="18"/>
          <w:szCs w:val="18"/>
          <w:color w:val="auto"/>
        </w:rPr>
        <w:t>Milan. The proceedings before the Supreme Court are presently pending, and no decision is expected in 2019.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Patent Litigation</w:t>
      </w:r>
    </w:p>
    <w:p>
      <w:pPr>
        <w:spacing w:after="0" w:line="116"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and November 12, 2018, we petitioned the Patent Trial and Appeal Board of the U. S. Patent and Trademark Office (the “Patent Office”) for an </w:t>
      </w:r>
      <w:r>
        <w:rPr>
          <w:rFonts w:ascii="Times New Roman" w:cs="Times New Roman" w:eastAsia="Times New Roman" w:hAnsi="Times New Roman"/>
          <w:sz w:val="18"/>
          <w:szCs w:val="18"/>
          <w:i w:val="1"/>
          <w:iCs w:val="1"/>
          <w:color w:val="auto"/>
        </w:rPr>
        <w:t>inter partes review</w:t>
      </w:r>
      <w:r>
        <w:rPr>
          <w:rFonts w:ascii="Times New Roman" w:cs="Times New Roman" w:eastAsia="Times New Roman" w:hAnsi="Times New Roman"/>
          <w:sz w:val="18"/>
          <w:szCs w:val="18"/>
          <w:color w:val="auto"/>
        </w:rPr>
        <w:t xml:space="preserve"> (“IPR”) of the validity of the ‘307 patent. The Patent Office declined to institute the IPR related to the September 13 petition, but the November 12 IPR is still pending. The Court has stayed the litigation pending the outcome of the remaining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Tax Litigation</w:t>
      </w:r>
    </w:p>
    <w:p>
      <w:pPr>
        <w:spacing w:after="0" w:line="116" w:lineRule="exact"/>
        <w:rPr>
          <w:sz w:val="20"/>
          <w:szCs w:val="20"/>
          <w:color w:val="auto"/>
        </w:rPr>
      </w:pPr>
    </w:p>
    <w:p>
      <w:pPr>
        <w:ind w:right="160" w:firstLine="162"/>
        <w:spacing w:after="0" w:line="255" w:lineRule="auto"/>
        <w:rPr>
          <w:sz w:val="20"/>
          <w:szCs w:val="20"/>
          <w:color w:val="auto"/>
        </w:rPr>
      </w:pPr>
      <w:r>
        <w:rPr>
          <w:rFonts w:ascii="Times New Roman" w:cs="Times New Roman" w:eastAsia="Times New Roman" w:hAnsi="Times New Roman"/>
          <w:sz w:val="18"/>
          <w:szCs w:val="18"/>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$115.2 million as of March 31, 2019),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40" w:firstLine="162"/>
        <w:spacing w:after="0" w:line="266" w:lineRule="auto"/>
        <w:rPr>
          <w:sz w:val="20"/>
          <w:szCs w:val="20"/>
          <w:color w:val="auto"/>
        </w:rPr>
      </w:pPr>
      <w:r>
        <w:rPr>
          <w:rFonts w:ascii="Times New Roman" w:cs="Times New Roman" w:eastAsia="Times New Roman" w:hAnsi="Times New Roman"/>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68" w:lineRule="exact"/>
        <w:rPr>
          <w:sz w:val="20"/>
          <w:szCs w:val="20"/>
          <w:color w:val="auto"/>
        </w:rPr>
      </w:pPr>
    </w:p>
    <w:p>
      <w:pPr>
        <w:ind w:right="100" w:firstLine="162"/>
        <w:spacing w:after="0" w:line="261" w:lineRule="auto"/>
        <w:rPr>
          <w:sz w:val="20"/>
          <w:szCs w:val="20"/>
          <w:color w:val="auto"/>
        </w:rPr>
      </w:pPr>
      <w:r>
        <w:rPr>
          <w:rFonts w:ascii="Times New Roman" w:cs="Times New Roman" w:eastAsia="Times New Roman" w:hAnsi="Times New Roman"/>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level judgments that were appealed.</w:t>
      </w:r>
    </w:p>
    <w:p>
      <w:pPr>
        <w:spacing w:after="0" w:line="2" w:lineRule="exact"/>
        <w:rPr>
          <w:sz w:val="20"/>
          <w:szCs w:val="20"/>
          <w:color w:val="auto"/>
        </w:rPr>
      </w:pPr>
    </w:p>
    <w:p>
      <w:pPr>
        <w:ind w:right="20" w:firstLine="162"/>
        <w:spacing w:after="0" w:line="252" w:lineRule="auto"/>
        <w:rPr>
          <w:sz w:val="20"/>
          <w:szCs w:val="20"/>
          <w:color w:val="auto"/>
        </w:rPr>
      </w:pPr>
      <w:r>
        <w:rPr>
          <w:rFonts w:ascii="Times New Roman" w:cs="Times New Roman" w:eastAsia="Times New Roman" w:hAnsi="Times New Roman"/>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$70.3 million as of March 31, 2019). We have continuously reassessed our potential exposure in these matters, taking into account the recent, and generally adverse, trend to Italian taxpayers in this type of</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litigation. Although we believe that our defensive arguments are strong, noting the adverse trend in some of the court decisions, we have recognized a reserve for an uncertain tax position of €17.3 million (approximately $19.4 million) as of March 31,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6"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Note 12. Stockholders’ Equity</w:t>
      </w:r>
    </w:p>
    <w:p>
      <w:pPr>
        <w:spacing w:after="0" w:line="11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table below presents the condensed consolidated statement of stockholders’ equity as of and for the three months ended March 31, 2019 and March 31, 2018 (in thousands):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 Deficit</w:t>
            </w:r>
          </w:p>
        </w:tc>
        <w:tc>
          <w:tcPr>
            <w:tcW w:w="140" w:type="dxa"/>
            <w:vAlign w:val="bottom"/>
          </w:tcPr>
          <w:p>
            <w:pPr>
              <w:spacing w:after="0"/>
              <w:rPr>
                <w:sz w:val="12"/>
                <w:szCs w:val="12"/>
                <w:color w:val="auto"/>
              </w:rPr>
            </w:pPr>
          </w:p>
        </w:tc>
        <w:tc>
          <w:tcPr>
            <w:tcW w:w="108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76,144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1,705,111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1,503,738</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1,707,117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1,486,806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2017</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1,735,048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1,815,314</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No. 2016-16</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issuances</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2018</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48,628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75,224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1,738,044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54,910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1,818,982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93" w:right="279" w:bottom="1440" w:gutter="0" w:footer="0" w:header="0"/>
        </w:sectPr>
      </w:pPr>
    </w:p>
    <w:bookmarkStart w:id="25" w:name="page26"/>
    <w:bookmarkEnd w:id="25"/>
    <w:p>
      <w:pPr>
        <w:ind w:right="340" w:firstLine="162"/>
        <w:spacing w:after="0" w:line="282" w:lineRule="auto"/>
        <w:rPr>
          <w:sz w:val="20"/>
          <w:szCs w:val="20"/>
          <w:color w:val="auto"/>
        </w:rPr>
      </w:pPr>
      <w:r>
        <w:rPr>
          <w:rFonts w:ascii="Times New Roman" w:cs="Times New Roman" w:eastAsia="Times New Roman" w:hAnsi="Times New Roman"/>
          <w:sz w:val="18"/>
          <w:szCs w:val="18"/>
          <w:color w:val="auto"/>
        </w:rPr>
        <w:t>The table below presents the change in each component of AOCI, net of tax, and the reclassifications out of AOCI into net income for the three months ended March 31, 2019 and March 31,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 on</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 Gain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5"/>
        </w:trPr>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23"/>
                <w:szCs w:val="23"/>
                <w:color w:val="auto"/>
              </w:rPr>
            </w:pPr>
          </w:p>
        </w:tc>
        <w:tc>
          <w:tcPr>
            <w:tcW w:w="1440" w:type="dxa"/>
            <w:vAlign w:val="bottom"/>
            <w:gridSpan w:val="2"/>
          </w:tcPr>
          <w:p>
            <w:pPr>
              <w:jc w:val="center"/>
              <w:ind w:right="340"/>
              <w:spacing w:after="0" w:line="265" w:lineRule="exact"/>
              <w:rPr>
                <w:sz w:val="20"/>
                <w:szCs w:val="20"/>
                <w:color w:val="auto"/>
              </w:rPr>
            </w:pPr>
            <w:r>
              <w:rPr>
                <w:rFonts w:ascii="Times New Roman" w:cs="Times New Roman" w:eastAsia="Times New Roman" w:hAnsi="Times New Roman"/>
                <w:sz w:val="18"/>
                <w:szCs w:val="18"/>
                <w:b w:val="1"/>
                <w:bCs w:val="1"/>
                <w:color w:val="auto"/>
                <w:w w:val="92"/>
              </w:rPr>
              <w:t xml:space="preserve">(Loss) </w:t>
            </w:r>
            <w:r>
              <w:rPr>
                <w:rFonts w:ascii="Times New Roman" w:cs="Times New Roman" w:eastAsia="Times New Roman" w:hAnsi="Times New Roman"/>
                <w:sz w:val="25"/>
                <w:szCs w:val="25"/>
                <w:b w:val="1"/>
                <w:bCs w:val="1"/>
                <w:color w:val="auto"/>
                <w:w w:val="92"/>
                <w:vertAlign w:val="superscript"/>
              </w:rPr>
              <w:t>(1)</w:t>
            </w: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4"/>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before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income (loss),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tax expense</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income (loss),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(28,713)</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45,313</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 before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10,766</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10,715</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income,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tax benefit</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income,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 income, net of tax</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9,597</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54,910</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620" w:hanging="328"/>
        <w:spacing w:after="0" w:line="298"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Taxes are not provided for foreign currency translation adjustments as translation adjustments are related to earnings that are intended to be reinvested in the countries where earned.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incentive plans compensation expense is as follows (in thousands):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restricted stock units ("RSUs")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Service-based stock appreciation rights ("SARs")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performance-based restricted stock units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performance-based restricted stock units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4,697</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400" w:firstLine="162"/>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we issued stock-based compensatory awards with contract terms agreed upon by us and the respective individuals, as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2021 relative to the total shareholder returns for a peer group of companies. Operating performance-</w:t>
      </w: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based awards cliff vest after three years subject to the achievement of certain thresholds of cumulative adjusted free cash flow for the three year period ending December 31, 2021. Compensation expense related to awards granted during 2019 for the three months ended March 31, 2019 was $0.1 million.</w:t>
      </w:r>
    </w:p>
    <w:p>
      <w:pPr>
        <w:spacing w:after="0" w:line="54" w:lineRule="exact"/>
        <w:rPr>
          <w:sz w:val="20"/>
          <w:szCs w:val="20"/>
          <w:color w:val="auto"/>
        </w:rPr>
      </w:pPr>
    </w:p>
    <w:p>
      <w:pPr>
        <w:ind w:right="200" w:firstLine="162"/>
        <w:spacing w:after="0" w:line="282" w:lineRule="auto"/>
        <w:rPr>
          <w:sz w:val="20"/>
          <w:szCs w:val="20"/>
          <w:color w:val="auto"/>
        </w:rPr>
      </w:pPr>
      <w:r>
        <w:rPr>
          <w:rFonts w:ascii="Times New Roman" w:cs="Times New Roman" w:eastAsia="Times New Roman" w:hAnsi="Times New Roman"/>
          <w:sz w:val="18"/>
          <w:szCs w:val="18"/>
          <w:color w:val="auto"/>
        </w:rPr>
        <w:t>On January 1, 2019, we initiated the LivaNova Global Employee Share Purchase Plan (“ESPP”). Compensation expense related to the ESPP for the three months ended March 31, 2019 was $0.4 million.</w:t>
      </w:r>
    </w:p>
    <w:p>
      <w:pPr>
        <w:spacing w:after="0" w:line="54" w:lineRule="exact"/>
        <w:rPr>
          <w:sz w:val="20"/>
          <w:szCs w:val="20"/>
          <w:color w:val="auto"/>
        </w:rPr>
      </w:pPr>
    </w:p>
    <w:p>
      <w:pPr>
        <w:ind w:right="400" w:firstLine="162"/>
        <w:spacing w:after="0" w:line="282" w:lineRule="auto"/>
        <w:rPr>
          <w:sz w:val="20"/>
          <w:szCs w:val="20"/>
          <w:color w:val="auto"/>
        </w:rPr>
      </w:pPr>
      <w:r>
        <w:rPr>
          <w:rFonts w:ascii="Times New Roman" w:cs="Times New Roman" w:eastAsia="Times New Roman" w:hAnsi="Times New Roman"/>
          <w:sz w:val="18"/>
          <w:szCs w:val="18"/>
          <w:color w:val="auto"/>
        </w:rPr>
        <w:t>Stock-based compensation agreements issued during the three months ended March 31, 2019, representing potential shares and their weighted average grant date fair values by type follows (shares in thousands, fair value in dollars):</w:t>
      </w:r>
    </w:p>
    <w:p>
      <w:pPr>
        <w:spacing w:after="0" w:line="10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36830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440" w:type="dxa"/>
            <w:vAlign w:val="bottom"/>
          </w:tcPr>
          <w:p>
            <w:pPr>
              <w:spacing w:after="0"/>
              <w:rPr>
                <w:sz w:val="20"/>
                <w:szCs w:val="20"/>
                <w:color w:val="auto"/>
              </w:rPr>
            </w:pPr>
          </w:p>
        </w:tc>
        <w:tc>
          <w:tcPr>
            <w:tcW w:w="14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SARs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w:t>
            </w:r>
          </w:p>
        </w:tc>
      </w:tr>
      <w:tr>
        <w:trPr>
          <w:trHeight w:val="243"/>
        </w:trPr>
        <w:tc>
          <w:tcPr>
            <w:tcW w:w="8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Service-based RSUs</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101.10</w:t>
            </w:r>
          </w:p>
        </w:tc>
      </w:tr>
      <w:tr>
        <w:trPr>
          <w:trHeight w:val="243"/>
        </w:trPr>
        <w:tc>
          <w:tcPr>
            <w:tcW w:w="8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Income Taxes</w:t>
      </w:r>
    </w:p>
    <w:p>
      <w:pPr>
        <w:spacing w:after="0" w:line="116"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Our effective income tax rate from continuing operations for the three months ended March 31, 2019 was 30.8% compared with 17.6% for the three months ended March 31, 2018.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2" w:lineRule="exact"/>
        <w:rPr>
          <w:sz w:val="20"/>
          <w:szCs w:val="20"/>
          <w:color w:val="auto"/>
        </w:rPr>
      </w:pPr>
    </w:p>
    <w:p>
      <w:pPr>
        <w:ind w:right="380" w:firstLine="162"/>
        <w:spacing w:after="0" w:line="282" w:lineRule="auto"/>
        <w:rPr>
          <w:sz w:val="20"/>
          <w:szCs w:val="20"/>
          <w:color w:val="auto"/>
        </w:rPr>
      </w:pPr>
      <w:r>
        <w:rPr>
          <w:rFonts w:ascii="Times New Roman" w:cs="Times New Roman" w:eastAsia="Times New Roman" w:hAnsi="Times New Roman"/>
          <w:sz w:val="18"/>
          <w:szCs w:val="18"/>
          <w:color w:val="auto"/>
        </w:rPr>
        <w:t>Compared with the three months ended March 31, 2018, the increase in the effective tax rate for the three months ended March 31, 2019 was primarily attributable to a realized benefit from discrete tax items including the release of an uncertain tax position.</w:t>
      </w:r>
    </w:p>
    <w:p>
      <w:pPr>
        <w:spacing w:after="0" w:line="54"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$19.1 million and $22.9 million were unrecognized as of March 31, 2019 and December 31, 2018, respectively. It is reasonably possible that, within the next twelve months, due to the settlement of uncertain tax positions with various tax authorities and the expiration of statutes of limitations, unrecognized tax benefits could decrease by up to approximately $1.2 million.</w:t>
      </w:r>
    </w:p>
    <w:p>
      <w:pPr>
        <w:spacing w:after="0" w:line="76"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We monitor income tax developments in countries where we conduct business. In 2017, the U.S. enacted the “Tax Cuts and Jobs Act” (the “Tax Act”). To determine the full effects of the Tax Act, we are awaiting the finalization of several proposed U.S. Treasury regulations that were issued during 2018, as well as additional regulations to be proposed and finalized pursuant to the U.S. Treasury’s expanded regulatory authority under the Tax Act. It is also possible that technical correction legislation concerning the Tax Act could retroactively affect tax liabilities for 2018. In addition, state legislative changes addressing conformity to the Tax Act are still pending.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Net Income Per Share</w:t>
      </w:r>
    </w:p>
    <w:p>
      <w:pPr>
        <w:spacing w:after="0" w:line="116"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Reconciliation of the shares used in the basic and diluted earnings per share computations for the three months ended March 31, 2019 and March 31, 2018 are as follows (in thousands):</w:t>
      </w:r>
    </w:p>
    <w:p>
      <w:pPr>
        <w:spacing w:after="0" w:line="10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36830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48,246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48,324</w:t>
            </w:r>
          </w:p>
        </w:tc>
      </w:tr>
      <w:tr>
        <w:trPr>
          <w:trHeight w:val="270"/>
        </w:trPr>
        <w:tc>
          <w:tcPr>
            <w:tcW w:w="8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Add effects of share-based compensation instruments </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r>
      <w:tr>
        <w:trPr>
          <w:trHeight w:val="269"/>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48,246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640" w:hanging="328"/>
        <w:spacing w:after="0" w:line="298"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Excluded from the computation of diluted earnings per share for the three months ended March 31, 2019 and March 31, 2018 were stock options, SARs and restricted share units totaling 3.3 million and 0.8 million, because to include them would have been anti-dilutive under the treasury stock method.</w:t>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Note 16. Geographic and Segment Information</w:t>
      </w:r>
    </w:p>
    <w:p>
      <w:pPr>
        <w:spacing w:after="0" w:line="11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We identify operating segments based on the way we manage, evaluate and internally report our business activities for purposes of allocating resources and assessing performance. We have two reportable segments: Cardiovascular and Neuromodulation.</w:t>
      </w:r>
    </w:p>
    <w:p>
      <w:pPr>
        <w:spacing w:after="0" w:line="54"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The Cardiovascular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w:t>
      </w:r>
    </w:p>
    <w:p>
      <w:pPr>
        <w:spacing w:after="0" w:line="72" w:lineRule="exact"/>
        <w:rPr>
          <w:sz w:val="20"/>
          <w:szCs w:val="20"/>
          <w:color w:val="auto"/>
        </w:rPr>
      </w:pPr>
    </w:p>
    <w:p>
      <w:pPr>
        <w:ind w:right="20" w:firstLine="162"/>
        <w:spacing w:after="0" w:line="258" w:lineRule="auto"/>
        <w:rPr>
          <w:sz w:val="20"/>
          <w:szCs w:val="20"/>
          <w:color w:val="auto"/>
        </w:rPr>
      </w:pPr>
      <w:r>
        <w:rPr>
          <w:rFonts w:ascii="Times New Roman" w:cs="Times New Roman" w:eastAsia="Times New Roman" w:hAnsi="Times New Roman"/>
          <w:sz w:val="18"/>
          <w:szCs w:val="18"/>
          <w:color w:val="auto"/>
        </w:rPr>
        <w:t>Our Neuromodulation segment generates its revenue from the design, development and marketing of neuromodulation therapy systems for the treatment of drug-resistant epilepsy and Treatment-Resistant Depression (“TRD”). Neuromodulation products include the VNS Therapy System, which consists of an implantable pulse generator, a lead that connects the generator to the vagus nerve, and other accessories. Our Neuromodulation segment also includes an implantable device for the treatment of obstructive sleep apnea that stimulates multiple tongue muscles via the hypoglossal nerve, which opens the airway while a patient is sleeping.</w:t>
      </w:r>
    </w:p>
    <w:p>
      <w:pPr>
        <w:spacing w:after="0" w:line="76" w:lineRule="exact"/>
        <w:rPr>
          <w:sz w:val="20"/>
          <w:szCs w:val="20"/>
          <w:color w:val="auto"/>
        </w:rPr>
      </w:pPr>
    </w:p>
    <w:p>
      <w:pPr>
        <w:ind w:right="200" w:firstLine="162"/>
        <w:spacing w:after="0" w:line="282" w:lineRule="auto"/>
        <w:rPr>
          <w:sz w:val="20"/>
          <w:szCs w:val="20"/>
          <w:color w:val="auto"/>
        </w:rPr>
      </w:pPr>
      <w:r>
        <w:rPr>
          <w:rFonts w:ascii="Times New Roman" w:cs="Times New Roman" w:eastAsia="Times New Roman" w:hAnsi="Times New Roman"/>
          <w:sz w:val="18"/>
          <w:szCs w:val="18"/>
          <w:color w:val="auto"/>
        </w:rPr>
        <w:t>“Other” includes corporate shared service expenses for finance, legal, human resources and information technology and corporate business development and New Ventures.</w:t>
      </w:r>
    </w:p>
    <w:p>
      <w:pPr>
        <w:spacing w:after="0" w:line="54" w:lineRule="exact"/>
        <w:rPr>
          <w:sz w:val="20"/>
          <w:szCs w:val="20"/>
          <w:color w:val="auto"/>
        </w:rPr>
      </w:pPr>
    </w:p>
    <w:p>
      <w:pPr>
        <w:ind w:right="480" w:firstLine="162"/>
        <w:spacing w:after="0" w:line="282" w:lineRule="auto"/>
        <w:rPr>
          <w:sz w:val="20"/>
          <w:szCs w:val="20"/>
          <w:color w:val="auto"/>
        </w:rPr>
      </w:pPr>
      <w:r>
        <w:rPr>
          <w:rFonts w:ascii="Times New Roman" w:cs="Times New Roman" w:eastAsia="Times New Roman" w:hAnsi="Times New Roman"/>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693" w:right="299" w:bottom="1440" w:gutter="0" w:footer="0" w:header="0"/>
        </w:sectPr>
      </w:pPr>
    </w:p>
    <w:bookmarkStart w:id="28" w:name="page29"/>
    <w:bookmarkEnd w:id="28"/>
    <w:p>
      <w:pPr>
        <w:ind w:right="480" w:firstLine="162"/>
        <w:spacing w:after="0" w:line="282" w:lineRule="auto"/>
        <w:rPr>
          <w:sz w:val="20"/>
          <w:szCs w:val="20"/>
          <w:color w:val="auto"/>
        </w:rPr>
      </w:pPr>
      <w:r>
        <w:rPr>
          <w:rFonts w:ascii="Times New Roman" w:cs="Times New Roman" w:eastAsia="Times New Roman" w:hAnsi="Times New Roman"/>
          <w:sz w:val="18"/>
          <w:szCs w:val="18"/>
          <w:color w:val="auto"/>
        </w:rPr>
        <w:t>We operate under three geographic regions: U.S., Europe, and Rest of world. The table below presents net sales by operating segment and geographic region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38,445</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49,815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121,570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Heart Valves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12,116</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31,042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Advanced Circulatory Support</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Cardiovascular</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48,986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155,491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156,172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77,992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94,649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93,844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128,398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56,852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59,277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68,148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line="264"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b w:val="1"/>
                <w:bCs w:val="1"/>
                <w:color w:val="auto"/>
                <w:vertAlign w:val="superscript"/>
              </w:rPr>
              <w:t>(2)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250,801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250,398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80" w:hanging="328"/>
        <w:spacing w:after="0" w:line="26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Europe sales include those countries in which we have a direct sales presence, whereas European countries in which we sell through distributors are included in Rest of world.</w:t>
      </w:r>
    </w:p>
    <w:p>
      <w:pPr>
        <w:ind w:left="660" w:hanging="328"/>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8" w:right="239" w:bottom="1440" w:gutter="0" w:footer="0" w:header="0"/>
        </w:sectPr>
      </w:pPr>
    </w:p>
    <w:bookmarkStart w:id="29" w:name="page30"/>
    <w:bookmarkEnd w:id="29"/>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segment income from continuing operations to consolidated income from continuing operations before tax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from Continuing Operations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38,734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reportable segment (loss) income from continuing operations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 (losses)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continuing operations before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Assets by reportable segment are as follows (in thousands):</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1,532,825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731,840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304,424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285,036</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2,599,544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2,549,701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Capital expenditures by segment are as follows (in thousands):</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three months ended March 31, 2019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Cardiovascular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956,815</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398,755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510,945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952,117</w:t>
            </w: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by geography are as follows (in thousands):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05"/>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68,862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112,376</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10,162</w:t>
            </w: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185,947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191,400</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40,387</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15,999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97,149</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161,267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153,535</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Inventories are reported net of the provision for obsolescence. This provision, which reflects normal obsolescence and includes components that are phased out or expired, totaled $12.5 million and $11.6 million at March 31, 2019 and December 31, 2018,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 (in thousands):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18,530</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and administrative costs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CRM purchase price adjustment payable to MicroPort Scientific Corporation</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14,891</w:t>
            </w:r>
          </w:p>
        </w:tc>
      </w:tr>
      <w:tr>
        <w:trPr>
          <w:trHeight w:val="270"/>
        </w:trPr>
        <w:tc>
          <w:tcPr>
            <w:tcW w:w="7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Product remediation </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amounts payable to MicroPort Scientific Corporation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Restructuring related liabilities </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Derivative contract liabilities </w:t>
            </w:r>
            <w:r>
              <w:rPr>
                <w:rFonts w:ascii="Times New Roman" w:cs="Times New Roman" w:eastAsia="Times New Roman" w:hAnsi="Times New Roman"/>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39,021</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Refer to “Note 7. Fair Value Measurements”</w:t>
      </w:r>
    </w:p>
    <w:p>
      <w:pPr>
        <w:spacing w:after="0" w:line="1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10. Leases”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Refer to “Note 5. Product Remediation Liability”</w:t>
      </w:r>
    </w:p>
    <w:p>
      <w:pPr>
        <w:spacing w:after="0" w:line="1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4. Restructuring”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9. Derivatives and Risk Management”</w:t>
      </w:r>
    </w:p>
    <w:p>
      <w:pPr>
        <w:spacing w:after="0" w:line="168"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contract liabilities of $5.5 million and $4.8 million, respectively, are included within accrued liabilities and other and other long-term liabilities on the condensed consolidated balance sheets.</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Note 18. 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Adoption of New Accounting Pronouncements</w:t>
      </w:r>
    </w:p>
    <w:p>
      <w:pPr>
        <w:spacing w:after="0" w:line="116" w:lineRule="exact"/>
        <w:rPr>
          <w:sz w:val="20"/>
          <w:szCs w:val="20"/>
          <w:color w:val="auto"/>
        </w:rPr>
      </w:pPr>
    </w:p>
    <w:p>
      <w:pPr>
        <w:ind w:right="44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a description of our adoption of new Accounting Standards Updates (“ASUs”) issued by the FASB and the impact of the adoption on our condensed financial statements: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r>
      <w:tr>
        <w:trPr>
          <w:trHeight w:val="238"/>
        </w:trPr>
        <w:tc>
          <w:tcPr>
            <w:tcW w:w="24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or Other 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96"/>
        </w:trPr>
        <w:tc>
          <w:tcPr>
            <w:tcW w:w="2420" w:type="dxa"/>
            <w:vAlign w:val="bottom"/>
            <w:tcBorders>
              <w:left w:val="single" w:sz="8" w:color="CCEEFF"/>
            </w:tcBorders>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February 2016</w:t>
            </w:r>
          </w:p>
        </w:tc>
        <w:tc>
          <w:tcPr>
            <w:tcW w:w="536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The standard requires lessees to recognize most leases on the balance</w:t>
            </w:r>
          </w:p>
        </w:tc>
        <w:tc>
          <w:tcPr>
            <w:tcW w:w="11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January 1,</w:t>
            </w:r>
          </w:p>
        </w:tc>
        <w:tc>
          <w:tcPr>
            <w:tcW w:w="2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Adoption of the new standard</w:t>
            </w:r>
          </w:p>
        </w:tc>
      </w:tr>
      <w:tr>
        <w:trPr>
          <w:trHeight w:val="20"/>
        </w:trPr>
        <w:tc>
          <w:tcPr>
            <w:tcW w:w="7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ASU No. 2016-02, </w:t>
            </w:r>
            <w:r>
              <w:rPr>
                <w:rFonts w:ascii="Times New Roman" w:cs="Times New Roman" w:eastAsia="Times New Roman" w:hAnsi="Times New Roman"/>
                <w:sz w:val="18"/>
                <w:szCs w:val="18"/>
                <w:i w:val="1"/>
                <w:iCs w:val="1"/>
                <w:color w:val="auto"/>
              </w:rPr>
              <w:t>Leases</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sheet as lease liabilities with corresponding right-of-use (“ROU”) assets</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resulted in the recognition of</w:t>
            </w:r>
          </w:p>
        </w:tc>
      </w:tr>
      <w:tr>
        <w:trPr>
          <w:trHeight w:val="218"/>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(Topic 842) </w:t>
            </w:r>
            <w:r>
              <w:rPr>
                <w:rFonts w:ascii="Times New Roman" w:cs="Times New Roman" w:eastAsia="Times New Roman" w:hAnsi="Times New Roman"/>
                <w:sz w:val="18"/>
                <w:szCs w:val="18"/>
                <w:color w:val="auto"/>
              </w:rPr>
              <w:t>and subsequent</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to provide enhanced disclosures. Furthermore, from a lessor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and lease liabilities</w:t>
            </w: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perspective, certain of our agreements that allow the customer to use,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approximately $60 million as</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rather than purchase, our medical devices met the criteria of being 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January 1, 2019. Refer to</w:t>
            </w:r>
          </w:p>
        </w:tc>
      </w:tr>
      <w:tr>
        <w:trPr>
          <w:trHeight w:val="241"/>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in accordance with the new standard.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10. Leases.”</w:t>
            </w:r>
          </w:p>
        </w:tc>
      </w:tr>
      <w:tr>
        <w:trPr>
          <w:trHeight w:val="203"/>
        </w:trPr>
        <w:tc>
          <w:tcPr>
            <w:tcW w:w="780" w:type="dxa"/>
            <w:vAlign w:val="bottom"/>
            <w:tcBorders>
              <w:bottom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w w:val="97"/>
              </w:rPr>
              <w:t>June 2018</w:t>
            </w:r>
          </w:p>
        </w:tc>
        <w:tc>
          <w:tcPr>
            <w:tcW w:w="1640" w:type="dxa"/>
            <w:vAlign w:val="bottom"/>
            <w:gridSpan w:val="3"/>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This update simplifies the accounting for non-employee share-based</w:t>
            </w:r>
          </w:p>
        </w:tc>
        <w:tc>
          <w:tcPr>
            <w:tcW w:w="11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January 1,</w:t>
            </w:r>
          </w:p>
        </w:tc>
        <w:tc>
          <w:tcPr>
            <w:tcW w:w="2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There was no material impact to</w:t>
            </w:r>
          </w:p>
        </w:tc>
      </w:tr>
      <w:tr>
        <w:trPr>
          <w:trHeight w:val="218"/>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ASU No. 2018-07,</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transactions.</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condensed consolidated</w:t>
            </w:r>
          </w:p>
        </w:tc>
      </w:tr>
      <w:tr>
        <w:trPr>
          <w:trHeight w:val="216"/>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Compensation—Stock</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as a result of</w:t>
            </w:r>
          </w:p>
        </w:tc>
      </w:tr>
      <w:tr>
        <w:trPr>
          <w:trHeight w:val="214"/>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Compensation (Topic 718):</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adopting this ASU.</w:t>
            </w:r>
          </w:p>
        </w:tc>
      </w:tr>
      <w:tr>
        <w:trPr>
          <w:trHeight w:val="216"/>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Improvements to Nonemployee</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Share-Based Payment</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6"/>
        </w:trPr>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Accounting</w:t>
            </w: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594"/>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Future Adoption of New Accounting Pronouncements</w:t>
      </w:r>
    </w:p>
    <w:p>
      <w:pPr>
        <w:spacing w:after="0" w:line="116" w:lineRule="exact"/>
        <w:rPr>
          <w:sz w:val="20"/>
          <w:szCs w:val="20"/>
          <w:color w:val="auto"/>
        </w:rPr>
      </w:pPr>
    </w:p>
    <w:p>
      <w:pPr>
        <w:ind w:right="46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a description of future adoptions of new accounting standards that may have an impact on our financial statements when adopted:</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Projected</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on Financial</w:t>
            </w: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or Other</w:t>
            </w:r>
          </w:p>
        </w:tc>
      </w:tr>
      <w:tr>
        <w:trPr>
          <w:trHeight w:val="238"/>
        </w:trPr>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6"/>
        </w:trPr>
        <w:tc>
          <w:tcPr>
            <w:tcW w:w="780" w:type="dxa"/>
            <w:vAlign w:val="bottom"/>
            <w:tcBorders>
              <w:left w:val="single" w:sz="8" w:color="CCEEFF"/>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w w:val="97"/>
              </w:rPr>
              <w:t>June 2016</w:t>
            </w:r>
          </w:p>
        </w:tc>
        <w:tc>
          <w:tcPr>
            <w:tcW w:w="1980" w:type="dxa"/>
            <w:vAlign w:val="bottom"/>
            <w:tcBorders>
              <w:bottom w:val="single" w:sz="8" w:color="CCEEFF"/>
            </w:tcBorders>
            <w:gridSpan w:val="4"/>
            <w:shd w:val="clear" w:color="auto" w:fill="CCEEFF"/>
          </w:tcPr>
          <w:p>
            <w:pPr>
              <w:spacing w:after="0"/>
              <w:rPr>
                <w:sz w:val="17"/>
                <w:szCs w:val="17"/>
                <w:color w:val="auto"/>
              </w:rPr>
            </w:pPr>
          </w:p>
        </w:tc>
        <w:tc>
          <w:tcPr>
            <w:tcW w:w="5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The amendments in this update require a financial asset (or a group of</w:t>
            </w:r>
          </w:p>
        </w:tc>
        <w:tc>
          <w:tcPr>
            <w:tcW w:w="1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January 1,</w:t>
            </w:r>
          </w:p>
        </w:tc>
        <w:tc>
          <w:tcPr>
            <w:tcW w:w="2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 are currently evaluating</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ASU No. 2016-13, </w:t>
            </w:r>
            <w:r>
              <w:rPr>
                <w:rFonts w:ascii="Times New Roman" w:cs="Times New Roman" w:eastAsia="Times New Roman" w:hAnsi="Times New Roman"/>
                <w:sz w:val="18"/>
                <w:szCs w:val="18"/>
                <w:i w:val="1"/>
                <w:iCs w:val="1"/>
                <w:color w:val="auto"/>
              </w:rPr>
              <w:t>Financial</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 measured at amortized cost basis to be presented at the</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effect this standard will</w:t>
            </w:r>
          </w:p>
        </w:tc>
      </w:tr>
      <w:tr>
        <w:trPr>
          <w:trHeight w:val="218"/>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Instruments—Credit Losses </w:t>
            </w:r>
            <w:r>
              <w:rPr>
                <w:rFonts w:ascii="Times New Roman" w:cs="Times New Roman" w:eastAsia="Times New Roman" w:hAnsi="Times New Roman"/>
                <w:sz w:val="18"/>
                <w:szCs w:val="18"/>
                <w:color w:val="auto"/>
              </w:rPr>
              <w:t>(Topic</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expected to be collected. The modified-retrospective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have on our condensed</w:t>
            </w:r>
          </w:p>
        </w:tc>
      </w:tr>
      <w:tr>
        <w:trPr>
          <w:trHeight w:val="216"/>
        </w:trPr>
        <w:tc>
          <w:tcPr>
            <w:tcW w:w="78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approach is generally applicable through a cumulative-effect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retained earnings as of the beginning of the first reporting period in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and related</w:t>
            </w:r>
          </w:p>
        </w:tc>
      </w:tr>
      <w:tr>
        <w:trPr>
          <w:trHeight w:val="241"/>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which the guidance is effective. Early adoption is permitted.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w:t>
            </w:r>
          </w:p>
        </w:tc>
      </w:tr>
      <w:tr>
        <w:trPr>
          <w:trHeight w:val="203"/>
        </w:trPr>
        <w:tc>
          <w:tcPr>
            <w:tcW w:w="1000" w:type="dxa"/>
            <w:vAlign w:val="bottom"/>
            <w:tcBorders>
              <w:bottom w:val="single" w:sz="8" w:color="auto"/>
            </w:tcBorders>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w w:val="97"/>
              </w:rPr>
              <w:t>January 2017</w:t>
            </w:r>
          </w:p>
        </w:tc>
        <w:tc>
          <w:tcPr>
            <w:tcW w:w="1760" w:type="dxa"/>
            <w:vAlign w:val="bottom"/>
            <w:gridSpan w:val="2"/>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This update removes step 2 of the goodwill impairment test that</w:t>
            </w:r>
          </w:p>
        </w:tc>
        <w:tc>
          <w:tcPr>
            <w:tcW w:w="11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January 1,</w:t>
            </w:r>
          </w:p>
        </w:tc>
        <w:tc>
          <w:tcPr>
            <w:tcW w:w="2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 are currently evaluating</w:t>
            </w:r>
          </w:p>
        </w:tc>
      </w:tr>
      <w:tr>
        <w:trPr>
          <w:trHeight w:val="218"/>
        </w:trPr>
        <w:tc>
          <w:tcPr>
            <w:tcW w:w="27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ASU No. 2017-04,</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compares the implied fair value of goodwill with its carrying amount.</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effect this standard will</w:t>
            </w:r>
          </w:p>
        </w:tc>
      </w:tr>
      <w:tr>
        <w:trPr>
          <w:trHeight w:val="214"/>
        </w:trPr>
        <w:tc>
          <w:tcPr>
            <w:tcW w:w="27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Intangibles-Goodwill and Other</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Instead, an impairment test is performed by comparing the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have on our condensed</w:t>
            </w:r>
          </w:p>
        </w:tc>
      </w:tr>
      <w:tr>
        <w:trPr>
          <w:trHeight w:val="216"/>
        </w:trPr>
        <w:tc>
          <w:tcPr>
            <w:tcW w:w="27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xml:space="preserve">(Topic 350): </w:t>
            </w:r>
            <w:r>
              <w:rPr>
                <w:rFonts w:ascii="Times New Roman" w:cs="Times New Roman" w:eastAsia="Times New Roman" w:hAnsi="Times New Roman"/>
                <w:sz w:val="18"/>
                <w:szCs w:val="18"/>
                <w:i w:val="1"/>
                <w:iCs w:val="1"/>
                <w:color w:val="auto"/>
              </w:rPr>
              <w:t>Simplifying the Test</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reporting unit with its carrying amount. An impairment charge will be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w:t>
            </w:r>
          </w:p>
        </w:tc>
      </w:tr>
      <w:tr>
        <w:trPr>
          <w:trHeight w:val="218"/>
        </w:trPr>
        <w:tc>
          <w:tcPr>
            <w:tcW w:w="276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for Goodwill Impairment</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recorded by the amount a reporting unit’s carrying amount exceeds 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and related</w:t>
            </w:r>
          </w:p>
        </w:tc>
      </w:t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 Early adoption is permitted.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w:t>
            </w:r>
          </w:p>
        </w:tc>
      </w:tr>
      <w:tr>
        <w:trPr>
          <w:trHeight w:val="27"/>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2760" w:type="dxa"/>
            <w:vAlign w:val="bottom"/>
            <w:tcBorders>
              <w:left w:val="single" w:sz="8" w:color="CCEEFF"/>
            </w:tcBorders>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August 2018</w:t>
            </w:r>
          </w:p>
        </w:tc>
        <w:tc>
          <w:tcPr>
            <w:tcW w:w="536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This update removes, modifies and adds certain disclosure requirements</w:t>
            </w:r>
          </w:p>
        </w:tc>
        <w:tc>
          <w:tcPr>
            <w:tcW w:w="11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January 1,</w:t>
            </w: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We do not expect the</w:t>
            </w:r>
          </w:p>
        </w:tc>
      </w:tr>
      <w:tr>
        <w:trPr>
          <w:trHeight w:val="20"/>
        </w:trPr>
        <w:tc>
          <w:tcPr>
            <w:tcW w:w="960" w:type="dxa"/>
            <w:vAlign w:val="bottom"/>
            <w:tcBorders>
              <w:left w:val="single" w:sz="8" w:color="CCEEFF"/>
            </w:tcBorders>
            <w:gridSpan w:val="2"/>
            <w:shd w:val="clear" w:color="auto" w:fill="000000"/>
          </w:tcPr>
          <w:p>
            <w:pPr>
              <w:spacing w:after="0" w:line="20" w:lineRule="exact"/>
              <w:rPr>
                <w:sz w:val="1"/>
                <w:szCs w:val="1"/>
                <w:color w:val="auto"/>
              </w:rPr>
            </w:pPr>
          </w:p>
        </w:tc>
        <w:tc>
          <w:tcPr>
            <w:tcW w:w="1800" w:type="dxa"/>
            <w:vAlign w:val="bottom"/>
            <w:gridSpan w:val="3"/>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r>
        <w:trPr>
          <w:trHeight w:val="218"/>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No. 2018-13, Fair Value</w:t>
            </w:r>
          </w:p>
        </w:tc>
        <w:tc>
          <w:tcPr>
            <w:tcW w:w="5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to fair value measurements. Early adoption is permitted.</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this update to</w:t>
            </w:r>
          </w:p>
        </w:tc>
      </w:tr>
      <w:tr>
        <w:trPr>
          <w:trHeight w:val="214"/>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(Topic 820):</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have a material effect on our</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Changes to the Disclosure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Requirements for Fair Value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w:t>
            </w:r>
          </w:p>
        </w:tc>
      </w:tr>
      <w:tr>
        <w:trPr>
          <w:trHeight w:val="23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Measurement</w:t>
            </w:r>
          </w:p>
        </w:tc>
        <w:tc>
          <w:tcPr>
            <w:tcW w:w="5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w:t>
            </w:r>
          </w:p>
        </w:tc>
      </w:tr>
      <w:tr>
        <w:trPr>
          <w:trHeight w:val="27"/>
        </w:trPr>
        <w:tc>
          <w:tcPr>
            <w:tcW w:w="7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693" w:right="2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August 2018</w:t>
      </w:r>
    </w:p>
    <w:p>
      <w:pPr>
        <w:spacing w:after="0" w:line="27" w:lineRule="exact"/>
        <w:rPr>
          <w:sz w:val="20"/>
          <w:szCs w:val="20"/>
          <w:color w:val="auto"/>
        </w:rPr>
      </w:pPr>
    </w:p>
    <w:p>
      <w:pPr>
        <w:ind w:left="40"/>
        <w:spacing w:after="0" w:line="252" w:lineRule="auto"/>
        <w:rPr>
          <w:sz w:val="20"/>
          <w:szCs w:val="20"/>
          <w:color w:val="auto"/>
        </w:rPr>
      </w:pPr>
      <w:r>
        <w:rPr>
          <w:rFonts w:ascii="Times New Roman" w:cs="Times New Roman" w:eastAsia="Times New Roman" w:hAnsi="Times New Roman"/>
          <w:sz w:val="18"/>
          <w:szCs w:val="18"/>
          <w:color w:val="auto"/>
        </w:rPr>
        <w:t xml:space="preserve">ASU No. 2018-14, Compensation —Retirement Benefits—Defined Benefit Plans—General (Subtopic 715-20): </w:t>
      </w:r>
      <w:r>
        <w:rPr>
          <w:rFonts w:ascii="Times New Roman" w:cs="Times New Roman" w:eastAsia="Times New Roman" w:hAnsi="Times New Roman"/>
          <w:sz w:val="18"/>
          <w:szCs w:val="18"/>
          <w:i w:val="1"/>
          <w:iCs w:val="1"/>
          <w:color w:val="auto"/>
        </w:rPr>
        <w:t>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Defined 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This update adds and removes certain disclosure requirements related to</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January 1,</w:t>
            </w: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do not expect the</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plans. This ASU is to be implemented on a retrospective</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this update to</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basis for all periods presented with early adoption permitted.</w:t>
            </w: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have a material effect on our</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w:t>
            </w:r>
          </w:p>
        </w:tc>
      </w:tr>
      <w:tr>
        <w:trPr>
          <w:trHeight w:val="234"/>
        </w:trPr>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disclosures.</w:t>
            </w:r>
          </w:p>
        </w:tc>
      </w:tr>
    </w:tbl>
    <w:p>
      <w:pPr>
        <w:spacing w:after="0" w:line="238" w:lineRule="exact"/>
        <w:rPr>
          <w:sz w:val="20"/>
          <w:szCs w:val="20"/>
          <w:color w:val="auto"/>
        </w:rPr>
      </w:pPr>
    </w:p>
    <w:p>
      <w:pPr>
        <w:sectPr>
          <w:pgSz w:w="11900" w:h="16838" w:orient="portrait"/>
          <w:cols w:equalWidth="0" w:num="2">
            <w:col w:w="2600" w:space="200"/>
            <w:col w:w="8620"/>
          </w:cols>
          <w:pgMar w:left="240" w:top="693" w:right="2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2018</w:t>
            </w: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This update clarifies and aligns the accounting for implementation costs</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January 1,</w:t>
            </w: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 do not expect the</w:t>
            </w:r>
          </w:p>
        </w:tc>
      </w:tr>
      <w:tr>
        <w:trPr>
          <w:trHeight w:val="20"/>
        </w:trPr>
        <w:tc>
          <w:tcPr>
            <w:tcW w:w="960" w:type="dxa"/>
            <w:vAlign w:val="bottom"/>
            <w:tcBorders>
              <w:left w:val="single" w:sz="8" w:color="CCEEFF"/>
            </w:tcBorders>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r>
        <w:trPr>
          <w:trHeight w:val="218"/>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No. 2018-15, Intangibles—</w:t>
            </w: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 hosting arrangements with the requirements for capitalizing</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adoption of this update to</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Other—Internal-Use</w:t>
            </w: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implementation costs incurred to develop or obtain internal-use</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have a material effect on our</w:t>
            </w:r>
          </w:p>
        </w:tc>
      </w:tr>
      <w:tr>
        <w:trPr>
          <w:trHeight w:val="214"/>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(Subtopic 350-40):</w:t>
            </w: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This ASU is to be applied either retrospectively or</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Customer’s Accounting for</w:t>
            </w: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prospectively with early adoption permitted.</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Implementation Costs Incurred in a</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Cloud Computing Arrangement</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43"/>
        </w:trPr>
        <w:tc>
          <w:tcPr>
            <w:tcW w:w="270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That Is a Service Contract</w:t>
            </w:r>
          </w:p>
        </w:tc>
        <w:tc>
          <w:tcPr>
            <w:tcW w:w="5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567"/>
        </w:trPr>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127"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which appear elsewhere in this document and with our 2018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2018 Form 10-K and elsewhere in this quarterly report.</w:t>
      </w:r>
    </w:p>
    <w:p>
      <w:pPr>
        <w:spacing w:after="0" w:line="72" w:lineRule="exact"/>
        <w:rPr>
          <w:sz w:val="20"/>
          <w:szCs w:val="20"/>
          <w:color w:val="auto"/>
        </w:rPr>
      </w:pPr>
    </w:p>
    <w:p>
      <w:pPr>
        <w:ind w:right="580" w:firstLine="162"/>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16" w:lineRule="exact"/>
        <w:rPr>
          <w:sz w:val="20"/>
          <w:szCs w:val="20"/>
          <w:color w:val="auto"/>
        </w:rPr>
      </w:pPr>
    </w:p>
    <w:p>
      <w:pPr>
        <w:ind w:right="480" w:firstLine="162"/>
        <w:spacing w:after="0" w:line="258" w:lineRule="auto"/>
        <w:rPr>
          <w:sz w:val="20"/>
          <w:szCs w:val="20"/>
          <w:color w:val="auto"/>
        </w:rPr>
      </w:pPr>
      <w:r>
        <w:rPr>
          <w:rFonts w:ascii="Times New Roman" w:cs="Times New Roman" w:eastAsia="Times New Roman" w:hAnsi="Times New Roman"/>
          <w:sz w:val="18"/>
          <w:szCs w:val="18"/>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the CRM Business Franchise</w:t>
      </w:r>
    </w:p>
    <w:p>
      <w:pPr>
        <w:spacing w:after="0" w:line="116"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We completed the CRM Sale on April 30, 2018 for total cash proceeds of $195.9 million, less cash transferred of $9.2 million, subject to a closing working capital adjustment. The results of operations of CRM are reflected as discontinued operations for all periods presented in this Quarterly Report on Form 10-Q. Refer to “Note 3. Discontinued Operations” to the condensed consolidated financial statements in this Quarterly Report on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Franchises</w:t>
      </w:r>
    </w:p>
    <w:p>
      <w:pPr>
        <w:spacing w:after="0" w:line="116" w:lineRule="exact"/>
        <w:rPr>
          <w:sz w:val="20"/>
          <w:szCs w:val="20"/>
          <w:color w:val="auto"/>
        </w:rPr>
      </w:pPr>
    </w:p>
    <w:p>
      <w:pPr>
        <w:ind w:right="120" w:firstLine="162"/>
        <w:spacing w:after="0" w:line="266" w:lineRule="auto"/>
        <w:rPr>
          <w:sz w:val="20"/>
          <w:szCs w:val="20"/>
          <w:color w:val="auto"/>
        </w:rPr>
      </w:pPr>
      <w:r>
        <w:rPr>
          <w:rFonts w:ascii="Times New Roman" w:cs="Times New Roman" w:eastAsia="Times New Roman" w:hAnsi="Times New Roman"/>
          <w:sz w:val="18"/>
          <w:szCs w:val="18"/>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w:t>
      </w:r>
    </w:p>
    <w:p>
      <w:pPr>
        <w:spacing w:after="0" w:line="68" w:lineRule="exact"/>
        <w:rPr>
          <w:sz w:val="20"/>
          <w:szCs w:val="20"/>
          <w:color w:val="auto"/>
        </w:rPr>
      </w:pPr>
    </w:p>
    <w:p>
      <w:pPr>
        <w:ind w:right="400" w:firstLine="162"/>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Cardiovascular Update</w:t>
      </w:r>
    </w:p>
    <w:p>
      <w:pPr>
        <w:spacing w:after="0" w:line="112" w:lineRule="exact"/>
        <w:rPr>
          <w:sz w:val="20"/>
          <w:szCs w:val="20"/>
          <w:color w:val="auto"/>
        </w:rPr>
      </w:pPr>
    </w:p>
    <w:p>
      <w:pPr>
        <w:ind w:right="300" w:firstLine="162"/>
        <w:spacing w:after="0" w:line="261" w:lineRule="auto"/>
        <w:rPr>
          <w:sz w:val="20"/>
          <w:szCs w:val="20"/>
          <w:color w:val="auto"/>
        </w:rPr>
      </w:pPr>
      <w:r>
        <w:rPr>
          <w:rFonts w:ascii="Times New Roman" w:cs="Times New Roman" w:eastAsia="Times New Roman" w:hAnsi="Times New Roman"/>
          <w:sz w:val="18"/>
          <w:szCs w:val="18"/>
          <w:color w:val="auto"/>
        </w:rPr>
        <w:t>Our Cardiovascular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Remediation Plan</w:t>
      </w:r>
    </w:p>
    <w:p>
      <w:pPr>
        <w:spacing w:after="0" w:line="119" w:lineRule="exact"/>
        <w:rPr>
          <w:sz w:val="20"/>
          <w:szCs w:val="20"/>
          <w:color w:val="auto"/>
        </w:rPr>
      </w:pPr>
    </w:p>
    <w:p>
      <w:pPr>
        <w:ind w:right="100" w:firstLine="162"/>
        <w:spacing w:after="0" w:line="313" w:lineRule="auto"/>
        <w:rPr>
          <w:sz w:val="20"/>
          <w:szCs w:val="20"/>
          <w:color w:val="auto"/>
        </w:rPr>
      </w:pPr>
      <w:r>
        <w:rPr>
          <w:rFonts w:ascii="Times New Roman" w:cs="Times New Roman" w:eastAsia="Times New Roman" w:hAnsi="Times New Roman"/>
          <w:sz w:val="17"/>
          <w:szCs w:val="17"/>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30" w:lineRule="exact"/>
        <w:rPr>
          <w:sz w:val="20"/>
          <w:szCs w:val="20"/>
          <w:color w:val="auto"/>
        </w:rPr>
      </w:pPr>
    </w:p>
    <w:p>
      <w:pPr>
        <w:ind w:right="100" w:firstLine="162"/>
        <w:spacing w:after="0" w:line="256" w:lineRule="auto"/>
        <w:rPr>
          <w:sz w:val="20"/>
          <w:szCs w:val="20"/>
          <w:color w:val="auto"/>
        </w:rPr>
      </w:pPr>
      <w:r>
        <w:rPr>
          <w:rFonts w:ascii="Times New Roman" w:cs="Times New Roman" w:eastAsia="Times New Roman" w:hAnsi="Times New Roman"/>
          <w:sz w:val="18"/>
          <w:szCs w:val="18"/>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80"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87" w:right="239" w:bottom="1440" w:gutter="0" w:footer="0" w:header="0"/>
        </w:sectPr>
      </w:pPr>
    </w:p>
    <w:bookmarkStart w:id="34" w:name="page35"/>
    <w:bookmarkEnd w:id="34"/>
    <w:p>
      <w:pPr>
        <w:ind w:right="720"/>
        <w:spacing w:after="0" w:line="282" w:lineRule="auto"/>
        <w:rPr>
          <w:sz w:val="20"/>
          <w:szCs w:val="20"/>
          <w:color w:val="auto"/>
        </w:rPr>
      </w:pPr>
      <w:r>
        <w:rPr>
          <w:rFonts w:ascii="Times New Roman" w:cs="Times New Roman" w:eastAsia="Times New Roman" w:hAnsi="Times New Roman"/>
          <w:sz w:val="18"/>
          <w:szCs w:val="18"/>
          <w:color w:val="auto"/>
        </w:rPr>
        <w:t>corrected; however, this restriction applies only to the Munich and Arvada facilities, which do not manufacture or design devices subject to Class III premarket approval.</w:t>
      </w:r>
    </w:p>
    <w:p>
      <w:pPr>
        <w:spacing w:after="0" w:line="54" w:lineRule="exact"/>
        <w:rPr>
          <w:sz w:val="20"/>
          <w:szCs w:val="20"/>
          <w:color w:val="auto"/>
        </w:rPr>
      </w:pPr>
    </w:p>
    <w:p>
      <w:pPr>
        <w:ind w:right="60" w:firstLine="162"/>
        <w:spacing w:after="0" w:line="266" w:lineRule="auto"/>
        <w:rPr>
          <w:sz w:val="20"/>
          <w:szCs w:val="20"/>
          <w:color w:val="auto"/>
        </w:rPr>
      </w:pPr>
      <w:r>
        <w:rPr>
          <w:rFonts w:ascii="Times New Roman" w:cs="Times New Roman" w:eastAsia="Times New Roman" w:hAnsi="Times New Roman"/>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 For further information, please refer to “Note 5. Product Remediation Liability” in our condensed consolidated financial statements included in this Quarterly Report on Form 10-Q.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w:t>
      </w:r>
    </w:p>
    <w:p>
      <w:pPr>
        <w:spacing w:after="0" w:line="119" w:lineRule="exact"/>
        <w:rPr>
          <w:sz w:val="20"/>
          <w:szCs w:val="20"/>
          <w:color w:val="auto"/>
        </w:rPr>
      </w:pPr>
    </w:p>
    <w:p>
      <w:pPr>
        <w:ind w:right="40" w:firstLine="162"/>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litigation involving our 3T device. As of April 30, 2019, we are aware of approximately 210 filed and unfiled claims worldwide, with the majority of the claims in various federal or state courts throughout the United States. 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with up to $135 million to be paid no earlier than July 2019 and the remainder in January 2020. However, cases in state courts in the U.S. and in jurisdictions outside the U.S. continue to progress. In the fourth quarter of 2018, we recognized a $294.1 million provision, which represents our best estimate of the Company’s liability for these matters. At March 31, 2019, the provision estimate remains unchanged. For further information refer to “Note 11. Commitments and Contingencies.”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Heart Valves</w:t>
      </w:r>
    </w:p>
    <w:p>
      <w:pPr>
        <w:spacing w:after="0" w:line="119" w:lineRule="exact"/>
        <w:rPr>
          <w:sz w:val="20"/>
          <w:szCs w:val="20"/>
          <w:color w:val="auto"/>
        </w:rPr>
      </w:pPr>
    </w:p>
    <w:p>
      <w:pPr>
        <w:ind w:right="340" w:firstLine="162"/>
        <w:spacing w:after="0" w:line="282" w:lineRule="auto"/>
        <w:rPr>
          <w:sz w:val="20"/>
          <w:szCs w:val="20"/>
          <w:color w:val="auto"/>
        </w:rPr>
      </w:pPr>
      <w:r>
        <w:rPr>
          <w:rFonts w:ascii="Times New Roman" w:cs="Times New Roman" w:eastAsia="Times New Roman" w:hAnsi="Times New Roman"/>
          <w:sz w:val="18"/>
          <w:szCs w:val="18"/>
          <w:color w:val="auto"/>
        </w:rPr>
        <w:t>In February 2019, we announced that Japan’s Ministry of Health, Labour and Welfare granted national reimbursement for the Perceval sutureless aortic heart valve to treat aortic valve disease.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 Update</w:t>
      </w:r>
    </w:p>
    <w:p>
      <w:pPr>
        <w:spacing w:after="0" w:line="112" w:lineRule="exact"/>
        <w:rPr>
          <w:sz w:val="20"/>
          <w:szCs w:val="20"/>
          <w:color w:val="auto"/>
        </w:rPr>
      </w:pPr>
    </w:p>
    <w:p>
      <w:pPr>
        <w:ind w:right="240" w:firstLine="162"/>
        <w:spacing w:after="0" w:line="266" w:lineRule="auto"/>
        <w:rPr>
          <w:sz w:val="20"/>
          <w:szCs w:val="20"/>
          <w:color w:val="auto"/>
        </w:rPr>
      </w:pPr>
      <w:r>
        <w:rPr>
          <w:rFonts w:ascii="Times New Roman" w:cs="Times New Roman" w:eastAsia="Times New Roman" w:hAnsi="Times New Roman"/>
          <w:sz w:val="18"/>
          <w:szCs w:val="18"/>
          <w:color w:val="auto"/>
        </w:rPr>
        <w:t>Our Neuromodulation business franchise designs, develops and markets neuromodulation therapy for the treatment of drug-resistant epilepsy, TRD and obstructive sleep apnea. We are also focused on the development and clinical testing of the VITARIA System for treating heart failure through vagus nerve stimulation.</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Depression</w:t>
      </w:r>
    </w:p>
    <w:p>
      <w:pPr>
        <w:spacing w:after="0" w:line="119"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In February 2019, we announced that the U.S. Centers for Medicare &amp; Medicaid Services (“CMS”) finalized its National Coverage Determination (“NCD”) for the LivaNova Vagus Nerve Stimulation Therapy (“VNS Therapy”) System for TRD. This final decision initiates coverage for Medicare beneficiaries through Coverage with Evidence Development (“CED”) when offered in a CMS-approved, double-blind, randomized, placebo-controlled trial with a follow-up duration of at least one year, as well as the coverage of VNS Therapy device replacement. The CED also includes the possibility to extend the study to a prospective longitudinal study.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 and Critical Accounting Estimates</w:t>
      </w:r>
    </w:p>
    <w:p>
      <w:pPr>
        <w:spacing w:after="0" w:line="112" w:lineRule="exact"/>
        <w:rPr>
          <w:sz w:val="20"/>
          <w:szCs w:val="20"/>
          <w:color w:val="auto"/>
        </w:rPr>
      </w:pPr>
    </w:p>
    <w:p>
      <w:pPr>
        <w:ind w:right="300" w:firstLine="162"/>
        <w:spacing w:after="0" w:line="266" w:lineRule="auto"/>
        <w:rPr>
          <w:sz w:val="20"/>
          <w:szCs w:val="20"/>
          <w:color w:val="auto"/>
        </w:rPr>
      </w:pPr>
      <w:r>
        <w:rPr>
          <w:rFonts w:ascii="Times New Roman" w:cs="Times New Roman" w:eastAsia="Times New Roman" w:hAnsi="Times New Roman"/>
          <w:sz w:val="18"/>
          <w:szCs w:val="18"/>
          <w:color w:val="auto"/>
        </w:rPr>
        <w:t>In addition to our critical accounting policies provided in “Part II, Item 7. Management’s Discussion and Analysis of Financial Condition and Results of Operations” included in our 2018 Form 10-K, refer to “Significant Accounting Policies” within “Note 1. Unaudited Condensed Consolidated Financial Statements” included in this Quarterly Report on Form 10-Q.</w:t>
      </w:r>
    </w:p>
    <w:p>
      <w:pPr>
        <w:spacing w:after="0" w:line="68"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its consolidated subsidiaries have been prepared in accordance with U.S. GAAP on an interim basis.</w:t>
      </w:r>
    </w:p>
    <w:p>
      <w:pPr>
        <w:spacing w:after="0" w:line="54" w:lineRule="exact"/>
        <w:rPr>
          <w:sz w:val="20"/>
          <w:szCs w:val="20"/>
          <w:color w:val="auto"/>
        </w:rPr>
      </w:pPr>
    </w:p>
    <w:p>
      <w:pPr>
        <w:ind w:right="700" w:firstLine="162"/>
        <w:spacing w:after="0" w:line="282" w:lineRule="auto"/>
        <w:rPr>
          <w:sz w:val="20"/>
          <w:szCs w:val="20"/>
          <w:color w:val="auto"/>
        </w:rPr>
      </w:pPr>
      <w:r>
        <w:rPr>
          <w:rFonts w:ascii="Times New Roman" w:cs="Times New Roman" w:eastAsia="Times New Roman" w:hAnsi="Times New Roman"/>
          <w:sz w:val="18"/>
          <w:szCs w:val="18"/>
          <w:color w:val="auto"/>
        </w:rPr>
        <w:t>New accounting pronouncements are disclosed in “Note 18. New Accounting Pronouncements” contained in the condensed consolidated financial statements in this Quarterly Report on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Brexit</w:t>
      </w:r>
    </w:p>
    <w:p>
      <w:pPr>
        <w:spacing w:after="0" w:line="117"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On June 23, 2016, the UK held a referendum in which voters approved an exit from the EU, commonly referred to as “Brexit.” On March 29, 2017, the UK government gave formal notice of its intention to leave the EU and began the process of negotiating the future terms of the UK’s relationship with the EU. Brexit could adversely affect UK, regional (including European) and worldwide economic and market conditions and could contribute to instability in global financial and foreign exchange markets, including volatility in the value of the British Pound and Euro. We have foreign exchange exposure management programs designed to help minimize the impact from foreign currency exchange rate movements. For the three</w:t>
      </w: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88" w:right="239" w:bottom="1440" w:gutter="0" w:footer="0" w:header="0"/>
        </w:sectPr>
      </w:pPr>
    </w:p>
    <w:bookmarkStart w:id="35" w:name="page36"/>
    <w:bookmarkEnd w:id="35"/>
    <w:p>
      <w:pPr>
        <w:ind w:right="60"/>
        <w:spacing w:after="0" w:line="282" w:lineRule="auto"/>
        <w:rPr>
          <w:sz w:val="20"/>
          <w:szCs w:val="20"/>
          <w:color w:val="auto"/>
        </w:rPr>
      </w:pPr>
      <w:r>
        <w:rPr>
          <w:rFonts w:ascii="Times New Roman" w:cs="Times New Roman" w:eastAsia="Times New Roman" w:hAnsi="Times New Roman"/>
          <w:sz w:val="18"/>
          <w:szCs w:val="18"/>
          <w:color w:val="auto"/>
        </w:rPr>
        <w:t>months ended March 31, 2019 and 2018, net sales generated from our European operations constituted approximately 22.7% and 23.7%, respectively, of total net sales.</w:t>
      </w:r>
    </w:p>
    <w:p>
      <w:pPr>
        <w:spacing w:after="0" w:line="54"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Negotiations between the UK and the EU continue about provisions of the withdrawal agreement. Unless the deadline is further extended, the UK will leave the EU on October 31, 2019.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overall business, financial condition and results of operations. For additional information on how Brexit could affect our business, see Part I, Item 1A Risk Factors-“</w:t>
      </w:r>
      <w:r>
        <w:rPr>
          <w:rFonts w:ascii="Times New Roman" w:cs="Times New Roman" w:eastAsia="Times New Roman" w:hAnsi="Times New Roman"/>
          <w:sz w:val="18"/>
          <w:szCs w:val="18"/>
          <w:i w:val="1"/>
          <w:iCs w:val="1"/>
          <w:color w:val="auto"/>
        </w:rPr>
        <w:t>The UK’s vote in favor of withdrawing from the EU could lead to increased market volatility and make it more difficult for us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 business in Europe or have other adverse effects on our business</w:t>
      </w:r>
      <w:r>
        <w:rPr>
          <w:rFonts w:ascii="Times New Roman" w:cs="Times New Roman" w:eastAsia="Times New Roman" w:hAnsi="Times New Roman"/>
          <w:sz w:val="18"/>
          <w:szCs w:val="18"/>
          <w:color w:val="auto"/>
        </w:rPr>
        <w:t>” of our 2018 Form 10-K.</w:t>
      </w:r>
    </w:p>
    <w:p>
      <w:pPr>
        <w:spacing w:after="0" w:line="81" w:lineRule="exact"/>
        <w:rPr>
          <w:sz w:val="20"/>
          <w:szCs w:val="20"/>
          <w:color w:val="auto"/>
        </w:rPr>
      </w:pPr>
    </w:p>
    <w:p>
      <w:pPr>
        <w:ind w:right="120" w:firstLine="162"/>
        <w:spacing w:after="0" w:line="256" w:lineRule="auto"/>
        <w:rPr>
          <w:sz w:val="20"/>
          <w:szCs w:val="20"/>
          <w:color w:val="auto"/>
        </w:rPr>
      </w:pPr>
      <w:r>
        <w:rPr>
          <w:rFonts w:ascii="Times New Roman" w:cs="Times New Roman" w:eastAsia="Times New Roman" w:hAnsi="Times New Roman"/>
          <w:sz w:val="18"/>
          <w:szCs w:val="18"/>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80" w:lineRule="exact"/>
        <w:rPr>
          <w:sz w:val="20"/>
          <w:szCs w:val="20"/>
          <w:color w:val="auto"/>
        </w:rPr>
      </w:pPr>
    </w:p>
    <w:p>
      <w:pPr>
        <w:ind w:right="120" w:firstLine="162"/>
        <w:spacing w:after="0" w:line="261" w:lineRule="auto"/>
        <w:rPr>
          <w:sz w:val="20"/>
          <w:szCs w:val="20"/>
          <w:color w:val="auto"/>
        </w:rPr>
      </w:pPr>
      <w:r>
        <w:rPr>
          <w:rFonts w:ascii="Times New Roman" w:cs="Times New Roman" w:eastAsia="Times New Roman" w:hAnsi="Times New Roman"/>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w:t>
      </w:r>
    </w:p>
    <w:p>
      <w:pPr>
        <w:spacing w:after="0" w:line="72"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European Union State Aid Challenge</w:t>
      </w:r>
    </w:p>
    <w:p>
      <w:pPr>
        <w:spacing w:after="0" w:line="119"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On October 26, 2017, the European Commission (“EC”) announced that an investigation will be opened with respect to the UK’s controlled foreign company (“CFC”) rules. The CFC rules under investigation provide group finance exemptions ("GFE") to entities controlled by UK parent companies that are subject to lower tax rates if the activities being undertaken by the CFC relate to financing.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HMRC has stated that they do not consider the timing and form of the UK’s exit from the EU will have a practical impact on the requirement to recover the alleged aid. Within the coming weeks, HMRC will provide details as to how it will be recovering the amounts required by the decision. Based upon our assessment of the issue and the limited level of UK activities involved in our financing, no uncertain tax position reserve has been recognized related to this matter.</w:t>
      </w: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12" w:lineRule="exact"/>
        <w:rPr>
          <w:sz w:val="20"/>
          <w:szCs w:val="20"/>
          <w:color w:val="auto"/>
        </w:rPr>
      </w:pPr>
    </w:p>
    <w:p>
      <w:pPr>
        <w:ind w:right="180" w:firstLine="162"/>
        <w:spacing w:after="0" w:line="282" w:lineRule="auto"/>
        <w:rPr>
          <w:sz w:val="20"/>
          <w:szCs w:val="20"/>
          <w:color w:val="auto"/>
        </w:rPr>
      </w:pPr>
      <w:r>
        <w:rPr>
          <w:rFonts w:ascii="Times New Roman" w:cs="Times New Roman" w:eastAsia="Times New Roman" w:hAnsi="Times New Roman"/>
          <w:sz w:val="18"/>
          <w:szCs w:val="18"/>
          <w:color w:val="auto"/>
        </w:rPr>
        <w:t>We are reporting, in this Quarterly Report on Form 10-Q, the results for LivaNova and its consolidated subsidiaries for the three months ended March 31, 2019, as compared to the three months ended March 31, 2018.</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250,398</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 exclusive of amortization</w:t>
            </w:r>
          </w:p>
        </w:tc>
        <w:tc>
          <w:tcPr>
            <w:tcW w:w="3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84,598</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remediation</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104,161</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3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37"/>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3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acquisition</w:t>
            </w:r>
          </w:p>
        </w:tc>
        <w:tc>
          <w:tcPr>
            <w:tcW w:w="3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11,484</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 (losses)</w:t>
            </w:r>
          </w:p>
        </w:tc>
        <w:tc>
          <w:tcPr>
            <w:tcW w:w="3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before tax</w:t>
            </w:r>
          </w:p>
        </w:tc>
        <w:tc>
          <w:tcPr>
            <w:tcW w:w="3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22,077</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6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97"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Net Sales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tables below present net sales by operating segment and geographic region (in thousands, except for percentages):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6"/>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7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36,870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46,886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121,570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125,130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31,042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Cardiovascular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44,981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62,205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155,491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156,172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76,886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77,992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94,649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93,844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3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128,398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122,973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26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59,277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68,148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250,801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250,398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98"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Europe sales include those countries in which we have a direct sales presence, whereas European countries in which we sell through distributors are included in “Rest of world.”</w:t>
      </w: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9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tables below present segment income from operations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6"/>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28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43"/>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64"/>
        </w:trPr>
        <w:tc>
          <w:tcPr>
            <w:tcW w:w="63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reportable segment income from continuing operations </w:t>
            </w:r>
            <w:r>
              <w:rPr>
                <w:rFonts w:ascii="Times New Roman" w:cs="Times New Roman" w:eastAsia="Times New Roman" w:hAnsi="Times New Roman"/>
                <w:sz w:val="25"/>
                <w:szCs w:val="25"/>
                <w:color w:val="auto"/>
                <w:vertAlign w:val="superscript"/>
              </w:rPr>
              <w:t>(1)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480" w:hanging="328"/>
        <w:spacing w:after="0" w:line="298"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a reconciliation of segment operating income to consolidated operating income refer to “Note 16. Geographic and Segment Information” in the condensed consolidated financial statements in this Quarterly Report on Form 10-Q.</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Cardiovascular</w:t>
      </w:r>
    </w:p>
    <w:p>
      <w:pPr>
        <w:spacing w:after="0" w:line="116"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Cardiovascular net sales decreased $0.7 million or 0.4% for the three months ended March 31, 2019 compared to the three months ended March 31, 2018. This decrease was primarily due to decreased cardiopulmonary and heart valve sales of $3.6 million and $5.4 million, respectively, offset by an increase in advanced circulatory support sales of $8.2 million due to the inclusion of the operating results of TandemLife starting from the acquisition date in April 2018. Cardiopulmonary sales of $121.6 million were positively impacted by double-digit growth in heart-lung machines, as customers continue to upgrade from our legacy S3 device to our current S5 device, and strong growth in oxygenators, but were more than offset by the impact of exiting of a distribution agreement on January 1, 2019 that accounted for $7.8 million in sales during the three months ended March 31, 2018 and unfavorable foreign currency exchange rate fluctuations during the three months ended March 31, 2019. Heart valve sales of $25.7 million were negatively impacted by declines in sales of mechanical and tissue heart valves and unfavorable foreign currency exchange rate fluctuations during the three months ended March 31, 2019.</w:t>
      </w:r>
    </w:p>
    <w:p>
      <w:pPr>
        <w:spacing w:after="0" w:line="77" w:lineRule="exact"/>
        <w:rPr>
          <w:sz w:val="20"/>
          <w:szCs w:val="20"/>
          <w:color w:val="auto"/>
        </w:rPr>
      </w:pPr>
    </w:p>
    <w:p>
      <w:pPr>
        <w:ind w:right="440" w:firstLine="162"/>
        <w:spacing w:after="0" w:line="282" w:lineRule="auto"/>
        <w:rPr>
          <w:sz w:val="20"/>
          <w:szCs w:val="20"/>
          <w:color w:val="auto"/>
        </w:rPr>
      </w:pPr>
      <w:r>
        <w:rPr>
          <w:rFonts w:ascii="Times New Roman" w:cs="Times New Roman" w:eastAsia="Times New Roman" w:hAnsi="Times New Roman"/>
          <w:sz w:val="18"/>
          <w:szCs w:val="18"/>
          <w:color w:val="auto"/>
        </w:rPr>
        <w:t>Cardiovascular operating income decreased $9.3 million or 90.4% or for the three months ended March 31, 2019 compared to the three months ended March 31, 2018 primarily due to increased R&amp;D investments and increased legal costs associated with our 3T device.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Neuromodulation</w:t>
      </w:r>
    </w:p>
    <w:p>
      <w:pPr>
        <w:spacing w:after="0" w:line="116" w:lineRule="exact"/>
        <w:rPr>
          <w:sz w:val="20"/>
          <w:szCs w:val="20"/>
          <w:color w:val="auto"/>
        </w:rPr>
      </w:pPr>
    </w:p>
    <w:p>
      <w:pPr>
        <w:ind w:right="20" w:firstLine="162"/>
        <w:spacing w:after="0" w:line="266" w:lineRule="auto"/>
        <w:rPr>
          <w:sz w:val="20"/>
          <w:szCs w:val="20"/>
          <w:color w:val="auto"/>
        </w:rPr>
      </w:pPr>
      <w:r>
        <w:rPr>
          <w:rFonts w:ascii="Times New Roman" w:cs="Times New Roman" w:eastAsia="Times New Roman" w:hAnsi="Times New Roman"/>
          <w:sz w:val="18"/>
          <w:szCs w:val="18"/>
          <w:color w:val="auto"/>
        </w:rPr>
        <w:t>Neuromodulation net sales increased $0.8 million or 0.9% for the three months ended March 31, 2019 compared to the three months ended March 31, 2018 as strong growth in the Europe and Rest of world regions was mostly offset by unexpected weakness in the U.S. market principally due to competitive dynamics and sales force turnover.</w:t>
      </w:r>
    </w:p>
    <w:p>
      <w:pPr>
        <w:spacing w:after="0" w:line="136" w:lineRule="exact"/>
        <w:rPr>
          <w:sz w:val="20"/>
          <w:szCs w:val="20"/>
          <w:color w:val="auto"/>
        </w:rPr>
      </w:pPr>
    </w:p>
    <w:p>
      <w:pPr>
        <w:jc w:val="both"/>
        <w:ind w:right="280" w:firstLine="162"/>
        <w:spacing w:after="0" w:line="266" w:lineRule="auto"/>
        <w:rPr>
          <w:sz w:val="20"/>
          <w:szCs w:val="20"/>
          <w:color w:val="auto"/>
        </w:rPr>
      </w:pPr>
      <w:r>
        <w:rPr>
          <w:rFonts w:ascii="Times New Roman" w:cs="Times New Roman" w:eastAsia="Times New Roman" w:hAnsi="Times New Roman"/>
          <w:sz w:val="18"/>
          <w:szCs w:val="18"/>
          <w:color w:val="auto"/>
        </w:rPr>
        <w:t>Neuromodulation operating income decreased $17.1 million or 44.2% for the three months ended March 31, 2019 compared to the three months ended March 31, 2018 primarily due to increased marketing expenses and increased R&amp;D expenses associated with our Sentiva VNS Therapy System, TRD and heart failure.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presents our comparative cost of sales and significant expenses as a percentage of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80" w:type="dxa"/>
            <w:vAlign w:val="bottom"/>
            <w:gridSpan w:val="2"/>
          </w:tcPr>
          <w:p>
            <w:pPr>
              <w:ind w:left="68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 exclusive of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Product remediation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6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General and Administrative (“SG&amp;A”) Expenses</w:t>
      </w:r>
    </w:p>
    <w:p>
      <w:pPr>
        <w:spacing w:after="0" w:line="112"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SG&amp;A expenses consisted of sales, marketing, general and administrative activities. SG&amp;A expenses as a percentage of net sales increased for the three months ended March 31, 2019 compared to the three months ended March 31, 2018 primarily due to additional litigation expenses primarily related to our 3T devices, U.S. investments in a direct to consumer campaign for epilepsy, the impact of including and expanding Advanced Circulatory Support commercial capabilities, strengthening our</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688" w:right="259" w:bottom="1440" w:gutter="0" w:footer="0" w:header="0"/>
        </w:sectPr>
      </w:pPr>
    </w:p>
    <w:bookmarkStart w:id="39" w:name="page40"/>
    <w:bookmarkEnd w:id="39"/>
    <w:p>
      <w:pPr>
        <w:ind w:right="300"/>
        <w:spacing w:after="0" w:line="282" w:lineRule="auto"/>
        <w:rPr>
          <w:sz w:val="20"/>
          <w:szCs w:val="20"/>
          <w:color w:val="auto"/>
        </w:rPr>
      </w:pPr>
      <w:r>
        <w:rPr>
          <w:rFonts w:ascii="Times New Roman" w:cs="Times New Roman" w:eastAsia="Times New Roman" w:hAnsi="Times New Roman"/>
          <w:sz w:val="18"/>
          <w:szCs w:val="18"/>
          <w:color w:val="auto"/>
        </w:rPr>
        <w:t>commercial organization in international markets, expenses associated with the expiration of a contract with one our distributors, and lower than expected overall net sales.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(“R&amp;D”) Expenses</w:t>
      </w:r>
    </w:p>
    <w:p>
      <w:pPr>
        <w:spacing w:after="0" w:line="112" w:lineRule="exact"/>
        <w:rPr>
          <w:sz w:val="20"/>
          <w:szCs w:val="20"/>
          <w:color w:val="auto"/>
        </w:rPr>
      </w:pPr>
    </w:p>
    <w:p>
      <w:pPr>
        <w:ind w:right="100" w:firstLine="162"/>
        <w:spacing w:after="0" w:line="258" w:lineRule="auto"/>
        <w:rPr>
          <w:sz w:val="20"/>
          <w:szCs w:val="20"/>
          <w:color w:val="auto"/>
        </w:rPr>
      </w:pPr>
      <w:r>
        <w:rPr>
          <w:rFonts w:ascii="Times New Roman" w:cs="Times New Roman" w:eastAsia="Times New Roman" w:hAnsi="Times New Roman"/>
          <w:sz w:val="18"/>
          <w:szCs w:val="18"/>
          <w:color w:val="auto"/>
        </w:rPr>
        <w:t>R&amp;D expenses consist of product design and development efforts, clinical study programs and regulatory activities, which are essential to our strategic portfolio initiatives, including TMVR, TRD, Obstructive Sleep Apnea and Heart Failure. R&amp;D expenses as a percentage of net sales increased for the three months ended March 31, 2019 compared to the three months ended March 31, 2018 primarily due to additional R&amp;D expenses for our development of next generation products, including heart-lung machines, the SenTiva VNS Therapy System and TandemLife and clinical trials and strategic investments in TRD, TMVR, obstructive sleep apnea and heart failure.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 on Acquisition</w:t>
      </w:r>
    </w:p>
    <w:p>
      <w:pPr>
        <w:spacing w:after="0" w:line="112"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On January 16, 2018, we acquired the remaining outstanding interest of ImThera for cash consideration of up to $225 million. On the acquisition date, we remeasured our existing investment in ImThera at fair value and recognized a pre-tax non-cash gain of $11.5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w:t>
      </w:r>
    </w:p>
    <w:p>
      <w:pPr>
        <w:spacing w:after="0" w:line="112"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2"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Our effective income tax rate from continuing operations for the three months ended March 31, 2019 was 30.8% compared with 17.6% for the three months ended March 31, 2018.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2" w:lineRule="exact"/>
        <w:rPr>
          <w:sz w:val="20"/>
          <w:szCs w:val="20"/>
          <w:color w:val="auto"/>
        </w:rPr>
      </w:pPr>
    </w:p>
    <w:p>
      <w:pPr>
        <w:ind w:right="360" w:firstLine="162"/>
        <w:spacing w:after="0" w:line="282" w:lineRule="auto"/>
        <w:rPr>
          <w:sz w:val="20"/>
          <w:szCs w:val="20"/>
          <w:color w:val="auto"/>
        </w:rPr>
      </w:pPr>
      <w:r>
        <w:rPr>
          <w:rFonts w:ascii="Times New Roman" w:cs="Times New Roman" w:eastAsia="Times New Roman" w:hAnsi="Times New Roman"/>
          <w:sz w:val="18"/>
          <w:szCs w:val="18"/>
          <w:color w:val="auto"/>
        </w:rPr>
        <w:t>Compared with the three months ended March 31, 2018, the increase in the effective tax rate for the three months ended March 31, 2019 was primarily attributable to a realized benefit from discrete tax items including the release of an uncertain tax position.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6"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LivaNova will continue as a going concern. As further discussed in “Note 11. Commitments and Contingencies,” the Company recorded a $294.1 million litigation provision liability as of December 31, 2018 based on managements’ best estimate, of which $161.9 million is anticipated to be paid during 2019 and the majority of the remainder is expected to be paid in the first half of 2020. In connection with our assessment of going concern considerations as of the issuance date of our 2018 Form 10-K in accordance with ASU 2014-15, “Disclosures of Uncertainties about an Entity’s Ability to Continue as a Going Concern,” the Company determined that collectively the payments of the $294.1 million liability and the $23.3 million of current debt obligations represented a condition that raised substantial doubt about our ability to continue as a going concern. However, on February 25, 2019, the Company received $350 million in aggregate financing commitments pursuant to a Commitment Letter from Bank of America Merrill Lynch International DAC, Barclays Bank PLC, BNP Paribas and Intesa Sanpaolo S.P.A for a debt facility. We concluded that the anticipated execution of the debt facility agreement based on the Commitment Letter, when combined with current and anticipated future operating cash flows, alleviated the substantial doubt about the Company’s ability to continue as a going concern over the 12-month period beginning from the issuance date of our 2018 Form 10-K. On March 26, 2019, we entered into a Facility Agreement that provides a multicurrency term loan facility in an aggregate principal amount of $350 million and terminates on March 26, 2022.</w:t>
      </w:r>
    </w:p>
    <w:p>
      <w:pPr>
        <w:spacing w:after="0" w:line="83" w:lineRule="exact"/>
        <w:rPr>
          <w:sz w:val="20"/>
          <w:szCs w:val="20"/>
          <w:color w:val="auto"/>
        </w:rPr>
      </w:pPr>
    </w:p>
    <w:p>
      <w:pPr>
        <w:ind w:right="40" w:firstLine="162"/>
        <w:spacing w:after="0" w:line="256" w:lineRule="auto"/>
        <w:rPr>
          <w:sz w:val="20"/>
          <w:szCs w:val="20"/>
          <w:color w:val="auto"/>
        </w:rPr>
      </w:pPr>
      <w:r>
        <w:rPr>
          <w:rFonts w:ascii="Times New Roman" w:cs="Times New Roman" w:eastAsia="Times New Roman" w:hAnsi="Times New Roman"/>
          <w:sz w:val="18"/>
          <w:szCs w:val="18"/>
          <w:color w:val="auto"/>
        </w:rPr>
        <w:t>Based on our current business plan, we believe that our existing cash and cash equivalents, future cash generated from operations and borrowings will be sufficient to fund our expected operating needs, working capital requirements, R&amp;D opportunities, capital expenditures, obligations anticipated for the litigation involving our 3T device and debt service requirements over the 12-month period beginning from the issuance date of these financial statements. Accordingly, there are no conditions present as of the issuance date of these financial statements that raise substantial doubt about our ability to continue as a going concern. Our liquidity could be adversely affected by a material deterioration of future operating results. Refer to “Note 8. Financing Arrangements” in the condensed consolidated financial statements in this Quarterly Report on Form 10-Q for additional information regarding our debt.</w:t>
      </w:r>
    </w:p>
    <w:p>
      <w:pPr>
        <w:spacing w:after="0" w:line="3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688" w:right="259" w:bottom="1440" w:gutter="0" w:footer="0" w:header="0"/>
        </w:sectPr>
      </w:pPr>
    </w:p>
    <w:bookmarkStart w:id="40" w:name="page41"/>
    <w:bookmarkEnd w:id="40"/>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No provision has been made for income taxes on unremitted earnings of our foreign controlled subsidiaries (non-UK subsidiaries) as of March 31, 2019.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12"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4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6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(83,352)</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32,047</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Activities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2019 decreased by $18.4 million as compared to the same prior-year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primarily due to increases in working capital along with a decrease in net income adjusted for non-cash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Investing Activities</w:t>
      </w:r>
    </w:p>
    <w:p>
      <w:pPr>
        <w:spacing w:after="0" w:line="112"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2019 decreased $77.7 million as compared to the same prior-year period. The decrease is primarily due to the 2018 acquisition of ImThera, net of cash acquired, of $77.6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Activities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2019 decreased $24.5 million as compared to the same prior-year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primarily due to a decrease in short-term borrowing proceeds of $20.0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Off-Balance Sheet Arrangements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2019, we did not have any off-balance sheet arrangements.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Obligations</w:t>
      </w:r>
    </w:p>
    <w:p>
      <w:pPr>
        <w:spacing w:after="0" w:line="112" w:lineRule="exact"/>
        <w:rPr>
          <w:sz w:val="20"/>
          <w:szCs w:val="20"/>
          <w:color w:val="auto"/>
        </w:rPr>
      </w:pPr>
    </w:p>
    <w:p>
      <w:pPr>
        <w:ind w:right="380" w:firstLine="162"/>
        <w:spacing w:after="0" w:line="266" w:lineRule="auto"/>
        <w:rPr>
          <w:sz w:val="20"/>
          <w:szCs w:val="20"/>
          <w:color w:val="auto"/>
        </w:rPr>
      </w:pPr>
      <w:r>
        <w:rPr>
          <w:rFonts w:ascii="Times New Roman" w:cs="Times New Roman" w:eastAsia="Times New Roman" w:hAnsi="Times New Roman"/>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Annual Report on Form 10-K for the year ended December 31, 2018.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127" w:lineRule="exact"/>
        <w:rPr>
          <w:sz w:val="20"/>
          <w:szCs w:val="20"/>
          <w:color w:val="auto"/>
        </w:rPr>
      </w:pPr>
    </w:p>
    <w:p>
      <w:pPr>
        <w:ind w:right="140" w:firstLine="162"/>
        <w:spacing w:after="0" w:line="255" w:lineRule="auto"/>
        <w:rPr>
          <w:sz w:val="20"/>
          <w:szCs w:val="20"/>
          <w:color w:val="auto"/>
        </w:rPr>
      </w:pPr>
      <w:r>
        <w:rPr>
          <w:rFonts w:ascii="Times New Roman" w:cs="Times New Roman" w:eastAsia="Times New Roman" w:hAnsi="Times New Roman"/>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Form 10-Q in “Part I, Note 9. Derivatives and Risk Management,” “Part I, Item 2. Management’s Discussion and Analysis of Financial Conditions and Results of Operations” and “Part II, Item 1A. Risk Factors,” and in our 2018 Form 10-K in “Part II, Item 7. Management’s Discussion and Analysis of Financial Condition and Results of Operations” and “Part I, Item 1A. Risk Factors.” There have been no material changes from the information provided therein.</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9"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conducted an evaluation of the effectiveness of the design and effectiveness of our disclosure controls and procedures as of March 31, 2019. Based on that evaluation, the Chief Executive Officer (CEO) and the Chief Financial Officer (CFO) have concluded the disclosure controls and procedures were not effective as of that date due to the material weaknesses in internal control over financial reporting that were disclosed in our Annual Report on Form 10-K for the fiscal year ended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19"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On January 1, 2019, we implemented a new software system, as well as new internal controls, to support adoption of the new Lease Accounting standard, ASC 842. The operating effectiveness of these controls will be evaluated as part of our annual assessment of the effectiveness of internal controls over financial reporting for the fiscal year ended December 31, 2019. No other changes over internal controls over financial reporting (as defined in Rules 13a-15(f) and 15d - 5(f) under the Exchange Act) occurred during the quarter ended March 31,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19" w:lineRule="exact"/>
        <w:rPr>
          <w:sz w:val="20"/>
          <w:szCs w:val="20"/>
          <w:color w:val="auto"/>
        </w:rPr>
      </w:pPr>
    </w:p>
    <w:p>
      <w:pPr>
        <w:jc w:val="both"/>
        <w:ind w:right="20" w:firstLine="162"/>
        <w:spacing w:after="0" w:line="258" w:lineRule="auto"/>
        <w:rPr>
          <w:sz w:val="20"/>
          <w:szCs w:val="20"/>
          <w:color w:val="auto"/>
        </w:rPr>
      </w:pPr>
      <w:r>
        <w:rPr>
          <w:rFonts w:ascii="Times New Roman" w:cs="Times New Roman" w:eastAsia="Times New Roman" w:hAnsi="Times New Roman"/>
          <w:sz w:val="18"/>
          <w:szCs w:val="18"/>
          <w:color w:val="auto"/>
        </w:rPr>
        <w:t>Efforts have been ongoing throughout the quarter to remediate the material weaknesses reported in our 2018 10-K filing. We have begun implementing a new tool, SAP GRC module, that will help us better manage IT and business user access in our ERP system. In addition, we are implementing new controls and formalizing existing controls around price and quantity in our Revenue process. The weaknesses will not be considered remediated, until the applicable controls operate for a sufficient period of time and management has concluded, through testing, that these controls are operating effectively. We expect that the remediation of the material weaknesses will be completed prior to the end of fiscal year 2019.</w:t>
      </w:r>
    </w:p>
    <w:p>
      <w:pPr>
        <w:spacing w:after="0" w:line="3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240" w:top="687"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127" w:lineRule="exact"/>
        <w:rPr>
          <w:sz w:val="20"/>
          <w:szCs w:val="20"/>
          <w:color w:val="auto"/>
        </w:rPr>
      </w:pPr>
    </w:p>
    <w:p>
      <w:pPr>
        <w:ind w:right="260" w:firstLine="162"/>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and regulatory proceedings and settlements, refer to “Note 11. Commitments and Contingencies” in our condensed consolidated financial statements included in this Report on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12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description of the risk factors associated with our business as previously disclosed in Part I, Item 1A “Risk Factors” of our 2018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00"/>
          </w:cols>
          <w:pgMar w:left="240" w:top="68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127" w:lineRule="exact"/>
        <w:rPr>
          <w:sz w:val="20"/>
          <w:szCs w:val="20"/>
          <w:color w:val="auto"/>
        </w:rPr>
      </w:pPr>
    </w:p>
    <w:p>
      <w:pPr>
        <w:jc w:val="both"/>
        <w:ind w:right="80" w:firstLine="162"/>
        <w:spacing w:after="0" w:line="282"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8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 w:type="dxa"/>
            <w:vAlign w:val="bottom"/>
            <w:gridSpan w:val="3"/>
            <w:shd w:val="clear" w:color="auto" w:fill="CCEEFF"/>
          </w:tcPr>
          <w:p>
            <w:pPr>
              <w:ind w:left="40"/>
              <w:spacing w:after="0" w:line="201"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Stock and Asset Purchase Agreement, dated as of March 8, 2018, by and among the Company, MicroPort Cardiac Rhythm B.V. and MicroPort</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Scientific Corporation (excluding schedules and exhibits, which the Company agrees to furnish supplementally to the Securities and Exchange</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upon request), incorporated by reference to Exhibit 2.1 of the Company’s Current Report on Form 8-K, filed on March 8, 2018</w:t>
            </w:r>
          </w:p>
        </w:tc>
        <w:tc>
          <w:tcPr>
            <w:tcW w:w="0" w:type="dxa"/>
            <w:vAlign w:val="bottom"/>
          </w:tcPr>
          <w:p>
            <w:pPr>
              <w:spacing w:after="0"/>
              <w:rPr>
                <w:sz w:val="1"/>
                <w:szCs w:val="1"/>
                <w:color w:val="auto"/>
              </w:rPr>
            </w:pPr>
          </w:p>
        </w:tc>
      </w:tr>
      <w:tr>
        <w:trPr>
          <w:trHeight w:val="203"/>
        </w:trPr>
        <w:tc>
          <w:tcPr>
            <w:tcW w:w="340" w:type="dxa"/>
            <w:vAlign w:val="bottom"/>
            <w:gridSpan w:val="3"/>
          </w:tcPr>
          <w:p>
            <w:pPr>
              <w:ind w:left="40"/>
              <w:spacing w:after="0" w:line="202"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2019 LivaNova Short-Term Incentive Plan approved February 20, 2019, incorporated by reference to Exhibit 10.1 of the Company’s Current</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 on Form 8-K/A, filed on March 6, 2019</w:t>
            </w:r>
          </w:p>
        </w:tc>
        <w:tc>
          <w:tcPr>
            <w:tcW w:w="0" w:type="dxa"/>
            <w:vAlign w:val="bottom"/>
          </w:tcPr>
          <w:p>
            <w:pPr>
              <w:spacing w:after="0"/>
              <w:rPr>
                <w:sz w:val="1"/>
                <w:szCs w:val="1"/>
                <w:color w:val="auto"/>
              </w:rPr>
            </w:pPr>
          </w:p>
        </w:tc>
      </w:tr>
      <w:tr>
        <w:trPr>
          <w:trHeight w:val="203"/>
        </w:trPr>
        <w:tc>
          <w:tcPr>
            <w:tcW w:w="520" w:type="dxa"/>
            <w:vAlign w:val="bottom"/>
            <w:gridSpan w:val="5"/>
          </w:tcPr>
          <w:p>
            <w:pPr>
              <w:ind w:left="4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Commitment Letter dated February 25, 2019, by and among LivaNova PLC and the lenders party thereto</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US$350 million multicurrency term facilities agreement dated March 26, 2019, by and among LivaNova PLC, the lenders, arrangers and</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bookrunners, documentation agent and co-ordinator parties thereto and Barclays Bank PLC as agent. Incorporated by reference to Exhibit 10.1</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the Company’s Current Report on Form 8-K, filed March 29, 2019</w:t>
            </w:r>
          </w:p>
        </w:tc>
        <w:tc>
          <w:tcPr>
            <w:tcW w:w="0" w:type="dxa"/>
            <w:vAlign w:val="bottom"/>
          </w:tcPr>
          <w:p>
            <w:pPr>
              <w:spacing w:after="0"/>
              <w:rPr>
                <w:sz w:val="1"/>
                <w:szCs w:val="1"/>
                <w:color w:val="auto"/>
              </w:rPr>
            </w:pPr>
          </w:p>
        </w:tc>
      </w:tr>
      <w:tr>
        <w:trPr>
          <w:trHeight w:val="203"/>
        </w:trPr>
        <w:tc>
          <w:tcPr>
            <w:tcW w:w="840" w:type="dxa"/>
            <w:vAlign w:val="bottom"/>
            <w:gridSpan w:val="6"/>
          </w:tcPr>
          <w:p>
            <w:pPr>
              <w:ind w:left="40"/>
              <w:spacing w:after="0" w:line="20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Description of 2019 Long Term Incentive Plan approved March 29, 2019, incorporated by reference to Exhibit 10.1 if the Company’s Current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 on Form 8-K, filed on April 1,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Form of the Company’s 2019 Long Term Incentive Plan RSU Award Agreement, incorporated by reference to Exhibit 10.2 if the Company’s</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April 1, 2019</w:t>
            </w:r>
          </w:p>
        </w:tc>
        <w:tc>
          <w:tcPr>
            <w:tcW w:w="0" w:type="dxa"/>
            <w:vAlign w:val="bottom"/>
          </w:tcPr>
          <w:p>
            <w:pPr>
              <w:spacing w:after="0"/>
              <w:rPr>
                <w:sz w:val="1"/>
                <w:szCs w:val="1"/>
                <w:color w:val="auto"/>
              </w:rPr>
            </w:pPr>
          </w:p>
        </w:tc>
      </w:tr>
      <w:tr>
        <w:trPr>
          <w:trHeight w:val="203"/>
        </w:trPr>
        <w:tc>
          <w:tcPr>
            <w:tcW w:w="840" w:type="dxa"/>
            <w:vAlign w:val="bottom"/>
            <w:gridSpan w:val="6"/>
          </w:tcPr>
          <w:p>
            <w:pPr>
              <w:ind w:left="40"/>
              <w:spacing w:after="0" w:line="20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Form of the Company’s 2019 Long Term Incentive Plan SAR Award Agreement, incorporated by reference to Exhibit 10.3 if the Company’s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April 1,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Form of the Company’s 2019 Long Term Incentive Plan PSU Award Agreement (rTSR condition), incorporated by reference to Exhibit 10.4 if</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Company’s Current Report on Form 8-K, filed on April 1, 2019</w:t>
            </w:r>
          </w:p>
        </w:tc>
        <w:tc>
          <w:tcPr>
            <w:tcW w:w="0" w:type="dxa"/>
            <w:vAlign w:val="bottom"/>
          </w:tcPr>
          <w:p>
            <w:pPr>
              <w:spacing w:after="0"/>
              <w:rPr>
                <w:sz w:val="1"/>
                <w:szCs w:val="1"/>
                <w:color w:val="auto"/>
              </w:rPr>
            </w:pPr>
          </w:p>
        </w:tc>
      </w:tr>
      <w:tr>
        <w:trPr>
          <w:trHeight w:val="203"/>
        </w:trPr>
        <w:tc>
          <w:tcPr>
            <w:tcW w:w="840" w:type="dxa"/>
            <w:vAlign w:val="bottom"/>
            <w:gridSpan w:val="6"/>
          </w:tcPr>
          <w:p>
            <w:pPr>
              <w:ind w:left="40"/>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Form of the Company’s 2019 Long Term Incentive Plan PSU Award Agreement (FCF condition), incorporated by reference to Exhibit 10.5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Current Report on Form 8-K, filed on April 1,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Service Agreement, dated February 28, 2017, between Alistair Simpson and LivaNova PLC</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5"/>
          </w:tcPr>
          <w:p>
            <w:pPr>
              <w:ind w:left="40"/>
              <w:spacing w:after="0" w:line="202" w:lineRule="exact"/>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5"/>
          </w:tcPr>
          <w:p>
            <w:pPr>
              <w:ind w:left="40"/>
              <w:spacing w:after="0" w:line="202"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 Act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(i) the Condensed Consolidated Statements of Income (Loss) for the three months</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March 31, 2019 and March 31, 2018, (ii) the Condensed Consolidated Statements of Comprehensive Income for the three months ended</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2019 and March 31, 2018, (iii) the Condensed Consolidated Balance Sheet as of March 31, 2019 and December 31, 2018, (iv) the</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2019 and March 31, 2018, and (vi) the Notes to the</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44" w:name="page45"/>
    <w:bookmarkEnd w:id="4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LIVANOVA PLC</w:t>
      </w:r>
    </w:p>
    <w:p>
      <w:pPr>
        <w:spacing w:after="0" w:line="374"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DAMIEN MCDONALD</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Damien McDonald</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27"/>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PLC</w:t>
            </w:r>
          </w:p>
        </w:tc>
      </w:tr>
      <w:tr>
        <w:trPr>
          <w:trHeight w:val="58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THAD HUSTON</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Thad Huston</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684" w:right="2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5"/>
          <w:szCs w:val="25"/>
          <w:b w:val="1"/>
          <w:bCs w:val="1"/>
          <w:color w:val="auto"/>
        </w:rPr>
        <w:t>Exhibit 10.2</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LivaNova PLC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20 Eastbourne Terrace, London, W2 6LG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attention of: Chief Financial Officer</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25 February 2019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Commitment Letter - USD 350,000,000 term loan facility of which USD 116,666,667 equivalent can be provided in euros (the “Facility”) for LivaNova PLC as the borrower</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Bank of America Merrill Lynch International DAC, Barclays Bank PLC, BNP Paribas, London Branch and Intesa Sanpaolo S.p.A (the "</w:t>
      </w:r>
      <w:r>
        <w:rPr>
          <w:rFonts w:ascii="Times New Roman" w:cs="Times New Roman" w:eastAsia="Times New Roman" w:hAnsi="Times New Roman"/>
          <w:sz w:val="22"/>
          <w:szCs w:val="22"/>
          <w:b w:val="1"/>
          <w:bCs w:val="1"/>
          <w:color w:val="auto"/>
        </w:rPr>
        <w:t>Mandated Lead Arrangers</w:t>
      </w:r>
      <w:r>
        <w:rPr>
          <w:rFonts w:ascii="Times New Roman" w:cs="Times New Roman" w:eastAsia="Times New Roman" w:hAnsi="Times New Roman"/>
          <w:sz w:val="22"/>
          <w:szCs w:val="22"/>
          <w:color w:val="auto"/>
        </w:rPr>
        <w:t>"), Bank of America Merrill Lynch International DAC, Barclays Bank PLC, BNP Paribas, London Branch and Intesa Sanpaolo S.p.A (the "</w:t>
      </w:r>
      <w:r>
        <w:rPr>
          <w:rFonts w:ascii="Times New Roman" w:cs="Times New Roman" w:eastAsia="Times New Roman" w:hAnsi="Times New Roman"/>
          <w:sz w:val="22"/>
          <w:szCs w:val="22"/>
          <w:b w:val="1"/>
          <w:bCs w:val="1"/>
          <w:color w:val="auto"/>
        </w:rPr>
        <w:t>Bookrunners</w:t>
      </w:r>
      <w:r>
        <w:rPr>
          <w:rFonts w:ascii="Times New Roman" w:cs="Times New Roman" w:eastAsia="Times New Roman" w:hAnsi="Times New Roman"/>
          <w:sz w:val="22"/>
          <w:szCs w:val="22"/>
          <w:color w:val="auto"/>
        </w:rPr>
        <w:t>") and Bank of America Merrill Lynch International DAC, Barclays Bank PLC, BNP Paribas, London Branch and Intesa Sanpaolo S.p.A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are pleased to set out in this letter the terms and conditions on which we are willing to arrange and underwrite the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letter:</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in relation to a person, a subsidiary or holding company of that person, a subsidiary of any such holding company.</w:t>
      </w:r>
    </w:p>
    <w:p>
      <w:pPr>
        <w:spacing w:after="0" w:line="15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or Sunday) on which banks are open for general business in London and Milan.</w:t>
      </w:r>
    </w:p>
    <w:p>
      <w:pPr>
        <w:spacing w:after="0" w:line="15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 Documents</w:t>
      </w:r>
      <w:r>
        <w:rPr>
          <w:rFonts w:ascii="Times New Roman" w:cs="Times New Roman" w:eastAsia="Times New Roman" w:hAnsi="Times New Roman"/>
          <w:sz w:val="22"/>
          <w:szCs w:val="22"/>
          <w:color w:val="auto"/>
        </w:rPr>
        <w:t>" means a facility agreement and related documentation (based on the terms set out in the Term Sheet and this letter) in form and substance satisfactory to the Mandated Lead Arrangers, Bookrunners and Underwriters.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Fee Letter</w:t>
      </w:r>
      <w:r>
        <w:rPr>
          <w:rFonts w:ascii="Times New Roman" w:cs="Times New Roman" w:eastAsia="Times New Roman" w:hAnsi="Times New Roman"/>
          <w:sz w:val="22"/>
          <w:szCs w:val="22"/>
          <w:color w:val="auto"/>
        </w:rPr>
        <w:t>" means any fee letter between any of the Mandated Lead Arrangers, the Bookrunners, the Underwriters, the Documentation Agent and Coordinator and/or the Agent and the Company dated on or about the date of this letter or on or about the date of the facility agreement in relation to the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Mandate Documents</w:t>
      </w:r>
      <w:r>
        <w:rPr>
          <w:rFonts w:ascii="Times New Roman" w:cs="Times New Roman" w:eastAsia="Times New Roman" w:hAnsi="Times New Roman"/>
          <w:sz w:val="22"/>
          <w:szCs w:val="22"/>
          <w:color w:val="auto"/>
        </w:rPr>
        <w:t>" means this letter, the Term Sheet and any Fee Letter.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Sheet</w:t>
      </w:r>
      <w:r>
        <w:rPr>
          <w:rFonts w:ascii="Times New Roman" w:cs="Times New Roman" w:eastAsia="Times New Roman" w:hAnsi="Times New Roman"/>
          <w:sz w:val="22"/>
          <w:szCs w:val="22"/>
          <w:color w:val="auto"/>
        </w:rPr>
        <w:t>" means the term sheet attached to this letter as an appendix.</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Underwriting Proportion</w:t>
      </w:r>
      <w:r>
        <w:rPr>
          <w:rFonts w:ascii="Times New Roman" w:cs="Times New Roman" w:eastAsia="Times New Roman" w:hAnsi="Times New Roman"/>
          <w:sz w:val="22"/>
          <w:szCs w:val="22"/>
          <w:color w:val="auto"/>
        </w:rPr>
        <w:t>" means, in relation to an Underwriter, the underwriting proportion set out opposite its name in paragraph 3.1.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a contrary indication appears, a term defined in any Mandate Document has the same meaning when used in this letter.</w:t>
      </w:r>
    </w:p>
    <w:p>
      <w:pPr>
        <w:spacing w:after="0" w:line="21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Appointment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54" w:right="2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The Company appoints:</w:t>
      </w:r>
    </w:p>
    <w:p>
      <w:pPr>
        <w:spacing w:after="0" w:line="22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Mandated Lead Arrangers as exclusive arrangers of the Facility;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as exclusive underwriters of the Facility;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Bookrunners as exclusive bookrunners;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of America Merrill Lynch International DAC as documentation agent and coordinator in connection with the Facility (the "</w:t>
      </w:r>
      <w:r>
        <w:rPr>
          <w:rFonts w:ascii="Times New Roman" w:cs="Times New Roman" w:eastAsia="Times New Roman" w:hAnsi="Times New Roman"/>
          <w:sz w:val="22"/>
          <w:szCs w:val="22"/>
          <w:b w:val="1"/>
          <w:bCs w:val="1"/>
          <w:color w:val="auto"/>
        </w:rPr>
        <w:t>Documentation Agent and Coordinator</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Barclays Bank PLC as facility agent in connection with the Facility.</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Until this mandate terminates in accordance with paragraph 12 (</w:t>
      </w: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300" w:hanging="644"/>
        <w:spacing w:after="0" w:line="271" w:lineRule="auto"/>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person shall be appointed as mandated lead arranger, underwriter, bookrunner, documentation agent and coordinator or facility agent;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titles shall be awarded;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Mandate Documents, no other compensation shall be paid to any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connection with the Facility without the prior written consent of each of the Mandated Lead Arrangers.</w:t>
      </w:r>
    </w:p>
    <w:p>
      <w:pPr>
        <w:spacing w:after="0" w:line="22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Any of the Mandated Lead Arrangers, Bookrunners and Underwriters may delegate by written notice to the Company any or all of its rights and obligations under this letter to any of its subsidiaries or affiliates (each a "</w:t>
      </w:r>
      <w:r>
        <w:rPr>
          <w:rFonts w:ascii="Times New Roman" w:cs="Times New Roman" w:eastAsia="Times New Roman" w:hAnsi="Times New Roman"/>
          <w:sz w:val="22"/>
          <w:szCs w:val="22"/>
          <w:b w:val="1"/>
          <w:bCs w:val="1"/>
          <w:color w:val="auto"/>
        </w:rPr>
        <w:t>Delegate</w:t>
      </w:r>
      <w:r>
        <w:rPr>
          <w:rFonts w:ascii="Times New Roman" w:cs="Times New Roman" w:eastAsia="Times New Roman" w:hAnsi="Times New Roman"/>
          <w:sz w:val="22"/>
          <w:szCs w:val="22"/>
          <w:color w:val="auto"/>
        </w:rPr>
        <w:t>") and may designate any Delegate as responsible for the performance of any of its appointed functions under this letter. Following designation, a Delegate may rely on this letter.</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w:t>
      </w:r>
    </w:p>
    <w:p>
      <w:pPr>
        <w:spacing w:after="0" w:line="224"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This offer to arrange and underwrite the Facility is made on the terms of the Mandate Documents and is subject to satisfaction of the following conditions:</w:t>
      </w:r>
    </w:p>
    <w:p>
      <w:pPr>
        <w:spacing w:after="0" w:line="158"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by the Company with all the terms of each Mandate Document;</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made by the Company or any other member of the Group in connection with the transaction contemplated in the Mandate Documents (including, but not limited to, those set out in paragraph 6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being correct;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preparation, execution and delivery of the Facility Documents by no later than the date falling 60 days after the date of this letter or any later date agreed between the Company and each of the Mandated Lead Arrangers and Underwriters; and</w:t>
      </w:r>
    </w:p>
    <w:p>
      <w:pPr>
        <w:spacing w:after="0" w:line="200" w:lineRule="exact"/>
        <w:rPr>
          <w:sz w:val="20"/>
          <w:szCs w:val="20"/>
          <w:color w:val="auto"/>
        </w:rPr>
      </w:pP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- 2 -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9" w:right="239" w:bottom="1440" w:gutter="0" w:footer="0" w:header="0"/>
        </w:sectPr>
      </w:pPr>
    </w:p>
    <w:bookmarkStart w:id="47" w:name="page48"/>
    <w:bookmarkEnd w:id="47"/>
    <w:p>
      <w:pPr>
        <w:jc w:val="both"/>
        <w:ind w:left="1300" w:hanging="644"/>
        <w:spacing w:after="0" w:line="257"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by each of the Mandated Lead Arrangers and Underwriters of client identification procedures (including, if necessary, identification of directors and major shareholders of the Company) in compliance with applicable money laundering rules.</w:t>
      </w:r>
    </w:p>
    <w:p>
      <w:pPr>
        <w:spacing w:after="0" w:line="16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Underwriting Proportions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The underwriting proportions of each of the Underwriters in respect of the Facility are as follows:</w:t>
      </w:r>
    </w:p>
    <w:p>
      <w:pPr>
        <w:spacing w:after="0" w:line="364" w:lineRule="exact"/>
        <w:rPr>
          <w:sz w:val="20"/>
          <w:szCs w:val="20"/>
          <w:color w:val="auto"/>
        </w:rPr>
      </w:pPr>
    </w:p>
    <w:tbl>
      <w:tblPr>
        <w:tblLayout w:type="fixed"/>
        <w:tblInd w:w="540" w:type="dxa"/>
        <w:tblCellMar>
          <w:top w:w="0" w:type="dxa"/>
          <w:left w:w="0" w:type="dxa"/>
          <w:bottom w:w="0" w:type="dxa"/>
          <w:right w:w="0" w:type="dxa"/>
        </w:tblCellMar>
      </w:tblPr>
      <w:tr>
        <w:trPr>
          <w:trHeight w:val="287"/>
        </w:trPr>
        <w:tc>
          <w:tcPr>
            <w:tcW w:w="4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Underwriter</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Underwriting Proportion (%)</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6"/>
              </w:rPr>
              <w:t>Amount (USD)</w:t>
            </w:r>
          </w:p>
        </w:tc>
      </w:tr>
      <w:tr>
        <w:trPr>
          <w:trHeight w:val="447"/>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Bank of America Merrill Lynch International</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87,500,000</w:t>
            </w:r>
          </w:p>
        </w:tc>
      </w:tr>
      <w:tr>
        <w:trPr>
          <w:trHeight w:val="283"/>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DAC</w:t>
            </w:r>
          </w:p>
        </w:tc>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6"/>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Barclays Bank PLC</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87,500,000</w:t>
            </w:r>
          </w:p>
        </w:tc>
      </w:tr>
      <w:tr>
        <w:trPr>
          <w:trHeight w:val="486"/>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BNP Paribas, London Branch</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87,500,000</w:t>
            </w:r>
          </w:p>
        </w:tc>
      </w:tr>
      <w:tr>
        <w:trPr>
          <w:trHeight w:val="486"/>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Intesa Sanpaolo S.p.A</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87,500,000</w:t>
            </w:r>
          </w:p>
        </w:tc>
      </w:tr>
      <w:tr>
        <w:trPr>
          <w:trHeight w:val="486"/>
        </w:trPr>
        <w:tc>
          <w:tcPr>
            <w:tcW w:w="4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31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100</w:t>
            </w:r>
          </w:p>
        </w:tc>
        <w:tc>
          <w:tcPr>
            <w:tcW w:w="15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350,000,000</w:t>
            </w:r>
          </w:p>
        </w:tc>
      </w:tr>
    </w:tbl>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The obligations of the Mandated Lead Arrangers, Bookrunners and the Underwriters under the Mandate Documents are several. No Mandated Lead Arranger is responsible for the obligations of any other Mandated Lead Arranger. No Bookrunner is responsible for the obligations of any other Bookrunner. No Underwriter is responsible for the obligations of any other Underwriter.</w:t>
      </w:r>
    </w:p>
    <w:p>
      <w:pPr>
        <w:spacing w:after="0" w:line="17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Fees, Costs and Expenses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All fees shall be paid in accordance with the Fee Letter(s) or as set out in the Term Sheet.</w:t>
      </w:r>
    </w:p>
    <w:p>
      <w:pPr>
        <w:spacing w:after="0" w:line="22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The Company shall promptly on demand pay the Agent, the Mandated Lead Arrangers, the Bookrunners and the Underwriters the amount of all costs and expenses (including legal fees) reasonably incurred by any of them in connection with the negotiation, preparation, printing and execution of the Facility Documents and the Mandate Documents whether or not the Facility Documents are signed.The Company acknowledges that each or any of the Mandated Lead Arrangers may receive a benefit, including without limitation, a discount, credit or other accommodation, from any relevant legal counsel based on the legal fees such legal counsel may receive on account of their relationship with the Mandated Lead Arrangers including, without limitation, fees paid pursuant to the Mandate Documents.</w:t>
      </w:r>
    </w:p>
    <w:p>
      <w:pPr>
        <w:spacing w:after="0" w:line="17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under the Mandate Documents: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paid in the currency of invoice and in immediately available, freely transferable cleared funds to such account(s) with such bank(s) as the Mandated Lead Arrangers, the Agent, the Bookrunners or the Underwriters (as applicable) notify to the Company;</w:t>
      </w:r>
    </w:p>
    <w:p>
      <w:pPr>
        <w:spacing w:after="0" w:line="200" w:lineRule="exact"/>
        <w:rPr>
          <w:sz w:val="20"/>
          <w:szCs w:val="20"/>
          <w:color w:val="auto"/>
        </w:rPr>
      </w:pP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- 3 -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9" w:right="239" w:bottom="1440" w:gutter="0" w:footer="0" w:header="0"/>
        </w:sectPr>
      </w:pPr>
    </w:p>
    <w:bookmarkStart w:id="48" w:name="page49"/>
    <w:bookmarkEnd w:id="48"/>
    <w:p>
      <w:pPr>
        <w:jc w:val="both"/>
        <w:ind w:left="1300" w:hanging="644"/>
        <w:spacing w:after="0" w:line="254" w:lineRule="auto"/>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paid without any deduction or withholding for or on account of tax (a "</w:t>
      </w:r>
      <w:r>
        <w:rPr>
          <w:rFonts w:ascii="Times New Roman" w:cs="Times New Roman" w:eastAsia="Times New Roman" w:hAnsi="Times New Roman"/>
          <w:sz w:val="22"/>
          <w:szCs w:val="22"/>
          <w:b w:val="1"/>
          <w:bCs w:val="1"/>
          <w:color w:val="auto"/>
        </w:rPr>
        <w:t>Tax Deduction</w:t>
      </w:r>
      <w:r>
        <w:rPr>
          <w:rFonts w:ascii="Times New Roman" w:cs="Times New Roman" w:eastAsia="Times New Roman" w:hAnsi="Times New Roman"/>
          <w:sz w:val="22"/>
          <w:szCs w:val="22"/>
          <w:color w:val="auto"/>
        </w:rPr>
        <w:t>") unless a Tax Deduction is required by law. If a Tax Deduction is required by law to be made, the amount of the payment due shall be increased to an amount which (after making any Tax Deduction) leaves an amount equal to the payment which would have been due if no Tax Deduction had been required; and</w:t>
      </w:r>
    </w:p>
    <w:p>
      <w:pPr>
        <w:spacing w:after="0" w:line="171"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exclusive of any value added tax or similar charge ("</w:t>
      </w:r>
      <w:r>
        <w:rPr>
          <w:rFonts w:ascii="Times New Roman" w:cs="Times New Roman" w:eastAsia="Times New Roman" w:hAnsi="Times New Roman"/>
          <w:sz w:val="22"/>
          <w:szCs w:val="22"/>
          <w:b w:val="1"/>
          <w:bCs w:val="1"/>
          <w:color w:val="auto"/>
        </w:rPr>
        <w:t>VAT</w:t>
      </w:r>
      <w:r>
        <w:rPr>
          <w:rFonts w:ascii="Times New Roman" w:cs="Times New Roman" w:eastAsia="Times New Roman" w:hAnsi="Times New Roman"/>
          <w:sz w:val="22"/>
          <w:szCs w:val="22"/>
          <w:color w:val="auto"/>
        </w:rPr>
        <w:t>"). If VAT is chargeable, the Company shall also and at the same time pay to the recipient of the relevant payment an amount equal to the amount of the VAT.</w:t>
      </w:r>
    </w:p>
    <w:p>
      <w:pPr>
        <w:spacing w:after="0" w:line="14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Information</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The Company represents and warrants that:</w:t>
      </w:r>
    </w:p>
    <w:p>
      <w:pPr>
        <w:spacing w:after="0" w:line="220" w:lineRule="exact"/>
        <w:rPr>
          <w:sz w:val="20"/>
          <w:szCs w:val="20"/>
          <w:color w:val="auto"/>
        </w:rPr>
      </w:pPr>
    </w:p>
    <w:p>
      <w:pPr>
        <w:jc w:val="both"/>
        <w:ind w:left="1300" w:hanging="644"/>
        <w:spacing w:after="0" w:line="257" w:lineRule="auto"/>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factual information provided to the Mandated Lead Arrangers or the Bookrunners by or on behalf of it or any other member of the Group (the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is true and accurate in all material respects as at the date it is provided or as at the date (if any) at which it is stated;</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has occurred or been omitted and no information has been given or withheld that results in the Information being untrue or misleading in any material respect; and</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projections contained in the Information have been prepared in good faith on the basis of recent historical information and on the basis of reasonable assumptions.</w:t>
      </w:r>
    </w:p>
    <w:p>
      <w:pPr>
        <w:spacing w:after="0" w:line="1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The representations and warranties set out in paragraph 6.1 are deemed to be made by the Company daily by reference to the facts and circumstances then existing commencing on the date of this letter and continuing until the date the Facility Documents are signed.</w:t>
      </w:r>
    </w:p>
    <w:p>
      <w:pPr>
        <w:spacing w:after="0" w:line="17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The Company shall immediately notify the Mandated Lead Arrangers and the Bookrunners in writing if any representation and warranty set out in paragraph 6.1 is incorrect or misleading and agrees to supplement the Information promptly from time to time to ensure that each such representation and warranty is correct when made.</w:t>
      </w:r>
    </w:p>
    <w:p>
      <w:pPr>
        <w:spacing w:after="0" w:line="173"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The Company acknowledges that the Mandated Lead Arrangers, the Bookrunners and the Underwriters will be relying on the Information without carrying out any independent verification.</w:t>
      </w:r>
    </w:p>
    <w:p>
      <w:pPr>
        <w:spacing w:after="0" w:line="15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30" w:lineRule="exact"/>
        <w:rPr>
          <w:sz w:val="20"/>
          <w:szCs w:val="20"/>
          <w:color w:val="auto"/>
        </w:rPr>
      </w:pPr>
    </w:p>
    <w:p>
      <w:pPr>
        <w:jc w:val="both"/>
        <w:ind w:left="1300" w:hanging="644"/>
        <w:spacing w:after="0" w:line="248" w:lineRule="auto"/>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Facility Documents are signed, the Company shall within three Business Days of demand indemnify each Indemnified Person against any cost, expense, loss or liability (including without limitation legal fees) incurred by or awarded against that Indemnified Person in each case arising out of or in connection with any action, claim, investigation or proceeding commenced or</w:t>
      </w: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- 4 -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5" w:right="239" w:bottom="1440" w:gutter="0" w:footer="0" w:header="0"/>
        </w:sectPr>
      </w:pPr>
    </w:p>
    <w:bookmarkStart w:id="49" w:name="page50"/>
    <w:bookmarkEnd w:id="49"/>
    <w:p>
      <w:pPr>
        <w:ind w:left="1300" w:right="20"/>
        <w:spacing w:after="0" w:line="271" w:lineRule="auto"/>
        <w:rPr>
          <w:sz w:val="20"/>
          <w:szCs w:val="20"/>
          <w:color w:val="auto"/>
        </w:rPr>
      </w:pPr>
      <w:r>
        <w:rPr>
          <w:rFonts w:ascii="Times New Roman" w:cs="Times New Roman" w:eastAsia="Times New Roman" w:hAnsi="Times New Roman"/>
          <w:sz w:val="22"/>
          <w:szCs w:val="22"/>
          <w:color w:val="auto"/>
        </w:rPr>
        <w:t>threatened (including, without limitation, any action, claim, investigation or proceeding to preserve or enforce rights) in relation to:</w:t>
      </w:r>
    </w:p>
    <w:p>
      <w:pPr>
        <w:spacing w:after="0" w:line="158" w:lineRule="exact"/>
        <w:rPr>
          <w:sz w:val="20"/>
          <w:szCs w:val="20"/>
          <w:color w:val="auto"/>
        </w:rPr>
      </w:pPr>
    </w:p>
    <w:p>
      <w:pPr>
        <w:ind w:left="1960" w:hanging="655"/>
        <w:spacing w:after="0"/>
        <w:tabs>
          <w:tab w:leader="none" w:pos="19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proceeds of the Facility;</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Mandate Document or any Facility Document; and/or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arranging or underwriting of the Facility.</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be liable under paragraph (a) above for any cost, expense, loss or liability (including without limitation legal fees) incurred by or awarded against an Indemnified Person if that cost, expense, loss or liability results directly from any breach by that Indemnified Person of any Mandate Document or any Facility Document which is in each case finally judicially determined to have resulted directly from the gross negligence or wilful misconduct of that Indemnified Person.</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paragraph 7:</w:t>
      </w:r>
    </w:p>
    <w:p>
      <w:pPr>
        <w:spacing w:after="0" w:line="216"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 means each Mandated Lead Arranger, each Bookrunner, each Underwriter, the Documentation Agent and Coordinator, the Agent, each Lender, in each case, any of their respective Affiliates and each of their (or their respective Affiliates') respective directors, officers, employees and agents.</w:t>
      </w:r>
    </w:p>
    <w:p>
      <w:pPr>
        <w:spacing w:after="0" w:line="171"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No Mandated Lead Arranger, Bookrunner or Underwriter shall have any duty or obligation, whether as fiduciary for any Indemnified Person or otherwise, to recover any payment made or required to be made under paragraph 7.1.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233" w:lineRule="exact"/>
        <w:rPr>
          <w:sz w:val="20"/>
          <w:szCs w:val="20"/>
          <w:color w:val="auto"/>
        </w:rPr>
      </w:pPr>
    </w:p>
    <w:p>
      <w:pPr>
        <w:jc w:val="both"/>
        <w:ind w:left="1300" w:hanging="644"/>
        <w:spacing w:after="0" w:line="249"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no Indemnified Person shall have any liability (whether direct or indirect, in contract or tort or otherwise) to the Company or any of its Affiliates for or in connection with anything referred to in paragraph 7.1 above except, following the Company's agreement to the Mandate Documents, for any such cost, expense, loss or liability incurred by the Company that results directly from any breach by that Indemnified Person of any Mandate Document or any Facility Document which is in each case finally judicially determined to have resulted directly from the gross negligence or wilful misconduct of that Indemnified Person.</w:t>
      </w:r>
    </w:p>
    <w:p>
      <w:pPr>
        <w:spacing w:after="0" w:line="180"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(a) above, no Indemnified Person shall be responsible or have any liability to the Company or any of its Affiliates or anyone else for consequential losses or damages.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to the Mandated Lead Arrangers, the Bookrunners and Underwriters that:</w:t>
      </w:r>
    </w:p>
    <w:p>
      <w:pPr>
        <w:spacing w:after="0" w:line="219" w:lineRule="exact"/>
        <w:rPr>
          <w:rFonts w:ascii="Times New Roman" w:cs="Times New Roman" w:eastAsia="Times New Roman" w:hAnsi="Times New Roman"/>
          <w:sz w:val="22"/>
          <w:szCs w:val="22"/>
          <w:color w:val="auto"/>
        </w:rPr>
      </w:pPr>
    </w:p>
    <w:p>
      <w:pPr>
        <w:ind w:left="1960" w:right="2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acting for its own account and it has made its own independent decisions to enter into the transaction contemplated in the Mandate Documents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and as to whether the Transaction is</w:t>
      </w:r>
    </w:p>
    <w:p>
      <w:pPr>
        <w:spacing w:after="0" w:line="3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- 5 -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9" w:right="239" w:bottom="1440" w:gutter="0" w:footer="0" w:header="0"/>
        </w:sectPr>
      </w:pPr>
    </w:p>
    <w:bookmarkStart w:id="50" w:name="page51"/>
    <w:bookmarkEnd w:id="50"/>
    <w:p>
      <w:pPr>
        <w:ind w:left="1960"/>
        <w:spacing w:after="0" w:line="271" w:lineRule="auto"/>
        <w:rPr>
          <w:sz w:val="20"/>
          <w:szCs w:val="20"/>
          <w:color w:val="auto"/>
        </w:rPr>
      </w:pPr>
      <w:r>
        <w:rPr>
          <w:rFonts w:ascii="Times New Roman" w:cs="Times New Roman" w:eastAsia="Times New Roman" w:hAnsi="Times New Roman"/>
          <w:sz w:val="22"/>
          <w:szCs w:val="22"/>
          <w:color w:val="auto"/>
        </w:rPr>
        <w:t>appropriate or proper for it based upon its own judgement and upon advice from such advisers as it has deemed necessary;</w:t>
      </w:r>
    </w:p>
    <w:p>
      <w:pPr>
        <w:spacing w:after="0" w:line="158" w:lineRule="exact"/>
        <w:rPr>
          <w:sz w:val="20"/>
          <w:szCs w:val="20"/>
          <w:color w:val="auto"/>
        </w:rPr>
      </w:pPr>
    </w:p>
    <w:p>
      <w:pPr>
        <w:jc w:val="both"/>
        <w:ind w:left="1960" w:hanging="655"/>
        <w:spacing w:after="0" w:line="263" w:lineRule="auto"/>
        <w:tabs>
          <w:tab w:leader="none" w:pos="19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relying on any communication (written or oral) from any or all of the Mandated Lead Arrangers, the Bookrunners or Underwriters as investment advice or as a recommendation to enter into the Transaction, it being understood that information and explanations related to the terms and conditions of the Transaction shall not be considered investment advice or a recommendation to enter into the Transaction. No communication (written or oral) received from any or all of the Mandated Lead Arrangers, Bookrunners or Underwriters shall be deemed to be an assurance or guarantee as to the expected results of the Transaction;</w:t>
      </w:r>
    </w:p>
    <w:p>
      <w:pPr>
        <w:spacing w:after="0" w:line="167" w:lineRule="exact"/>
        <w:rPr>
          <w:rFonts w:ascii="Times New Roman" w:cs="Times New Roman" w:eastAsia="Times New Roman" w:hAnsi="Times New Roman"/>
          <w:sz w:val="21"/>
          <w:szCs w:val="21"/>
          <w:color w:val="auto"/>
        </w:rPr>
      </w:pPr>
    </w:p>
    <w:p>
      <w:pPr>
        <w:jc w:val="both"/>
        <w:ind w:left="1960" w:hanging="655"/>
        <w:spacing w:after="0" w:line="257" w:lineRule="auto"/>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assessing the merits of and understanding (on its own behalf or through independent professional advice), and understands and accepts, the terms, conditions and risks of the Transaction. It is also capable of assuming, and assumes, the risks of the Transaction; and</w:t>
      </w:r>
    </w:p>
    <w:p>
      <w:pPr>
        <w:spacing w:after="0" w:line="173"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Mandated Lead Arranger, Bookrunner or Underwriter is acting as a fiduciary for or as an adviser to it in connection with the Transaction.</w:t>
      </w:r>
    </w:p>
    <w:p>
      <w:pPr>
        <w:spacing w:after="0" w:line="158"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The Contracts (Rights of Third Parties) Act 1999 shall apply to this paragraph 7 but only for the benefit of the other Indemnified Persons, subject always to the terms of paragraphs 15.2 and 17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p>
    <w:p>
      <w:pPr>
        <w:spacing w:after="0" w:line="223"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the Mandate Documents are confidential and the Company shall not, and shall ensure that no other member of the Group shall, without the prior written consent of each of the Mandated Lead Arrangers, the Bookrunners and Underwriters, disclose the Mandate Documents or their contents to any other person except:</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law or by any applicable governmental or other regulatory authority or by any applicable stock exchange; and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employees or professional advisers for the purposes of the Facility who have been made aware of and agree to be bound by the obligations under this paragraph or are in any event subject to confidentiality obligations as a matter of law or professional practice.</w:t>
      </w:r>
    </w:p>
    <w:p>
      <w:pPr>
        <w:spacing w:after="0" w:line="16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Publicity/Announcements</w:t>
      </w:r>
    </w:p>
    <w:p>
      <w:pPr>
        <w:spacing w:after="0" w:line="224" w:lineRule="exact"/>
        <w:rPr>
          <w:sz w:val="20"/>
          <w:szCs w:val="20"/>
          <w:color w:val="auto"/>
        </w:rPr>
      </w:pPr>
    </w:p>
    <w:p>
      <w:pPr>
        <w:jc w:val="both"/>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All publicity in connection with the Facility shall be managed by the Mandated Lead Arrangers in consultation with the Company.</w:t>
      </w:r>
    </w:p>
    <w:p>
      <w:pPr>
        <w:spacing w:after="0" w:line="1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No announcements regarding the Facility or any roles as arranger, underwriter, bookrunner, lender or agent shall be made without the prior written consent of the Company and each of the Mandated Lead Arrangers, Bookrunners and Underwriters.</w:t>
      </w:r>
    </w:p>
    <w:p>
      <w:pPr>
        <w:spacing w:after="0" w:line="200" w:lineRule="exact"/>
        <w:rPr>
          <w:sz w:val="20"/>
          <w:szCs w:val="20"/>
          <w:color w:val="auto"/>
        </w:rPr>
      </w:pP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- 6 -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9" w:right="239" w:bottom="1440" w:gutter="0" w:footer="0" w:header="0"/>
        </w:sectPr>
      </w:pPr>
    </w:p>
    <w:bookmarkStart w:id="51" w:name="page52"/>
    <w:bookmarkEnd w:id="51"/>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Conflicts</w:t>
      </w:r>
    </w:p>
    <w:p>
      <w:pPr>
        <w:spacing w:after="0" w:line="224"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10.1</w:t>
        <w:tab/>
        <w:t>The Company and each Mandated Lead Arranger, Bookrunner and Underwriter acknowledges that the Mandated Lead Arrangers or their Affiliates, the Bookrunners or their Affiliates and the Underwriters or their Affiliates may provide debt financing, equity capital or other services to other persons with whom the Company or its Affiliates may have conflicting interests in respect of the Facility in this or other transactions.</w:t>
      </w:r>
    </w:p>
    <w:p>
      <w:pPr>
        <w:spacing w:after="0" w:line="18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10.2</w:t>
        <w:tab/>
        <w:t>The Company and each Mandated Lead Arranger, Bookrunner and Underwriter acknowledges that the Mandated Lead Arrangers or their Affiliates, the Bookrunners or their Affiliates and the Underwriters or their Affiliates may act in more than one capacity in relation to this transaction and may have conflicting interests in respect of such different capacities.</w:t>
      </w:r>
    </w:p>
    <w:p>
      <w:pPr>
        <w:spacing w:after="0" w:line="17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10.3</w:t>
        <w:tab/>
        <w:t>The Mandated Lead Arrangers, Bookrunners and Underwriters shall not use confidential information obtained from the Company or its Affiliates for the purposes of the Facility in connection with providing services to other persons or furnish such information to such other persons.</w:t>
      </w:r>
    </w:p>
    <w:p>
      <w:pPr>
        <w:spacing w:after="0" w:line="17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10.4</w:t>
        <w:tab/>
        <w:t>The Company acknowledges that the Mandated Lead Arrangers, Bookrunners and Underwriters have no obligation to use any information obtained from another source for the purposes of the Facility or to furnish such information to the Company or its Affiliates.</w:t>
      </w:r>
    </w:p>
    <w:p>
      <w:pPr>
        <w:spacing w:after="0" w:line="16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Assignments</w:t>
      </w:r>
    </w:p>
    <w:p>
      <w:pPr>
        <w:spacing w:after="0" w:line="224"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11.1</w:t>
        <w:tab/>
        <w:t>The Company shall not assign any of its rights or transfer any of its rights or obligations under the Mandate Documents without the prior written consent of each of the Mandated Lead Arrangers, the Bookrunners and Underwriters.</w:t>
      </w:r>
    </w:p>
    <w:p>
      <w:pPr>
        <w:spacing w:after="0" w:line="15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p>
    <w:p>
      <w:pPr>
        <w:spacing w:after="0" w:line="224"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12.1</w:t>
        <w:tab/>
        <w:t>If the Company does not accept the offer made by each of the Mandated Lead Arrangers, Bookrunners and Underwriters in this letter by countersigning this letter and the Fee Letter setting out the Upfront Fee referred to in the Term Sheet before close of business in London on the date falling five Business Days after the date of this letter, such offer shall terminate on that date.</w:t>
      </w:r>
    </w:p>
    <w:p>
      <w:pPr>
        <w:spacing w:after="0" w:line="18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12.2</w:t>
        <w:tab/>
        <w:t>Any Mandated Lead Arranger, Bookrunner or Underwriter may terminate its obligations under this letter with immediate effect by notifying the Company and the other Mandated Lead Arranger(s), Bookrunner(s) and Underwriter(s) if in its opinion, any of the conditions set out in paragraph 2 (</w:t>
      </w: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is not satisfied;</w:t>
      </w:r>
    </w:p>
    <w:p>
      <w:pPr>
        <w:spacing w:after="0" w:line="16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Survival</w:t>
      </w:r>
    </w:p>
    <w:p>
      <w:pPr>
        <w:spacing w:after="0" w:line="220" w:lineRule="exact"/>
        <w:rPr>
          <w:sz w:val="20"/>
          <w:szCs w:val="20"/>
          <w:color w:val="auto"/>
        </w:rPr>
      </w:pPr>
    </w:p>
    <w:p>
      <w:pPr>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13.1</w:t>
        <w:tab/>
        <w:t>Except for paragraphs 2 (</w:t>
      </w: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3 (</w:t>
      </w:r>
      <w:r>
        <w:rPr>
          <w:rFonts w:ascii="Times New Roman" w:cs="Times New Roman" w:eastAsia="Times New Roman" w:hAnsi="Times New Roman"/>
          <w:sz w:val="22"/>
          <w:szCs w:val="22"/>
          <w:i w:val="1"/>
          <w:iCs w:val="1"/>
          <w:color w:val="auto"/>
        </w:rPr>
        <w:t>Underwriting Proportions</w:t>
      </w:r>
      <w:r>
        <w:rPr>
          <w:rFonts w:ascii="Times New Roman" w:cs="Times New Roman" w:eastAsia="Times New Roman" w:hAnsi="Times New Roman"/>
          <w:sz w:val="22"/>
          <w:szCs w:val="22"/>
          <w:color w:val="auto"/>
        </w:rPr>
        <w:t>) and 12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the terms of this letter shall survive and continue after the Facility Documents are signed.</w:t>
      </w:r>
    </w:p>
    <w:p>
      <w:pPr>
        <w:spacing w:after="0" w:line="38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- 7 -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1420"/>
          </w:cols>
          <w:pgMar w:left="240" w:top="365" w:right="239" w:bottom="1440" w:gutter="0" w:footer="0" w:header="0"/>
        </w:sectPr>
      </w:pPr>
    </w:p>
    <w:bookmarkStart w:id="52" w:name="page53"/>
    <w:bookmarkEnd w:id="52"/>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13.2</w:t>
        <w:tab/>
        <w:t>Without prejudice to paragraph 13.1, paragraphs 4 (</w:t>
      </w:r>
      <w:r>
        <w:rPr>
          <w:rFonts w:ascii="Times New Roman" w:cs="Times New Roman" w:eastAsia="Times New Roman" w:hAnsi="Times New Roman"/>
          <w:sz w:val="22"/>
          <w:szCs w:val="22"/>
          <w:i w:val="1"/>
          <w:iCs w:val="1"/>
          <w:color w:val="auto"/>
        </w:rPr>
        <w:t>Fees, Costs and Expenses</w:t>
      </w:r>
      <w:r>
        <w:rPr>
          <w:rFonts w:ascii="Times New Roman" w:cs="Times New Roman" w:eastAsia="Times New Roman" w:hAnsi="Times New Roman"/>
          <w:sz w:val="22"/>
          <w:szCs w:val="22"/>
          <w:color w:val="auto"/>
        </w:rPr>
        <w:t>), 5 (</w:t>
      </w: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7 (</w:t>
      </w:r>
      <w:r>
        <w:rPr>
          <w:rFonts w:ascii="Times New Roman" w:cs="Times New Roman" w:eastAsia="Times New Roman" w:hAnsi="Times New Roman"/>
          <w:sz w:val="22"/>
          <w:szCs w:val="22"/>
          <w:i w:val="1"/>
          <w:iCs w:val="1"/>
          <w:color w:val="auto"/>
        </w:rPr>
        <w:t>Indemnity</w:t>
      </w:r>
      <w:r>
        <w:rPr>
          <w:rFonts w:ascii="Times New Roman" w:cs="Times New Roman" w:eastAsia="Times New Roman" w:hAnsi="Times New Roman"/>
          <w:sz w:val="22"/>
          <w:szCs w:val="22"/>
          <w:color w:val="auto"/>
        </w:rPr>
        <w:t>), 8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9 (</w:t>
      </w:r>
      <w:r>
        <w:rPr>
          <w:rFonts w:ascii="Times New Roman" w:cs="Times New Roman" w:eastAsia="Times New Roman" w:hAnsi="Times New Roman"/>
          <w:sz w:val="22"/>
          <w:szCs w:val="22"/>
          <w:i w:val="1"/>
          <w:iCs w:val="1"/>
          <w:color w:val="auto"/>
        </w:rPr>
        <w:t>Publicity/Announcements</w:t>
      </w:r>
      <w:r>
        <w:rPr>
          <w:rFonts w:ascii="Times New Roman" w:cs="Times New Roman" w:eastAsia="Times New Roman" w:hAnsi="Times New Roman"/>
          <w:sz w:val="22"/>
          <w:szCs w:val="22"/>
          <w:color w:val="auto"/>
        </w:rPr>
        <w:t>), 10 (</w:t>
      </w:r>
      <w:r>
        <w:rPr>
          <w:rFonts w:ascii="Times New Roman" w:cs="Times New Roman" w:eastAsia="Times New Roman" w:hAnsi="Times New Roman"/>
          <w:sz w:val="22"/>
          <w:szCs w:val="22"/>
          <w:i w:val="1"/>
          <w:iCs w:val="1"/>
          <w:color w:val="auto"/>
        </w:rPr>
        <w:t>Conflicts</w:t>
      </w:r>
      <w:r>
        <w:rPr>
          <w:rFonts w:ascii="Times New Roman" w:cs="Times New Roman" w:eastAsia="Times New Roman" w:hAnsi="Times New Roman"/>
          <w:sz w:val="22"/>
          <w:szCs w:val="22"/>
          <w:color w:val="auto"/>
        </w:rPr>
        <w:t>) and 12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xml:space="preserve"> to 17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inclusive shall survive and continue after any termination of the obligations of any Mandated Lead Arranger, Bookrunner or Underwriter under the Mandate Documents.</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p>
    <w:p>
      <w:pPr>
        <w:spacing w:after="0" w:line="22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14.1</w:t>
        <w:tab/>
        <w:t>The Mandate Documents set out the entire agreement between the Company, the Mandated Lead Arrangers, the Bookrunners and the Underwriters as to arranging and underwriting the Facility and supersede any prior oral and/or written understandings or arrangements relating to the Facility.</w:t>
      </w:r>
    </w:p>
    <w:p>
      <w:pPr>
        <w:spacing w:after="0" w:line="173"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14.2</w:t>
        <w:tab/>
        <w:t>Any provision of a Mandate Document may only be amended or waived in writing signed by the Company and each of the Mandated Lead Arrangers, Bookrunners and Underwriters.</w:t>
      </w:r>
    </w:p>
    <w:p>
      <w:pPr>
        <w:spacing w:after="0" w:line="15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Third Party Rights</w:t>
      </w:r>
    </w:p>
    <w:p>
      <w:pPr>
        <w:spacing w:after="0" w:line="224"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15.1</w:t>
        <w:tab/>
        <w:t>Unless expressly provided to the contrary in this letter, a person who is not a party to this letter has no right under the Contracts (Rights of Third Parties) Act 1999 to enforce or to enjoy the benefit of any of its terms.</w:t>
      </w:r>
    </w:p>
    <w:p>
      <w:pPr>
        <w:spacing w:after="0" w:line="158"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15.2</w:t>
        <w:tab/>
        <w:t>Notwithstanding any term of this letter, the consent of any person who is not a party to this letter is not required to rescind or vary this letter at any time.</w:t>
      </w:r>
    </w:p>
    <w:p>
      <w:pPr>
        <w:spacing w:after="0" w:line="15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p>
    <w:p>
      <w:pPr>
        <w:spacing w:after="0" w:line="22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may be executed in any number of counterparts and this has the same effect as if the signatures on the counterparts were on a single copy of this letter.</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 and Jurisdiction</w:t>
      </w:r>
    </w:p>
    <w:p>
      <w:pPr>
        <w:spacing w:after="0" w:line="22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17.1</w:t>
        <w:tab/>
        <w:t>This letter (including the agreement constituted by your acknowledgement of its terms) (the "</w:t>
      </w:r>
      <w:r>
        <w:rPr>
          <w:rFonts w:ascii="Times New Roman" w:cs="Times New Roman" w:eastAsia="Times New Roman" w:hAnsi="Times New Roman"/>
          <w:sz w:val="22"/>
          <w:szCs w:val="22"/>
          <w:b w:val="1"/>
          <w:bCs w:val="1"/>
          <w:color w:val="auto"/>
        </w:rPr>
        <w:t>Letter</w:t>
      </w:r>
      <w:r>
        <w:rPr>
          <w:rFonts w:ascii="Times New Roman" w:cs="Times New Roman" w:eastAsia="Times New Roman" w:hAnsi="Times New Roman"/>
          <w:sz w:val="22"/>
          <w:szCs w:val="22"/>
          <w:color w:val="auto"/>
        </w:rPr>
        <w:t>") and any non-contractual obligations arising out of or in connection with it (including any non-contractual obligations arising out of the negotiation of the transaction contemplated by this Letter) are governed by English law.</w:t>
      </w:r>
    </w:p>
    <w:p>
      <w:pPr>
        <w:spacing w:after="0" w:line="171" w:lineRule="exact"/>
        <w:rPr>
          <w:sz w:val="20"/>
          <w:szCs w:val="20"/>
          <w:color w:val="auto"/>
        </w:rPr>
      </w:pPr>
    </w:p>
    <w:p>
      <w:pPr>
        <w:jc w:val="both"/>
        <w:ind w:left="660" w:right="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17.2</w:t>
        <w:tab/>
        <w:t>The courts of England have non-exclusive jurisdiction to settle any dispute arising out of or in connection with this Letter (including a dispute relating to any non-contractual obligation arising out of or in connection with either this Letter or the negotiation of the transaction contemplated by this Letter).</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If you agree to the above, please acknowledge your agreement and acceptance of the offer by signing and returning the enclosed copy of this letter to Jason Rapley at jason.rapley@baml.com.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Pepper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25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Bank of America Merrill Lynch International DAC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Mandated Lead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Pepper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25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Bank of America Merrill Lynch International DAC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Bookrunner</w:t>
      </w:r>
    </w:p>
    <w:p>
      <w:pPr>
        <w:sectPr>
          <w:pgSz w:w="11900" w:h="16838" w:orient="portrait"/>
          <w:cols w:equalWidth="0" w:num="1">
            <w:col w:w="11420"/>
          </w:cols>
          <w:pgMar w:left="240" w:top="365" w:right="239" w:bottom="529"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/s/ David Pepper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25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Bank of America Merrill Lynch International DAC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Joyner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Barclays Bank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Mandated Lead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Joyner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Barclays Bank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Joyner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Barclays Bank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Redferne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BNP Paribas, London Branch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Mandated Lead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Redferne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BNP Paribas, London Branch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Bookrunner</w:t>
      </w:r>
    </w:p>
    <w:p>
      <w:pPr>
        <w:sectPr>
          <w:pgSz w:w="11900" w:h="16838" w:orient="portrait"/>
          <w:cols w:equalWidth="0" w:num="1">
            <w:col w:w="10219"/>
          </w:cols>
          <w:pgMar w:left="240" w:top="5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Michael Redferne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ectPr>
          <w:pgSz w:w="11900" w:h="16838" w:orient="portrait"/>
          <w:cols w:equalWidth="0" w:num="1">
            <w:col w:w="10219"/>
          </w:cols>
          <w:pgMar w:left="240" w:top="598" w:right="14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BNP Paribas, London Branch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7"/>
              </w:rPr>
              <w:t>/s/ Stefano Boniello</w:t>
            </w:r>
          </w:p>
        </w:tc>
        <w:tc>
          <w:tcPr>
            <w:tcW w:w="2640" w:type="dxa"/>
            <w:vAlign w:val="bottom"/>
          </w:tcPr>
          <w:p>
            <w:pPr>
              <w:spacing w:after="0"/>
              <w:rPr>
                <w:sz w:val="22"/>
                <w:szCs w:val="22"/>
                <w:color w:val="auto"/>
              </w:rPr>
            </w:pP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/s/ Guido Austoni</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line="20" w:lineRule="exact"/>
              <w:rPr>
                <w:sz w:val="1"/>
                <w:szCs w:val="1"/>
                <w:color w:val="auto"/>
              </w:rPr>
            </w:pPr>
          </w:p>
        </w:tc>
      </w:tr>
      <w:tr>
        <w:trPr>
          <w:trHeight w:val="232"/>
        </w:trPr>
        <w:tc>
          <w:tcPr>
            <w:tcW w:w="4360" w:type="dxa"/>
            <w:vAlign w:val="bottom"/>
            <w:gridSpan w:val="2"/>
          </w:tcPr>
          <w:p>
            <w:pPr>
              <w:spacing w:after="0" w:line="232" w:lineRule="exact"/>
              <w:rPr>
                <w:sz w:val="20"/>
                <w:szCs w:val="20"/>
                <w:color w:val="auto"/>
              </w:rPr>
            </w:pPr>
            <w:r>
              <w:rPr>
                <w:rFonts w:ascii="Times New Roman" w:cs="Times New Roman" w:eastAsia="Times New Roman" w:hAnsi="Times New Roman"/>
                <w:sz w:val="22"/>
                <w:szCs w:val="22"/>
                <w:color w:val="auto"/>
              </w:rPr>
              <w:t>For and on behalf of</w:t>
            </w:r>
          </w:p>
        </w:tc>
        <w:tc>
          <w:tcPr>
            <w:tcW w:w="1340" w:type="dxa"/>
            <w:vAlign w:val="bottom"/>
            <w:vMerge w:val="continue"/>
          </w:tcPr>
          <w:p>
            <w:pPr>
              <w:spacing w:after="0"/>
              <w:rPr>
                <w:sz w:val="20"/>
                <w:szCs w:val="20"/>
                <w:color w:val="auto"/>
              </w:rPr>
            </w:pPr>
          </w:p>
        </w:tc>
        <w:tc>
          <w:tcPr>
            <w:tcW w:w="15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w w:val="97"/>
              </w:rPr>
              <w:t>For and on behalf</w:t>
            </w:r>
          </w:p>
        </w:tc>
        <w:tc>
          <w:tcPr>
            <w:tcW w:w="2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5800" w:type="dxa"/>
            <w:vAlign w:val="bottom"/>
            <w:gridSpan w:val="3"/>
          </w:tcPr>
          <w:p>
            <w:pPr>
              <w:ind w:left="1340"/>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 Mandated Lead Arranger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as Mandated Lead Arranger</w:t>
            </w:r>
          </w:p>
        </w:tc>
        <w:tc>
          <w:tcPr>
            <w:tcW w:w="0" w:type="dxa"/>
            <w:vAlign w:val="bottom"/>
          </w:tcPr>
          <w:p>
            <w:pPr>
              <w:spacing w:after="0"/>
              <w:rPr>
                <w:sz w:val="1"/>
                <w:szCs w:val="1"/>
                <w:color w:val="auto"/>
              </w:rPr>
            </w:pPr>
          </w:p>
        </w:tc>
      </w:tr>
      <w:tr>
        <w:trPr>
          <w:trHeight w:val="420"/>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Stefano Boniello</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Name: Guido Austoni</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Global Relationship manager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w w:val="97"/>
              </w:rPr>
              <w:t>Title: Global Head of Basic Materials &amp; Healthcare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7"/>
              </w:rPr>
              <w:t>/s/ Stefano Boniello</w:t>
            </w:r>
          </w:p>
        </w:tc>
        <w:tc>
          <w:tcPr>
            <w:tcW w:w="2640" w:type="dxa"/>
            <w:vAlign w:val="bottom"/>
          </w:tcPr>
          <w:p>
            <w:pPr>
              <w:spacing w:after="0"/>
              <w:rPr>
                <w:sz w:val="22"/>
                <w:szCs w:val="22"/>
                <w:color w:val="auto"/>
              </w:rPr>
            </w:pP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/s/ Guido Austoni</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line="20" w:lineRule="exact"/>
              <w:rPr>
                <w:sz w:val="1"/>
                <w:szCs w:val="1"/>
                <w:color w:val="auto"/>
              </w:rPr>
            </w:pPr>
          </w:p>
        </w:tc>
      </w:tr>
      <w:tr>
        <w:trPr>
          <w:trHeight w:val="232"/>
        </w:trPr>
        <w:tc>
          <w:tcPr>
            <w:tcW w:w="4360" w:type="dxa"/>
            <w:vAlign w:val="bottom"/>
            <w:gridSpan w:val="2"/>
          </w:tcPr>
          <w:p>
            <w:pPr>
              <w:spacing w:after="0" w:line="232" w:lineRule="exact"/>
              <w:rPr>
                <w:sz w:val="20"/>
                <w:szCs w:val="20"/>
                <w:color w:val="auto"/>
              </w:rPr>
            </w:pPr>
            <w:r>
              <w:rPr>
                <w:rFonts w:ascii="Times New Roman" w:cs="Times New Roman" w:eastAsia="Times New Roman" w:hAnsi="Times New Roman"/>
                <w:sz w:val="22"/>
                <w:szCs w:val="22"/>
                <w:color w:val="auto"/>
              </w:rPr>
              <w:t>For and on behalf of</w:t>
            </w:r>
          </w:p>
        </w:tc>
        <w:tc>
          <w:tcPr>
            <w:tcW w:w="1340" w:type="dxa"/>
            <w:vAlign w:val="bottom"/>
            <w:vMerge w:val="continue"/>
          </w:tcPr>
          <w:p>
            <w:pPr>
              <w:spacing w:after="0"/>
              <w:rPr>
                <w:sz w:val="20"/>
                <w:szCs w:val="20"/>
                <w:color w:val="auto"/>
              </w:rPr>
            </w:pPr>
          </w:p>
        </w:tc>
        <w:tc>
          <w:tcPr>
            <w:tcW w:w="15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w w:val="97"/>
              </w:rPr>
              <w:t>For and on behalf</w:t>
            </w:r>
          </w:p>
        </w:tc>
        <w:tc>
          <w:tcPr>
            <w:tcW w:w="2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5800" w:type="dxa"/>
            <w:vAlign w:val="bottom"/>
            <w:gridSpan w:val="3"/>
          </w:tcPr>
          <w:p>
            <w:pPr>
              <w:ind w:left="1340"/>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 Bookrunner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as Bookrunner</w:t>
            </w:r>
          </w:p>
        </w:tc>
        <w:tc>
          <w:tcPr>
            <w:tcW w:w="0" w:type="dxa"/>
            <w:vAlign w:val="bottom"/>
          </w:tcPr>
          <w:p>
            <w:pPr>
              <w:spacing w:after="0"/>
              <w:rPr>
                <w:sz w:val="1"/>
                <w:szCs w:val="1"/>
                <w:color w:val="auto"/>
              </w:rPr>
            </w:pPr>
          </w:p>
        </w:tc>
      </w:tr>
      <w:tr>
        <w:trPr>
          <w:trHeight w:val="420"/>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Stefano Boniello</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Name: Guido Austoni</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Global Relationship manager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w w:val="97"/>
              </w:rPr>
              <w:t>Title: Global Head of Basic Materials &amp; Healthcare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7"/>
              </w:rPr>
              <w:t>/s/ Stefano Boniello</w:t>
            </w:r>
          </w:p>
        </w:tc>
        <w:tc>
          <w:tcPr>
            <w:tcW w:w="2640" w:type="dxa"/>
            <w:vAlign w:val="bottom"/>
          </w:tcPr>
          <w:p>
            <w:pPr>
              <w:spacing w:after="0"/>
              <w:rPr>
                <w:sz w:val="21"/>
                <w:szCs w:val="21"/>
                <w:color w:val="auto"/>
              </w:rPr>
            </w:pP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/s/ Guido Austoni</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line="20" w:lineRule="exact"/>
              <w:rPr>
                <w:sz w:val="1"/>
                <w:szCs w:val="1"/>
                <w:color w:val="auto"/>
              </w:rPr>
            </w:pPr>
          </w:p>
        </w:tc>
      </w:tr>
      <w:tr>
        <w:trPr>
          <w:trHeight w:val="232"/>
        </w:trPr>
        <w:tc>
          <w:tcPr>
            <w:tcW w:w="4360" w:type="dxa"/>
            <w:vAlign w:val="bottom"/>
            <w:gridSpan w:val="2"/>
          </w:tcPr>
          <w:p>
            <w:pPr>
              <w:spacing w:after="0" w:line="232" w:lineRule="exact"/>
              <w:rPr>
                <w:sz w:val="20"/>
                <w:szCs w:val="20"/>
                <w:color w:val="auto"/>
              </w:rPr>
            </w:pPr>
            <w:r>
              <w:rPr>
                <w:rFonts w:ascii="Times New Roman" w:cs="Times New Roman" w:eastAsia="Times New Roman" w:hAnsi="Times New Roman"/>
                <w:sz w:val="22"/>
                <w:szCs w:val="22"/>
                <w:color w:val="auto"/>
              </w:rPr>
              <w:t>For and on behalf of</w:t>
            </w:r>
          </w:p>
        </w:tc>
        <w:tc>
          <w:tcPr>
            <w:tcW w:w="1340" w:type="dxa"/>
            <w:vAlign w:val="bottom"/>
            <w:vMerge w:val="continue"/>
          </w:tcPr>
          <w:p>
            <w:pPr>
              <w:spacing w:after="0"/>
              <w:rPr>
                <w:sz w:val="20"/>
                <w:szCs w:val="20"/>
                <w:color w:val="auto"/>
              </w:rPr>
            </w:pPr>
          </w:p>
        </w:tc>
        <w:tc>
          <w:tcPr>
            <w:tcW w:w="15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w w:val="97"/>
              </w:rPr>
              <w:t>For and on behalf</w:t>
            </w:r>
          </w:p>
        </w:tc>
        <w:tc>
          <w:tcPr>
            <w:tcW w:w="2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5800" w:type="dxa"/>
            <w:vAlign w:val="bottom"/>
            <w:gridSpan w:val="3"/>
          </w:tcPr>
          <w:p>
            <w:pPr>
              <w:ind w:left="1340"/>
              <w:spacing w:after="0" w:line="247" w:lineRule="exact"/>
              <w:rPr>
                <w:sz w:val="20"/>
                <w:szCs w:val="20"/>
                <w:color w:val="auto"/>
              </w:rPr>
            </w:pPr>
            <w:r>
              <w:rPr>
                <w:rFonts w:ascii="Times New Roman" w:cs="Times New Roman" w:eastAsia="Times New Roman" w:hAnsi="Times New Roman"/>
                <w:sz w:val="22"/>
                <w:szCs w:val="22"/>
                <w:b w:val="1"/>
                <w:bCs w:val="1"/>
                <w:color w:val="auto"/>
              </w:rPr>
              <w:t>Intesa Sanpaolo S.p.A</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 Underwriter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as Underwriter</w:t>
            </w:r>
          </w:p>
        </w:tc>
        <w:tc>
          <w:tcPr>
            <w:tcW w:w="0" w:type="dxa"/>
            <w:vAlign w:val="bottom"/>
          </w:tcPr>
          <w:p>
            <w:pPr>
              <w:spacing w:after="0"/>
              <w:rPr>
                <w:sz w:val="1"/>
                <w:szCs w:val="1"/>
                <w:color w:val="auto"/>
              </w:rPr>
            </w:pPr>
          </w:p>
        </w:tc>
      </w:tr>
      <w:tr>
        <w:trPr>
          <w:trHeight w:val="447"/>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Stefano Boniello</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rPr>
              <w:t>Name: Guido Austoni</w:t>
            </w: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Global Relationship manager</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22"/>
                <w:szCs w:val="22"/>
                <w:color w:val="auto"/>
                <w:w w:val="97"/>
              </w:rPr>
              <w:t>Title: Global Head of Basic Materials &amp; Healthcare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Jason Rapley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Bank of America Merrill Lynch International DAC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Documentation Agent and Coordinator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Joyner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Barclays Bank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Agent</w:t>
      </w:r>
    </w:p>
    <w:p>
      <w:pPr>
        <w:sectPr>
          <w:pgSz w:w="11900" w:h="16838" w:orient="portrait"/>
          <w:cols w:equalWidth="0" w:num="1">
            <w:col w:w="10219"/>
          </w:cols>
          <w:pgMar w:left="240" w:top="122"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acknowledge and agree to the above:</w:t>
      </w:r>
    </w:p>
    <w:p>
      <w:pPr>
        <w:sectPr>
          <w:pgSz w:w="11900" w:h="16838" w:orient="portrait"/>
          <w:cols w:equalWidth="0" w:num="1">
            <w:col w:w="10219"/>
          </w:cols>
          <w:pgMar w:left="240" w:top="122" w:right="1440" w:bottom="159"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2"/>
          <w:szCs w:val="22"/>
          <w:u w:val="single" w:color="auto"/>
          <w:color w:val="auto"/>
        </w:rPr>
        <w:t>/s/ Thad Huston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LivaNova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the Company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Thad Huston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25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Term Sheet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TERM SHEET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USD350,000,000 FACILITY FOR LIVANOVA PLC</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The provision of the Facility is subject to the terms and conditions of the Commitment Letter and satisfactory documentation.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PARTIES</w:t>
      </w:r>
    </w:p>
    <w:p>
      <w:pPr>
        <w:sectPr>
          <w:pgSz w:w="11900" w:h="16838" w:orient="portrait"/>
          <w:cols w:equalWidth="0" w:num="1">
            <w:col w:w="11400"/>
          </w:cols>
          <w:pgMar w:left="240" w:top="1192" w:right="259" w:bottom="0" w:gutter="0" w:footer="0" w:header="0"/>
        </w:sect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LivaNova PLC</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Mandated Lead Arrangers and Bookrunners: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Bank of America Merrill Lynch International DAC, Barclays Bank PLC, BNP Paribas, London Branch and Intesa Sanpaolo S.p.A.</w:t>
      </w:r>
    </w:p>
    <w:p>
      <w:pPr>
        <w:spacing w:after="0" w:line="200" w:lineRule="exact"/>
        <w:rPr>
          <w:sz w:val="20"/>
          <w:szCs w:val="20"/>
          <w:color w:val="auto"/>
        </w:rPr>
      </w:pPr>
    </w:p>
    <w:p>
      <w:pPr>
        <w:sectPr>
          <w:pgSz w:w="11900" w:h="16838" w:orient="portrait"/>
          <w:cols w:equalWidth="0" w:num="2">
            <w:col w:w="3900" w:space="700"/>
            <w:col w:w="6800"/>
          </w:cols>
          <w:pgMar w:left="240" w:top="1192" w:right="25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Lenders: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selected by the Mandated Lead Arrangers in consultation with the Company.</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Documentation Agent and Coordinator: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of America Merrill Lynch International DAC</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Agent: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Barclays Bank PLC.</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Group:</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and its Subsidiaries for the time being.</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FACILITY</w:t>
      </w:r>
    </w:p>
    <w:p>
      <w:pPr>
        <w:sectPr>
          <w:pgSz w:w="11900" w:h="16838" w:orient="portrait"/>
          <w:cols w:equalWidth="0" w:num="1">
            <w:col w:w="11400"/>
          </w:cols>
          <w:pgMar w:left="240" w:top="1192" w:right="259" w:bottom="0" w:gutter="0" w:footer="0" w:header="0"/>
          <w:type w:val="continuous"/>
        </w:sect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Facility: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9"/>
          <w:szCs w:val="19"/>
          <w:color w:val="auto"/>
        </w:rPr>
        <w:t>Multicurrency term loan facility.</w:t>
      </w:r>
    </w:p>
    <w:p>
      <w:pPr>
        <w:spacing w:after="0" w:line="200" w:lineRule="exact"/>
        <w:rPr>
          <w:sz w:val="20"/>
          <w:szCs w:val="20"/>
          <w:color w:val="auto"/>
        </w:rPr>
      </w:pPr>
    </w:p>
    <w:p>
      <w:pPr>
        <w:sectPr>
          <w:pgSz w:w="11900" w:h="16838" w:orient="portrait"/>
          <w:cols w:equalWidth="0" w:num="2">
            <w:col w:w="3880" w:space="720"/>
            <w:col w:w="6800"/>
          </w:cols>
          <w:pgMar w:left="240" w:top="1192" w:right="259" w:bottom="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Amount: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USD350,000,000 to be made available in two tranches (each a “</w:t>
      </w:r>
      <w:r>
        <w:rPr>
          <w:rFonts w:ascii="Times New Roman" w:cs="Times New Roman" w:eastAsia="Times New Roman" w:hAnsi="Times New Roman"/>
          <w:sz w:val="20"/>
          <w:szCs w:val="20"/>
          <w:b w:val="1"/>
          <w:bCs w:val="1"/>
          <w:color w:val="auto"/>
        </w:rPr>
        <w:t>Tranche</w:t>
      </w:r>
      <w:r>
        <w:rPr>
          <w:rFonts w:ascii="Times New Roman" w:cs="Times New Roman" w:eastAsia="Times New Roman" w:hAnsi="Times New Roman"/>
          <w:sz w:val="20"/>
          <w:szCs w:val="20"/>
          <w:color w:val="auto"/>
        </w:rPr>
        <w:t>”) (i) USD233,333,333 (the “</w:t>
      </w:r>
      <w:r>
        <w:rPr>
          <w:rFonts w:ascii="Times New Roman" w:cs="Times New Roman" w:eastAsia="Times New Roman" w:hAnsi="Times New Roman"/>
          <w:sz w:val="20"/>
          <w:szCs w:val="20"/>
          <w:b w:val="1"/>
          <w:bCs w:val="1"/>
          <w:color w:val="auto"/>
        </w:rPr>
        <w:t>USD Tranche</w:t>
      </w:r>
      <w:r>
        <w:rPr>
          <w:rFonts w:ascii="Times New Roman" w:cs="Times New Roman" w:eastAsia="Times New Roman" w:hAnsi="Times New Roman"/>
          <w:sz w:val="20"/>
          <w:szCs w:val="20"/>
          <w:color w:val="auto"/>
        </w:rPr>
        <w:t>”) and (ii) EUR equivalent of USD116,666,667 to be determined prior to the date of the Agreement (the “</w:t>
      </w:r>
      <w:r>
        <w:rPr>
          <w:rFonts w:ascii="Times New Roman" w:cs="Times New Roman" w:eastAsia="Times New Roman" w:hAnsi="Times New Roman"/>
          <w:sz w:val="20"/>
          <w:szCs w:val="20"/>
          <w:b w:val="1"/>
          <w:bCs w:val="1"/>
          <w:color w:val="auto"/>
        </w:rPr>
        <w:t>EUR Tranche</w:t>
      </w:r>
      <w:r>
        <w:rPr>
          <w:rFonts w:ascii="Times New Roman" w:cs="Times New Roman" w:eastAsia="Times New Roman" w:hAnsi="Times New Roman"/>
          <w:sz w:val="20"/>
          <w:szCs w:val="20"/>
          <w:color w:val="auto"/>
        </w:rPr>
        <w:t>”); provided that the amounts utilised shall be in a ratio of 2/3 USD Tranche and 1/3 EUR Tranche (calculated using the same exchange rate used in determining the EUR equivalent of USD116,666,667 as referred to above in (ii)).</w:t>
      </w:r>
    </w:p>
    <w:p>
      <w:pPr>
        <w:sectPr>
          <w:pgSz w:w="11900" w:h="16838" w:orient="portrait"/>
          <w:cols w:equalWidth="0" w:num="2">
            <w:col w:w="3880" w:space="720"/>
            <w:col w:w="6800"/>
          </w:cols>
          <w:pgMar w:left="240" w:top="1192" w:right="259"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9"/>
          <w:szCs w:val="19"/>
          <w:b w:val="1"/>
          <w:bCs w:val="1"/>
          <w:color w:val="auto"/>
        </w:rPr>
        <w:t>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3 years after the date of the Agreement.</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Purpose: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corporate purposes (excluding acquisitions, dividends and share buybacks).</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 Period: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From the date of the Agreement to the date which is 12 months after the date of the Agreement.</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Minimum Amount of each Loan: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USD 4,000,000 / EUR equivalent of USD 2,000,000 as applicable.</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Maximum Number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No more than 5 Loans in respect of the USD Tranche and no more than 5 Loans in respect of the EUR Tranche, being an aggregate of 10 Loans, may be outstanding.</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Repayment: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shall repay the Loans in instalments by repaying on each Repayment Date an amount equal to the percentage of the outstanding principal amount of the Loans under the relevant Tranche as at the last day of the Availability Period set opposite that Repayment Date below:</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Voluntary Prepayment: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Loans may be prepaid after the last day of the Availability Period in whole or in part on five Business Days' (or such shorter period as the Agent may agree) prior notice (but, if in part, by a minimum of USD4,000,000 / EUR equivalent of USD2,000,000 (as applicable)). Any prepayment shall be made with accrued interest on the amount prepaid and, subject to breakage costs, without premium or penalty.</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24" w:lineRule="exact"/>
        <w:rPr>
          <w:sz w:val="20"/>
          <w:szCs w:val="20"/>
          <w:color w:val="auto"/>
        </w:rPr>
      </w:pPr>
    </w:p>
    <w:p>
      <w:pPr>
        <w:jc w:val="both"/>
        <w:ind w:left="4560" w:right="20"/>
        <w:spacing w:after="0" w:line="254" w:lineRule="auto"/>
        <w:rPr>
          <w:sz w:val="20"/>
          <w:szCs w:val="20"/>
          <w:color w:val="auto"/>
        </w:rPr>
      </w:pPr>
      <w:r>
        <w:rPr>
          <w:rFonts w:ascii="Times New Roman" w:cs="Times New Roman" w:eastAsia="Times New Roman" w:hAnsi="Times New Roman"/>
          <w:sz w:val="20"/>
          <w:szCs w:val="20"/>
          <w:color w:val="auto"/>
        </w:rPr>
        <w:t>Any amount prepaid may not be redrawn and shall be applied pro rata against scheduled repayments of Loans outstanding; provided that the Loans prepaid shall be in a ratio 2/3 USD Tranche and 1/3 EUR Tranche.</w:t>
      </w:r>
    </w:p>
    <w:p>
      <w:pPr>
        <w:sectPr>
          <w:pgSz w:w="11900" w:h="16838" w:orient="portrait"/>
          <w:cols w:equalWidth="0" w:num="1">
            <w:col w:w="11360"/>
          </w:cols>
          <w:pgMar w:left="280" w:top="194"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PRICING</w:t>
      </w:r>
    </w:p>
    <w:p>
      <w:pPr>
        <w:sectPr>
          <w:pgSz w:w="11900" w:h="16838" w:orient="portrait"/>
          <w:cols w:equalWidth="0" w:num="1">
            <w:col w:w="11360"/>
          </w:cols>
          <w:pgMar w:left="280" w:top="194" w:right="259" w:bottom="0" w:gutter="0" w:footer="0" w:header="0"/>
          <w:type w:val="continuous"/>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Upfront Fee: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1 per cent of the aggregate principal amount of the Facility as at the date of the Commitment Letter payable pursuant to the Upfront Fee Letter between the Company and the Mandated Lead Arrangers dated on or about the date of the Commitment Letter.</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Documentation Agent and Coordinator Fee: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To be agreed between the Company and the Documentation Agent and Coordinator in a separate Fee Letter.</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Agency Fee: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agreed between the Company and the Agent in a separate Fee Letter.</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Commitment Fee: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35 per cent. of the applicable Margin on the unused and uncancelled amount of relevant Tranche for the Availability Period. Accrued commitment fee is payable quarterly in arrear during the Availability Period, on the last day of the Availability Period and on the cancelled amount of the relevant Tranche at the time a full cancellation is effective.</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Margin: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relation to the USD Tranche, 1.60 per cent. per annum; and</w:t>
      </w:r>
    </w:p>
    <w:p>
      <w:pPr>
        <w:spacing w:after="0" w:line="200" w:lineRule="exact"/>
        <w:rPr>
          <w:sz w:val="20"/>
          <w:szCs w:val="20"/>
          <w:color w:val="auto"/>
        </w:rPr>
      </w:pPr>
    </w:p>
    <w:p>
      <w:pPr>
        <w:sectPr>
          <w:pgSz w:w="11900" w:h="16838" w:orient="portrait"/>
          <w:cols w:equalWidth="0" w:num="2">
            <w:col w:w="3840" w:space="720"/>
            <w:col w:w="6800"/>
          </w:cols>
          <w:pgMar w:left="280" w:top="194" w:right="259" w:bottom="0" w:gutter="0" w:footer="0" w:header="0"/>
          <w:type w:val="continuous"/>
        </w:sectPr>
      </w:pP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In relation to the EUR Tranche, 1.40 per cent. per annum.</w:t>
      </w:r>
    </w:p>
    <w:p>
      <w:pPr>
        <w:sectPr>
          <w:pgSz w:w="11900" w:h="16838" w:orient="portrait"/>
          <w:cols w:equalWidth="0" w:num="1">
            <w:col w:w="11360"/>
          </w:cols>
          <w:pgMar w:left="280" w:top="194" w:right="259" w:bottom="0" w:gutter="0" w:footer="0" w:header="0"/>
          <w:type w:val="continuous"/>
        </w:sect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Periods for Loans: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Three months or any other period agreed between the Company, the Agent and the Lenders (in relation to the relevant Loan).</w:t>
      </w:r>
    </w:p>
    <w:p>
      <w:pPr>
        <w:sectPr>
          <w:pgSz w:w="11900" w:h="16838" w:orient="portrait"/>
          <w:cols w:equalWidth="0" w:num="2">
            <w:col w:w="3840" w:space="720"/>
            <w:col w:w="6800"/>
          </w:cols>
          <w:pgMar w:left="280" w:top="194" w:right="259"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Interest 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benchmarks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Payment of Interest 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Prepayment and Cancellation: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aggregate of the applicable:</w:t>
      </w:r>
    </w:p>
    <w:p>
      <w:pPr>
        <w:spacing w:after="0" w:line="200" w:lineRule="exact"/>
        <w:rPr>
          <w:sz w:val="20"/>
          <w:szCs w:val="20"/>
          <w:color w:val="auto"/>
        </w:rPr>
      </w:pPr>
    </w:p>
    <w:p>
      <w:pPr>
        <w:spacing w:after="0" w:line="272" w:lineRule="exact"/>
        <w:rPr>
          <w:sz w:val="20"/>
          <w:szCs w:val="20"/>
          <w:color w:val="auto"/>
        </w:rPr>
      </w:pPr>
    </w:p>
    <w:p>
      <w:pPr>
        <w:ind w:left="420" w:hanging="420"/>
        <w:spacing w:after="0"/>
        <w:tabs>
          <w:tab w:leader="none" w:pos="4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Margin; and</w:t>
      </w:r>
    </w:p>
    <w:p>
      <w:pPr>
        <w:spacing w:after="0" w:line="260"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interest rate benchmark.</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relation to any Loan in EUR, EURIBOR and, in relation to any Loan in USD, LIBOR set, in each case, by reference to Thomson Reuters (and, if necessary, the use of linear interpolation) or, if not available, by reference to specified fallbacks and if the rate is less than zero, it shall be deemed to be zero.</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9"/>
          <w:szCs w:val="19"/>
          <w:color w:val="auto"/>
        </w:rPr>
        <w:t>Any interest rate benchmark which is not available by reference to Thomson Reuters may be replaced with the consent of the Majority Lenders and the Company.</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rate benchmarks shall be set by reference to Thomson Reuters without taking account of any correction, recalculation or republication of the originally published rate by the administrator.</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Interest is payable on the last day of each Interest Period (and, in the case of Interest Periods of longer than six months, on the dates falling at six-monthly intervals after the first day of the Interest Period).</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TERMS</w:t>
      </w:r>
    </w:p>
    <w:p>
      <w:pPr>
        <w:spacing w:after="0" w:line="38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Facility will be made available under a facility agreement based on the current recommended form of multicurrency syndicated term facility agreement (investment grade) of the LMA, this Term Sheet and otherwise in form and substance satisfactory to the Mandated Lead Arrangers acting reasonably and having regard to the USD 170,000,000 bridge facility agreement dated 14 February 2018 and entered into between the Company and Bank of America Merrill Lynch International Limited to resolve any disputes.</w:t>
      </w:r>
    </w:p>
    <w:p>
      <w:pPr>
        <w:spacing w:after="0" w:line="200" w:lineRule="exact"/>
        <w:rPr>
          <w:sz w:val="20"/>
          <w:szCs w:val="20"/>
          <w:color w:val="auto"/>
        </w:rPr>
      </w:pPr>
    </w:p>
    <w:p>
      <w:pPr>
        <w:spacing w:after="0" w:line="239" w:lineRule="exact"/>
        <w:rPr>
          <w:sz w:val="20"/>
          <w:szCs w:val="20"/>
          <w:color w:val="auto"/>
        </w:rPr>
      </w:pPr>
    </w:p>
    <w:p>
      <w:pPr>
        <w:ind w:left="540" w:hanging="419"/>
        <w:spacing w:after="0"/>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Illegality</w:t>
      </w:r>
    </w:p>
    <w:p>
      <w:pPr>
        <w:spacing w:after="0" w:line="197"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20"/>
          <w:szCs w:val="20"/>
          <w:color w:val="auto"/>
        </w:rPr>
        <w:t>A Lender may cancel its Commitment and require prepayment of its share of the Loans.</w:t>
      </w:r>
    </w:p>
    <w:p>
      <w:pPr>
        <w:spacing w:after="0" w:line="223" w:lineRule="exact"/>
        <w:rPr>
          <w:sz w:val="20"/>
          <w:szCs w:val="20"/>
          <w:color w:val="auto"/>
        </w:rPr>
      </w:pPr>
    </w:p>
    <w:p>
      <w:pPr>
        <w:ind w:left="560" w:hanging="439"/>
        <w:spacing w:after="0"/>
        <w:tabs>
          <w:tab w:leader="none" w:pos="5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Change of Control</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 Change of Control occurs:</w:t>
      </w:r>
    </w:p>
    <w:p>
      <w:pPr>
        <w:spacing w:after="0" w:line="270" w:lineRule="exact"/>
        <w:rPr>
          <w:sz w:val="20"/>
          <w:szCs w:val="20"/>
          <w:color w:val="auto"/>
        </w:rPr>
      </w:pPr>
    </w:p>
    <w:p>
      <w:pPr>
        <w:ind w:left="1040" w:hanging="270"/>
        <w:spacing w:after="0"/>
        <w:tabs>
          <w:tab w:leader="none" w:pos="10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obliged to fund a Loan; and</w:t>
      </w:r>
    </w:p>
    <w:p>
      <w:pPr>
        <w:spacing w:after="0" w:line="269" w:lineRule="exact"/>
        <w:rPr>
          <w:rFonts w:ascii="Times New Roman" w:cs="Times New Roman" w:eastAsia="Times New Roman" w:hAnsi="Times New Roman"/>
          <w:sz w:val="20"/>
          <w:szCs w:val="20"/>
          <w:color w:val="auto"/>
        </w:rPr>
      </w:pPr>
    </w:p>
    <w:p>
      <w:pPr>
        <w:ind w:left="1420" w:right="20" w:hanging="650"/>
        <w:spacing w:after="0" w:line="269" w:lineRule="auto"/>
        <w:tabs>
          <w:tab w:leader="none" w:pos="106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may by not less than 30 days' notice cancel its Commitment and require repayment of all its share of the Loans.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440" w:right="20" w:hanging="684"/>
        <w:spacing w:after="0" w:line="269" w:lineRule="auto"/>
        <w:tabs>
          <w:tab w:leader="none" w:pos="10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of persons acting in concert gain direct or indirect control of the Company; or</w:t>
      </w:r>
    </w:p>
    <w:p>
      <w:pPr>
        <w:spacing w:after="0" w:line="159" w:lineRule="exact"/>
        <w:rPr>
          <w:rFonts w:ascii="Times New Roman" w:cs="Times New Roman" w:eastAsia="Times New Roman" w:hAnsi="Times New Roman"/>
          <w:sz w:val="20"/>
          <w:szCs w:val="20"/>
          <w:color w:val="auto"/>
        </w:rPr>
      </w:pPr>
    </w:p>
    <w:p>
      <w:pPr>
        <w:ind w:left="1440" w:hanging="684"/>
        <w:spacing w:after="0" w:line="254" w:lineRule="auto"/>
        <w:tabs>
          <w:tab w:leader="none" w:pos="107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ceases to be the beneficial owner directly or indirectly through wholly owned subsidiaries, of more than 50 per cent of the issued share capital of the Italian Subsidiary</w:t>
      </w:r>
    </w:p>
    <w:p>
      <w:pPr>
        <w:spacing w:after="0" w:line="171" w:lineRule="exact"/>
        <w:rPr>
          <w:sz w:val="20"/>
          <w:szCs w:val="20"/>
          <w:color w:val="auto"/>
        </w:rPr>
      </w:pPr>
    </w:p>
    <w:p>
      <w:pPr>
        <w:jc w:val="both"/>
        <w:ind w:left="800" w:right="20" w:hanging="3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acting in concert</w:t>
      </w:r>
      <w:r>
        <w:rPr>
          <w:rFonts w:ascii="Times New Roman" w:cs="Times New Roman" w:eastAsia="Times New Roman" w:hAnsi="Times New Roman"/>
          <w:sz w:val="20"/>
          <w:szCs w:val="20"/>
          <w:color w:val="auto"/>
        </w:rPr>
        <w:t>” means acting together pursuant to an agreement or understanding (whether formal or informal).</w:t>
      </w:r>
    </w:p>
    <w:p>
      <w:pPr>
        <w:spacing w:after="0" w:line="152" w:lineRule="exact"/>
        <w:rPr>
          <w:sz w:val="20"/>
          <w:szCs w:val="20"/>
          <w:color w:val="auto"/>
        </w:rPr>
      </w:pPr>
    </w:p>
    <w:p>
      <w:pPr>
        <w:jc w:val="both"/>
        <w:ind w:left="800" w:right="20" w:hanging="3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power to direct the management and policies of an entity, whether through the ownership of more than 50 per cent of entire voting capital, by contract or otherwise</w:t>
      </w:r>
    </w:p>
    <w:p>
      <w:pPr>
        <w:spacing w:after="0" w:line="236" w:lineRule="exact"/>
        <w:rPr>
          <w:sz w:val="20"/>
          <w:szCs w:val="20"/>
          <w:color w:val="auto"/>
        </w:rPr>
      </w:pPr>
    </w:p>
    <w:p>
      <w:pPr>
        <w:ind w:left="540" w:hanging="419"/>
        <w:spacing w:after="0"/>
        <w:tabs>
          <w:tab w:leader="none" w:pos="5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Increased Costs, Tax Gross Up and Tax Indemnity</w:t>
      </w:r>
    </w:p>
    <w:p>
      <w:pPr>
        <w:spacing w:after="0" w:line="197"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The Company may cancel the Commitment of and prepay any Lender that makes a claim under these provisions.</w:t>
      </w:r>
    </w:p>
    <w:p>
      <w:pPr>
        <w:sectPr>
          <w:pgSz w:w="11900" w:h="16838" w:orient="portrait"/>
          <w:cols w:equalWidth="0" w:num="2">
            <w:col w:w="3840" w:space="720"/>
            <w:col w:w="6800"/>
          </w:cols>
          <w:pgMar w:left="280" w:top="126" w:right="25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19"/>
                <w:szCs w:val="19"/>
                <w:b w:val="1"/>
                <w:bCs w:val="1"/>
                <w:color w:val="auto"/>
              </w:rPr>
              <w:t>Voluntary Cancellation</w:t>
            </w:r>
          </w:p>
        </w:tc>
      </w:tr>
      <w:tr>
        <w:trPr>
          <w:trHeight w:val="411"/>
        </w:trPr>
        <w:tc>
          <w:tcPr>
            <w:tcW w:w="3500" w:type="dxa"/>
            <w:vAlign w:val="bottom"/>
          </w:tcPr>
          <w:p>
            <w:pPr>
              <w:spacing w:after="0"/>
              <w:rPr>
                <w:sz w:val="24"/>
                <w:szCs w:val="24"/>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The Company may, on not less than five Business Days' (or such shorter</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period as the Agent may agree) prior notice, cancel the whole or any part</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(being a minimum of USD4,000,000 / EUR equivalent of USD2,000,000)</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of the Available Facility.</w:t>
            </w:r>
          </w:p>
        </w:tc>
      </w:tr>
      <w:tr>
        <w:trPr>
          <w:trHeight w:val="417"/>
        </w:trPr>
        <w:tc>
          <w:tcPr>
            <w:tcW w:w="3500" w:type="dxa"/>
            <w:vAlign w:val="bottom"/>
          </w:tcPr>
          <w:p>
            <w:pPr>
              <w:spacing w:after="0"/>
              <w:rPr>
                <w:sz w:val="24"/>
                <w:szCs w:val="24"/>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The Available Facility shall, if cancelled in part, be cancelled in a ratio of</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2/3 USD Tranche and 1/3 EUR Tranche.</w:t>
            </w:r>
          </w:p>
        </w:tc>
      </w:tr>
      <w:tr>
        <w:trPr>
          <w:trHeight w:val="471"/>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Representations:</w:t>
            </w: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w w:val="98"/>
              </w:rPr>
              <w:t>The Company will make the representations set out in Schedule 1 (</w:t>
            </w:r>
            <w:r>
              <w:rPr>
                <w:rFonts w:ascii="Times New Roman" w:cs="Times New Roman" w:eastAsia="Times New Roman" w:hAnsi="Times New Roman"/>
                <w:sz w:val="20"/>
                <w:szCs w:val="20"/>
                <w:i w:val="1"/>
                <w:iCs w:val="1"/>
                <w:color w:val="auto"/>
                <w:w w:val="98"/>
              </w:rPr>
              <w:t>Representations</w:t>
            </w:r>
            <w:r>
              <w:rPr>
                <w:rFonts w:ascii="Times New Roman" w:cs="Times New Roman" w:eastAsia="Times New Roman" w:hAnsi="Times New Roman"/>
                <w:sz w:val="20"/>
                <w:szCs w:val="20"/>
                <w:color w:val="auto"/>
                <w:w w:val="98"/>
              </w:rPr>
              <w:t>)</w:t>
            </w:r>
          </w:p>
        </w:tc>
      </w:tr>
      <w:tr>
        <w:trPr>
          <w:trHeight w:val="226"/>
        </w:trPr>
        <w:tc>
          <w:tcPr>
            <w:tcW w:w="3500" w:type="dxa"/>
            <w:vAlign w:val="bottom"/>
          </w:tcPr>
          <w:p>
            <w:pPr>
              <w:spacing w:after="0"/>
              <w:rPr>
                <w:sz w:val="19"/>
                <w:szCs w:val="19"/>
                <w:color w:val="auto"/>
              </w:rPr>
            </w:pPr>
          </w:p>
        </w:tc>
        <w:tc>
          <w:tcPr>
            <w:tcW w:w="7860" w:type="dxa"/>
            <w:vAlign w:val="bottom"/>
          </w:tcPr>
          <w:p>
            <w:pPr>
              <w:ind w:left="1180"/>
              <w:spacing w:after="0" w:line="226" w:lineRule="exact"/>
              <w:rPr>
                <w:sz w:val="20"/>
                <w:szCs w:val="20"/>
                <w:color w:val="auto"/>
              </w:rPr>
            </w:pPr>
            <w:r>
              <w:rPr>
                <w:rFonts w:ascii="Times New Roman" w:cs="Times New Roman" w:eastAsia="Times New Roman" w:hAnsi="Times New Roman"/>
                <w:sz w:val="20"/>
                <w:szCs w:val="20"/>
                <w:color w:val="auto"/>
              </w:rPr>
              <w:t>to this Term Sheet (i) on the date of the Agreement (except for representations and</w:t>
            </w:r>
          </w:p>
        </w:tc>
      </w:tr>
      <w:tr>
        <w:trPr>
          <w:trHeight w:val="234"/>
        </w:trPr>
        <w:tc>
          <w:tcPr>
            <w:tcW w:w="3500" w:type="dxa"/>
            <w:vAlign w:val="bottom"/>
          </w:tcPr>
          <w:p>
            <w:pPr>
              <w:spacing w:after="0"/>
              <w:rPr>
                <w:sz w:val="20"/>
                <w:szCs w:val="20"/>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warranties in paragraph 11(a) and (b) of Schedule 1 (</w:t>
            </w:r>
            <w:r>
              <w:rPr>
                <w:rFonts w:ascii="Times New Roman" w:cs="Times New Roman" w:eastAsia="Times New Roman" w:hAnsi="Times New Roman"/>
                <w:sz w:val="20"/>
                <w:szCs w:val="20"/>
                <w:i w:val="1"/>
                <w:iCs w:val="1"/>
                <w:color w:val="auto"/>
              </w:rPr>
              <w:t>Representations</w:t>
            </w:r>
            <w:r>
              <w:rPr>
                <w:rFonts w:ascii="Times New Roman" w:cs="Times New Roman" w:eastAsia="Times New Roman" w:hAnsi="Times New Roman"/>
                <w:sz w:val="20"/>
                <w:szCs w:val="20"/>
                <w:color w:val="auto"/>
              </w:rPr>
              <w:t>) to this Term</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Sheet which shall be made on the date such information or projections are</w:t>
            </w:r>
          </w:p>
        </w:tc>
      </w:tr>
      <w:tr>
        <w:trPr>
          <w:trHeight w:val="226"/>
        </w:trPr>
        <w:tc>
          <w:tcPr>
            <w:tcW w:w="3500" w:type="dxa"/>
            <w:vAlign w:val="bottom"/>
          </w:tcPr>
          <w:p>
            <w:pPr>
              <w:spacing w:after="0"/>
              <w:rPr>
                <w:sz w:val="19"/>
                <w:szCs w:val="19"/>
                <w:color w:val="auto"/>
              </w:rPr>
            </w:pPr>
          </w:p>
        </w:tc>
        <w:tc>
          <w:tcPr>
            <w:tcW w:w="7860" w:type="dxa"/>
            <w:vAlign w:val="bottom"/>
          </w:tcPr>
          <w:p>
            <w:pPr>
              <w:ind w:left="1180"/>
              <w:spacing w:after="0" w:line="226" w:lineRule="exact"/>
              <w:rPr>
                <w:sz w:val="20"/>
                <w:szCs w:val="20"/>
                <w:color w:val="auto"/>
              </w:rPr>
            </w:pPr>
            <w:r>
              <w:rPr>
                <w:rFonts w:ascii="Times New Roman" w:cs="Times New Roman" w:eastAsia="Times New Roman" w:hAnsi="Times New Roman"/>
                <w:sz w:val="20"/>
                <w:szCs w:val="20"/>
                <w:color w:val="auto"/>
              </w:rPr>
              <w:t>delivered) and (ii) in the case of paragraphs 1 to 6, 10(a), 12(d), 19, 20 and 24 of</w:t>
            </w:r>
          </w:p>
        </w:tc>
      </w:tr>
      <w:tr>
        <w:trPr>
          <w:trHeight w:val="234"/>
        </w:trPr>
        <w:tc>
          <w:tcPr>
            <w:tcW w:w="3500" w:type="dxa"/>
            <w:vAlign w:val="bottom"/>
          </w:tcPr>
          <w:p>
            <w:pPr>
              <w:spacing w:after="0"/>
              <w:rPr>
                <w:sz w:val="20"/>
                <w:szCs w:val="20"/>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Schedule 1 (</w:t>
            </w:r>
            <w:r>
              <w:rPr>
                <w:rFonts w:ascii="Times New Roman" w:cs="Times New Roman" w:eastAsia="Times New Roman" w:hAnsi="Times New Roman"/>
                <w:sz w:val="20"/>
                <w:szCs w:val="20"/>
                <w:i w:val="1"/>
                <w:iCs w:val="1"/>
                <w:color w:val="auto"/>
              </w:rPr>
              <w:t>Representations</w:t>
            </w:r>
            <w:r>
              <w:rPr>
                <w:rFonts w:ascii="Times New Roman" w:cs="Times New Roman" w:eastAsia="Times New Roman" w:hAnsi="Times New Roman"/>
                <w:sz w:val="20"/>
                <w:szCs w:val="20"/>
                <w:color w:val="auto"/>
              </w:rPr>
              <w:t>) to this Term Sheet, on the date of each Utilisation</w:t>
            </w:r>
          </w:p>
        </w:tc>
      </w:tr>
      <w:tr>
        <w:trPr>
          <w:trHeight w:val="258"/>
        </w:trPr>
        <w:tc>
          <w:tcPr>
            <w:tcW w:w="3500" w:type="dxa"/>
            <w:vAlign w:val="bottom"/>
          </w:tcPr>
          <w:p>
            <w:pPr>
              <w:spacing w:after="0"/>
              <w:rPr>
                <w:sz w:val="22"/>
                <w:szCs w:val="22"/>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Request and the first day of each Interest Period</w:t>
            </w:r>
          </w:p>
        </w:tc>
      </w:tr>
      <w:tr>
        <w:trPr>
          <w:trHeight w:val="50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Information Undertakings:</w:t>
            </w: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The Company shall supply each of the following:</w:t>
            </w:r>
          </w:p>
        </w:tc>
      </w:tr>
      <w:tr>
        <w:trPr>
          <w:trHeight w:val="673"/>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as soon as they become available, but in any event within 180 days of the end</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of its financial years its audited consolidated financial statements for that</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financial year</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9"/>
                <w:szCs w:val="19"/>
                <w:color w:val="auto"/>
              </w:rPr>
              <w:t>as soon as they become available, but in any event within 90 days of the end</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of each of its financial half years ending 30 June its consolidated financial</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statements for that financial half year</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9"/>
                <w:szCs w:val="19"/>
                <w:color w:val="auto"/>
              </w:rPr>
              <w:t>with each set of consolidated financial statements, a compliance certificate</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setting out (in reasonable detail) computations as to compliance with the</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financial covenants as at the date at which those financial statements were</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drawn up</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19"/>
                <w:szCs w:val="19"/>
                <w:color w:val="auto"/>
              </w:rPr>
              <w:t>all material documents dispatched by the Company to its shareholders (or any</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class of them) or its creditors (or any class of them) at the same time as</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they are dispatched</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19"/>
                <w:szCs w:val="19"/>
                <w:color w:val="auto"/>
              </w:rPr>
              <w:t>promptly upon becoming aware of them, the details of any material litigation,</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arbitration or administrative proceedings which are current, threatened or</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pending against any member of the Group, and which are likely to be</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adversely determined and if adversely determined, would have a Material</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Adverse Effect</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19"/>
                <w:szCs w:val="19"/>
                <w:color w:val="auto"/>
              </w:rPr>
              <w:t>promptly, such further information regarding the financial condition, assets,</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business and operations of any member of the Group as any Finance Party</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may reasonably request</w:t>
            </w:r>
          </w:p>
        </w:tc>
      </w:tr>
      <w:tr>
        <w:trPr>
          <w:trHeight w:val="484"/>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19"/>
                <w:szCs w:val="19"/>
                <w:color w:val="auto"/>
              </w:rPr>
              <w:t>promptly, notify the Agent upon becoming aware of the occurrence of any</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Default</w:t>
            </w:r>
          </w:p>
        </w:tc>
      </w:tr>
      <w:tr>
        <w:trPr>
          <w:trHeight w:val="430"/>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19"/>
                <w:szCs w:val="19"/>
                <w:color w:val="auto"/>
              </w:rPr>
              <w:t>promptly upon request by the Agent, certificate signed by two of its directors</w:t>
            </w:r>
          </w:p>
        </w:tc>
      </w:tr>
      <w:tr>
        <w:trPr>
          <w:trHeight w:val="230"/>
        </w:trPr>
        <w:tc>
          <w:tcPr>
            <w:tcW w:w="3500" w:type="dxa"/>
            <w:vAlign w:val="bottom"/>
          </w:tcPr>
          <w:p>
            <w:pPr>
              <w:spacing w:after="0"/>
              <w:rPr>
                <w:sz w:val="19"/>
                <w:szCs w:val="19"/>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or senior officers that no Default is continuing or if a Default is continuing</w:t>
            </w:r>
          </w:p>
        </w:tc>
      </w:tr>
      <w:tr>
        <w:trPr>
          <w:trHeight w:val="258"/>
        </w:trPr>
        <w:tc>
          <w:tcPr>
            <w:tcW w:w="3500" w:type="dxa"/>
            <w:vAlign w:val="bottom"/>
          </w:tcPr>
          <w:p>
            <w:pPr>
              <w:spacing w:after="0"/>
              <w:rPr>
                <w:sz w:val="22"/>
                <w:szCs w:val="22"/>
                <w:color w:val="auto"/>
              </w:rPr>
            </w:pPr>
          </w:p>
        </w:tc>
        <w:tc>
          <w:tcPr>
            <w:tcW w:w="786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specifying the Default and the steps (if any) being taken to remedy it</w:t>
            </w:r>
          </w:p>
        </w:tc>
      </w:tr>
      <w:tr>
        <w:trPr>
          <w:trHeight w:val="471"/>
        </w:trPr>
        <w:tc>
          <w:tcPr>
            <w:tcW w:w="3500" w:type="dxa"/>
            <w:vAlign w:val="bottom"/>
          </w:tcPr>
          <w:p>
            <w:pPr>
              <w:spacing w:after="0"/>
              <w:rPr>
                <w:sz w:val="24"/>
                <w:szCs w:val="24"/>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On the introduction of or any change in law, a change in the status of the Company</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or a proposed assignment or transfer by a Lender to a party that is not an existing</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Lender, which obliges a Lender to comply with "know your customer" or similar</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identification procedures in circumstances where the necessary information is not</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already available to it, the Company shall promptly upon the request of the Agent</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or any Lender supply such documentation and other evidence as is reasonably</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requested by the Agent (for itself and on behalf of any Lender) or any Lender (or</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w w:val="99"/>
              </w:rPr>
              <w:t>prospective new Lender) in order for the Agent or such Lender (or prospective new</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Lender) to carry out and be satisfied with the results of all necessary "know your</w:t>
            </w:r>
          </w:p>
        </w:tc>
      </w:tr>
      <w:tr>
        <w:trPr>
          <w:trHeight w:val="230"/>
        </w:trPr>
        <w:tc>
          <w:tcPr>
            <w:tcW w:w="3500" w:type="dxa"/>
            <w:vAlign w:val="bottom"/>
          </w:tcPr>
          <w:p>
            <w:pPr>
              <w:spacing w:after="0"/>
              <w:rPr>
                <w:sz w:val="19"/>
                <w:szCs w:val="19"/>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customer" or other checks in relation to the transactions contemplated in the</w:t>
            </w:r>
          </w:p>
        </w:tc>
      </w:tr>
      <w:tr>
        <w:trPr>
          <w:trHeight w:val="258"/>
        </w:trPr>
        <w:tc>
          <w:tcPr>
            <w:tcW w:w="3500" w:type="dxa"/>
            <w:vAlign w:val="bottom"/>
          </w:tcPr>
          <w:p>
            <w:pPr>
              <w:spacing w:after="0"/>
              <w:rPr>
                <w:sz w:val="22"/>
                <w:szCs w:val="22"/>
                <w:color w:val="auto"/>
              </w:rPr>
            </w:pPr>
          </w:p>
        </w:tc>
        <w:tc>
          <w:tcPr>
            <w:tcW w:w="786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Finance Documents.</w:t>
            </w:r>
          </w:p>
        </w:tc>
      </w:tr>
    </w:tbl>
    <w:p>
      <w:pPr>
        <w:spacing w:after="0" w:line="200" w:lineRule="exact"/>
        <w:rPr>
          <w:sz w:val="20"/>
          <w:szCs w:val="20"/>
          <w:color w:val="auto"/>
        </w:rPr>
      </w:pPr>
    </w:p>
    <w:p>
      <w:pPr>
        <w:sectPr>
          <w:pgSz w:w="11900" w:h="16838" w:orient="portrait"/>
          <w:cols w:equalWidth="0" w:num="1">
            <w:col w:w="11360"/>
          </w:cols>
          <w:pgMar w:left="280" w:top="247" w:right="259" w:bottom="0" w:gutter="0" w:footer="0" w:header="0"/>
        </w:sectPr>
      </w:pPr>
    </w:p>
    <w:p>
      <w:pPr>
        <w:spacing w:after="0" w:line="226" w:lineRule="exact"/>
        <w:rPr>
          <w:sz w:val="20"/>
          <w:szCs w:val="20"/>
          <w:color w:val="auto"/>
        </w:rPr>
      </w:pPr>
    </w:p>
    <w:p>
      <w:pPr>
        <w:spacing w:after="0"/>
        <w:tabs>
          <w:tab w:leader="none" w:pos="4660" w:val="left"/>
        </w:tabs>
        <w:rPr>
          <w:sz w:val="20"/>
          <w:szCs w:val="20"/>
          <w:color w:val="auto"/>
        </w:rPr>
      </w:pPr>
      <w:r>
        <w:rPr>
          <w:rFonts w:ascii="Times New Roman" w:cs="Times New Roman" w:eastAsia="Times New Roman" w:hAnsi="Times New Roman"/>
          <w:sz w:val="20"/>
          <w:szCs w:val="20"/>
          <w:b w:val="1"/>
          <w:bCs w:val="1"/>
          <w:color w:val="auto"/>
        </w:rPr>
        <w:t>Financial Covenants:</w:t>
      </w:r>
      <w:r>
        <w:rPr>
          <w:sz w:val="20"/>
          <w:szCs w:val="20"/>
          <w:color w:val="auto"/>
        </w:rPr>
        <w:tab/>
      </w:r>
      <w:r>
        <w:rPr>
          <w:rFonts w:ascii="Times New Roman" w:cs="Times New Roman" w:eastAsia="Times New Roman" w:hAnsi="Times New Roman"/>
          <w:sz w:val="20"/>
          <w:szCs w:val="20"/>
          <w:color w:val="auto"/>
        </w:rPr>
        <w:t>The financial undertakings set out in Schedule 2 (</w:t>
      </w:r>
      <w:r>
        <w:rPr>
          <w:rFonts w:ascii="Times New Roman" w:cs="Times New Roman" w:eastAsia="Times New Roman" w:hAnsi="Times New Roman"/>
          <w:sz w:val="20"/>
          <w:szCs w:val="20"/>
          <w:i w:val="1"/>
          <w:iCs w:val="1"/>
          <w:color w:val="auto"/>
        </w:rPr>
        <w:t>Financial Undertakings</w:t>
      </w:r>
      <w:r>
        <w:rPr>
          <w:rFonts w:ascii="Times New Roman" w:cs="Times New Roman" w:eastAsia="Times New Roman" w:hAnsi="Times New Roman"/>
          <w:sz w:val="20"/>
          <w:szCs w:val="20"/>
          <w:color w:val="auto"/>
        </w:rPr>
        <w:t>) to this</w:t>
      </w:r>
    </w:p>
    <w:p>
      <w:pPr>
        <w:sectPr>
          <w:pgSz w:w="11900" w:h="16838" w:orient="portrait"/>
          <w:cols w:equalWidth="0" w:num="1">
            <w:col w:w="11360"/>
          </w:cols>
          <w:pgMar w:left="280" w:top="247" w:right="259" w:bottom="0" w:gutter="0" w:footer="0" w:header="0"/>
          <w:type w:val="continuous"/>
        </w:sectPr>
      </w:pPr>
    </w:p>
    <w:bookmarkStart w:id="59" w:name="page60"/>
    <w:bookmarkEnd w:id="59"/>
    <w:p>
      <w:pPr>
        <w:ind w:left="4712"/>
        <w:spacing w:after="0"/>
        <w:rPr>
          <w:sz w:val="20"/>
          <w:szCs w:val="20"/>
          <w:color w:val="auto"/>
        </w:rPr>
      </w:pPr>
      <w:r>
        <w:rPr>
          <w:rFonts w:ascii="Times New Roman" w:cs="Times New Roman" w:eastAsia="Times New Roman" w:hAnsi="Times New Roman"/>
          <w:sz w:val="19"/>
          <w:szCs w:val="19"/>
          <w:color w:val="auto"/>
        </w:rPr>
        <w:t>Term Sheet will be included in the Agreement</w:t>
      </w:r>
    </w:p>
    <w:p>
      <w:pPr>
        <w:sectPr>
          <w:pgSz w:w="11900" w:h="16838" w:orient="portrait"/>
          <w:cols w:equalWidth="0" w:num="1">
            <w:col w:w="11392"/>
          </w:cols>
          <w:pgMar w:left="248" w:top="118" w:right="259" w:bottom="0" w:gutter="0" w:footer="0" w:header="0"/>
        </w:sectPr>
      </w:pPr>
    </w:p>
    <w:p>
      <w:pPr>
        <w:spacing w:after="0" w:line="27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General Undertakings: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undertakings set out in Schedule 3 (</w:t>
      </w:r>
      <w:r>
        <w:rPr>
          <w:rFonts w:ascii="Times New Roman" w:cs="Times New Roman" w:eastAsia="Times New Roman" w:hAnsi="Times New Roman"/>
          <w:sz w:val="20"/>
          <w:szCs w:val="20"/>
          <w:i w:val="1"/>
          <w:iCs w:val="1"/>
          <w:color w:val="auto"/>
        </w:rPr>
        <w:t>General Undertakings</w:t>
      </w:r>
      <w:r>
        <w:rPr>
          <w:rFonts w:ascii="Times New Roman" w:cs="Times New Roman" w:eastAsia="Times New Roman" w:hAnsi="Times New Roman"/>
          <w:sz w:val="20"/>
          <w:szCs w:val="20"/>
          <w:color w:val="auto"/>
        </w:rPr>
        <w:t>) to this Term Sheet will be included in the Agreement in respect of the Company and, where applicable, in relation to the Group</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Each of the events or circumstances set out in Schedule 4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to this Term Sheet will be included in the Agreement in respect of the Company and, if appropriate, any member of the Group</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Majority Lenders: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66⅔% of Total Commitments.</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Assignments and Transfers by Lenders: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Subject to the following paragraph, a Lender may assign any of its rights or transfer by novation any of its rights and obligations to another bank or financial institution or to a trust, fund or other entity which is regularly engaged in or established for the purpose of making, purchasing or investing in loans, securities or other financial assets.</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24" w:lineRule="exact"/>
        <w:rPr>
          <w:sz w:val="20"/>
          <w:szCs w:val="20"/>
          <w:color w:val="auto"/>
        </w:rPr>
      </w:pPr>
    </w:p>
    <w:p>
      <w:pPr>
        <w:jc w:val="both"/>
        <w:ind w:left="4712"/>
        <w:spacing w:after="0" w:line="242" w:lineRule="auto"/>
        <w:rPr>
          <w:sz w:val="20"/>
          <w:szCs w:val="20"/>
          <w:color w:val="auto"/>
        </w:rPr>
      </w:pPr>
      <w:r>
        <w:rPr>
          <w:rFonts w:ascii="Times New Roman" w:cs="Times New Roman" w:eastAsia="Times New Roman" w:hAnsi="Times New Roman"/>
          <w:sz w:val="20"/>
          <w:szCs w:val="20"/>
          <w:color w:val="auto"/>
        </w:rPr>
        <w:t>The consent of the Company will be required (not to be unreasonably withheld or delayed) unless the transfer or assignment is to another Lender or an Affiliate or a Related Fund of a Lender or is made at a time when an Event of Default is continuing, provided that no transfer or assignment shall be made to any person whose business is similar or related to the business carried on by the Group as a whole (or to an Affiliate of any such person or any such person acting on behalf of or on the instructions of any such person) or to a Distressed Fund without the prior written consent of the Borrower (at its sole discretion). The Company will be deemed to have given its consent if no express refusal is received within 5 Business Days.</w:t>
      </w:r>
    </w:p>
    <w:p>
      <w:pPr>
        <w:sectPr>
          <w:pgSz w:w="11900" w:h="16838" w:orient="portrait"/>
          <w:cols w:equalWidth="0" w:num="1">
            <w:col w:w="11392"/>
          </w:cols>
          <w:pgMar w:left="248" w:top="118" w:right="259" w:bottom="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Conditions Precedent: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These will include the documents and other evidence set out in Schedule 5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to this Term Sheet in form and substance satisfactory to the Agent</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Miscellaneous Provisions: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Agreement will contain provisions relating to, among other things, default interest, market disruption, breakage costs, tax gross up and indemnities including FATCA, increased costs (including Basel III and CRDIV), set-off, replacement of screen rate, bail-in and administration.</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19"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Costs and Expenses: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Subject to any agreed caps, all costs and expenses (including legal fees) reasonably incurred by the Agent and the Mandated Lead Arrangers in connection with the preparation, negotiation, printing, execution and syndication of the Agreement and any other document referred to in it shall be paid by the Company promptly on demand whether or not the Agreement is signed.</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20"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Governing Law:</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English.</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Jurisdiction: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Courts of England.</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Terms defined in the current recommended form of mulitcurrency syndicated term facility agreement (investment grade) of the LMA have the same meaning in this Term Sheet unless given a different meaning in this Term Sheet (including in Schedule 6 (</w:t>
      </w:r>
      <w:r>
        <w:rPr>
          <w:rFonts w:ascii="Times New Roman" w:cs="Times New Roman" w:eastAsia="Times New Roman" w:hAnsi="Times New Roman"/>
          <w:sz w:val="20"/>
          <w:szCs w:val="20"/>
          <w:i w:val="1"/>
          <w:iCs w:val="1"/>
          <w:color w:val="auto"/>
        </w:rPr>
        <w:t>Certain Definitions</w:t>
      </w:r>
      <w:r>
        <w:rPr>
          <w:rFonts w:ascii="Times New Roman" w:cs="Times New Roman" w:eastAsia="Times New Roman" w:hAnsi="Times New Roman"/>
          <w:sz w:val="20"/>
          <w:szCs w:val="20"/>
          <w:color w:val="auto"/>
        </w:rPr>
        <w:t>) to this Term Sheet).</w:t>
      </w:r>
    </w:p>
    <w:p>
      <w:pPr>
        <w:spacing w:after="0" w:line="200" w:lineRule="exact"/>
        <w:rPr>
          <w:sz w:val="20"/>
          <w:szCs w:val="20"/>
          <w:color w:val="auto"/>
        </w:rPr>
      </w:pPr>
    </w:p>
    <w:p>
      <w:pPr>
        <w:sectPr>
          <w:pgSz w:w="11900" w:h="16838" w:orient="portrait"/>
          <w:cols w:equalWidth="0" w:num="2">
            <w:col w:w="3992" w:space="720"/>
            <w:col w:w="6680"/>
          </w:cols>
          <w:pgMar w:left="248" w:top="118"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Representations</w:t>
      </w:r>
    </w:p>
    <w:p>
      <w:pPr>
        <w:spacing w:after="0" w:line="216" w:lineRule="exact"/>
        <w:rPr>
          <w:sz w:val="20"/>
          <w:szCs w:val="20"/>
          <w:color w:val="auto"/>
        </w:rPr>
      </w:pPr>
    </w:p>
    <w:p>
      <w:pPr>
        <w:ind w:left="652" w:hanging="652"/>
        <w:spacing w:after="0"/>
        <w:tabs>
          <w:tab w:leader="none" w:pos="652"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Status</w:t>
      </w:r>
    </w:p>
    <w:p>
      <w:pPr>
        <w:spacing w:after="0" w:line="233"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is a corporation, duly incorporated and validly existing under the law of its jurisdiction of incorporation.</w:t>
      </w:r>
    </w:p>
    <w:p>
      <w:pPr>
        <w:sectPr>
          <w:pgSz w:w="11900" w:h="16838" w:orient="portrait"/>
          <w:cols w:equalWidth="0" w:num="1">
            <w:col w:w="11392"/>
          </w:cols>
          <w:pgMar w:left="248" w:top="118" w:right="259" w:bottom="0" w:gutter="0" w:footer="0" w:header="0"/>
          <w:type w:val="continuous"/>
        </w:sectPr>
      </w:pPr>
    </w:p>
    <w:bookmarkStart w:id="60" w:name="page61"/>
    <w:bookmarkEnd w:id="60"/>
    <w:p>
      <w:pPr>
        <w:ind w:left="1292" w:hanging="644"/>
        <w:spacing w:after="0"/>
        <w:tabs>
          <w:tab w:leader="none" w:pos="12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 and each of its Subsidiaries has the power to own its assets and carry on its business as it is being conducted.</w:t>
      </w:r>
    </w:p>
    <w:p>
      <w:pPr>
        <w:spacing w:after="0" w:line="20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obligations</w:t>
      </w:r>
    </w:p>
    <w:p>
      <w:pPr>
        <w:spacing w:after="0" w:line="219"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obligations expressed to be assumed by it in each Finance Document are, subject to the Legal Reservations, legal, valid, binding and enforceable obligations.</w:t>
      </w:r>
    </w:p>
    <w:p>
      <w:pPr>
        <w:spacing w:after="0" w:line="128" w:lineRule="exact"/>
        <w:rPr>
          <w:rFonts w:ascii="Times New Roman" w:cs="Times New Roman" w:eastAsia="Times New Roman" w:hAnsi="Times New Roman"/>
          <w:sz w:val="20"/>
          <w:szCs w:val="20"/>
          <w:b w:val="1"/>
          <w:bCs w:val="1"/>
          <w:color w:val="auto"/>
        </w:rPr>
      </w:pPr>
    </w:p>
    <w:p>
      <w:pPr>
        <w:ind w:left="652" w:hanging="652"/>
        <w:spacing w:after="0" w:line="230" w:lineRule="exact"/>
        <w:tabs>
          <w:tab w:leader="none" w:pos="652"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conflict with other obligations</w:t>
      </w:r>
    </w:p>
    <w:p>
      <w:pPr>
        <w:spacing w:after="0" w:line="247"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Legal Reservations, the entry into and performance by it of, and the transactions contemplated by, the Finance Documents do not and will not conflict with:</w:t>
      </w:r>
    </w:p>
    <w:p>
      <w:pPr>
        <w:spacing w:after="0" w:line="173"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law or regulation applicable to it;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its or any of its Subsidiaries' constitutional documents; or</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agreement or instrument binding upon it or any of its Subsidiaries or any of its or any of its Subsidiaries' assets.</w:t>
      </w:r>
    </w:p>
    <w:p>
      <w:pPr>
        <w:spacing w:after="0" w:line="20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and authority</w:t>
      </w:r>
    </w:p>
    <w:p>
      <w:pPr>
        <w:spacing w:after="0" w:line="219"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155" w:lineRule="exact"/>
        <w:rPr>
          <w:rFonts w:ascii="Times New Roman" w:cs="Times New Roman" w:eastAsia="Times New Roman" w:hAnsi="Times New Roman"/>
          <w:sz w:val="20"/>
          <w:szCs w:val="20"/>
          <w:b w:val="1"/>
          <w:bCs w:val="1"/>
          <w:color w:val="auto"/>
        </w:rPr>
      </w:pPr>
    </w:p>
    <w:p>
      <w:pPr>
        <w:ind w:left="652" w:right="7620" w:hanging="652"/>
        <w:spacing w:after="0" w:line="471" w:lineRule="auto"/>
        <w:tabs>
          <w:tab w:leader="none" w:pos="652"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Validity and admissibility in evidence </w:t>
      </w:r>
      <w:r>
        <w:rPr>
          <w:rFonts w:ascii="Times New Roman" w:cs="Times New Roman" w:eastAsia="Times New Roman" w:hAnsi="Times New Roman"/>
          <w:sz w:val="20"/>
          <w:szCs w:val="20"/>
          <w:color w:val="auto"/>
        </w:rPr>
        <w:t>All Authorisations required:</w:t>
      </w:r>
    </w:p>
    <w:p>
      <w:pPr>
        <w:spacing w:after="0" w:line="6"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enable it lawfully to enter into, exercise its rights and comply with its obligations in the Finance Documents; and</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make the Finance Documents admissible in evidence in its jurisdiction of incorporation,</w:t>
      </w:r>
    </w:p>
    <w:p>
      <w:pPr>
        <w:spacing w:after="0" w:line="20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have been obtained or effected and are in full force and effect.</w:t>
      </w:r>
    </w:p>
    <w:p>
      <w:pPr>
        <w:spacing w:after="0" w:line="212" w:lineRule="exact"/>
        <w:rPr>
          <w:sz w:val="20"/>
          <w:szCs w:val="20"/>
          <w:color w:val="auto"/>
        </w:rPr>
      </w:pPr>
    </w:p>
    <w:p>
      <w:pPr>
        <w:jc w:val="both"/>
        <w:ind w:left="652" w:right="8040" w:hanging="652"/>
        <w:spacing w:after="0" w:line="496" w:lineRule="auto"/>
        <w:tabs>
          <w:tab w:leader="none" w:pos="652"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Governing law and enforcement </w:t>
      </w:r>
      <w:r>
        <w:rPr>
          <w:rFonts w:ascii="Times New Roman" w:cs="Times New Roman" w:eastAsia="Times New Roman" w:hAnsi="Times New Roman"/>
          <w:sz w:val="19"/>
          <w:szCs w:val="19"/>
          <w:color w:val="auto"/>
        </w:rPr>
        <w:t>Subject to the Legal Reservations:</w:t>
      </w:r>
    </w:p>
    <w:p>
      <w:pPr>
        <w:spacing w:after="0" w:line="5" w:lineRule="exact"/>
        <w:rPr>
          <w:rFonts w:ascii="Times New Roman" w:cs="Times New Roman" w:eastAsia="Times New Roman" w:hAnsi="Times New Roman"/>
          <w:sz w:val="19"/>
          <w:szCs w:val="19"/>
          <w:b w:val="1"/>
          <w:bCs w:val="1"/>
          <w:color w:val="auto"/>
        </w:rPr>
      </w:pPr>
    </w:p>
    <w:p>
      <w:pPr>
        <w:ind w:left="1292" w:hanging="644"/>
        <w:spacing w:after="0" w:line="273" w:lineRule="auto"/>
        <w:tabs>
          <w:tab w:leader="none" w:pos="12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choice of English law as the governing law of the Finance Documents will be recognised and enforced in its jurisdiction of incorporation; and</w:t>
      </w:r>
    </w:p>
    <w:p>
      <w:pPr>
        <w:spacing w:after="0" w:line="179" w:lineRule="exact"/>
        <w:rPr>
          <w:rFonts w:ascii="Times New Roman" w:cs="Times New Roman" w:eastAsia="Times New Roman" w:hAnsi="Times New Roman"/>
          <w:sz w:val="22"/>
          <w:szCs w:val="22"/>
          <w:color w:val="auto"/>
        </w:rPr>
      </w:pPr>
    </w:p>
    <w:p>
      <w:pPr>
        <w:ind w:left="1292" w:right="20" w:hanging="644"/>
        <w:spacing w:after="0" w:line="273" w:lineRule="auto"/>
        <w:tabs>
          <w:tab w:leader="none" w:pos="12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judgment obtained in England in relation to a Finance Document will be recognised and enforced in its jurisdiction of incorporation.</w:t>
      </w:r>
    </w:p>
    <w:p>
      <w:pPr>
        <w:spacing w:after="0" w:line="162" w:lineRule="exact"/>
        <w:rPr>
          <w:rFonts w:ascii="Times New Roman" w:cs="Times New Roman" w:eastAsia="Times New Roman" w:hAnsi="Times New Roman"/>
          <w:sz w:val="22"/>
          <w:szCs w:val="22"/>
          <w:color w:val="auto"/>
        </w:rPr>
      </w:pPr>
    </w:p>
    <w:p>
      <w:pPr>
        <w:ind w:left="652" w:right="9860" w:hanging="652"/>
        <w:spacing w:after="0" w:line="496" w:lineRule="auto"/>
        <w:tabs>
          <w:tab w:leader="none" w:pos="652"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Insolvency </w:t>
      </w:r>
      <w:r>
        <w:rPr>
          <w:rFonts w:ascii="Times New Roman" w:cs="Times New Roman" w:eastAsia="Times New Roman" w:hAnsi="Times New Roman"/>
          <w:sz w:val="19"/>
          <w:szCs w:val="19"/>
          <w:color w:val="auto"/>
        </w:rPr>
        <w:t>No:</w:t>
      </w:r>
    </w:p>
    <w:p>
      <w:pPr>
        <w:spacing w:after="0" w:line="1" w:lineRule="exact"/>
        <w:rPr>
          <w:rFonts w:ascii="Times New Roman" w:cs="Times New Roman" w:eastAsia="Times New Roman" w:hAnsi="Times New Roman"/>
          <w:sz w:val="19"/>
          <w:szCs w:val="19"/>
          <w:b w:val="1"/>
          <w:bCs w:val="1"/>
          <w:color w:val="auto"/>
        </w:rPr>
      </w:pPr>
    </w:p>
    <w:p>
      <w:pPr>
        <w:ind w:left="1292" w:hanging="644"/>
        <w:spacing w:after="0" w:line="277" w:lineRule="auto"/>
        <w:tabs>
          <w:tab w:leader="none" w:pos="12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corporate action, legal proceeding or other procedure or step described in paragraph 7(a) of Schedule 4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to this Term Sheet; or</w:t>
      </w:r>
    </w:p>
    <w:p>
      <w:pPr>
        <w:spacing w:after="0" w:line="171"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creditors' process described in paragraph 8 (</w:t>
      </w:r>
      <w:r>
        <w:rPr>
          <w:rFonts w:ascii="Times New Roman" w:cs="Times New Roman" w:eastAsia="Times New Roman" w:hAnsi="Times New Roman"/>
          <w:sz w:val="20"/>
          <w:szCs w:val="20"/>
          <w:i w:val="1"/>
          <w:iCs w:val="1"/>
          <w:color w:val="auto"/>
        </w:rPr>
        <w:t>Creditor’s process</w:t>
      </w:r>
      <w:r>
        <w:rPr>
          <w:rFonts w:ascii="Times New Roman" w:cs="Times New Roman" w:eastAsia="Times New Roman" w:hAnsi="Times New Roman"/>
          <w:sz w:val="20"/>
          <w:szCs w:val="20"/>
          <w:color w:val="auto"/>
        </w:rPr>
        <w:t>) of Schedule 4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to this Term Sheet,</w:t>
      </w:r>
    </w:p>
    <w:p>
      <w:pPr>
        <w:spacing w:after="0" w:line="210" w:lineRule="exact"/>
        <w:rPr>
          <w:sz w:val="20"/>
          <w:szCs w:val="20"/>
          <w:color w:val="auto"/>
        </w:rPr>
      </w:pPr>
    </w:p>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has been taken or, to its knowledge, threatened in relation to the Borrower or any Material Subsidiary; and none of the circumstances described in paragraph 6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 of Schedule 4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to this Term Sheet applies to a the Borrower or any Material Subsidiary.</w:t>
      </w:r>
    </w:p>
    <w:p>
      <w:pPr>
        <w:spacing w:after="0" w:line="171"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filing or stamp taxes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Deduction of Tax</w:t>
      </w:r>
    </w:p>
    <w:p>
      <w:pPr>
        <w:spacing w:after="0" w:line="219"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not required to make any Tax Deduction from any payment it may make under any Finance Document to any Lender.</w:t>
      </w:r>
    </w:p>
    <w:p>
      <w:pPr>
        <w:spacing w:after="0" w:line="211"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default</w:t>
      </w:r>
    </w:p>
    <w:p>
      <w:pPr>
        <w:spacing w:after="0" w:line="233"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Event of Default is continuing or might reasonably be expected to result from the making of any Utilisation.</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other event or circumstance is outstanding which constitutes a default under any other agreement or instrument which is</w:t>
      </w:r>
    </w:p>
    <w:p>
      <w:pPr>
        <w:sectPr>
          <w:pgSz w:w="11900" w:h="16838" w:orient="portrait"/>
          <w:cols w:equalWidth="0" w:num="1">
            <w:col w:w="11412"/>
          </w:cols>
          <w:pgMar w:left="248" w:top="211" w:right="239" w:bottom="0" w:gutter="0" w:footer="0" w:header="0"/>
        </w:sectPr>
      </w:pPr>
    </w:p>
    <w:bookmarkStart w:id="61" w:name="page62"/>
    <w:bookmarkEnd w:id="61"/>
    <w:p>
      <w:pPr>
        <w:ind w:left="1292"/>
        <w:spacing w:after="0" w:line="297" w:lineRule="auto"/>
        <w:rPr>
          <w:sz w:val="20"/>
          <w:szCs w:val="20"/>
          <w:color w:val="auto"/>
        </w:rPr>
      </w:pPr>
      <w:r>
        <w:rPr>
          <w:rFonts w:ascii="Times New Roman" w:cs="Times New Roman" w:eastAsia="Times New Roman" w:hAnsi="Times New Roman"/>
          <w:sz w:val="20"/>
          <w:szCs w:val="20"/>
          <w:color w:val="auto"/>
        </w:rPr>
        <w:t>binding on it or any of its Material Subsidiaries or to which its (or any of its Material Subsidiaries') assets are subject which would have a Material Adverse Effect.</w:t>
      </w:r>
    </w:p>
    <w:p>
      <w:pPr>
        <w:spacing w:after="0" w:line="143" w:lineRule="exact"/>
        <w:rPr>
          <w:sz w:val="20"/>
          <w:szCs w:val="20"/>
          <w:color w:val="auto"/>
        </w:rPr>
      </w:pPr>
    </w:p>
    <w:p>
      <w:pPr>
        <w:ind w:left="652" w:hanging="652"/>
        <w:spacing w:after="0"/>
        <w:tabs>
          <w:tab w:leader="none" w:pos="652"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misleading information</w:t>
      </w:r>
    </w:p>
    <w:p>
      <w:pPr>
        <w:spacing w:after="0" w:line="233" w:lineRule="exact"/>
        <w:rPr>
          <w:rFonts w:ascii="Times New Roman" w:cs="Times New Roman" w:eastAsia="Times New Roman" w:hAnsi="Times New Roman"/>
          <w:sz w:val="20"/>
          <w:szCs w:val="20"/>
          <w:b w:val="1"/>
          <w:bCs w:val="1"/>
          <w:color w:val="auto"/>
        </w:rPr>
      </w:pPr>
    </w:p>
    <w:p>
      <w:pPr>
        <w:ind w:left="1292" w:hanging="644"/>
        <w:spacing w:after="0" w:line="273" w:lineRule="auto"/>
        <w:tabs>
          <w:tab w:leader="none" w:pos="12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material factual information provided by any member of the Group to any Finance Party was true and accurate in all material respects as at the date it was provided or as at the date (if any) at which it is stated.</w:t>
      </w:r>
    </w:p>
    <w:p>
      <w:pPr>
        <w:spacing w:after="0" w:line="179" w:lineRule="exact"/>
        <w:rPr>
          <w:rFonts w:ascii="Times New Roman" w:cs="Times New Roman" w:eastAsia="Times New Roman" w:hAnsi="Times New Roman"/>
          <w:sz w:val="22"/>
          <w:szCs w:val="22"/>
          <w:color w:val="auto"/>
        </w:rPr>
      </w:pPr>
    </w:p>
    <w:p>
      <w:pPr>
        <w:ind w:left="1292" w:hanging="644"/>
        <w:spacing w:after="0" w:line="273" w:lineRule="auto"/>
        <w:tabs>
          <w:tab w:leader="none" w:pos="12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financial projections provided by the Group to any Finance Party have been prepared on the basis of recent historical information and on the basis of reasonable assumptions.</w:t>
      </w:r>
    </w:p>
    <w:p>
      <w:pPr>
        <w:spacing w:after="0" w:line="179" w:lineRule="exact"/>
        <w:rPr>
          <w:rFonts w:ascii="Times New Roman" w:cs="Times New Roman" w:eastAsia="Times New Roman" w:hAnsi="Times New Roman"/>
          <w:sz w:val="22"/>
          <w:szCs w:val="22"/>
          <w:color w:val="auto"/>
        </w:rPr>
      </w:pPr>
    </w:p>
    <w:p>
      <w:pPr>
        <w:jc w:val="both"/>
        <w:ind w:left="1292" w:hanging="644"/>
        <w:spacing w:after="0" w:line="269" w:lineRule="auto"/>
        <w:tabs>
          <w:tab w:leader="none" w:pos="12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Nothing has occurred since the date that any such information was provided or been omitted from such information provided and no information has been given or withheld that results in the information provided being untrue or misleading in any material respect.</w:t>
      </w:r>
    </w:p>
    <w:p>
      <w:pPr>
        <w:spacing w:after="0" w:line="173" w:lineRule="exact"/>
        <w:rPr>
          <w:sz w:val="20"/>
          <w:szCs w:val="20"/>
          <w:color w:val="auto"/>
        </w:rPr>
      </w:pPr>
    </w:p>
    <w:p>
      <w:pPr>
        <w:ind w:left="652"/>
        <w:spacing w:after="0" w:line="269" w:lineRule="auto"/>
        <w:rPr>
          <w:sz w:val="20"/>
          <w:szCs w:val="20"/>
          <w:color w:val="auto"/>
        </w:rPr>
      </w:pPr>
      <w:r>
        <w:rPr>
          <w:rFonts w:ascii="Times New Roman" w:cs="Times New Roman" w:eastAsia="Times New Roman" w:hAnsi="Times New Roman"/>
          <w:sz w:val="20"/>
          <w:szCs w:val="20"/>
          <w:color w:val="auto"/>
        </w:rPr>
        <w:t>The representations and warranties in this paragraph are made by the Borrower only so far as it is aware having made due and careful enquiries.</w:t>
      </w:r>
    </w:p>
    <w:p>
      <w:pPr>
        <w:spacing w:after="0" w:line="156" w:lineRule="exact"/>
        <w:rPr>
          <w:sz w:val="20"/>
          <w:szCs w:val="20"/>
          <w:color w:val="auto"/>
        </w:rPr>
      </w:pPr>
    </w:p>
    <w:p>
      <w:pPr>
        <w:ind w:left="652" w:hanging="652"/>
        <w:spacing w:after="0"/>
        <w:tabs>
          <w:tab w:leader="none" w:pos="65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statements</w:t>
      </w:r>
    </w:p>
    <w:p>
      <w:pPr>
        <w:spacing w:after="0" w:line="233" w:lineRule="exact"/>
        <w:rPr>
          <w:rFonts w:ascii="Times New Roman" w:cs="Times New Roman" w:eastAsia="Times New Roman" w:hAnsi="Times New Roman"/>
          <w:sz w:val="20"/>
          <w:szCs w:val="20"/>
          <w:b w:val="1"/>
          <w:bCs w:val="1"/>
          <w:color w:val="auto"/>
        </w:rPr>
      </w:pPr>
    </w:p>
    <w:p>
      <w:pPr>
        <w:jc w:val="both"/>
        <w:ind w:left="1292" w:hanging="644"/>
        <w:spacing w:after="0" w:line="269"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Its Original Financial Statements were prepared in accordance with the Accounting Principles consistently applied (other than any differences arising between IFRS, as used in the preparation of the Original Financial Statements, and the Accounting Principles).</w:t>
      </w:r>
    </w:p>
    <w:p>
      <w:pPr>
        <w:spacing w:after="0" w:line="186" w:lineRule="exact"/>
        <w:rPr>
          <w:rFonts w:ascii="Times New Roman" w:cs="Times New Roman" w:eastAsia="Times New Roman" w:hAnsi="Times New Roman"/>
          <w:sz w:val="22"/>
          <w:szCs w:val="22"/>
          <w:color w:val="auto"/>
        </w:rPr>
      </w:pPr>
    </w:p>
    <w:p>
      <w:pPr>
        <w:ind w:left="1292" w:hanging="644"/>
        <w:spacing w:after="0" w:line="273"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Its Original Financial Statements fairly represent its financial condition as at the end of the relevant financial year during the relevant financial year (consolidated in the case of the Borrower).</w:t>
      </w:r>
    </w:p>
    <w:p>
      <w:pPr>
        <w:spacing w:after="0" w:line="179" w:lineRule="exact"/>
        <w:rPr>
          <w:rFonts w:ascii="Times New Roman" w:cs="Times New Roman" w:eastAsia="Times New Roman" w:hAnsi="Times New Roman"/>
          <w:sz w:val="22"/>
          <w:szCs w:val="22"/>
          <w:color w:val="auto"/>
        </w:rPr>
      </w:pPr>
    </w:p>
    <w:p>
      <w:pPr>
        <w:ind w:left="1292" w:right="20" w:hanging="644"/>
        <w:spacing w:after="0" w:line="273"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There has been no material adverse change in the business or consolidated financial condition of the Group since the date of its Original Financial Statements.</w:t>
      </w:r>
    </w:p>
    <w:p>
      <w:pPr>
        <w:spacing w:after="0" w:line="17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Its most recent financial statements required to be delivered in accordance with the Term Sheet:</w:t>
      </w:r>
    </w:p>
    <w:p>
      <w:pPr>
        <w:spacing w:after="0" w:line="219" w:lineRule="exact"/>
        <w:rPr>
          <w:rFonts w:ascii="Times New Roman" w:cs="Times New Roman" w:eastAsia="Times New Roman" w:hAnsi="Times New Roman"/>
          <w:sz w:val="22"/>
          <w:szCs w:val="22"/>
          <w:color w:val="auto"/>
        </w:rPr>
      </w:pPr>
    </w:p>
    <w:p>
      <w:pPr>
        <w:jc w:val="both"/>
        <w:ind w:left="1952" w:hanging="655"/>
        <w:spacing w:after="0" w:line="269" w:lineRule="auto"/>
        <w:tabs>
          <w:tab w:leader="none" w:pos="195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have been prepared in accordance with the Accounting Principles as applied to the Original Financial Statements (other than any differences arising between IFRS, as used in the preparation of the Original Financial Statements, and the Accounting Principles); and</w:t>
      </w:r>
    </w:p>
    <w:p>
      <w:pPr>
        <w:spacing w:after="0" w:line="186" w:lineRule="exact"/>
        <w:rPr>
          <w:rFonts w:ascii="Times New Roman" w:cs="Times New Roman" w:eastAsia="Times New Roman" w:hAnsi="Times New Roman"/>
          <w:sz w:val="22"/>
          <w:szCs w:val="22"/>
          <w:color w:val="auto"/>
        </w:rPr>
      </w:pPr>
    </w:p>
    <w:p>
      <w:pPr>
        <w:ind w:left="1952" w:hanging="655"/>
        <w:spacing w:after="0" w:line="273" w:lineRule="auto"/>
        <w:tabs>
          <w:tab w:leader="none" w:pos="195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fairly represent in all material respects its consolidated financial condition as at the end of, and consolidated results of operations for, the period to which they relate.</w:t>
      </w:r>
    </w:p>
    <w:p>
      <w:pPr>
        <w:spacing w:after="0" w:line="16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proceedings pending or threatened</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litigation, arbitration or administrative proceedings of or before any court, arbitral body or agency which, if adversely determined, are reasonably likely to have a Material Adverse Effect has or have (to the best of its knowledge and belief) been started or threatened against it or any of its Subsidiaries.</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breach of laws</w:t>
      </w:r>
    </w:p>
    <w:p>
      <w:pPr>
        <w:spacing w:after="0" w:line="233" w:lineRule="exact"/>
        <w:rPr>
          <w:rFonts w:ascii="Times New Roman" w:cs="Times New Roman" w:eastAsia="Times New Roman" w:hAnsi="Times New Roman"/>
          <w:sz w:val="20"/>
          <w:szCs w:val="20"/>
          <w:b w:val="1"/>
          <w:bCs w:val="1"/>
          <w:color w:val="auto"/>
        </w:rPr>
      </w:pPr>
    </w:p>
    <w:p>
      <w:pPr>
        <w:ind w:left="1292" w:hanging="644"/>
        <w:spacing w:after="0" w:line="273"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 has not (and none of its Subsidiaries has) breached any law or regulation which breach has or is reasonably likely to have a Material Adverse Effect.</w:t>
      </w:r>
    </w:p>
    <w:p>
      <w:pPr>
        <w:spacing w:after="0" w:line="179" w:lineRule="exact"/>
        <w:rPr>
          <w:rFonts w:ascii="Times New Roman" w:cs="Times New Roman" w:eastAsia="Times New Roman" w:hAnsi="Times New Roman"/>
          <w:sz w:val="22"/>
          <w:szCs w:val="22"/>
          <w:color w:val="auto"/>
        </w:rPr>
      </w:pPr>
    </w:p>
    <w:p>
      <w:pPr>
        <w:ind w:left="1292" w:hanging="644"/>
        <w:spacing w:after="0" w:line="273"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6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 laws</w:t>
      </w:r>
    </w:p>
    <w:p>
      <w:pPr>
        <w:spacing w:after="0" w:line="229" w:lineRule="exact"/>
        <w:rPr>
          <w:rFonts w:ascii="Times New Roman" w:cs="Times New Roman" w:eastAsia="Times New Roman" w:hAnsi="Times New Roman"/>
          <w:sz w:val="20"/>
          <w:szCs w:val="20"/>
          <w:b w:val="1"/>
          <w:bCs w:val="1"/>
          <w:color w:val="auto"/>
        </w:rPr>
      </w:pPr>
    </w:p>
    <w:p>
      <w:pPr>
        <w:jc w:val="both"/>
        <w:ind w:left="1292" w:hanging="644"/>
        <w:spacing w:after="0" w:line="270"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member of the Group is in compliance with paragraph 3 (</w:t>
      </w:r>
      <w:r>
        <w:rPr>
          <w:rFonts w:ascii="Times New Roman" w:cs="Times New Roman" w:eastAsia="Times New Roman" w:hAnsi="Times New Roman"/>
          <w:sz w:val="20"/>
          <w:szCs w:val="20"/>
          <w:i w:val="1"/>
          <w:iCs w:val="1"/>
          <w:color w:val="auto"/>
        </w:rPr>
        <w:t>Environmental Compliance</w:t>
      </w:r>
      <w:r>
        <w:rPr>
          <w:rFonts w:ascii="Times New Roman" w:cs="Times New Roman" w:eastAsia="Times New Roman" w:hAnsi="Times New Roman"/>
          <w:sz w:val="20"/>
          <w:szCs w:val="20"/>
          <w:color w:val="auto"/>
        </w:rPr>
        <w:t>) of Schedule 3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Undertakings</w:t>
      </w:r>
      <w:r>
        <w:rPr>
          <w:rFonts w:ascii="Times New Roman" w:cs="Times New Roman" w:eastAsia="Times New Roman" w:hAnsi="Times New Roman"/>
          <w:sz w:val="20"/>
          <w:szCs w:val="20"/>
          <w:color w:val="auto"/>
        </w:rPr>
        <w:t>) to this Term Sheet and to the best of its knowledge and belief (having made due and careful enquiry)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have occurred which would prevent such compliance in a manner or to an extent which has or is reasonably likely to have a Material Adverse Effect.</w:t>
      </w:r>
    </w:p>
    <w:p>
      <w:pPr>
        <w:spacing w:after="0" w:line="185" w:lineRule="exact"/>
        <w:rPr>
          <w:rFonts w:ascii="Times New Roman" w:cs="Times New Roman" w:eastAsia="Times New Roman" w:hAnsi="Times New Roman"/>
          <w:sz w:val="22"/>
          <w:szCs w:val="22"/>
          <w:color w:val="auto"/>
        </w:rPr>
      </w:pPr>
    </w:p>
    <w:p>
      <w:pPr>
        <w:jc w:val="both"/>
        <w:ind w:left="1292" w:hanging="644"/>
        <w:spacing w:after="0" w:line="269"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w:t>
      </w:r>
    </w:p>
    <w:p>
      <w:pPr>
        <w:spacing w:after="0" w:line="186" w:lineRule="exact"/>
        <w:rPr>
          <w:rFonts w:ascii="Times New Roman" w:cs="Times New Roman" w:eastAsia="Times New Roman" w:hAnsi="Times New Roman"/>
          <w:sz w:val="22"/>
          <w:szCs w:val="22"/>
          <w:color w:val="auto"/>
        </w:rPr>
      </w:pPr>
    </w:p>
    <w:p>
      <w:pPr>
        <w:ind w:left="1292" w:hanging="644"/>
        <w:spacing w:after="0" w:line="273"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cost to the Group of compliance with Environmental Laws (including Environmental Permits) is (to the best of its knowledge and belief, having made due and careful enquiry) adequately provided for.</w:t>
      </w:r>
    </w:p>
    <w:p>
      <w:pPr>
        <w:spacing w:after="0" w:line="16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Taxation</w:t>
      </w:r>
    </w:p>
    <w:p>
      <w:pPr>
        <w:sectPr>
          <w:pgSz w:w="11900" w:h="16838" w:orient="portrait"/>
          <w:cols w:equalWidth="0" w:num="1">
            <w:col w:w="11412"/>
          </w:cols>
          <w:pgMar w:left="248" w:top="130" w:right="239" w:bottom="0" w:gutter="0" w:footer="0" w:header="0"/>
        </w:sectPr>
      </w:pPr>
    </w:p>
    <w:bookmarkStart w:id="62" w:name="page63"/>
    <w:bookmarkEnd w:id="62"/>
    <w:p>
      <w:pPr>
        <w:jc w:val="both"/>
        <w:ind w:left="1292" w:hanging="644"/>
        <w:spacing w:after="0" w:line="300" w:lineRule="auto"/>
        <w:tabs>
          <w:tab w:leader="none" w:pos="129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is not (and none of its Material Subsidiaries is) materially overdue in the filing of any Tax returns and it is not (and none of its Material Subsidiaries is) overdue in the payment of any material amount in respect of Tax unless and only to the extent that:</w:t>
      </w:r>
    </w:p>
    <w:p>
      <w:pPr>
        <w:spacing w:after="0" w:line="154" w:lineRule="exact"/>
        <w:rPr>
          <w:rFonts w:ascii="Times New Roman" w:cs="Times New Roman" w:eastAsia="Times New Roman" w:hAnsi="Times New Roman"/>
          <w:sz w:val="21"/>
          <w:szCs w:val="21"/>
          <w:color w:val="auto"/>
        </w:rPr>
      </w:pPr>
    </w:p>
    <w:p>
      <w:pPr>
        <w:ind w:left="1952" w:hanging="655"/>
        <w:spacing w:after="0"/>
        <w:tabs>
          <w:tab w:leader="none" w:pos="195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payment is being contested, postponed or compromised in good faith;</w:t>
      </w:r>
    </w:p>
    <w:p>
      <w:pPr>
        <w:spacing w:after="0" w:line="219" w:lineRule="exact"/>
        <w:rPr>
          <w:rFonts w:ascii="Times New Roman" w:cs="Times New Roman" w:eastAsia="Times New Roman" w:hAnsi="Times New Roman"/>
          <w:sz w:val="22"/>
          <w:szCs w:val="22"/>
          <w:color w:val="auto"/>
        </w:rPr>
      </w:pPr>
    </w:p>
    <w:p>
      <w:pPr>
        <w:ind w:left="1952" w:hanging="655"/>
        <w:spacing w:after="0" w:line="273" w:lineRule="auto"/>
        <w:tabs>
          <w:tab w:leader="none" w:pos="195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adequate reserves are being maintained for those Taxes and the costs required to contest, postpone or compromise them; and</w:t>
      </w:r>
    </w:p>
    <w:p>
      <w:pPr>
        <w:spacing w:after="0" w:line="179" w:lineRule="exact"/>
        <w:rPr>
          <w:rFonts w:ascii="Times New Roman" w:cs="Times New Roman" w:eastAsia="Times New Roman" w:hAnsi="Times New Roman"/>
          <w:sz w:val="22"/>
          <w:szCs w:val="22"/>
          <w:color w:val="auto"/>
        </w:rPr>
      </w:pPr>
    </w:p>
    <w:p>
      <w:pPr>
        <w:ind w:left="1952" w:right="20" w:hanging="655"/>
        <w:spacing w:after="0" w:line="273" w:lineRule="auto"/>
        <w:tabs>
          <w:tab w:leader="none" w:pos="195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payment can be lawfully withheld and failure to pay those Taxes does not have, or to the Borrower's knowledge, would not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left="1292" w:hanging="644"/>
        <w:spacing w:after="0" w:line="268" w:lineRule="auto"/>
        <w:tabs>
          <w:tab w:leader="none" w:pos="12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claims or investigations that are not provided for in its latest financial statements are being made or conducted against it (or any of its Material Subsidiaries) with respect to Taxes such that a liability of the Borrower or any Material Subsidiary of USD 20,000,000 (or its equivalent in any other currency) or more is reasonably likely to arise upon a final determination of that claim or investigation.</w:t>
      </w:r>
    </w:p>
    <w:p>
      <w:pPr>
        <w:spacing w:after="0" w:line="18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 is resident for Tax purposes only in England and Wales.</w:t>
      </w:r>
    </w:p>
    <w:p>
      <w:pPr>
        <w:spacing w:after="0" w:line="20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and Financial Indebtedness</w:t>
      </w:r>
    </w:p>
    <w:p>
      <w:pPr>
        <w:spacing w:after="0" w:line="233" w:lineRule="exact"/>
        <w:rPr>
          <w:rFonts w:ascii="Times New Roman" w:cs="Times New Roman" w:eastAsia="Times New Roman" w:hAnsi="Times New Roman"/>
          <w:sz w:val="20"/>
          <w:szCs w:val="20"/>
          <w:b w:val="1"/>
          <w:bCs w:val="1"/>
          <w:color w:val="auto"/>
        </w:rPr>
      </w:pPr>
    </w:p>
    <w:p>
      <w:pPr>
        <w:ind w:left="1292" w:right="20" w:hanging="644"/>
        <w:spacing w:after="0" w:line="273" w:lineRule="auto"/>
        <w:tabs>
          <w:tab w:leader="none" w:pos="12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Security exists over all or any of the present or future assets of any member of the Group other than as permitted by the Agreement.</w:t>
      </w:r>
    </w:p>
    <w:p>
      <w:pPr>
        <w:spacing w:after="0" w:line="175" w:lineRule="exact"/>
        <w:rPr>
          <w:rFonts w:ascii="Times New Roman" w:cs="Times New Roman" w:eastAsia="Times New Roman" w:hAnsi="Times New Roman"/>
          <w:sz w:val="22"/>
          <w:szCs w:val="22"/>
          <w:color w:val="auto"/>
        </w:rPr>
      </w:pPr>
    </w:p>
    <w:p>
      <w:pPr>
        <w:ind w:left="1292" w:hanging="644"/>
        <w:spacing w:after="0" w:line="277" w:lineRule="auto"/>
        <w:tabs>
          <w:tab w:leader="none" w:pos="12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member of the Group has any Financial Indebtedness outstanding that is prohibited under paragraph 18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of Schedule 3 (</w:t>
      </w:r>
      <w:r>
        <w:rPr>
          <w:rFonts w:ascii="Times New Roman" w:cs="Times New Roman" w:eastAsia="Times New Roman" w:hAnsi="Times New Roman"/>
          <w:sz w:val="20"/>
          <w:szCs w:val="20"/>
          <w:i w:val="1"/>
          <w:iCs w:val="1"/>
          <w:color w:val="auto"/>
        </w:rPr>
        <w:t>General Undertakings</w:t>
      </w:r>
      <w:r>
        <w:rPr>
          <w:rFonts w:ascii="Times New Roman" w:cs="Times New Roman" w:eastAsia="Times New Roman" w:hAnsi="Times New Roman"/>
          <w:sz w:val="20"/>
          <w:szCs w:val="20"/>
          <w:color w:val="auto"/>
        </w:rPr>
        <w:t>) to this Term Sheet.</w:t>
      </w:r>
    </w:p>
    <w:p>
      <w:pPr>
        <w:spacing w:after="0" w:line="15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Pari passu ranking</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Subject to the Legal Reservations, its payment obligations under the Finance Documents rank at least pari passu with the claims of all its other unsecured and unsubordinated creditors, except for obligations mandatorily preferred by law applying to companies generally.</w:t>
      </w:r>
    </w:p>
    <w:p>
      <w:pPr>
        <w:spacing w:after="0" w:line="132"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 title to assets</w:t>
      </w:r>
    </w:p>
    <w:p>
      <w:pPr>
        <w:spacing w:after="0" w:line="219" w:lineRule="exact"/>
        <w:rPr>
          <w:rFonts w:ascii="Times New Roman" w:cs="Times New Roman" w:eastAsia="Times New Roman" w:hAnsi="Times New Roman"/>
          <w:sz w:val="20"/>
          <w:szCs w:val="20"/>
          <w:b w:val="1"/>
          <w:bCs w:val="1"/>
          <w:color w:val="auto"/>
        </w:rPr>
      </w:pPr>
    </w:p>
    <w:p>
      <w:pPr>
        <w:jc w:val="both"/>
        <w:ind w:left="652"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and each of its Subsidiaries has a good, valid and marketable title to, or valid leases or licences of, and all appropriate Authorisations to use, the assets necessary to carry on its business as presently conducted other than where a failure to do so could not reasonably be expected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and beneficial ownership</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and each of its Subsidiaries is the sole legal and beneficial owner of the assets which are material in the context of its business and which are required by it in order to carry on its business as it is being conducted, other than where a failure to be so could not reasonably be expected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w:t>
      </w:r>
    </w:p>
    <w:p>
      <w:pPr>
        <w:spacing w:after="0" w:line="219"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and each of its Subsidiaries:</w:t>
      </w:r>
    </w:p>
    <w:p>
      <w:pPr>
        <w:spacing w:after="0" w:line="229" w:lineRule="exact"/>
        <w:rPr>
          <w:rFonts w:ascii="Times New Roman" w:cs="Times New Roman" w:eastAsia="Times New Roman" w:hAnsi="Times New Roman"/>
          <w:sz w:val="20"/>
          <w:szCs w:val="20"/>
          <w:b w:val="1"/>
          <w:bCs w:val="1"/>
          <w:color w:val="auto"/>
        </w:rPr>
      </w:pPr>
    </w:p>
    <w:p>
      <w:pPr>
        <w:ind w:left="1292" w:hanging="644"/>
        <w:spacing w:after="0" w:line="273" w:lineRule="auto"/>
        <w:tabs>
          <w:tab w:leader="none" w:pos="12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w:t>
      </w:r>
    </w:p>
    <w:p>
      <w:pPr>
        <w:spacing w:after="0" w:line="179" w:lineRule="exact"/>
        <w:rPr>
          <w:rFonts w:ascii="Times New Roman" w:cs="Times New Roman" w:eastAsia="Times New Roman" w:hAnsi="Times New Roman"/>
          <w:sz w:val="22"/>
          <w:szCs w:val="22"/>
          <w:color w:val="auto"/>
        </w:rPr>
      </w:pPr>
    </w:p>
    <w:p>
      <w:pPr>
        <w:ind w:left="1292" w:right="20" w:hanging="644"/>
        <w:spacing w:after="0" w:line="273" w:lineRule="auto"/>
        <w:tabs>
          <w:tab w:leader="none" w:pos="12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does not (nor does any of its Subsidiaries), in carrying on its businesses, infringe any Intellectual Property of any third party in any respect; and</w:t>
      </w:r>
    </w:p>
    <w:p>
      <w:pPr>
        <w:spacing w:after="0" w:line="179" w:lineRule="exact"/>
        <w:rPr>
          <w:rFonts w:ascii="Times New Roman" w:cs="Times New Roman" w:eastAsia="Times New Roman" w:hAnsi="Times New Roman"/>
          <w:sz w:val="22"/>
          <w:szCs w:val="22"/>
          <w:color w:val="auto"/>
        </w:rPr>
      </w:pPr>
    </w:p>
    <w:p>
      <w:pPr>
        <w:ind w:left="1292" w:right="20" w:hanging="644"/>
        <w:spacing w:after="0" w:line="273" w:lineRule="auto"/>
        <w:tabs>
          <w:tab w:leader="none" w:pos="12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has taken all formal or procedural actions (including payment of fees) required to maintain any material Intellectual Property owned by it,</w:t>
      </w:r>
    </w:p>
    <w:p>
      <w:pPr>
        <w:spacing w:after="0" w:line="16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other than where a failure to be or do so could not reasonably be expected to have a Material Adverse Effect.</w:t>
      </w:r>
    </w:p>
    <w:p>
      <w:pPr>
        <w:spacing w:after="0" w:line="212" w:lineRule="exact"/>
        <w:rPr>
          <w:sz w:val="20"/>
          <w:szCs w:val="20"/>
          <w:color w:val="auto"/>
        </w:rPr>
      </w:pPr>
    </w:p>
    <w:p>
      <w:pPr>
        <w:ind w:left="652" w:hanging="652"/>
        <w:spacing w:after="0"/>
        <w:tabs>
          <w:tab w:leader="none" w:pos="652"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Reference Date</w:t>
      </w:r>
    </w:p>
    <w:p>
      <w:pPr>
        <w:spacing w:after="0" w:line="219"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Accounting Reference Date of each member of the Group is 31 December.</w:t>
      </w:r>
    </w:p>
    <w:p>
      <w:pPr>
        <w:spacing w:after="0" w:line="211"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adverse consequences</w:t>
      </w:r>
    </w:p>
    <w:p>
      <w:pPr>
        <w:spacing w:after="0" w:line="233"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 is not necessary under the laws of its Relevant Jurisdictions:</w:t>
      </w:r>
    </w:p>
    <w:p>
      <w:pPr>
        <w:spacing w:after="0" w:line="219"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order to enable any Finance Party to enforce its rights under any Finance Document; or</w:t>
      </w:r>
    </w:p>
    <w:p>
      <w:pPr>
        <w:spacing w:after="0" w:line="219"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reason of the execution of any Finance Document or the performance by it of its obligations under any Finance</w:t>
      </w:r>
    </w:p>
    <w:p>
      <w:pPr>
        <w:sectPr>
          <w:pgSz w:w="11900" w:h="16838" w:orient="portrait"/>
          <w:cols w:equalWidth="0" w:num="1">
            <w:col w:w="11412"/>
          </w:cols>
          <w:pgMar w:left="248" w:top="130" w:right="239" w:bottom="0" w:gutter="0" w:footer="0" w:header="0"/>
        </w:sectPr>
      </w:pPr>
    </w:p>
    <w:p>
      <w:pPr>
        <w:spacing w:after="0" w:line="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9"/>
          <w:szCs w:val="19"/>
          <w:color w:val="auto"/>
        </w:rPr>
        <w:t>Document,</w:t>
      </w:r>
    </w:p>
    <w:p>
      <w:pPr>
        <w:sectPr>
          <w:pgSz w:w="11900" w:h="16838" w:orient="portrait"/>
          <w:cols w:equalWidth="0" w:num="1">
            <w:col w:w="11412"/>
          </w:cols>
          <w:pgMar w:left="248" w:top="130" w:right="239" w:bottom="0" w:gutter="0" w:footer="0" w:header="0"/>
          <w:type w:val="continuous"/>
        </w:sectPr>
      </w:pPr>
    </w:p>
    <w:bookmarkStart w:id="63" w:name="page64"/>
    <w:bookmarkEnd w:id="63"/>
    <w:p>
      <w:pPr>
        <w:ind w:left="1300"/>
        <w:spacing w:after="0" w:line="269" w:lineRule="auto"/>
        <w:rPr>
          <w:sz w:val="20"/>
          <w:szCs w:val="20"/>
          <w:color w:val="auto"/>
        </w:rPr>
      </w:pPr>
      <w:r>
        <w:rPr>
          <w:rFonts w:ascii="Times New Roman" w:cs="Times New Roman" w:eastAsia="Times New Roman" w:hAnsi="Times New Roman"/>
          <w:sz w:val="20"/>
          <w:szCs w:val="20"/>
          <w:color w:val="auto"/>
        </w:rPr>
        <w:t>that any Finance Party should be licensed, qualified or otherwise entitled to carry on business in any of its Relevant Jurisdictions.</w:t>
      </w:r>
    </w:p>
    <w:p>
      <w:pPr>
        <w:spacing w:after="0" w:line="173" w:lineRule="exact"/>
        <w:rPr>
          <w:sz w:val="20"/>
          <w:szCs w:val="20"/>
          <w:color w:val="auto"/>
        </w:rPr>
      </w:pPr>
    </w:p>
    <w:p>
      <w:pPr>
        <w:ind w:left="1300" w:hanging="644"/>
        <w:spacing w:after="0" w:line="273" w:lineRule="auto"/>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Finance Party is or will be deemed to be resident, domiciled or carrying on business in its Relevant Jurisdictions by reason only of the execution, performance and/or enforcement of any Finance Document.</w:t>
      </w:r>
    </w:p>
    <w:p>
      <w:pPr>
        <w:spacing w:after="0" w:line="16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Centre of main interests and establishments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For the purposes of The Council of the European Union Regulation No 2015/848 on Insolvency Proceedings (recast) (the </w:t>
      </w:r>
      <w:r>
        <w:rPr>
          <w:rFonts w:ascii="Times New Roman" w:cs="Times New Roman" w:eastAsia="Times New Roman" w:hAnsi="Times New Roman"/>
          <w:sz w:val="20"/>
          <w:szCs w:val="20"/>
          <w:b w:val="1"/>
          <w:bCs w:val="1"/>
          <w:color w:val="auto"/>
        </w:rPr>
        <w:t>"Regulation"</w:t>
      </w:r>
      <w:r>
        <w:rPr>
          <w:rFonts w:ascii="Times New Roman" w:cs="Times New Roman" w:eastAsia="Times New Roman" w:hAnsi="Times New Roman"/>
          <w:sz w:val="20"/>
          <w:szCs w:val="20"/>
          <w:color w:val="auto"/>
        </w:rPr>
        <w:t>), its centre of main interest (as that term is used in Article 3(1) of the Regulation) is situated in England and Wales and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no "</w:t>
      </w:r>
      <w:r>
        <w:rPr>
          <w:rFonts w:ascii="Times New Roman" w:cs="Times New Roman" w:eastAsia="Times New Roman" w:hAnsi="Times New Roman"/>
          <w:sz w:val="20"/>
          <w:szCs w:val="20"/>
          <w:i w:val="1"/>
          <w:iCs w:val="1"/>
          <w:color w:val="auto"/>
        </w:rPr>
        <w:t>establishment</w:t>
      </w:r>
      <w:r>
        <w:rPr>
          <w:rFonts w:ascii="Times New Roman" w:cs="Times New Roman" w:eastAsia="Times New Roman" w:hAnsi="Times New Roman"/>
          <w:sz w:val="20"/>
          <w:szCs w:val="20"/>
          <w:color w:val="auto"/>
        </w:rPr>
        <w:t>" (as that term is used in Article 2(h) of the Regulation) in any other jurisdiction (other than Italy).</w:t>
      </w:r>
    </w:p>
    <w:p>
      <w:pPr>
        <w:spacing w:after="0" w:line="143" w:lineRule="exact"/>
        <w:rPr>
          <w:rFonts w:ascii="Times New Roman" w:cs="Times New Roman" w:eastAsia="Times New Roman" w:hAnsi="Times New Roman"/>
          <w:sz w:val="20"/>
          <w:szCs w:val="20"/>
          <w:b w:val="1"/>
          <w:bCs w:val="1"/>
          <w:color w:val="auto"/>
        </w:rPr>
      </w:pPr>
    </w:p>
    <w:p>
      <w:pPr>
        <w:ind w:left="660" w:hanging="652"/>
        <w:spacing w:after="0" w:line="230" w:lineRule="exact"/>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Anti</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corruption and anti-money laundering law</w:t>
      </w:r>
    </w:p>
    <w:p>
      <w:pPr>
        <w:spacing w:after="0" w:line="247" w:lineRule="exact"/>
        <w:rPr>
          <w:rFonts w:ascii="Times New Roman" w:cs="Times New Roman" w:eastAsia="Times New Roman" w:hAnsi="Times New Roman"/>
          <w:sz w:val="20"/>
          <w:szCs w:val="20"/>
          <w:b w:val="1"/>
          <w:bCs w:val="1"/>
          <w:color w:val="auto"/>
        </w:rPr>
      </w:pPr>
    </w:p>
    <w:p>
      <w:pPr>
        <w:jc w:val="both"/>
        <w:ind w:left="660"/>
        <w:spacing w:after="0" w:line="237" w:lineRule="exact"/>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best of its knowledge and belief (after due and careful enquiry), each member of the Group has conducted its businesses in compliance with applicable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corruption laws and all applicable laws and regulations that relate to anti-money laundering, counter-terrorist financing or record keeping or reporting requirements relating to anti-money laundering or counter-terrorist financing, and has instituted and maintained policies and procedures designed to promote and achieve compliance with such laws.</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Sanctions</w:t>
      </w:r>
    </w:p>
    <w:p>
      <w:pPr>
        <w:spacing w:after="0" w:line="233" w:lineRule="exact"/>
        <w:rPr>
          <w:rFonts w:ascii="Times New Roman" w:cs="Times New Roman" w:eastAsia="Times New Roman" w:hAnsi="Times New Roman"/>
          <w:sz w:val="20"/>
          <w:szCs w:val="20"/>
          <w:b w:val="1"/>
          <w:bCs w:val="1"/>
          <w:color w:val="auto"/>
        </w:rPr>
      </w:pPr>
    </w:p>
    <w:p>
      <w:pPr>
        <w:ind w:left="1300" w:hanging="644"/>
        <w:spacing w:after="0" w:line="273"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best of its knowledge and belief (after due and careful enquiry), neither it nor any of its Subsidiaries, nor any directors, officers or employees of it or any of its Subsidiaries:</w:t>
      </w:r>
    </w:p>
    <w:p>
      <w:pPr>
        <w:spacing w:after="0" w:line="179" w:lineRule="exact"/>
        <w:rPr>
          <w:rFonts w:ascii="Times New Roman" w:cs="Times New Roman" w:eastAsia="Times New Roman" w:hAnsi="Times New Roman"/>
          <w:sz w:val="22"/>
          <w:szCs w:val="22"/>
          <w:color w:val="auto"/>
        </w:rPr>
      </w:pPr>
    </w:p>
    <w:p>
      <w:pPr>
        <w:ind w:left="1960" w:hanging="655"/>
        <w:spacing w:after="0" w:line="273" w:lineRule="auto"/>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a Restricted Party or is engaging in or has engaged in any transaction or conduct that could result in it becoming a Restricted Party;</w:t>
      </w:r>
    </w:p>
    <w:p>
      <w:pPr>
        <w:spacing w:after="0" w:line="17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subject to any claim, proceeding, formal notice or investigation with respect to Sanctions;</w:t>
      </w:r>
    </w:p>
    <w:p>
      <w:pPr>
        <w:spacing w:after="0" w:line="219" w:lineRule="exact"/>
        <w:rPr>
          <w:rFonts w:ascii="Times New Roman" w:cs="Times New Roman" w:eastAsia="Times New Roman" w:hAnsi="Times New Roman"/>
          <w:sz w:val="22"/>
          <w:szCs w:val="22"/>
          <w:color w:val="auto"/>
        </w:rPr>
      </w:pPr>
    </w:p>
    <w:p>
      <w:pPr>
        <w:ind w:left="1960" w:hanging="655"/>
        <w:spacing w:after="0" w:line="273" w:lineRule="auto"/>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engaging in any transaction that evades or avoids, or has the purpose of evading or avoiding, or breaches or attempts to breach, directly or indirectly, any Sanctions applicable to it; or</w:t>
      </w:r>
    </w:p>
    <w:p>
      <w:pPr>
        <w:spacing w:after="0" w:line="179" w:lineRule="exact"/>
        <w:rPr>
          <w:rFonts w:ascii="Times New Roman" w:cs="Times New Roman" w:eastAsia="Times New Roman" w:hAnsi="Times New Roman"/>
          <w:sz w:val="22"/>
          <w:szCs w:val="22"/>
          <w:color w:val="auto"/>
        </w:rPr>
      </w:pPr>
    </w:p>
    <w:p>
      <w:pPr>
        <w:ind w:left="1960" w:hanging="655"/>
        <w:spacing w:after="0" w:line="273" w:lineRule="auto"/>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engaging, directly or indirectly, in any trade, business or other activities with or for the benefit of any Restricted Party where such trade, business or activity is in breach of Sanctions.</w:t>
      </w:r>
    </w:p>
    <w:p>
      <w:pPr>
        <w:spacing w:after="0" w:line="17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Utilisation, nor the proceeds from any Utilisation, has been used, directly or (knowingly) indirectly, to lend, contribute, provide or has otherwise been made to fund or finance any business activities or transactions:</w:t>
      </w:r>
    </w:p>
    <w:p>
      <w:pPr>
        <w:spacing w:after="0" w:line="17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of or with a Restricted Party; or</w:t>
      </w:r>
    </w:p>
    <w:p>
      <w:pPr>
        <w:spacing w:after="0" w:line="219" w:lineRule="exact"/>
        <w:rPr>
          <w:rFonts w:ascii="Times New Roman" w:cs="Times New Roman" w:eastAsia="Times New Roman" w:hAnsi="Times New Roman"/>
          <w:sz w:val="22"/>
          <w:szCs w:val="22"/>
          <w:color w:val="auto"/>
        </w:rPr>
      </w:pPr>
    </w:p>
    <w:p>
      <w:pPr>
        <w:ind w:left="1960" w:hanging="655"/>
        <w:spacing w:after="0" w:line="273" w:lineRule="auto"/>
        <w:tabs>
          <w:tab w:leader="none" w:pos="19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any other manner which would result in any member of the Group, any Finance Party being in breach of any Sanctions or becoming a Restricted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Undertakings</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financial undertakings set out in this Schedule shall remain in force from the date of the Agreement for so long as any amount is outstanding under the Finance Documents or any Commitment is in force (unless indicated otherwise).</w:t>
      </w:r>
    </w:p>
    <w:p>
      <w:pPr>
        <w:spacing w:after="0" w:line="156"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condition</w:t>
      </w:r>
    </w:p>
    <w:p>
      <w:pPr>
        <w:spacing w:after="0" w:line="229" w:lineRule="exact"/>
        <w:rPr>
          <w:rFonts w:ascii="Times New Roman" w:cs="Times New Roman" w:eastAsia="Times New Roman" w:hAnsi="Times New Roman"/>
          <w:sz w:val="20"/>
          <w:szCs w:val="20"/>
          <w:b w:val="1"/>
          <w:bCs w:val="1"/>
          <w:color w:val="auto"/>
        </w:rPr>
      </w:pPr>
    </w:p>
    <w:p>
      <w:pPr>
        <w:jc w:val="both"/>
        <w:ind w:left="1300" w:hanging="644"/>
        <w:spacing w:after="0" w:line="271" w:lineRule="auto"/>
        <w:tabs>
          <w:tab w:leader="none" w:pos="13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Consolidated Net Financial Indebtedness to Consolidated EBITDA: </w:t>
      </w:r>
      <w:r>
        <w:rPr>
          <w:rFonts w:ascii="Times New Roman" w:cs="Times New Roman" w:eastAsia="Times New Roman" w:hAnsi="Times New Roman"/>
          <w:sz w:val="20"/>
          <w:szCs w:val="20"/>
          <w:color w:val="auto"/>
        </w:rPr>
        <w:t>The Company shall ensure that Consolidated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Indebtedness as at any Accounting Date shall not be more than 2.50 times the Consolidated EBITDA for the Test Period ending on that Accounting Date.</w:t>
      </w:r>
    </w:p>
    <w:p>
      <w:pPr>
        <w:spacing w:after="0" w:line="180" w:lineRule="exact"/>
        <w:rPr>
          <w:rFonts w:ascii="Times New Roman" w:cs="Times New Roman" w:eastAsia="Times New Roman" w:hAnsi="Times New Roman"/>
          <w:sz w:val="22"/>
          <w:szCs w:val="22"/>
          <w:color w:val="auto"/>
        </w:rPr>
      </w:pPr>
    </w:p>
    <w:p>
      <w:pPr>
        <w:ind w:left="1300" w:hanging="644"/>
        <w:spacing w:after="0" w:line="277" w:lineRule="auto"/>
        <w:tabs>
          <w:tab w:leader="none" w:pos="13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Consolidated EBITDA to Consolidated Total Net Interest Payable: </w:t>
      </w:r>
      <w:r>
        <w:rPr>
          <w:rFonts w:ascii="Times New Roman" w:cs="Times New Roman" w:eastAsia="Times New Roman" w:hAnsi="Times New Roman"/>
          <w:sz w:val="20"/>
          <w:szCs w:val="20"/>
          <w:color w:val="auto"/>
        </w:rPr>
        <w:t>Consolidated EBITDA for the Test Period ending on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Date shall not be lower than 6.30 times the Consolidated Total Net Interest Payable for that Test Period.</w:t>
      </w:r>
    </w:p>
    <w:p>
      <w:pPr>
        <w:spacing w:after="0" w:line="171" w:lineRule="exact"/>
        <w:rPr>
          <w:rFonts w:ascii="Times New Roman" w:cs="Times New Roman" w:eastAsia="Times New Roman" w:hAnsi="Times New Roman"/>
          <w:sz w:val="22"/>
          <w:szCs w:val="22"/>
          <w:color w:val="auto"/>
        </w:rPr>
      </w:pPr>
    </w:p>
    <w:p>
      <w:pPr>
        <w:ind w:left="1300" w:hanging="644"/>
        <w:spacing w:after="0" w:line="277" w:lineRule="auto"/>
        <w:tabs>
          <w:tab w:leader="none" w:pos="13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Consolidated Net Financial Indebtedness to Consolidated Net Worth: </w:t>
      </w:r>
      <w:r>
        <w:rPr>
          <w:rFonts w:ascii="Times New Roman" w:cs="Times New Roman" w:eastAsia="Times New Roman" w:hAnsi="Times New Roman"/>
          <w:sz w:val="20"/>
          <w:szCs w:val="20"/>
          <w:color w:val="auto"/>
        </w:rPr>
        <w:t>Consolidated Net Financial Indebtedness as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Date shall not be more than 0.50 times the Consolidated Net Worth as at that Accounting Date.</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the Consolidated Net Worth shall at no time be lower than USD 725,000,000.</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covenant calculations</w:t>
      </w:r>
    </w:p>
    <w:p>
      <w:pPr>
        <w:spacing w:after="0" w:line="21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financial ratio shall be calculated in accordance with US GAAP and tested by reference to each of the financial statements each compliance certificate to be delivered as set out in this Term Sheet.</w:t>
      </w:r>
    </w:p>
    <w:p>
      <w:pPr>
        <w:sectPr>
          <w:pgSz w:w="11900" w:h="16838" w:orient="portrait"/>
          <w:cols w:equalWidth="0" w:num="1">
            <w:col w:w="11420"/>
          </w:cols>
          <w:pgMar w:left="240" w:top="184" w:right="239" w:bottom="0" w:gutter="0" w:footer="0" w:header="0"/>
        </w:sectPr>
      </w:pPr>
    </w:p>
    <w:bookmarkStart w:id="64" w:name="page65"/>
    <w:bookmarkEnd w:id="64"/>
    <w:p>
      <w:pPr>
        <w:ind w:left="660" w:hanging="652"/>
        <w:spacing w:after="0"/>
        <w:tabs>
          <w:tab w:leader="none" w:pos="6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Schedule:</w:t>
      </w:r>
    </w:p>
    <w:p>
      <w:pPr>
        <w:spacing w:after="0" w:line="21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shall mean in relation to the Group the consolidated profit and loss statement of the Group and determined in accordance with US GAAP: the amount of the consolidated operating income of the Group:</w:t>
      </w:r>
    </w:p>
    <w:p>
      <w:pPr>
        <w:spacing w:after="0" w:line="170"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plus depreciation and amortization expenses for plant, property and equipment;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plus amortization of intangible assets and impairment losses;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plus restructuring, merger and integration expenses;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plus litigation expenses; and</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3"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plus extraordinary and non-cash items of expense, but only to the extent such items have been deducted in the determination of operating income;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minus extraordinary and non-cash items of income, but only to the extent such items are included in the operating income.</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Financial Indebtedness</w:t>
      </w:r>
      <w:r>
        <w:rPr>
          <w:rFonts w:ascii="Times New Roman" w:cs="Times New Roman" w:eastAsia="Times New Roman" w:hAnsi="Times New Roman"/>
          <w:sz w:val="20"/>
          <w:szCs w:val="20"/>
          <w:color w:val="auto"/>
        </w:rPr>
        <w:t>" shall mean at any time:</w:t>
      </w:r>
    </w:p>
    <w:p>
      <w:pPr>
        <w:spacing w:after="0" w:line="233" w:lineRule="exact"/>
        <w:rPr>
          <w:sz w:val="20"/>
          <w:szCs w:val="20"/>
          <w:color w:val="auto"/>
        </w:rPr>
      </w:pPr>
    </w:p>
    <w:p>
      <w:pPr>
        <w:ind w:left="1300" w:right="20" w:hanging="644"/>
        <w:spacing w:after="0" w:line="273" w:lineRule="auto"/>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aggregate at that time of Financial Indebtedness of the members of the Group from sources external to the Group (including guarantees for an aggregate amount exceeding USD 40,000,000.00 (forty million US dollars) at that time); less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69" w:lineRule="auto"/>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aggregate amount at that time of: (i) cash; (ii) debt securities issued or guaranteed by any member state of the OECD that benefit from an investment grade rating; and (iii) receivables from any derivative transaction entered into in connection with protection against or benefit from fluctuation in any rate or price.</w:t>
      </w:r>
    </w:p>
    <w:p>
      <w:pPr>
        <w:spacing w:after="0" w:line="16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in respect of the Group shall mean the consolidated net worth of the Group determined in accordance with US GAAP.</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Net Interest Payable</w:t>
      </w:r>
      <w:r>
        <w:rPr>
          <w:rFonts w:ascii="Times New Roman" w:cs="Times New Roman" w:eastAsia="Times New Roman" w:hAnsi="Times New Roman"/>
          <w:sz w:val="20"/>
          <w:szCs w:val="20"/>
          <w:color w:val="auto"/>
        </w:rPr>
        <w:t>" shall mean for a period in relation to the Group:</w:t>
      </w:r>
    </w:p>
    <w:p>
      <w:pPr>
        <w:spacing w:after="0" w:line="233" w:lineRule="exact"/>
        <w:rPr>
          <w:sz w:val="20"/>
          <w:szCs w:val="20"/>
          <w:color w:val="auto"/>
        </w:rPr>
      </w:pPr>
    </w:p>
    <w:p>
      <w:pPr>
        <w:ind w:left="1300" w:right="20" w:hanging="644"/>
        <w:spacing w:after="0" w:line="273" w:lineRule="auto"/>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interest accrued during such period as an obligation of any member of the Group (whether or not paid or capitalised during or deferred for payment after such period); less</w:t>
      </w:r>
    </w:p>
    <w:p>
      <w:pPr>
        <w:spacing w:after="0" w:line="17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interest received or receivable by any member of the Group (after deducting any applicable withholding tax) in such period.</w:t>
      </w:r>
    </w:p>
    <w:p>
      <w:pPr>
        <w:spacing w:after="0" w:line="16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shall mean a period of six or, as the case may be, twelve months starting on 1 January of a financial year and ending on an Accounting Date in that financial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Undertakings</w:t>
      </w:r>
    </w:p>
    <w:p>
      <w:pPr>
        <w:spacing w:after="0" w:line="216"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Authorisations</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promptly:</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comply with and do all that is necessary to maintain in full force and effect;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certified copies to the Agent of,</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71"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laws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comply in all respects with all laws to which it may be subject, if failure so to comply would materially impair its ability to perform its obligations under the Finance Documents to which it is a party or would reasonably be expected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 compliance</w:t>
      </w:r>
    </w:p>
    <w:p>
      <w:pPr>
        <w:sectPr>
          <w:pgSz w:w="11900" w:h="16838" w:orient="portrait"/>
          <w:cols w:equalWidth="0" w:num="1">
            <w:col w:w="11420"/>
          </w:cols>
          <w:pgMar w:left="240" w:top="207" w:right="239" w:bottom="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0"/>
          <w:szCs w:val="20"/>
          <w:color w:val="auto"/>
        </w:rPr>
        <w:t>The Borrower shall (and it shall ensure that each other member of the Group will):</w:t>
      </w:r>
    </w:p>
    <w:p>
      <w:pPr>
        <w:spacing w:after="0" w:line="215" w:lineRule="exact"/>
        <w:rPr>
          <w:sz w:val="20"/>
          <w:szCs w:val="20"/>
          <w:color w:val="auto"/>
        </w:rPr>
      </w:pPr>
    </w:p>
    <w:p>
      <w:pPr>
        <w:ind w:left="1300" w:hanging="644"/>
        <w:spacing w:after="0"/>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Environmental Law;</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and ensure compliance with all requisite Environmental Permits;</w:t>
      </w:r>
    </w:p>
    <w:p>
      <w:pPr>
        <w:spacing w:after="0" w:line="215" w:lineRule="exact"/>
        <w:rPr>
          <w:rFonts w:ascii="Times New Roman" w:cs="Times New Roman" w:eastAsia="Times New Roman" w:hAnsi="Times New Roman"/>
          <w:sz w:val="20"/>
          <w:szCs w:val="20"/>
          <w:color w:val="auto"/>
        </w:rPr>
      </w:pPr>
    </w:p>
    <w:p>
      <w:pPr>
        <w:ind w:left="660" w:right="1760" w:hanging="4"/>
        <w:spacing w:after="0" w:line="463" w:lineRule="auto"/>
        <w:tabs>
          <w:tab w:leader="none" w:pos="130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procedures to monitor compliance with and to prevent liability under any Environmental Law, where failure to do so has or is reasonably likely to have a Material Adverse Effect.</w:t>
      </w:r>
    </w:p>
    <w:p>
      <w:pPr>
        <w:ind w:left="660" w:hanging="652"/>
        <w:spacing w:after="0"/>
        <w:tabs>
          <w:tab w:leader="none" w:pos="6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 claims</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promptly upon becoming aware of the same, inform the Agent in writing of:</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against any member of the Group which is current, pending or threatened;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facts or circumstances which are reasonably likely to result in any Environmental Claim being commenced or threatened against any member of the Group,</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where the claim, if determined against that member of the Group, has or is reasonably likely to have a Material Adverse Effect.</w:t>
      </w:r>
    </w:p>
    <w:p>
      <w:pPr>
        <w:spacing w:after="0" w:line="212"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Pari passu ranking</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ensure that at all times any unsecured and unsubordinated claims of a Finance Party against it under the Finance Documents rank at least pari passu with the claims of all its other unsecured and unsubordinated creditors except those creditors whose claims are mandatorily preferred by laws of general application to companies.</w:t>
      </w:r>
    </w:p>
    <w:p>
      <w:pPr>
        <w:spacing w:after="0" w:line="17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19" w:lineRule="exact"/>
        <w:rPr>
          <w:rFonts w:ascii="Times New Roman" w:cs="Times New Roman" w:eastAsia="Times New Roman" w:hAnsi="Times New Roman"/>
          <w:sz w:val="20"/>
          <w:szCs w:val="20"/>
          <w:b w:val="1"/>
          <w:bCs w:val="1"/>
          <w:color w:val="auto"/>
        </w:rPr>
      </w:pPr>
    </w:p>
    <w:p>
      <w:pPr>
        <w:jc w:val="both"/>
        <w:ind w:left="1300" w:hanging="644"/>
        <w:spacing w:after="0" w:line="254" w:lineRule="auto"/>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(and it shall ensure that each other member of the Group will) maintain insurances on and in relation to its business and assets against those risks and to the extent as is usual for companies carrying on the same or substantially similar business.</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insurances must be with reputable independent insurance companies or underwriters.</w:t>
      </w:r>
    </w:p>
    <w:p>
      <w:pPr>
        <w:spacing w:after="0" w:line="21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(and it shall procure that each other member of the Group will):</w:t>
      </w:r>
    </w:p>
    <w:p>
      <w:pPr>
        <w:spacing w:after="0" w:line="215" w:lineRule="exact"/>
        <w:rPr>
          <w:rFonts w:ascii="Times New Roman" w:cs="Times New Roman" w:eastAsia="Times New Roman" w:hAnsi="Times New Roman"/>
          <w:sz w:val="20"/>
          <w:szCs w:val="20"/>
          <w:b w:val="1"/>
          <w:bCs w:val="1"/>
          <w:color w:val="auto"/>
        </w:rPr>
      </w:pPr>
    </w:p>
    <w:p>
      <w:pPr>
        <w:ind w:left="1300" w:right="20" w:hanging="644"/>
        <w:spacing w:after="0" w:line="269" w:lineRule="auto"/>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and maintain the subsistence and validity of its material Intellectual Property necessary for the business of the relevant Group member;</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reasonable endeavours to prevent any infringement in any material respect of such Intellectual Property;</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registrations and pay all registration fees and taxes necessary to maintain such Intellectual Property in full force and effect and record its interest in that Intellectual Property;</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 or permit such Intellectual Property to be used in a way or take any step or omit to take any step in respect of that Intellectual Property which may materially and adversely affect the existence or value of such Intellectual Property or imperil the right of any member of the Group to use such property; and</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discontinue the use of such Intellectual Property,</w:t>
      </w:r>
    </w:p>
    <w:p>
      <w:pPr>
        <w:spacing w:after="0" w:line="21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where failure to do so, in the case of paragraph 7(a) and 7(b), or, in the case of paragraph 7(d) and 7(e), such use, permission to use, omission or discontinuation, is reasonably likely to have a Material Adverse Effect.</w:t>
      </w:r>
    </w:p>
    <w:p>
      <w:pPr>
        <w:spacing w:after="0" w:line="15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Access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 Event of Default is continuing or the Agent reasonably suspects an Event of Default is continuing, the Borrower shall, and it shall ensure that each Material Subsidiary will permit the Agent and/or its accountants or other professional advisers and contractors free access at all reasonable times and on reasonable notice at the risk and cost of the Borrower (provided such access shall be at the cost of the Lenders if such access is granted and it transpires that an Event of Default is not continuing) to (a) the premises, assets, books, accounts and records of the Borrower and each Material Subsidiary and (b) meet and discuss matters with senior management.</w:t>
      </w:r>
    </w:p>
    <w:p>
      <w:pPr>
        <w:spacing w:after="0" w:line="17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Preservation of assets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(and it shall ensure that each other member of the Group will) maintain in good working order and condition (ordinary wear and tear excepted) all of its assets necessary or desirable in the conduct of its business where a failure to do so would have or would be reasonably likely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Taxation</w:t>
      </w:r>
    </w:p>
    <w:p>
      <w:pPr>
        <w:spacing w:after="0" w:line="21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(and it shall ensure that each other member of the Group will) pay and discharge all Taxes of a material</w:t>
      </w:r>
    </w:p>
    <w:p>
      <w:pPr>
        <w:sectPr>
          <w:pgSz w:w="11900" w:h="16838" w:orient="portrait"/>
          <w:cols w:equalWidth="0" w:num="1">
            <w:col w:w="11420"/>
          </w:cols>
          <w:pgMar w:left="240" w:top="118" w:right="239" w:bottom="0" w:gutter="0" w:footer="0" w:header="0"/>
        </w:sectPr>
      </w:pPr>
    </w:p>
    <w:bookmarkStart w:id="66" w:name="page67"/>
    <w:bookmarkEnd w:id="66"/>
    <w:p>
      <w:pPr>
        <w:ind w:left="1292"/>
        <w:spacing w:after="0" w:line="268" w:lineRule="auto"/>
        <w:rPr>
          <w:sz w:val="20"/>
          <w:szCs w:val="20"/>
          <w:color w:val="auto"/>
        </w:rPr>
      </w:pPr>
      <w:r>
        <w:rPr>
          <w:rFonts w:ascii="Times New Roman" w:cs="Times New Roman" w:eastAsia="Times New Roman" w:hAnsi="Times New Roman"/>
          <w:sz w:val="20"/>
          <w:szCs w:val="20"/>
          <w:color w:val="auto"/>
        </w:rPr>
        <w:t>amount imposed upon it or its assets within the time period allowed without incurring penalties unless and only to the extent that:</w:t>
      </w:r>
    </w:p>
    <w:p>
      <w:pPr>
        <w:spacing w:after="0" w:line="174" w:lineRule="exact"/>
        <w:rPr>
          <w:sz w:val="20"/>
          <w:szCs w:val="20"/>
          <w:color w:val="auto"/>
        </w:rPr>
      </w:pPr>
    </w:p>
    <w:p>
      <w:pPr>
        <w:ind w:left="1952" w:hanging="655"/>
        <w:spacing w:after="0"/>
        <w:tabs>
          <w:tab w:leader="none" w:pos="195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payment is being contested in good faith;</w:t>
      </w:r>
    </w:p>
    <w:p>
      <w:pPr>
        <w:spacing w:after="0" w:line="219" w:lineRule="exact"/>
        <w:rPr>
          <w:rFonts w:ascii="Times New Roman" w:cs="Times New Roman" w:eastAsia="Times New Roman" w:hAnsi="Times New Roman"/>
          <w:sz w:val="22"/>
          <w:szCs w:val="22"/>
          <w:color w:val="auto"/>
        </w:rPr>
      </w:pPr>
    </w:p>
    <w:p>
      <w:pPr>
        <w:jc w:val="both"/>
        <w:ind w:left="1952" w:hanging="655"/>
        <w:spacing w:after="0" w:line="300" w:lineRule="auto"/>
        <w:tabs>
          <w:tab w:leader="none" w:pos="1952"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adequate reserves are being maintained for those Taxes and the costs required to contest them which have been disclosed in its latest financial statements required to be delivered to the Agent in accordance with the Term Sheet; and</w:t>
      </w:r>
    </w:p>
    <w:p>
      <w:pPr>
        <w:spacing w:after="0" w:line="154" w:lineRule="exact"/>
        <w:rPr>
          <w:rFonts w:ascii="Times New Roman" w:cs="Times New Roman" w:eastAsia="Times New Roman" w:hAnsi="Times New Roman"/>
          <w:sz w:val="21"/>
          <w:szCs w:val="21"/>
          <w:color w:val="auto"/>
        </w:rPr>
      </w:pPr>
    </w:p>
    <w:p>
      <w:pPr>
        <w:ind w:left="1952" w:hanging="655"/>
        <w:spacing w:after="0" w:line="273" w:lineRule="auto"/>
        <w:tabs>
          <w:tab w:leader="none" w:pos="195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payment can be lawfully withheld and failure to pay those Taxes does not have or is not reasonably likely to have a Material Adverse Effect.</w:t>
      </w:r>
    </w:p>
    <w:p>
      <w:pPr>
        <w:spacing w:after="0" w:line="16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each member of the Group will not) change its residence for Tax purposes.</w:t>
      </w:r>
    </w:p>
    <w:p>
      <w:pPr>
        <w:spacing w:after="0" w:line="184" w:lineRule="exact"/>
        <w:rPr>
          <w:rFonts w:ascii="Times New Roman" w:cs="Times New Roman" w:eastAsia="Times New Roman" w:hAnsi="Times New Roman"/>
          <w:sz w:val="20"/>
          <w:szCs w:val="20"/>
          <w:color w:val="auto"/>
        </w:rPr>
      </w:pPr>
    </w:p>
    <w:p>
      <w:pPr>
        <w:ind w:left="652" w:hanging="652"/>
        <w:spacing w:after="0" w:line="230" w:lineRule="exact"/>
        <w:tabs>
          <w:tab w:leader="none" w:pos="652"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Anti</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corruption and anti-money laundering law</w:t>
      </w:r>
    </w:p>
    <w:p>
      <w:pPr>
        <w:spacing w:after="0" w:line="247" w:lineRule="exact"/>
        <w:rPr>
          <w:rFonts w:ascii="Times New Roman" w:cs="Times New Roman" w:eastAsia="Times New Roman" w:hAnsi="Times New Roman"/>
          <w:sz w:val="20"/>
          <w:szCs w:val="20"/>
          <w:b w:val="1"/>
          <w:bCs w:val="1"/>
          <w:color w:val="auto"/>
        </w:rPr>
      </w:pPr>
    </w:p>
    <w:p>
      <w:pPr>
        <w:jc w:val="both"/>
        <w:ind w:left="1292" w:hanging="644"/>
        <w:spacing w:after="0" w:line="254" w:lineRule="auto"/>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spacing w:after="0" w:line="17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(and it shall ensure that each other member of the Group will):</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with:</w:t>
      </w:r>
    </w:p>
    <w:p>
      <w:pPr>
        <w:spacing w:after="0" w:line="197" w:lineRule="exact"/>
        <w:rPr>
          <w:rFonts w:ascii="Times New Roman" w:cs="Times New Roman" w:eastAsia="Times New Roman" w:hAnsi="Times New Roman"/>
          <w:sz w:val="20"/>
          <w:szCs w:val="20"/>
          <w:color w:val="auto"/>
        </w:rPr>
      </w:pPr>
    </w:p>
    <w:p>
      <w:pPr>
        <w:ind w:left="2592" w:right="20" w:hanging="647"/>
        <w:spacing w:after="0" w:line="273" w:lineRule="exact"/>
        <w:tabs>
          <w:tab w:leader="none" w:pos="2592" w:val="left"/>
        </w:tabs>
        <w:numPr>
          <w:ilvl w:val="3"/>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than in respect of matters referred to in paragraph (B) below) applicable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corruption laws and all applicable anti-money laundering and counter-terrorist financing laws and regulations; and</w:t>
      </w:r>
    </w:p>
    <w:p>
      <w:pPr>
        <w:spacing w:after="0" w:line="215" w:lineRule="exact"/>
        <w:rPr>
          <w:rFonts w:ascii="Times New Roman" w:cs="Times New Roman" w:eastAsia="Times New Roman" w:hAnsi="Times New Roman"/>
          <w:sz w:val="22"/>
          <w:szCs w:val="22"/>
          <w:color w:val="auto"/>
        </w:rPr>
      </w:pPr>
    </w:p>
    <w:p>
      <w:pPr>
        <w:ind w:left="2592" w:hanging="647"/>
        <w:spacing w:after="0" w:line="273" w:lineRule="auto"/>
        <w:tabs>
          <w:tab w:leader="none" w:pos="2592" w:val="left"/>
        </w:tabs>
        <w:numPr>
          <w:ilvl w:val="3"/>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record keeping or reporting requirements required pursuant to any applicable anti-money laundering or counter-terrorist financing laws or regulations in each case in all material respects; and</w:t>
      </w:r>
    </w:p>
    <w:p>
      <w:pPr>
        <w:spacing w:after="0" w:line="166"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policies and procedures designed to promote and achieve compliance with such laws.</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Sanctions</w:t>
      </w:r>
    </w:p>
    <w:p>
      <w:pPr>
        <w:spacing w:after="0" w:line="219"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ensure that no member of the Group may:</w:t>
      </w:r>
    </w:p>
    <w:p>
      <w:pPr>
        <w:spacing w:after="0" w:line="215"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lend, contribute or otherwise make available any part of the proceeds of any Utilisation or other transaction contemplated:</w:t>
      </w:r>
    </w:p>
    <w:p>
      <w:pPr>
        <w:spacing w:after="0" w:line="227" w:lineRule="exact"/>
        <w:rPr>
          <w:rFonts w:ascii="Times New Roman" w:cs="Times New Roman" w:eastAsia="Times New Roman" w:hAnsi="Times New Roman"/>
          <w:sz w:val="19"/>
          <w:szCs w:val="19"/>
          <w:color w:val="auto"/>
        </w:rPr>
      </w:pPr>
    </w:p>
    <w:p>
      <w:pPr>
        <w:ind w:left="1952" w:hanging="655"/>
        <w:spacing w:after="0" w:line="269" w:lineRule="auto"/>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financing any trade, business or other activities involving, or for the benefit of, any Restricted Party; or</w:t>
      </w:r>
    </w:p>
    <w:p>
      <w:pPr>
        <w:spacing w:after="0" w:line="159"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manner that would result in any person being in breach of any Sanctions or becoming a Restricted Party;</w:t>
      </w:r>
    </w:p>
    <w:p>
      <w:pPr>
        <w:spacing w:after="0" w:line="215"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engage in any transaction that evades or avoids or breaches directly or indirectly, any Sanctions applicable to it; or</w:t>
      </w:r>
    </w:p>
    <w:p>
      <w:pPr>
        <w:spacing w:after="0" w:line="215" w:lineRule="exact"/>
        <w:rPr>
          <w:rFonts w:ascii="Times New Roman" w:cs="Times New Roman" w:eastAsia="Times New Roman" w:hAnsi="Times New Roman"/>
          <w:sz w:val="20"/>
          <w:szCs w:val="20"/>
          <w:color w:val="auto"/>
        </w:rPr>
      </w:pPr>
    </w:p>
    <w:p>
      <w:pPr>
        <w:ind w:left="1292" w:hanging="644"/>
        <w:spacing w:after="0" w:line="269" w:lineRule="auto"/>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fund all or part of any payment in connection with a Finance Document out of proceeds derived from business or transactions with a Restricted Party, or from any action which is in breach of any Sanctions.</w:t>
      </w:r>
    </w:p>
    <w:p>
      <w:pPr>
        <w:spacing w:after="0" w:line="15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Negative pledge</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line="269" w:lineRule="auto"/>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no other member of the Group will) create or permit to subsist any Security over any of its assets.</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no other member of the Group will):</w:t>
      </w:r>
    </w:p>
    <w:p>
      <w:pPr>
        <w:spacing w:after="0" w:line="184" w:lineRule="exact"/>
        <w:rPr>
          <w:rFonts w:ascii="Times New Roman" w:cs="Times New Roman" w:eastAsia="Times New Roman" w:hAnsi="Times New Roman"/>
          <w:sz w:val="20"/>
          <w:szCs w:val="20"/>
          <w:color w:val="auto"/>
        </w:rPr>
      </w:pPr>
    </w:p>
    <w:p>
      <w:pPr>
        <w:ind w:left="1952" w:hanging="655"/>
        <w:spacing w:after="0" w:line="259" w:lineRule="exact"/>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any of its assets on terms whereby they are or may be leased to or 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acquired by the Borrower or any other member of the Group;</w:t>
      </w:r>
    </w:p>
    <w:p>
      <w:pPr>
        <w:spacing w:after="0" w:line="189"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any of its receivables on recourse terms;</w:t>
      </w:r>
    </w:p>
    <w:p>
      <w:pPr>
        <w:spacing w:after="0" w:line="184" w:lineRule="exact"/>
        <w:rPr>
          <w:rFonts w:ascii="Times New Roman" w:cs="Times New Roman" w:eastAsia="Times New Roman" w:hAnsi="Times New Roman"/>
          <w:sz w:val="20"/>
          <w:szCs w:val="20"/>
          <w:color w:val="auto"/>
        </w:rPr>
      </w:pPr>
    </w:p>
    <w:p>
      <w:pPr>
        <w:ind w:left="1952" w:hanging="655"/>
        <w:spacing w:after="0" w:line="259" w:lineRule="exact"/>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arrangement under which money or the benefit of a bank or other account may be applied,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or made subject to a combination of accounts; or</w:t>
      </w:r>
    </w:p>
    <w:p>
      <w:pPr>
        <w:spacing w:after="0" w:line="189"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other preferential arrangement having a similar effect,</w:t>
      </w:r>
    </w:p>
    <w:p>
      <w:pPr>
        <w:spacing w:after="0" w:line="215" w:lineRule="exact"/>
        <w:rPr>
          <w:rFonts w:ascii="Times New Roman" w:cs="Times New Roman" w:eastAsia="Times New Roman" w:hAnsi="Times New Roman"/>
          <w:sz w:val="20"/>
          <w:szCs w:val="20"/>
          <w:color w:val="auto"/>
        </w:rPr>
      </w:pPr>
    </w:p>
    <w:p>
      <w:pPr>
        <w:ind w:left="1952" w:right="20" w:hanging="655"/>
        <w:spacing w:after="0" w:line="269" w:lineRule="auto"/>
        <w:tabs>
          <w:tab w:leader="none" w:pos="195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circumstances where the arrangement or transaction is entered into primarily as a method of raising Financial Indebtedness or of financing the acquisition of an asset.</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Paragraphs 13(a) and 13(b) do not apply to any Permitted Security:</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Loans or credit</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under paragraph 14(b), the Borrower shall not (and it shall ensure that no other member of the Group will)</w:t>
      </w:r>
    </w:p>
    <w:p>
      <w:pPr>
        <w:sectPr>
          <w:pgSz w:w="11900" w:h="16838" w:orient="portrait"/>
          <w:cols w:equalWidth="0" w:num="1">
            <w:col w:w="11412"/>
          </w:cols>
          <w:pgMar w:left="248" w:top="118" w:right="239" w:bottom="0" w:gutter="0" w:footer="0" w:header="0"/>
        </w:sectPr>
      </w:pPr>
    </w:p>
    <w:bookmarkStart w:id="67" w:name="page68"/>
    <w:bookmarkEnd w:id="67"/>
    <w:p>
      <w:pPr>
        <w:ind w:left="1292"/>
        <w:spacing w:after="0"/>
        <w:rPr>
          <w:sz w:val="20"/>
          <w:szCs w:val="20"/>
          <w:color w:val="auto"/>
        </w:rPr>
      </w:pPr>
      <w:r>
        <w:rPr>
          <w:rFonts w:ascii="Times New Roman" w:cs="Times New Roman" w:eastAsia="Times New Roman" w:hAnsi="Times New Roman"/>
          <w:sz w:val="20"/>
          <w:szCs w:val="20"/>
          <w:color w:val="auto"/>
        </w:rPr>
        <w:t>be a creditor in respect of any Financial Indebtedness.</w:t>
      </w:r>
    </w:p>
    <w:p>
      <w:pPr>
        <w:spacing w:after="0" w:line="215" w:lineRule="exact"/>
        <w:rPr>
          <w:sz w:val="20"/>
          <w:szCs w:val="20"/>
          <w:color w:val="auto"/>
        </w:rPr>
      </w:pPr>
    </w:p>
    <w:p>
      <w:pPr>
        <w:ind w:left="1292" w:hanging="644"/>
        <w:spacing w:after="0"/>
        <w:tabs>
          <w:tab w:leader="none" w:pos="12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14(a) does not apply to a Permitted Loan.</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line="269" w:lineRule="auto"/>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15(b), the Borrower shall not (and it shall ensure that no other member of the Group will) acquire a company or any shares or securities or a business or undertaking (or any interest in any of them).</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15(a) does not apply to an acquisition that is a Permitted Acquisition.</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Merger</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line="269" w:lineRule="auto"/>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no other member of the Group will) enter into any amalgamation, demerger, merger or corporate reconstruction.</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16(a) does not apply to any Permitted Transaction.</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Guarantees or indemnities</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line="269" w:lineRule="auto"/>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17(b), the Borrower shall not (and it shall ensure that no other member of the Group will) incur or allow to remain outstanding any guarantee in respect of any obligation of any person.</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17(a) does not apply to a guarantee which is a Permitted Guarantee.</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Indebtedness</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line="269" w:lineRule="auto"/>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ensure that the Subsidiary Financial Indebtedness does not exceed at any time 35 per cent of Group Financial Indebtedness.</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paragraph 18:</w:t>
      </w:r>
    </w:p>
    <w:p>
      <w:pPr>
        <w:spacing w:after="0" w:line="211" w:lineRule="exact"/>
        <w:rPr>
          <w:rFonts w:ascii="Times New Roman" w:cs="Times New Roman" w:eastAsia="Times New Roman" w:hAnsi="Times New Roman"/>
          <w:sz w:val="20"/>
          <w:szCs w:val="20"/>
          <w:color w:val="auto"/>
        </w:rPr>
      </w:pPr>
    </w:p>
    <w:p>
      <w:pPr>
        <w:ind w:left="1292"/>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"Group Financial Indebtedness" </w:t>
      </w:r>
      <w:r>
        <w:rPr>
          <w:rFonts w:ascii="Times New Roman" w:cs="Times New Roman" w:eastAsia="Times New Roman" w:hAnsi="Times New Roman"/>
          <w:sz w:val="20"/>
          <w:szCs w:val="20"/>
          <w:color w:val="auto"/>
        </w:rPr>
        <w:t>means the Financial Indebtedness of the Group excluding, in each case,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of the Group incurred under any Excluded Guarantee; and</w:t>
      </w:r>
    </w:p>
    <w:p>
      <w:pPr>
        <w:spacing w:after="0" w:line="152" w:lineRule="exact"/>
        <w:rPr>
          <w:rFonts w:ascii="Times New Roman" w:cs="Times New Roman" w:eastAsia="Times New Roman" w:hAnsi="Times New Roman"/>
          <w:sz w:val="20"/>
          <w:szCs w:val="20"/>
          <w:color w:val="auto"/>
        </w:rPr>
      </w:pPr>
    </w:p>
    <w:p>
      <w:pPr>
        <w:jc w:val="both"/>
        <w:ind w:left="1292"/>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"Subsidiary Financial Indebtedness" </w:t>
      </w:r>
      <w:r>
        <w:rPr>
          <w:rFonts w:ascii="Times New Roman" w:cs="Times New Roman" w:eastAsia="Times New Roman" w:hAnsi="Times New Roman"/>
          <w:sz w:val="20"/>
          <w:szCs w:val="20"/>
          <w:color w:val="auto"/>
        </w:rPr>
        <w:t>means the aggregate Financial Indebtedness of each Subsidiary excluding,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the Financial Indebtedness of the Borrower, any Financial Indebtedness comprising of guarantees of Financial Indebtedness of the Borrower granted by the Italian Subsidiary and the Financial Indebtedness of the Group incurred under any Excluded Guarantee.</w:t>
      </w:r>
    </w:p>
    <w:p>
      <w:pPr>
        <w:spacing w:after="0" w:line="148" w:lineRule="exact"/>
        <w:rPr>
          <w:rFonts w:ascii="Times New Roman" w:cs="Times New Roman" w:eastAsia="Times New Roman" w:hAnsi="Times New Roman"/>
          <w:sz w:val="20"/>
          <w:szCs w:val="20"/>
          <w:color w:val="auto"/>
        </w:rPr>
      </w:pPr>
    </w:p>
    <w:p>
      <w:pPr>
        <w:ind w:left="1292" w:hanging="644"/>
        <w:spacing w:after="0" w:line="259" w:lineRule="exact"/>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and notwithstanding anything to the contrary, intra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group debt shall not constitute or in any way be included in the definition of Financial Indebtedness or Subsidiary Financial Indebtedness.</w:t>
      </w:r>
    </w:p>
    <w:p>
      <w:pPr>
        <w:spacing w:after="0" w:line="18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Disposal of assets</w:t>
      </w:r>
    </w:p>
    <w:p>
      <w:pPr>
        <w:spacing w:after="0" w:line="219" w:lineRule="exact"/>
        <w:rPr>
          <w:rFonts w:ascii="Times New Roman" w:cs="Times New Roman" w:eastAsia="Times New Roman" w:hAnsi="Times New Roman"/>
          <w:sz w:val="20"/>
          <w:szCs w:val="20"/>
          <w:b w:val="1"/>
          <w:bCs w:val="1"/>
          <w:color w:val="auto"/>
        </w:rPr>
      </w:pPr>
    </w:p>
    <w:p>
      <w:pPr>
        <w:jc w:val="both"/>
        <w:ind w:left="1292" w:hanging="644"/>
        <w:spacing w:after="0" w:line="254" w:lineRule="auto"/>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19(b), the Borrower shall not (and it shall ensure that no other member of the Group will) enter into a single transaction or a series of transactions (whether related or not) and whether voluntary or involuntary to sell, lease, transfer or otherwise dispose of any asset.</w:t>
      </w:r>
    </w:p>
    <w:p>
      <w:pPr>
        <w:spacing w:after="0" w:line="17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19(a) does not apply to any sale, lease, transfer or other disposal for fair market value and at arm’s length:</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in the ordinary course of trading of the disposing entity;</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in exchange of other assets comparable or superior as to type, value and quality;</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obsolete or redundant vehicles, plant and equipment for cash;</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receivables being part of Permitted Receivables Disposals; or</w:t>
      </w:r>
    </w:p>
    <w:p>
      <w:pPr>
        <w:spacing w:after="0" w:line="215" w:lineRule="exact"/>
        <w:rPr>
          <w:rFonts w:ascii="Times New Roman" w:cs="Times New Roman" w:eastAsia="Times New Roman" w:hAnsi="Times New Roman"/>
          <w:sz w:val="20"/>
          <w:szCs w:val="20"/>
          <w:color w:val="auto"/>
        </w:rPr>
      </w:pPr>
    </w:p>
    <w:p>
      <w:pPr>
        <w:jc w:val="both"/>
        <w:ind w:left="1952" w:hanging="655"/>
        <w:spacing w:after="0" w:line="254" w:lineRule="auto"/>
        <w:tabs>
          <w:tab w:leader="none" w:pos="195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not falling within paragraphs 19(b)(i) to 19(b)(iv), provided that over the life of the Facility the aggregate value of the disposed assets and other disposals of assets not falling within paragraphs 19(b)(i) to 19(b)(iv), shall not exceed 10 per cent of the total assets of the Group as reports in the latest audited consolidated financial statements.</w:t>
      </w:r>
    </w:p>
    <w:p>
      <w:pPr>
        <w:spacing w:after="0" w:line="170"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business</w:t>
      </w:r>
    </w:p>
    <w:p>
      <w:pPr>
        <w:spacing w:after="0" w:line="219"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procure that no substantial change is made to the general nature of the business of the Borrower or the Group from that carried on at the date of this Agreement.</w:t>
      </w:r>
    </w:p>
    <w:p>
      <w:pPr>
        <w:spacing w:after="0" w:line="15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Arm's length basis</w:t>
      </w:r>
    </w:p>
    <w:p>
      <w:pPr>
        <w:spacing w:after="0" w:line="219"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not (and it shall ensure that no other member of the Group will) enter into any material transaction with any person except on arm's length terms and for full market value.</w:t>
      </w:r>
    </w:p>
    <w:p>
      <w:pPr>
        <w:sectPr>
          <w:pgSz w:w="11900" w:h="16838" w:orient="portrait"/>
          <w:cols w:equalWidth="0" w:num="1">
            <w:col w:w="11412"/>
          </w:cols>
          <w:pgMar w:left="248" w:top="118" w:right="239" w:bottom="0" w:gutter="0" w:footer="0" w:header="0"/>
        </w:sectPr>
      </w:pPr>
    </w:p>
    <w:bookmarkStart w:id="68" w:name="page69"/>
    <w:bookmarkEnd w:id="68"/>
    <w:p>
      <w:pPr>
        <w:ind w:left="652" w:hanging="652"/>
        <w:spacing w:after="0"/>
        <w:tabs>
          <w:tab w:leader="none" w:pos="652"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18" w:lineRule="exact"/>
        <w:rPr>
          <w:rFonts w:ascii="Times New Roman" w:cs="Times New Roman" w:eastAsia="Times New Roman" w:hAnsi="Times New Roman"/>
          <w:sz w:val="20"/>
          <w:szCs w:val="20"/>
          <w:b w:val="1"/>
          <w:bCs w:val="1"/>
          <w:color w:val="auto"/>
        </w:rPr>
      </w:pPr>
    </w:p>
    <w:p>
      <w:pPr>
        <w:jc w:val="both"/>
        <w:ind w:left="1292" w:hanging="644"/>
        <w:spacing w:after="0" w:line="254" w:lineRule="auto"/>
        <w:tabs>
          <w:tab w:leader="none" w:pos="129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it shall ensure that no other member of the Group will) amend, vary, novate, supplement, supersede, waive or terminate any term of any document delivered to the Agent pursuant to Schedule 5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to this Term Sheet except in writing:</w:t>
      </w:r>
    </w:p>
    <w:p>
      <w:pPr>
        <w:spacing w:after="0" w:line="174"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Agreement;</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or on the first Utilisation Date, with the prior written consent of the Lenders; or</w:t>
      </w:r>
    </w:p>
    <w:p>
      <w:pPr>
        <w:spacing w:after="0" w:line="215" w:lineRule="exact"/>
        <w:rPr>
          <w:rFonts w:ascii="Times New Roman" w:cs="Times New Roman" w:eastAsia="Times New Roman" w:hAnsi="Times New Roman"/>
          <w:sz w:val="20"/>
          <w:szCs w:val="20"/>
          <w:color w:val="auto"/>
        </w:rPr>
      </w:pPr>
    </w:p>
    <w:p>
      <w:pPr>
        <w:ind w:left="1952" w:right="20" w:hanging="655"/>
        <w:spacing w:after="0" w:line="269" w:lineRule="auto"/>
        <w:tabs>
          <w:tab w:leader="none" w:pos="1952"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first Utilisation Date, in a way which could not be reasonably expected materially and adversely to affect the interests of the Lenders.</w:t>
      </w:r>
    </w:p>
    <w:p>
      <w:pPr>
        <w:spacing w:after="0" w:line="159" w:lineRule="exact"/>
        <w:rPr>
          <w:rFonts w:ascii="Times New Roman" w:cs="Times New Roman" w:eastAsia="Times New Roman" w:hAnsi="Times New Roman"/>
          <w:sz w:val="20"/>
          <w:szCs w:val="20"/>
          <w:color w:val="auto"/>
        </w:rPr>
      </w:pPr>
    </w:p>
    <w:p>
      <w:pPr>
        <w:ind w:left="1292" w:hanging="644"/>
        <w:spacing w:after="0" w:line="269" w:lineRule="auto"/>
        <w:tabs>
          <w:tab w:leader="none" w:pos="129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promptly supply to the Agent a copy of any document relating to any of the matters referred to in paragraphs 22(a)(i) to 22(a)(iii).</w:t>
      </w:r>
    </w:p>
    <w:p>
      <w:pPr>
        <w:spacing w:after="0" w:line="15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practices</w:t>
      </w:r>
    </w:p>
    <w:p>
      <w:pPr>
        <w:spacing w:after="0" w:line="219"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shall not change its Accounting Reference Date nor materially change its accounting policies, in each case unless required to do so in order to comply with US GAAP.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88" w:lineRule="exact"/>
        <w:rPr>
          <w:sz w:val="20"/>
          <w:szCs w:val="20"/>
          <w:color w:val="auto"/>
        </w:rPr>
      </w:pPr>
    </w:p>
    <w:p>
      <w:pPr>
        <w:ind w:left="652" w:hanging="652"/>
        <w:spacing w:after="0" w:line="230" w:lineRule="exact"/>
        <w:tabs>
          <w:tab w:leader="none" w:pos="652"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payment</w:t>
      </w:r>
    </w:p>
    <w:p>
      <w:pPr>
        <w:spacing w:after="0" w:line="247"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does not pay on the due date any amount payable pursuant to a Finance Document at the place and in the currency in which it is expressed to be payable unless:</w:t>
      </w:r>
    </w:p>
    <w:p>
      <w:pPr>
        <w:spacing w:after="0" w:line="159"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failure to pay is caused by:</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or technical error; or</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Event; and</w:t>
      </w:r>
    </w:p>
    <w:p>
      <w:pPr>
        <w:spacing w:after="0" w:line="215"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is made within five Business Days of its due date.</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covenants</w:t>
      </w:r>
    </w:p>
    <w:p>
      <w:pPr>
        <w:spacing w:after="0" w:line="215"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requirement of Schedule 2 (</w:t>
      </w:r>
      <w:r>
        <w:rPr>
          <w:rFonts w:ascii="Times New Roman" w:cs="Times New Roman" w:eastAsia="Times New Roman" w:hAnsi="Times New Roman"/>
          <w:sz w:val="20"/>
          <w:szCs w:val="20"/>
          <w:i w:val="1"/>
          <w:iCs w:val="1"/>
          <w:color w:val="auto"/>
        </w:rPr>
        <w:t>Financial undertakings</w:t>
      </w:r>
      <w:r>
        <w:rPr>
          <w:rFonts w:ascii="Times New Roman" w:cs="Times New Roman" w:eastAsia="Times New Roman" w:hAnsi="Times New Roman"/>
          <w:sz w:val="20"/>
          <w:szCs w:val="20"/>
          <w:color w:val="auto"/>
        </w:rPr>
        <w:t>) to this Term Sheet is not satisfied.</w:t>
      </w:r>
    </w:p>
    <w:p>
      <w:pPr>
        <w:spacing w:after="0" w:line="21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obligations</w:t>
      </w:r>
    </w:p>
    <w:p>
      <w:pPr>
        <w:spacing w:after="0" w:line="215" w:lineRule="exact"/>
        <w:rPr>
          <w:rFonts w:ascii="Times New Roman" w:cs="Times New Roman" w:eastAsia="Times New Roman" w:hAnsi="Times New Roman"/>
          <w:sz w:val="20"/>
          <w:szCs w:val="20"/>
          <w:b w:val="1"/>
          <w:bCs w:val="1"/>
          <w:color w:val="auto"/>
        </w:rPr>
      </w:pPr>
    </w:p>
    <w:p>
      <w:pPr>
        <w:ind w:left="1292" w:right="20" w:hanging="644"/>
        <w:spacing w:after="0" w:line="273"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does not comply with any provision of the Finance Documents (other than those referred to in paragraph 1 (</w:t>
      </w:r>
      <w:r>
        <w:rPr>
          <w:rFonts w:ascii="Times New Roman" w:cs="Times New Roman" w:eastAsia="Times New Roman" w:hAnsi="Times New Roman"/>
          <w:sz w:val="20"/>
          <w:szCs w:val="20"/>
          <w:i w:val="1"/>
          <w:iCs w:val="1"/>
          <w:color w:val="auto"/>
        </w:rPr>
        <w:t>Non-payment</w:t>
      </w:r>
      <w:r>
        <w:rPr>
          <w:rFonts w:ascii="Times New Roman" w:cs="Times New Roman" w:eastAsia="Times New Roman" w:hAnsi="Times New Roman"/>
          <w:sz w:val="20"/>
          <w:szCs w:val="20"/>
          <w:color w:val="auto"/>
        </w:rPr>
        <w:t>) and Schedule 2 (</w:t>
      </w:r>
      <w:r>
        <w:rPr>
          <w:rFonts w:ascii="Times New Roman" w:cs="Times New Roman" w:eastAsia="Times New Roman" w:hAnsi="Times New Roman"/>
          <w:sz w:val="20"/>
          <w:szCs w:val="20"/>
          <w:i w:val="1"/>
          <w:iCs w:val="1"/>
          <w:color w:val="auto"/>
        </w:rPr>
        <w:t>Financial undertakings</w:t>
      </w:r>
      <w:r>
        <w:rPr>
          <w:rFonts w:ascii="Times New Roman" w:cs="Times New Roman" w:eastAsia="Times New Roman" w:hAnsi="Times New Roman"/>
          <w:sz w:val="20"/>
          <w:szCs w:val="20"/>
          <w:color w:val="auto"/>
        </w:rPr>
        <w:t>)) to this Term Sheet.</w:t>
      </w:r>
    </w:p>
    <w:p>
      <w:pPr>
        <w:spacing w:after="0" w:line="156"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under paragraph 3(a) will occur if the failure to comply is capable of remedy and is remedied within 15 Business Days, of the earlier of (A) the Agent giving notice to the Borrower and (B) the Borrower becoming aware of the failure to comply.</w:t>
      </w:r>
    </w:p>
    <w:p>
      <w:pPr>
        <w:spacing w:after="0" w:line="170"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Misrepresentation</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representation or statement made or deemed to be made by the Borrower in the Finance Documents or any other document delivered by or on its behalf under or in connection with any Finance Document is or proves to have been incorrect or misleading in any material respect when made or deemed to be made.</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Cross default</w:t>
      </w:r>
    </w:p>
    <w:p>
      <w:pPr>
        <w:spacing w:after="0" w:line="219" w:lineRule="exact"/>
        <w:rPr>
          <w:rFonts w:ascii="Times New Roman" w:cs="Times New Roman" w:eastAsia="Times New Roman" w:hAnsi="Times New Roman"/>
          <w:sz w:val="20"/>
          <w:szCs w:val="20"/>
          <w:b w:val="1"/>
          <w:bCs w:val="1"/>
          <w:color w:val="auto"/>
        </w:rPr>
      </w:pPr>
    </w:p>
    <w:p>
      <w:pPr>
        <w:ind w:left="1292" w:right="20" w:hanging="644"/>
        <w:spacing w:after="0" w:line="269"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Indebtedness of the Borrower or any Material Subsidiary is not paid when due nor within any originally applicable grace period.</w:t>
      </w:r>
    </w:p>
    <w:p>
      <w:pPr>
        <w:spacing w:after="0" w:line="159" w:lineRule="exact"/>
        <w:rPr>
          <w:rFonts w:ascii="Times New Roman" w:cs="Times New Roman" w:eastAsia="Times New Roman" w:hAnsi="Times New Roman"/>
          <w:sz w:val="20"/>
          <w:szCs w:val="20"/>
          <w:color w:val="auto"/>
        </w:rPr>
      </w:pPr>
    </w:p>
    <w:p>
      <w:pPr>
        <w:ind w:left="1292" w:hanging="644"/>
        <w:spacing w:after="0" w:line="269"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Indebtedness of the Borrower or any Material Subsidiary is declared to be or otherwise becomes due and payable prior to its specified maturity as a result of an event of default (however described).</w:t>
      </w:r>
    </w:p>
    <w:p>
      <w:pPr>
        <w:spacing w:after="0" w:line="159" w:lineRule="exact"/>
        <w:rPr>
          <w:rFonts w:ascii="Times New Roman" w:cs="Times New Roman" w:eastAsia="Times New Roman" w:hAnsi="Times New Roman"/>
          <w:sz w:val="20"/>
          <w:szCs w:val="20"/>
          <w:color w:val="auto"/>
        </w:rPr>
      </w:pPr>
    </w:p>
    <w:p>
      <w:pPr>
        <w:ind w:left="1292" w:hanging="644"/>
        <w:spacing w:after="0" w:line="269"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 for any Financial Indebtedness of any member the Borrower or any Material Subsidiary is cancelled or suspended by a creditor of the Borrower or any Material Subsidiary as a result of an event of default (however described).</w:t>
      </w:r>
    </w:p>
    <w:p>
      <w:pPr>
        <w:spacing w:after="0" w:line="159" w:lineRule="exact"/>
        <w:rPr>
          <w:rFonts w:ascii="Times New Roman" w:cs="Times New Roman" w:eastAsia="Times New Roman" w:hAnsi="Times New Roman"/>
          <w:sz w:val="20"/>
          <w:szCs w:val="20"/>
          <w:color w:val="auto"/>
        </w:rPr>
      </w:pPr>
    </w:p>
    <w:p>
      <w:pPr>
        <w:ind w:left="1292" w:right="20" w:hanging="644"/>
        <w:spacing w:after="0" w:line="269" w:lineRule="auto"/>
        <w:tabs>
          <w:tab w:leader="none" w:pos="12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creditor of any member of the Group becomes entitled to declare any Financial Indebtedness of any member of the Group due and payable prior to its specified maturity as a result of an event of default.</w:t>
      </w:r>
    </w:p>
    <w:p>
      <w:pPr>
        <w:sectPr>
          <w:pgSz w:w="11900" w:h="16838" w:orient="portrait"/>
          <w:cols w:equalWidth="0" w:num="1">
            <w:col w:w="11412"/>
          </w:cols>
          <w:pgMar w:left="248" w:top="114" w:right="239" w:bottom="0" w:gutter="0" w:footer="0" w:header="0"/>
        </w:sectPr>
      </w:pPr>
    </w:p>
    <w:bookmarkStart w:id="69" w:name="page70"/>
    <w:bookmarkEnd w:id="69"/>
    <w:p>
      <w:pPr>
        <w:jc w:val="both"/>
        <w:ind w:left="1292" w:right="20" w:hanging="644"/>
        <w:spacing w:after="0" w:line="253" w:lineRule="auto"/>
        <w:tabs>
          <w:tab w:leader="none" w:pos="12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will occur under this paragraph 5 if the aggregate amount of Financial Indebtedness or commitment for Financial Indebtedness falling within paragraphs 5(a) to 5(d) is less than USD 7,500,000 (or its equivalent in any other currency or currencies).</w:t>
      </w:r>
    </w:p>
    <w:p>
      <w:pPr>
        <w:spacing w:after="0" w:line="172"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Insolvency</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Material Subsidiary:</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unable or admits inability to pay its debts as they fall due;</w:t>
      </w:r>
    </w:p>
    <w:p>
      <w:pPr>
        <w:spacing w:after="0" w:line="215"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suspends making payments on any of its debts; or</w:t>
      </w:r>
    </w:p>
    <w:p>
      <w:pPr>
        <w:spacing w:after="0" w:line="215" w:lineRule="exact"/>
        <w:rPr>
          <w:rFonts w:ascii="Times New Roman" w:cs="Times New Roman" w:eastAsia="Times New Roman" w:hAnsi="Times New Roman"/>
          <w:sz w:val="20"/>
          <w:szCs w:val="20"/>
          <w:color w:val="auto"/>
        </w:rPr>
      </w:pPr>
    </w:p>
    <w:p>
      <w:pPr>
        <w:ind w:left="1952" w:right="20" w:hanging="655"/>
        <w:spacing w:after="0" w:line="269" w:lineRule="auto"/>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reason of actual or anticipated financial difficulties, commences negotiations with one or more of its creditors (excluding the Lenders) with a view to rescheduling any of its indebtedness.</w:t>
      </w:r>
    </w:p>
    <w:p>
      <w:pPr>
        <w:spacing w:after="0" w:line="159" w:lineRule="exact"/>
        <w:rPr>
          <w:rFonts w:ascii="Times New Roman" w:cs="Times New Roman" w:eastAsia="Times New Roman" w:hAnsi="Times New Roman"/>
          <w:sz w:val="20"/>
          <w:szCs w:val="20"/>
          <w:color w:val="auto"/>
        </w:rPr>
      </w:pPr>
    </w:p>
    <w:p>
      <w:pPr>
        <w:ind w:left="1292" w:right="20" w:hanging="644"/>
        <w:spacing w:after="0" w:line="269" w:lineRule="auto"/>
        <w:tabs>
          <w:tab w:leader="none" w:pos="12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assets of any the Borrower or any Material Subsidiary is less than its liabilities (taking into account contingent and prospective liabilities).</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is declared in respect of any indebtedness of the Borrower or any Material Subsidiary.</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Insolvency proceedings</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corporate action, legal proceedings or other procedure or step is taken in relation to:</w:t>
      </w:r>
    </w:p>
    <w:p>
      <w:pPr>
        <w:spacing w:after="0" w:line="184" w:lineRule="exact"/>
        <w:rPr>
          <w:rFonts w:ascii="Times New Roman" w:cs="Times New Roman" w:eastAsia="Times New Roman" w:hAnsi="Times New Roman"/>
          <w:sz w:val="20"/>
          <w:szCs w:val="20"/>
          <w:color w:val="auto"/>
        </w:rPr>
      </w:pPr>
    </w:p>
    <w:p>
      <w:pPr>
        <w:jc w:val="both"/>
        <w:ind w:left="1952" w:hanging="655"/>
        <w:spacing w:after="0" w:line="250" w:lineRule="exact"/>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suspension of payments, a moratorium of any indebtedness,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dissolution, administration or reorganisation (by way of voluntary arrangement, scheme of arrangement or otherwise) of the Borrower or any Material Subsidiary other than a solvent liquidation or reorganisation of any Material Subsidiary;</w:t>
      </w:r>
    </w:p>
    <w:p>
      <w:pPr>
        <w:spacing w:after="0" w:line="188"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composition, compromise, assignment or arrangement with any creditor of the Borrower or any Material Subsidiary;</w:t>
      </w:r>
    </w:p>
    <w:p>
      <w:pPr>
        <w:spacing w:after="0" w:line="227" w:lineRule="exact"/>
        <w:rPr>
          <w:rFonts w:ascii="Times New Roman" w:cs="Times New Roman" w:eastAsia="Times New Roman" w:hAnsi="Times New Roman"/>
          <w:sz w:val="19"/>
          <w:szCs w:val="19"/>
          <w:color w:val="auto"/>
        </w:rPr>
      </w:pPr>
    </w:p>
    <w:p>
      <w:pPr>
        <w:jc w:val="both"/>
        <w:ind w:left="1952" w:hanging="655"/>
        <w:spacing w:after="0" w:line="254" w:lineRule="auto"/>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liquidator (other than in respect of a solvent liquidation of a Material Subsidiary), receiver, administrative receiver, administrator, compulsory manager or other similar officer in respect of the Borrower or any Material Subsidiary or any of its assets; or</w:t>
      </w:r>
    </w:p>
    <w:p>
      <w:pPr>
        <w:spacing w:after="0" w:line="174" w:lineRule="exact"/>
        <w:rPr>
          <w:rFonts w:ascii="Times New Roman" w:cs="Times New Roman" w:eastAsia="Times New Roman" w:hAnsi="Times New Roman"/>
          <w:sz w:val="20"/>
          <w:szCs w:val="20"/>
          <w:color w:val="auto"/>
        </w:rPr>
      </w:pPr>
    </w:p>
    <w:p>
      <w:pPr>
        <w:ind w:left="1952" w:hanging="655"/>
        <w:spacing w:after="0"/>
        <w:tabs>
          <w:tab w:leader="none" w:pos="1952"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any Security over any assets of the Borrower or any Material Subsidiary,</w:t>
      </w:r>
    </w:p>
    <w:p>
      <w:pPr>
        <w:spacing w:after="0" w:line="216"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or any analogous procedure or step is taken in any jurisdiction.</w:t>
      </w:r>
    </w:p>
    <w:p>
      <w:pPr>
        <w:spacing w:after="0" w:line="184" w:lineRule="exact"/>
        <w:rPr>
          <w:sz w:val="20"/>
          <w:szCs w:val="20"/>
          <w:color w:val="auto"/>
        </w:rPr>
      </w:pPr>
    </w:p>
    <w:p>
      <w:pPr>
        <w:ind w:left="1292" w:hanging="644"/>
        <w:spacing w:after="0" w:line="259" w:lineRule="exact"/>
        <w:tabs>
          <w:tab w:leader="none" w:pos="129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7 shall not apply to any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petition which is frivolous or vexatious and is discharged, stayed or dismissed within 10 Business Days of commencement.</w:t>
      </w:r>
    </w:p>
    <w:p>
      <w:pPr>
        <w:spacing w:after="0" w:line="18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Creditors' process</w:t>
      </w:r>
    </w:p>
    <w:p>
      <w:pPr>
        <w:spacing w:after="0" w:line="219"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expropriation, attachment, sequestration, distress or execution affects any asset or assets of the Borrower or any Material Subsidiary and is not discharged within 10 Business Days of commencement.</w:t>
      </w:r>
    </w:p>
    <w:p>
      <w:pPr>
        <w:spacing w:after="0" w:line="15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Unlawfulness and invalidity</w:t>
      </w:r>
    </w:p>
    <w:p>
      <w:pPr>
        <w:spacing w:after="0" w:line="219" w:lineRule="exact"/>
        <w:rPr>
          <w:rFonts w:ascii="Times New Roman" w:cs="Times New Roman" w:eastAsia="Times New Roman" w:hAnsi="Times New Roman"/>
          <w:sz w:val="20"/>
          <w:szCs w:val="20"/>
          <w:b w:val="1"/>
          <w:bCs w:val="1"/>
          <w:color w:val="auto"/>
        </w:rPr>
      </w:pPr>
    </w:p>
    <w:p>
      <w:pPr>
        <w:ind w:left="1292" w:hanging="644"/>
        <w:spacing w:after="0"/>
        <w:tabs>
          <w:tab w:leader="none" w:pos="1292"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becomes unlawful for the Borrower to perform any of its obligations under the Finance Documents.</w:t>
      </w:r>
    </w:p>
    <w:p>
      <w:pPr>
        <w:spacing w:after="0" w:line="215" w:lineRule="exact"/>
        <w:rPr>
          <w:rFonts w:ascii="Times New Roman" w:cs="Times New Roman" w:eastAsia="Times New Roman" w:hAnsi="Times New Roman"/>
          <w:sz w:val="20"/>
          <w:szCs w:val="20"/>
          <w:color w:val="auto"/>
        </w:rPr>
      </w:pPr>
    </w:p>
    <w:p>
      <w:pPr>
        <w:ind w:left="1292" w:hanging="644"/>
        <w:spacing w:after="0" w:line="269" w:lineRule="auto"/>
        <w:tabs>
          <w:tab w:leader="none" w:pos="1292"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obligations of the Borrower under any Finance Documents are not (subject to the Legal Reservations) or cease to be legal, valid, binding or enforceable.</w:t>
      </w:r>
    </w:p>
    <w:p>
      <w:pPr>
        <w:spacing w:after="0" w:line="159"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Finance Document ceases to be in full force.</w:t>
      </w:r>
    </w:p>
    <w:p>
      <w:pPr>
        <w:spacing w:after="0" w:line="21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Cessation of business</w:t>
      </w:r>
    </w:p>
    <w:p>
      <w:pPr>
        <w:spacing w:after="0" w:line="219"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Material Subsidiary suspends or ceases to carry on (or threatens to suspend or cease to carry on) all or a material part of its business.</w:t>
      </w:r>
    </w:p>
    <w:p>
      <w:pPr>
        <w:spacing w:after="0" w:line="15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ownership</w:t>
      </w:r>
    </w:p>
    <w:p>
      <w:pPr>
        <w:spacing w:after="0" w:line="219"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ceases to be the beneficial owner directly or indirectly through wholly owned subsidiaries of more than 50 fifty per cent of the issued share capital of the Italian Subsidiary.</w:t>
      </w:r>
    </w:p>
    <w:p>
      <w:pPr>
        <w:spacing w:after="0" w:line="155"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Audit qualification</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Borrower's auditors qualify the audited annual consolidated financial statements of the Borrower on the grounds of inadequate or unreliable information or being unable to prepare the accounts on a going concern basis, in each case which would have or would be reasonably likely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Expropriation</w:t>
      </w:r>
    </w:p>
    <w:p>
      <w:pPr>
        <w:sectPr>
          <w:pgSz w:w="11900" w:h="16838" w:orient="portrait"/>
          <w:cols w:equalWidth="0" w:num="1">
            <w:col w:w="11412"/>
          </w:cols>
          <w:pgMar w:left="248" w:top="118" w:right="239" w:bottom="8" w:gutter="0" w:footer="0" w:header="0"/>
        </w:sectPr>
      </w:pPr>
    </w:p>
    <w:bookmarkStart w:id="70" w:name="page71"/>
    <w:bookmarkEnd w:id="70"/>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authority or ability of any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 where such limitation or curtailment has or is reasonably likely to have a Material Adverse Effect.</w:t>
      </w:r>
    </w:p>
    <w:p>
      <w:pPr>
        <w:spacing w:after="0" w:line="17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Repudiation and rescission of agreements</w:t>
      </w:r>
    </w:p>
    <w:p>
      <w:pPr>
        <w:spacing w:after="0" w:line="21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Borrower rescinds or purports to rescind or repudiates or purports to repudiate a Finance Document or evidences an intention to rescind or repudiate a Finance Document.</w:t>
      </w:r>
    </w:p>
    <w:p>
      <w:pPr>
        <w:spacing w:after="0" w:line="15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Litigation</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litigation, arbitration, administrative, governmental, regulatory or other investigations, proceedings or disputes are commenced or threatened in relation to the Transaction Documents or the transactions contemplated in the Transaction Documents or against the Borrower or any Material Subsidiary or its assets which have or are reasonably likely to have a Material Adverse Effect.</w:t>
      </w:r>
    </w:p>
    <w:p>
      <w:pPr>
        <w:spacing w:after="0" w:line="17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adverse change</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event or circumstance occurs which has or will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229"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The Company</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copy of the constitutional documents of the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copy of a resolution of the board of directors of the Company:</w:t>
      </w:r>
    </w:p>
    <w:p>
      <w:pPr>
        <w:spacing w:after="0" w:line="219" w:lineRule="exact"/>
        <w:rPr>
          <w:rFonts w:ascii="Times New Roman" w:cs="Times New Roman" w:eastAsia="Times New Roman" w:hAnsi="Times New Roman"/>
          <w:sz w:val="22"/>
          <w:szCs w:val="22"/>
          <w:color w:val="auto"/>
        </w:rPr>
      </w:pPr>
    </w:p>
    <w:p>
      <w:pPr>
        <w:ind w:left="1960" w:hanging="655"/>
        <w:spacing w:after="0" w:line="273" w:lineRule="auto"/>
        <w:tabs>
          <w:tab w:leader="none" w:pos="196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approving the terms of, and the transactions contemplated by, the Finance Documents and resolving that it execute the Finance Documents;</w:t>
      </w:r>
    </w:p>
    <w:p>
      <w:pPr>
        <w:spacing w:after="0" w:line="17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authorising a specified person or persons to execute the Finance Documents on its behalf; and</w:t>
      </w:r>
    </w:p>
    <w:p>
      <w:pPr>
        <w:spacing w:after="0" w:line="219" w:lineRule="exact"/>
        <w:rPr>
          <w:rFonts w:ascii="Times New Roman" w:cs="Times New Roman" w:eastAsia="Times New Roman" w:hAnsi="Times New Roman"/>
          <w:sz w:val="22"/>
          <w:szCs w:val="22"/>
          <w:color w:val="auto"/>
        </w:rPr>
      </w:pPr>
    </w:p>
    <w:p>
      <w:pPr>
        <w:jc w:val="both"/>
        <w:ind w:left="1960" w:hanging="655"/>
        <w:spacing w:after="0" w:line="269" w:lineRule="auto"/>
        <w:tabs>
          <w:tab w:leader="none" w:pos="196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specimen of the signature of each person authorised by the resolution referred to in paragraph 1(b).</w:t>
      </w:r>
    </w:p>
    <w:p>
      <w:pPr>
        <w:spacing w:after="0" w:line="21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certificate of the Company (signed by an authorised signatory) confirming that borrowing the Commitment would not cause any borrowing or similar limit binding on it to be exceeded.</w:t>
      </w:r>
    </w:p>
    <w:p>
      <w:pPr>
        <w:spacing w:after="0" w:line="17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certificate of an authorised signatory of the Company certifying that each copy document relating to it specified in this Schedule 5 is correct, complete and in full force and effect as at a date no earlier than the date of this Agreement.</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Legal opinion</w:t>
      </w:r>
    </w:p>
    <w:p>
      <w:pPr>
        <w:spacing w:after="0" w:line="210" w:lineRule="exact"/>
        <w:rPr>
          <w:rFonts w:ascii="Times New Roman" w:cs="Times New Roman" w:eastAsia="Times New Roman" w:hAnsi="Times New Roman"/>
          <w:sz w:val="22"/>
          <w:szCs w:val="22"/>
          <w:b w:val="1"/>
          <w:bCs w:val="1"/>
          <w:color w:val="auto"/>
        </w:rPr>
      </w:pPr>
    </w:p>
    <w:p>
      <w:pPr>
        <w:ind w:left="660"/>
        <w:spacing w:after="0" w:line="26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 legal opinion of Latham &amp; Watkins, legal advisers to the Mandated Lead Arrangers in England, substantially in the form distributed to the Mandated Lead Arrangers prior to signing this Agreement.</w:t>
      </w:r>
    </w:p>
    <w:p>
      <w:pPr>
        <w:spacing w:after="0" w:line="16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Other documents and evidence</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Original Financial Statements of the Group.</w:t>
      </w:r>
    </w:p>
    <w:p>
      <w:pPr>
        <w:spacing w:after="0" w:line="21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Evidence that the fees, costs and expenses then due from the Company pursuant to have been paid or will be paid by the first Utilisation Date.</w:t>
      </w:r>
    </w:p>
    <w:p>
      <w:pPr>
        <w:spacing w:after="0" w:line="179" w:lineRule="exact"/>
        <w:rPr>
          <w:rFonts w:ascii="Times New Roman" w:cs="Times New Roman" w:eastAsia="Times New Roman" w:hAnsi="Times New Roman"/>
          <w:sz w:val="22"/>
          <w:szCs w:val="22"/>
          <w:color w:val="auto"/>
        </w:rPr>
      </w:pPr>
    </w:p>
    <w:p>
      <w:pPr>
        <w:ind w:left="1300" w:right="20" w:hanging="644"/>
        <w:spacing w:after="0" w:line="273" w:lineRule="auto"/>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Evidence of satisfaction of any customary or required “know your customer” checks or other similar checks under all applicable laws and regulations in respect of the Company.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69" w:lineRule="auto"/>
        <w:tabs>
          <w:tab w:leader="none" w:pos="13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Evidence that the USD70,000,000 revolving facility made available to the Company pursuant to an amendment and restatement agreement dated 10 April 2018 between the Company as borrower and Barclays Bank PLC as lender will be irrevocably and unconditionally repaid (and permanently cancelled) in full on or before the first Utilisation Date.</w:t>
      </w:r>
    </w:p>
    <w:p>
      <w:pPr>
        <w:sectPr>
          <w:pgSz w:w="11900" w:h="16838" w:orient="portrait"/>
          <w:cols w:equalWidth="0" w:num="1">
            <w:col w:w="11420"/>
          </w:cols>
          <w:pgMar w:left="240" w:top="118" w:right="239" w:bottom="421" w:gutter="0" w:footer="0" w:header="0"/>
        </w:sectPr>
      </w:pPr>
    </w:p>
    <w:bookmarkStart w:id="71" w:name="page72"/>
    <w:bookmarkEnd w:id="71"/>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215"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20"/>
          <w:szCs w:val="20"/>
          <w:b w:val="1"/>
          <w:bCs w:val="1"/>
          <w:color w:val="auto"/>
        </w:rPr>
        <w:t>Certain Definitions</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"Accounting Date" </w:t>
      </w:r>
      <w:r>
        <w:rPr>
          <w:rFonts w:ascii="Times New Roman" w:cs="Times New Roman" w:eastAsia="Times New Roman" w:hAnsi="Times New Roman"/>
          <w:sz w:val="20"/>
          <w:szCs w:val="20"/>
          <w:color w:val="auto"/>
        </w:rPr>
        <w:t>means each 30 June and 31 December;</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"Accounting Principles" </w:t>
      </w:r>
      <w:r>
        <w:rPr>
          <w:rFonts w:ascii="Times New Roman" w:cs="Times New Roman" w:eastAsia="Times New Roman" w:hAnsi="Times New Roman"/>
          <w:sz w:val="20"/>
          <w:szCs w:val="20"/>
          <w:color w:val="auto"/>
        </w:rPr>
        <w:t>means generally accepted accounting principles in the United States of America, being US GAAP;</w:t>
      </w:r>
    </w:p>
    <w:p>
      <w:pPr>
        <w:spacing w:after="0" w:line="21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"Business Day" </w:t>
      </w:r>
      <w:r>
        <w:rPr>
          <w:rFonts w:ascii="Times New Roman" w:cs="Times New Roman" w:eastAsia="Times New Roman" w:hAnsi="Times New Roman"/>
          <w:sz w:val="20"/>
          <w:szCs w:val="20"/>
          <w:color w:val="auto"/>
        </w:rPr>
        <w:t>means a day (other than a Saturday or Sunday) on which banks are open for general business in London and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York;</w:t>
      </w:r>
    </w:p>
    <w:p>
      <w:pPr>
        <w:spacing w:after="0" w:line="152"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"Distressed Fund" </w:t>
      </w:r>
      <w:r>
        <w:rPr>
          <w:rFonts w:ascii="Times New Roman" w:cs="Times New Roman" w:eastAsia="Times New Roman" w:hAnsi="Times New Roman"/>
          <w:sz w:val="20"/>
          <w:szCs w:val="20"/>
          <w:color w:val="auto"/>
        </w:rPr>
        <w:t>means a fund whose investment strategy includes purchasing debt for the purpose of actively managing that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 to obtain ownership of equity in or gain control of the relevant borrower(s) and/or to exploit holdout or blocking positions;</w:t>
      </w:r>
    </w:p>
    <w:p>
      <w:pPr>
        <w:spacing w:after="0" w:line="152"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"Environment" </w:t>
      </w:r>
      <w:r>
        <w:rPr>
          <w:rFonts w:ascii="Times New Roman" w:cs="Times New Roman" w:eastAsia="Times New Roman" w:hAnsi="Times New Roman"/>
          <w:sz w:val="20"/>
          <w:szCs w:val="20"/>
          <w:color w:val="auto"/>
        </w:rPr>
        <w:t>means humans, animals, plants and all other living organisms including the ecological systems of which they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and the following media:</w:t>
      </w:r>
    </w:p>
    <w:p>
      <w:pPr>
        <w:spacing w:after="0" w:line="138" w:lineRule="exact"/>
        <w:rPr>
          <w:sz w:val="20"/>
          <w:szCs w:val="20"/>
          <w:color w:val="auto"/>
        </w:rPr>
      </w:pPr>
    </w:p>
    <w:p>
      <w:pPr>
        <w:ind w:left="644" w:hanging="644"/>
        <w:spacing w:after="0" w:line="253" w:lineRule="exact"/>
        <w:tabs>
          <w:tab w:leader="none" w:pos="6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air (including, without limitation, air within natural or man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made structures, whether above or below ground);</w:t>
      </w:r>
    </w:p>
    <w:p>
      <w:pPr>
        <w:spacing w:after="0" w:line="251" w:lineRule="exact"/>
        <w:rPr>
          <w:rFonts w:ascii="Times New Roman" w:cs="Times New Roman" w:eastAsia="Times New Roman" w:hAnsi="Times New Roman"/>
          <w:sz w:val="22"/>
          <w:szCs w:val="22"/>
          <w:color w:val="auto"/>
        </w:rPr>
      </w:pPr>
    </w:p>
    <w:p>
      <w:pPr>
        <w:ind w:left="644" w:right="20" w:hanging="644"/>
        <w:spacing w:after="0" w:line="273" w:lineRule="auto"/>
        <w:tabs>
          <w:tab w:leader="none" w:pos="6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water (including, without limitation, territorial, coastal and inland waters, water under or within land and water in drains and sewers); and</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land (including, without limitation, land under water);</w:t>
      </w:r>
    </w:p>
    <w:p>
      <w:pPr>
        <w:spacing w:after="0" w:line="20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"Environmental Claim" </w:t>
      </w:r>
      <w:r>
        <w:rPr>
          <w:rFonts w:ascii="Times New Roman" w:cs="Times New Roman" w:eastAsia="Times New Roman" w:hAnsi="Times New Roman"/>
          <w:sz w:val="20"/>
          <w:szCs w:val="20"/>
          <w:color w:val="auto"/>
        </w:rPr>
        <w:t>means any claim, proceeding, formal notice or investigation by any person in respect of any Environmental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"Environmental Law" </w:t>
      </w:r>
      <w:r>
        <w:rPr>
          <w:rFonts w:ascii="Times New Roman" w:cs="Times New Roman" w:eastAsia="Times New Roman" w:hAnsi="Times New Roman"/>
          <w:sz w:val="20"/>
          <w:szCs w:val="20"/>
          <w:color w:val="auto"/>
        </w:rPr>
        <w:t>means any applicable law or regulation which relates to:</w:t>
      </w:r>
    </w:p>
    <w:p>
      <w:pPr>
        <w:spacing w:after="0" w:line="233" w:lineRule="exact"/>
        <w:rPr>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pollution or protection of the Environment;</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conditions of the workplace; or</w:t>
      </w:r>
    </w:p>
    <w:p>
      <w:pPr>
        <w:spacing w:after="0" w:line="219"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generation, handling, storage, use, release or spillage of any substance which, alone or in combination with any other, is capable of causing harm to the Environment, including, without limitation, any waste;</w:t>
      </w:r>
    </w:p>
    <w:p>
      <w:pPr>
        <w:spacing w:after="0" w:line="16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"Environmental Permits" </w:t>
      </w:r>
      <w:r>
        <w:rPr>
          <w:rFonts w:ascii="Times New Roman" w:cs="Times New Roman" w:eastAsia="Times New Roman" w:hAnsi="Times New Roman"/>
          <w:sz w:val="20"/>
          <w:szCs w:val="20"/>
          <w:color w:val="auto"/>
        </w:rPr>
        <w:t>means any permit and other Authorisation and the filing of any notification, report or assessment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Environmental Law for the operation of the business of any member of the Group conducted on or from the properties owned or used by any member of the Group;</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"Excluded Guarantee" </w:t>
      </w:r>
      <w:r>
        <w:rPr>
          <w:rFonts w:ascii="Times New Roman" w:cs="Times New Roman" w:eastAsia="Times New Roman" w:hAnsi="Times New Roman"/>
          <w:sz w:val="20"/>
          <w:szCs w:val="20"/>
          <w:color w:val="auto"/>
        </w:rPr>
        <w:t>means:</w:t>
      </w:r>
    </w:p>
    <w:p>
      <w:pPr>
        <w:spacing w:after="0" w:line="202" w:lineRule="exact"/>
        <w:rPr>
          <w:sz w:val="20"/>
          <w:szCs w:val="20"/>
          <w:color w:val="auto"/>
        </w:rPr>
      </w:pPr>
    </w:p>
    <w:p>
      <w:pPr>
        <w:ind w:left="644" w:right="20" w:hanging="644"/>
        <w:spacing w:after="0" w:line="273" w:lineRule="exact"/>
        <w:tabs>
          <w:tab w:leader="none" w:pos="6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counter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indemnity obligation in respect of a performance or similar bond guaranteeing performance by a member of the Group under any public tender or other contract entered into in the ordinary course of trade; or</w:t>
      </w:r>
    </w:p>
    <w:p>
      <w:pPr>
        <w:spacing w:after="0" w:line="215"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guarantee or indemnity granted or arising under legislation relating to tax or corporate law under which any member of the Group assumes general liability for the obligations of another member of the Group;</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left="644" w:hanging="644"/>
        <w:spacing w:after="0" w:line="269" w:lineRule="auto"/>
        <w:tabs>
          <w:tab w:leader="none" w:pos="6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patents, trade 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186"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benefit of all applications and rights to use such assets of each member of the Group (which may now or in the future subsist).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"Italian Subsidiary" </w:t>
      </w:r>
      <w:r>
        <w:rPr>
          <w:rFonts w:ascii="Times New Roman" w:cs="Times New Roman" w:eastAsia="Times New Roman" w:hAnsi="Times New Roman"/>
          <w:sz w:val="20"/>
          <w:szCs w:val="20"/>
          <w:color w:val="auto"/>
        </w:rPr>
        <w:t>means Sorin Group Italia srl, a company incorporated in Italy;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"Legal Reservations"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644" w:right="20" w:hanging="644"/>
        <w:spacing w:after="0" w:line="273" w:lineRule="auto"/>
        <w:tabs>
          <w:tab w:leader="none" w:pos="6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79" w:lineRule="exact"/>
        <w:rPr>
          <w:rFonts w:ascii="Times New Roman" w:cs="Times New Roman" w:eastAsia="Times New Roman" w:hAnsi="Times New Roman"/>
          <w:sz w:val="22"/>
          <w:szCs w:val="22"/>
          <w:color w:val="auto"/>
        </w:rPr>
      </w:pPr>
    </w:p>
    <w:p>
      <w:pPr>
        <w:ind w:left="644" w:hanging="644"/>
        <w:spacing w:after="0" w:line="267" w:lineRule="exact"/>
        <w:tabs>
          <w:tab w:leader="none" w:pos="6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time barring of claims under the Limitation Acts, the possibility that an undertaking to assume liability for or indemnify a person against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payment of UK stamp duty may be void and defences of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or counterclaim;</w:t>
      </w:r>
    </w:p>
    <w:p>
      <w:pPr>
        <w:spacing w:after="0" w:line="19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similar principles, rights and defences under the laws of any jurisdiction in which the Borrower conducts its business; and</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matters which are set out as qualifications or reservations as to matters of law of general application specifically</w:t>
      </w:r>
    </w:p>
    <w:p>
      <w:pPr>
        <w:sectPr>
          <w:pgSz w:w="11900" w:h="16838" w:orient="portrait"/>
          <w:cols w:equalWidth="0" w:num="1">
            <w:col w:w="10764"/>
          </w:cols>
          <w:pgMar w:left="896" w:top="114" w:right="239" w:bottom="0" w:gutter="0" w:footer="0" w:header="0"/>
        </w:sectPr>
      </w:pPr>
    </w:p>
    <w:bookmarkStart w:id="72" w:name="page73"/>
    <w:bookmarkEnd w:id="72"/>
    <w:p>
      <w:pPr>
        <w:ind w:left="644"/>
        <w:spacing w:after="0"/>
        <w:rPr>
          <w:sz w:val="20"/>
          <w:szCs w:val="20"/>
          <w:color w:val="auto"/>
        </w:rPr>
      </w:pPr>
      <w:r>
        <w:rPr>
          <w:rFonts w:ascii="Times New Roman" w:cs="Times New Roman" w:eastAsia="Times New Roman" w:hAnsi="Times New Roman"/>
          <w:sz w:val="20"/>
          <w:szCs w:val="20"/>
          <w:color w:val="auto"/>
        </w:rPr>
        <w:t>referred to in any legal opinion referred to in Schedule 5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to this Term Sheet;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"Material Adverse Effect" </w:t>
      </w:r>
      <w:r>
        <w:rPr>
          <w:rFonts w:ascii="Times New Roman" w:cs="Times New Roman" w:eastAsia="Times New Roman" w:hAnsi="Times New Roman"/>
          <w:sz w:val="20"/>
          <w:szCs w:val="20"/>
          <w:color w:val="auto"/>
        </w:rPr>
        <w:t>means a material adverse effect on:</w:t>
      </w:r>
    </w:p>
    <w:p>
      <w:pPr>
        <w:spacing w:after="0" w:line="233" w:lineRule="exact"/>
        <w:rPr>
          <w:sz w:val="20"/>
          <w:szCs w:val="20"/>
          <w:color w:val="auto"/>
        </w:rPr>
      </w:pPr>
    </w:p>
    <w:p>
      <w:pPr>
        <w:ind w:left="644" w:hanging="644"/>
        <w:spacing w:after="0"/>
        <w:tabs>
          <w:tab w:leader="none" w:pos="6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business, operations, property or financial condition of the Group taken as a whole; or</w:t>
      </w:r>
    </w:p>
    <w:p>
      <w:pPr>
        <w:spacing w:after="0" w:line="219" w:lineRule="exact"/>
        <w:rPr>
          <w:rFonts w:ascii="Times New Roman" w:cs="Times New Roman" w:eastAsia="Times New Roman" w:hAnsi="Times New Roman"/>
          <w:sz w:val="22"/>
          <w:szCs w:val="22"/>
          <w:color w:val="auto"/>
        </w:rPr>
      </w:pPr>
    </w:p>
    <w:p>
      <w:pPr>
        <w:ind w:left="644" w:right="20" w:hanging="644"/>
        <w:spacing w:after="0" w:line="273" w:lineRule="auto"/>
        <w:tabs>
          <w:tab w:leader="none" w:pos="6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ability of the Borrower to perform its payment obligations under the Finance Documents and/or its obligations under Schedule 2 (</w:t>
      </w:r>
      <w:r>
        <w:rPr>
          <w:rFonts w:ascii="Times New Roman" w:cs="Times New Roman" w:eastAsia="Times New Roman" w:hAnsi="Times New Roman"/>
          <w:sz w:val="20"/>
          <w:szCs w:val="20"/>
          <w:i w:val="1"/>
          <w:iCs w:val="1"/>
          <w:color w:val="auto"/>
        </w:rPr>
        <w:t>Financial Undertakings</w:t>
      </w:r>
      <w:r>
        <w:rPr>
          <w:rFonts w:ascii="Times New Roman" w:cs="Times New Roman" w:eastAsia="Times New Roman" w:hAnsi="Times New Roman"/>
          <w:sz w:val="20"/>
          <w:szCs w:val="20"/>
          <w:color w:val="auto"/>
        </w:rPr>
        <w:t>) to this Term Sheet; or</w:t>
      </w:r>
    </w:p>
    <w:p>
      <w:pPr>
        <w:spacing w:after="0" w:line="179"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validity or enforceability of the Finance Documents or the rights or remedies of any Finance Party under any of the Finance Documents;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"Material Subsidiaries" </w:t>
      </w:r>
      <w:r>
        <w:rPr>
          <w:rFonts w:ascii="Times New Roman" w:cs="Times New Roman" w:eastAsia="Times New Roman" w:hAnsi="Times New Roman"/>
          <w:sz w:val="20"/>
          <w:szCs w:val="20"/>
          <w:color w:val="auto"/>
        </w:rPr>
        <w:t>means, at any time, a Subsidiary of the Borrower which:</w:t>
      </w:r>
    </w:p>
    <w:p>
      <w:pPr>
        <w:spacing w:after="0" w:line="233" w:lineRule="exact"/>
        <w:rPr>
          <w:sz w:val="20"/>
          <w:szCs w:val="20"/>
          <w:color w:val="auto"/>
        </w:rPr>
      </w:pPr>
    </w:p>
    <w:p>
      <w:pPr>
        <w:ind w:left="644" w:hanging="644"/>
        <w:spacing w:after="0"/>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is listed in Schedule 7 (Material Companies) to this Term Sheet; or</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57" w:lineRule="exact"/>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has an operating profit representing 10 per cent or more of the consolidated operating profit of the Group (determined in accordance with US GAAP) or has turnover (excluding intra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group items) representing 10 per cent, or more of the turnover of the Group, calculated on a consolidated basis.</w:t>
      </w:r>
    </w:p>
    <w:p>
      <w:pPr>
        <w:spacing w:after="0" w:line="203"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Compliance with the conditions set out in paragraph (b) above shall be determined by reference to the latest consolidated financial statements of the Group. However, if a Subsidiary has been acquired since the date as at which the latest consolidated financial statements of the Group were prepared, the financial statements shall be deemed to be adjusted in order to take into account the acquisition of that Subsidiary;</w:t>
      </w:r>
    </w:p>
    <w:p>
      <w:pPr>
        <w:spacing w:after="0" w:line="17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"Original Financial Statements" </w:t>
      </w:r>
      <w:r>
        <w:rPr>
          <w:rFonts w:ascii="Times New Roman" w:cs="Times New Roman" w:eastAsia="Times New Roman" w:hAnsi="Times New Roman"/>
          <w:sz w:val="20"/>
          <w:szCs w:val="20"/>
          <w:color w:val="auto"/>
        </w:rPr>
        <w:t>means the audited consolidated financial statements of the Group for the financial year ended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[2017/2018];</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"Permitted Acquisition"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Permitted Share Buyback;</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 acquisition for cash consideration of all or the majority of the issued share capital of a limited liability company, but only if:</w:t>
      </w:r>
    </w:p>
    <w:p>
      <w:pPr>
        <w:spacing w:after="0" w:line="231" w:lineRule="exact"/>
        <w:rPr>
          <w:rFonts w:ascii="Times New Roman" w:cs="Times New Roman" w:eastAsia="Times New Roman" w:hAnsi="Times New Roman"/>
          <w:sz w:val="21"/>
          <w:szCs w:val="21"/>
          <w:color w:val="auto"/>
        </w:rPr>
      </w:pPr>
    </w:p>
    <w:p>
      <w:pPr>
        <w:ind w:left="1304" w:hanging="655"/>
        <w:spacing w:after="0"/>
        <w:tabs>
          <w:tab w:leader="none" w:pos="130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Event of Default is continuing on the closing date for the acquisition or would occur as a result of the acquisition;</w:t>
      </w:r>
    </w:p>
    <w:p>
      <w:pPr>
        <w:spacing w:after="0" w:line="219" w:lineRule="exact"/>
        <w:rPr>
          <w:rFonts w:ascii="Times New Roman" w:cs="Times New Roman" w:eastAsia="Times New Roman" w:hAnsi="Times New Roman"/>
          <w:sz w:val="22"/>
          <w:szCs w:val="22"/>
          <w:color w:val="auto"/>
        </w:rPr>
      </w:pPr>
    </w:p>
    <w:p>
      <w:pPr>
        <w:ind w:left="1304" w:right="20" w:hanging="655"/>
        <w:spacing w:after="0" w:line="273" w:lineRule="auto"/>
        <w:tabs>
          <w:tab w:leader="none" w:pos="130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acquired company, business or undertaking is engaged in a business substantially the same as (or ancillary or related to) that carried on by the Group;</w:t>
      </w:r>
    </w:p>
    <w:p>
      <w:pPr>
        <w:spacing w:after="0" w:line="179" w:lineRule="exact"/>
        <w:rPr>
          <w:rFonts w:ascii="Times New Roman" w:cs="Times New Roman" w:eastAsia="Times New Roman" w:hAnsi="Times New Roman"/>
          <w:sz w:val="22"/>
          <w:szCs w:val="22"/>
          <w:color w:val="auto"/>
        </w:rPr>
      </w:pPr>
    </w:p>
    <w:p>
      <w:pPr>
        <w:jc w:val="both"/>
        <w:ind w:left="1304" w:hanging="655"/>
        <w:spacing w:after="0" w:line="284" w:lineRule="auto"/>
        <w:tabs>
          <w:tab w:leader="none" w:pos="130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consideration (including associated costs and expenses) for the acquisition and any Financial Indebtedness or other assumed actual or contingent liability, remaining in the acquired company (or any such business) at the date of acquisition (the "</w:t>
      </w:r>
      <w:r>
        <w:rPr>
          <w:rFonts w:ascii="Times New Roman" w:cs="Times New Roman" w:eastAsia="Times New Roman" w:hAnsi="Times New Roman"/>
          <w:sz w:val="19"/>
          <w:szCs w:val="19"/>
          <w:b w:val="1"/>
          <w:bCs w:val="1"/>
          <w:color w:val="auto"/>
        </w:rPr>
        <w:t>Individual Purchase Price</w:t>
      </w:r>
      <w:r>
        <w:rPr>
          <w:rFonts w:ascii="Times New Roman" w:cs="Times New Roman" w:eastAsia="Times New Roman" w:hAnsi="Times New Roman"/>
          <w:sz w:val="19"/>
          <w:szCs w:val="19"/>
          <w:color w:val="auto"/>
        </w:rPr>
        <w:t>") when aggregated with the consideration (including associated costs and expenses) for any other acquisition permitted under this Agreement and any Financial Indebtedness or other assumed actual or contingent liability, remaining in any such acquired companies or businesses at the time of acquisition (the "</w:t>
      </w:r>
      <w:r>
        <w:rPr>
          <w:rFonts w:ascii="Times New Roman" w:cs="Times New Roman" w:eastAsia="Times New Roman" w:hAnsi="Times New Roman"/>
          <w:sz w:val="19"/>
          <w:szCs w:val="19"/>
          <w:b w:val="1"/>
          <w:bCs w:val="1"/>
          <w:color w:val="auto"/>
        </w:rPr>
        <w:t>Total Purchase Price</w:t>
      </w:r>
      <w:r>
        <w:rPr>
          <w:rFonts w:ascii="Times New Roman" w:cs="Times New Roman" w:eastAsia="Times New Roman" w:hAnsi="Times New Roman"/>
          <w:sz w:val="19"/>
          <w:szCs w:val="19"/>
          <w:color w:val="auto"/>
        </w:rPr>
        <w:t>")) does not exceed USD 280,000,000 or its equivalent in aggregate over the life of the Facility.</w:t>
      </w:r>
    </w:p>
    <w:p>
      <w:pPr>
        <w:spacing w:after="0" w:line="191" w:lineRule="exact"/>
        <w:rPr>
          <w:sz w:val="20"/>
          <w:szCs w:val="20"/>
          <w:color w:val="auto"/>
        </w:rPr>
      </w:pPr>
    </w:p>
    <w:p>
      <w:pPr>
        <w:jc w:val="both"/>
        <w:ind w:left="4"/>
        <w:spacing w:after="0" w:line="277" w:lineRule="auto"/>
        <w:rPr>
          <w:sz w:val="20"/>
          <w:szCs w:val="20"/>
          <w:color w:val="auto"/>
        </w:rPr>
      </w:pPr>
      <w:r>
        <w:rPr>
          <w:rFonts w:ascii="Times New Roman" w:cs="Times New Roman" w:eastAsia="Times New Roman" w:hAnsi="Times New Roman"/>
          <w:sz w:val="20"/>
          <w:szCs w:val="20"/>
          <w:color w:val="auto"/>
        </w:rPr>
        <w:t>Any acquisition whose Individual Purchase Price exceeds USD 75,000,000 or its equivalent will only be permitted under paragraph (b) above if the Borrower has delivered to the Agent not later than 30 Business Days before legally committing to make such acquisition a certificate signed by two directors of the Borrower to which is attached a copy of the latest audited accounts (or if not available, management accounts) of the target company or business.</w:t>
      </w:r>
    </w:p>
    <w:p>
      <w:pPr>
        <w:spacing w:after="0" w:line="167"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Such certificate must give calculations showing in reasonable detail that the Borrower would have remained in compliance with the financial covenants set out in Schedule 2 (</w:t>
      </w:r>
      <w:r>
        <w:rPr>
          <w:rFonts w:ascii="Times New Roman" w:cs="Times New Roman" w:eastAsia="Times New Roman" w:hAnsi="Times New Roman"/>
          <w:sz w:val="20"/>
          <w:szCs w:val="20"/>
          <w:i w:val="1"/>
          <w:iCs w:val="1"/>
          <w:color w:val="auto"/>
        </w:rPr>
        <w:t>Financial Undertakings</w:t>
      </w:r>
      <w:r>
        <w:rPr>
          <w:rFonts w:ascii="Times New Roman" w:cs="Times New Roman" w:eastAsia="Times New Roman" w:hAnsi="Times New Roman"/>
          <w:sz w:val="20"/>
          <w:szCs w:val="20"/>
          <w:color w:val="auto"/>
        </w:rPr>
        <w:t>) to this Term Sheet if the covenant test was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period.</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"Permitted Guarantee" </w:t>
      </w:r>
      <w:r>
        <w:rPr>
          <w:rFonts w:ascii="Times New Roman" w:cs="Times New Roman" w:eastAsia="Times New Roman" w:hAnsi="Times New Roman"/>
          <w:sz w:val="20"/>
          <w:szCs w:val="20"/>
          <w:color w:val="auto"/>
        </w:rPr>
        <w:t>means:</w:t>
      </w:r>
    </w:p>
    <w:p>
      <w:pPr>
        <w:spacing w:after="0" w:line="202" w:lineRule="exact"/>
        <w:rPr>
          <w:sz w:val="20"/>
          <w:szCs w:val="20"/>
          <w:color w:val="auto"/>
        </w:rPr>
      </w:pPr>
    </w:p>
    <w:p>
      <w:pPr>
        <w:ind w:left="644" w:hanging="644"/>
        <w:spacing w:after="0" w:line="273" w:lineRule="exact"/>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guarantee comprising a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arrangements entered into by any member of the Group in the ordinary course of its banking arrangements for the purpose of netting debit and credit balances;</w:t>
      </w:r>
    </w:p>
    <w:p>
      <w:pPr>
        <w:spacing w:after="0" w:line="215" w:lineRule="exact"/>
        <w:rPr>
          <w:rFonts w:ascii="Times New Roman" w:cs="Times New Roman" w:eastAsia="Times New Roman" w:hAnsi="Times New Roman"/>
          <w:sz w:val="22"/>
          <w:szCs w:val="22"/>
          <w:color w:val="auto"/>
        </w:rPr>
      </w:pPr>
    </w:p>
    <w:p>
      <w:pPr>
        <w:ind w:left="644" w:right="20" w:hanging="644"/>
        <w:spacing w:after="0" w:line="273" w:lineRule="auto"/>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indemnity given in the ordinary course of the documentation of an acquisition which is a Permitted Acquisition which indemnity is in a customary form and subject to customary limitations;</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guarantee of any Financial Indebtedness permitted by this Agreement; or</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Excluded Guarantee;</w:t>
      </w:r>
    </w:p>
    <w:p>
      <w:pPr>
        <w:sectPr>
          <w:pgSz w:w="11900" w:h="16838" w:orient="portrait"/>
          <w:cols w:equalWidth="0" w:num="1">
            <w:col w:w="10764"/>
          </w:cols>
          <w:pgMar w:left="896" w:top="126" w:right="239" w:bottom="0" w:gutter="0" w:footer="0" w:header="0"/>
        </w:sectPr>
      </w:pPr>
    </w:p>
    <w:bookmarkStart w:id="73" w:name="page74"/>
    <w:bookmarkEnd w:id="73"/>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"Permitted Loan" </w:t>
      </w:r>
      <w:r>
        <w:rPr>
          <w:rFonts w:ascii="Times New Roman" w:cs="Times New Roman" w:eastAsia="Times New Roman" w:hAnsi="Times New Roman"/>
          <w:sz w:val="20"/>
          <w:szCs w:val="20"/>
          <w:color w:val="auto"/>
        </w:rPr>
        <w:t>means any Financial Indebtedness or loan made by a member of the Group:</w:t>
      </w:r>
    </w:p>
    <w:p>
      <w:pPr>
        <w:spacing w:after="0" w:line="232" w:lineRule="exact"/>
        <w:rPr>
          <w:sz w:val="20"/>
          <w:szCs w:val="20"/>
          <w:color w:val="auto"/>
        </w:rPr>
      </w:pPr>
    </w:p>
    <w:p>
      <w:pPr>
        <w:ind w:left="644" w:hanging="644"/>
        <w:spacing w:after="0"/>
        <w:tabs>
          <w:tab w:leader="none" w:pos="6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another member of the Group; or</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68" w:lineRule="auto"/>
        <w:tabs>
          <w:tab w:leader="none" w:pos="6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any other entity (i) in which a member of the Group holds a beneficial interest and (ii) which carries on the same or substantially similar business to the Group, provided such Financial Indebtedness or loans are approved by the board of directors of the Borrower and, in aggregate for those made in any financial year, do not exceed USD 50,000,000 or its equivalent;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"Permitted Receivables Disposal"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644" w:hanging="644"/>
        <w:spacing w:after="0" w:line="273" w:lineRule="auto"/>
        <w:tabs>
          <w:tab w:leader="none" w:pos="6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factoring programme with recourse (pro solvendo) or without recourse (pro soluto) of receivables of the Group which is in existence at the date hereof;</w:t>
      </w:r>
    </w:p>
    <w:p>
      <w:pPr>
        <w:spacing w:after="0" w:line="179"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securitisation and/or factoring programme of the receivables of the Group consented to by Agent (acting on the instructions of the Majority Lenders (acting reasonably)); and/or</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69" w:lineRule="auto"/>
        <w:tabs>
          <w:tab w:leader="none" w:pos="6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disposal of receivables not otherwise permitted under paragraphs (a) or (b) above where the net consideration receivable (when aggregated with the consideration for all such other receivables disposed of) does not exceed USD 40,000,000 in any financial year;</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"Permitted Security" </w:t>
      </w:r>
      <w:r>
        <w:rPr>
          <w:rFonts w:ascii="Times New Roman" w:cs="Times New Roman" w:eastAsia="Times New Roman" w:hAnsi="Times New Roman"/>
          <w:sz w:val="20"/>
          <w:szCs w:val="20"/>
          <w:color w:val="auto"/>
        </w:rPr>
        <w:t>means:</w:t>
      </w:r>
    </w:p>
    <w:p>
      <w:pPr>
        <w:spacing w:after="0" w:line="229" w:lineRule="exact"/>
        <w:rPr>
          <w:sz w:val="20"/>
          <w:szCs w:val="20"/>
          <w:color w:val="auto"/>
        </w:rPr>
      </w:pPr>
    </w:p>
    <w:p>
      <w:pPr>
        <w:ind w:left="644" w:hanging="644"/>
        <w:spacing w:after="0" w:line="277" w:lineRule="auto"/>
        <w:tabs>
          <w:tab w:leader="none" w:pos="6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Security listed in Schedule 8 (</w:t>
      </w:r>
      <w:r>
        <w:rPr>
          <w:rFonts w:ascii="Times New Roman" w:cs="Times New Roman" w:eastAsia="Times New Roman" w:hAnsi="Times New Roman"/>
          <w:sz w:val="20"/>
          <w:szCs w:val="20"/>
          <w:i w:val="1"/>
          <w:iCs w:val="1"/>
          <w:color w:val="auto"/>
        </w:rPr>
        <w:t>Existing Security</w:t>
      </w:r>
      <w:r>
        <w:rPr>
          <w:rFonts w:ascii="Times New Roman" w:cs="Times New Roman" w:eastAsia="Times New Roman" w:hAnsi="Times New Roman"/>
          <w:sz w:val="20"/>
          <w:szCs w:val="20"/>
          <w:color w:val="auto"/>
        </w:rPr>
        <w:t>) to this Term Sheet except to the extent the principal amount secured by that Security exceeds the amount stated in that schedule;</w:t>
      </w:r>
    </w:p>
    <w:p>
      <w:pPr>
        <w:spacing w:after="0" w:line="144" w:lineRule="exact"/>
        <w:rPr>
          <w:rFonts w:ascii="Times New Roman" w:cs="Times New Roman" w:eastAsia="Times New Roman" w:hAnsi="Times New Roman"/>
          <w:sz w:val="22"/>
          <w:szCs w:val="22"/>
          <w:color w:val="auto"/>
        </w:rPr>
      </w:pPr>
    </w:p>
    <w:p>
      <w:pPr>
        <w:ind w:left="644" w:hanging="644"/>
        <w:spacing w:after="0" w:line="273" w:lineRule="exact"/>
        <w:tabs>
          <w:tab w:leader="none" w:pos="6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 entered into by any member of the Group in the ordinary course of its banking arrangements for the purpose of netting debit and credit balances;</w:t>
      </w:r>
    </w:p>
    <w:p>
      <w:pPr>
        <w:spacing w:after="0" w:line="183" w:lineRule="exact"/>
        <w:rPr>
          <w:rFonts w:ascii="Times New Roman" w:cs="Times New Roman" w:eastAsia="Times New Roman" w:hAnsi="Times New Roman"/>
          <w:sz w:val="22"/>
          <w:szCs w:val="22"/>
          <w:color w:val="auto"/>
        </w:rPr>
      </w:pPr>
    </w:p>
    <w:p>
      <w:pPr>
        <w:ind w:left="644" w:hanging="644"/>
        <w:spacing w:after="0" w:line="273" w:lineRule="exact"/>
        <w:tabs>
          <w:tab w:leader="none" w:pos="6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payment or close out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 pursuant to any hedging transaction entered into by a member of the Group for the purpose of:</w:t>
      </w:r>
    </w:p>
    <w:p>
      <w:pPr>
        <w:spacing w:after="0" w:line="215"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hedging any risk to which any member of the Group is exposed in its ordinary course of trading; or</w:t>
      </w:r>
    </w:p>
    <w:p>
      <w:pPr>
        <w:spacing w:after="0" w:line="219" w:lineRule="exact"/>
        <w:rPr>
          <w:rFonts w:ascii="Times New Roman" w:cs="Times New Roman" w:eastAsia="Times New Roman" w:hAnsi="Times New Roman"/>
          <w:sz w:val="22"/>
          <w:szCs w:val="22"/>
          <w:color w:val="auto"/>
        </w:rPr>
      </w:pPr>
    </w:p>
    <w:p>
      <w:pPr>
        <w:ind w:left="1304" w:hanging="655"/>
        <w:spacing w:after="0" w:line="267" w:lineRule="exact"/>
        <w:tabs>
          <w:tab w:leader="none" w:pos="130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its interest rate or currency management operations which are carried out in the ordinary course of business and for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speculative purposes only,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excluding, in each case, any Security under a credit support arrangement in relation to a hedging transaction;</w:t>
      </w:r>
    </w:p>
    <w:p>
      <w:pPr>
        <w:spacing w:after="0" w:line="229" w:lineRule="exact"/>
        <w:rPr>
          <w:sz w:val="20"/>
          <w:szCs w:val="20"/>
          <w:color w:val="auto"/>
        </w:rPr>
      </w:pPr>
    </w:p>
    <w:p>
      <w:pPr>
        <w:ind w:left="644" w:hanging="644"/>
        <w:spacing w:after="0"/>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lien arising by operation of law and in the ordinary course of trading;</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Security over or affecting any asset acquired by a member of the Group after the date of this Agreement if:</w:t>
      </w:r>
    </w:p>
    <w:p>
      <w:pPr>
        <w:spacing w:after="0" w:line="21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 was not created in contemplation of the acquisition of that asset by a member of the Group;</w:t>
      </w:r>
    </w:p>
    <w:p>
      <w:pPr>
        <w:spacing w:after="0" w:line="219" w:lineRule="exact"/>
        <w:rPr>
          <w:rFonts w:ascii="Times New Roman" w:cs="Times New Roman" w:eastAsia="Times New Roman" w:hAnsi="Times New Roman"/>
          <w:sz w:val="22"/>
          <w:szCs w:val="22"/>
          <w:color w:val="auto"/>
        </w:rPr>
      </w:pPr>
    </w:p>
    <w:p>
      <w:pPr>
        <w:ind w:left="1304" w:hanging="655"/>
        <w:spacing w:after="0" w:line="273" w:lineRule="auto"/>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principal amount secured has not been increased in contemplation of or since the acquisition of that asset by a member of the Group; and</w:t>
      </w:r>
    </w:p>
    <w:p>
      <w:pPr>
        <w:spacing w:after="0" w:line="17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 is removed or discharged within two months of the date of acquisition of such asset;</w:t>
      </w:r>
    </w:p>
    <w:p>
      <w:pPr>
        <w:spacing w:after="0" w:line="219" w:lineRule="exact"/>
        <w:rPr>
          <w:rFonts w:ascii="Times New Roman" w:cs="Times New Roman" w:eastAsia="Times New Roman" w:hAnsi="Times New Roman"/>
          <w:sz w:val="22"/>
          <w:szCs w:val="22"/>
          <w:color w:val="auto"/>
        </w:rPr>
      </w:pPr>
    </w:p>
    <w:p>
      <w:pPr>
        <w:ind w:left="644" w:hanging="644"/>
        <w:spacing w:after="0" w:line="273" w:lineRule="auto"/>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Security over or affecting any asset of any company which becomes a member of the Group after the date of this Agreement, where the Security is created prior to the date on which that company becomes a member of the Group, if:</w:t>
      </w:r>
    </w:p>
    <w:p>
      <w:pPr>
        <w:spacing w:after="0" w:line="17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 was not created in contemplation of the acquisition of that company;</w:t>
      </w:r>
    </w:p>
    <w:p>
      <w:pPr>
        <w:spacing w:after="0" w:line="21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principal amount secured has not increased in contemplation of or since the acquisition of that company; and</w:t>
      </w:r>
    </w:p>
    <w:p>
      <w:pPr>
        <w:spacing w:after="0" w:line="21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 is removed or discharged within two months of that company becoming a member of the Group;</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69" w:lineRule="auto"/>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or</w:t>
      </w:r>
    </w:p>
    <w:p>
      <w:pPr>
        <w:spacing w:after="0" w:line="186" w:lineRule="exact"/>
        <w:rPr>
          <w:rFonts w:ascii="Times New Roman" w:cs="Times New Roman" w:eastAsia="Times New Roman" w:hAnsi="Times New Roman"/>
          <w:sz w:val="22"/>
          <w:szCs w:val="22"/>
          <w:color w:val="auto"/>
        </w:rPr>
      </w:pPr>
    </w:p>
    <w:p>
      <w:pPr>
        <w:jc w:val="both"/>
        <w:ind w:left="644" w:hanging="644"/>
        <w:spacing w:after="0" w:line="255" w:lineRule="auto"/>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Security securing indebtedness the principal amount of which (when aggregated with the principal amount of any other indebtedness which has the benefit of Security given by any member of the Group other than any permitted under paragraphs</w:t>
      </w:r>
    </w:p>
    <w:p>
      <w:pPr>
        <w:spacing w:after="0" w:line="1"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to (g) above) does not exceed USD 15,000,000 (or its equivalent in another currency or currencies);</w:t>
      </w:r>
    </w:p>
    <w:p>
      <w:pPr>
        <w:sectPr>
          <w:pgSz w:w="11900" w:h="16838" w:orient="portrait"/>
          <w:cols w:equalWidth="0" w:num="1">
            <w:col w:w="10764"/>
          </w:cols>
          <w:pgMar w:left="896" w:top="114" w:right="239" w:bottom="313" w:gutter="0" w:footer="0" w:header="0"/>
        </w:sectPr>
      </w:pPr>
    </w:p>
    <w:bookmarkStart w:id="74" w:name="page75"/>
    <w:bookmarkEnd w:id="74"/>
    <w:p>
      <w:pPr>
        <w:jc w:val="both"/>
        <w:ind w:left="660"/>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Share Buyback</w:t>
      </w:r>
      <w:r>
        <w:rPr>
          <w:rFonts w:ascii="Times New Roman" w:cs="Times New Roman" w:eastAsia="Times New Roman" w:hAnsi="Times New Roman"/>
          <w:sz w:val="20"/>
          <w:szCs w:val="20"/>
          <w:color w:val="auto"/>
        </w:rPr>
        <w:t>” means any share buyback occurring at any time on or after the date falling 18 Months after the date of the Agreement provided that at that time (a) the aggregate principal amount of the Loans outstanding does not exceed USD 200,000,000 and (b) the ratio of Consolidated Net Financial Indebtedness to Consolidated EBITDA does not exceed 1.5 times.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"Permitted Transaction"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1300" w:hanging="644"/>
        <w:spacing w:after="0" w:line="273"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merger between the Borrower and any Subsidiary that is consolidated within the consolidated financial statements of the Borrower, provided that the Borrower is the surviving entity;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solvent amalgamation or merger among members of the Group which are not the Borrower; or</w:t>
      </w:r>
    </w:p>
    <w:p>
      <w:pPr>
        <w:spacing w:after="0" w:line="21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solvent liquidation or reorganisation of any member of the Group which is not the Borrower so long as any payments or assets distributed as a result of such liquidation or reorganization are distributed to other members of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"Restricted Party" </w:t>
      </w:r>
      <w:r>
        <w:rPr>
          <w:rFonts w:ascii="Times New Roman" w:cs="Times New Roman" w:eastAsia="Times New Roman" w:hAnsi="Times New Roman"/>
          <w:sz w:val="20"/>
          <w:szCs w:val="20"/>
          <w:color w:val="auto"/>
        </w:rPr>
        <w:t>means a person that is:</w:t>
      </w:r>
    </w:p>
    <w:p>
      <w:pPr>
        <w:spacing w:after="0" w:line="233"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listed on, or owned or controlled by a person listed on, a Sanctions List, or a person acting on behalf of such a person;</w:t>
      </w:r>
    </w:p>
    <w:p>
      <w:pPr>
        <w:spacing w:after="0" w:line="188" w:lineRule="exact"/>
        <w:rPr>
          <w:rFonts w:ascii="Times New Roman" w:cs="Times New Roman" w:eastAsia="Times New Roman" w:hAnsi="Times New Roman"/>
          <w:sz w:val="22"/>
          <w:szCs w:val="22"/>
          <w:color w:val="auto"/>
        </w:rPr>
      </w:pPr>
    </w:p>
    <w:p>
      <w:pPr>
        <w:ind w:left="1300" w:hanging="644"/>
        <w:spacing w:after="0" w:line="273" w:lineRule="exact"/>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located in or organised under the laws of a country or territory that is the subject of country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wide or territory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wide Sanctions, or a person who is owned or controlled by, or acting on behalf of such a person; or</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otherwise a subject of Sanctions;</w:t>
      </w:r>
    </w:p>
    <w:p>
      <w:pPr>
        <w:spacing w:after="0" w:line="202"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"Sanctions" </w:t>
      </w:r>
      <w:r>
        <w:rPr>
          <w:rFonts w:ascii="Times New Roman" w:cs="Times New Roman" w:eastAsia="Times New Roman" w:hAnsi="Times New Roman"/>
          <w:sz w:val="20"/>
          <w:szCs w:val="20"/>
          <w:color w:val="auto"/>
        </w:rPr>
        <w:t>means any trade, economic or financial sanctions laws, regulations, embargoes or restrictive measures administered,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enacted or enforced by a Sanctions Authority;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"Sanctions Authority"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United Nations;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United States of America;</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European Union;</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United Kingdom of Great Britain and Northern Ireland; and</w:t>
      </w:r>
    </w:p>
    <w:p>
      <w:pPr>
        <w:spacing w:after="0" w:line="21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governments and official institutions or agencies of any of paragraphs (a) to (d) above, including OFAC, the US Department of State, and Her Majesty's Treasury;</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"Sanctions List" </w:t>
      </w:r>
      <w:r>
        <w:rPr>
          <w:rFonts w:ascii="Times New Roman" w:cs="Times New Roman" w:eastAsia="Times New Roman" w:hAnsi="Times New Roman"/>
          <w:sz w:val="20"/>
          <w:szCs w:val="20"/>
          <w:color w:val="auto"/>
        </w:rPr>
        <w:t>means the Specially Designated Nationals and Blocked Persons list maintained by OFAC, the Consolidated List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Sanctions Targets maintained by Her Majesty's Treasury, or any similar list maintained by, or public announcement of a Sanctions designation made by, a Sanctions Authority, each as amended, supplemented or substituted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"Subsidiary" </w:t>
      </w:r>
      <w:r>
        <w:rPr>
          <w:rFonts w:ascii="Times New Roman" w:cs="Times New Roman" w:eastAsia="Times New Roman" w:hAnsi="Times New Roman"/>
          <w:sz w:val="20"/>
          <w:szCs w:val="20"/>
          <w:color w:val="auto"/>
        </w:rPr>
        <w:t>means in relation to any company or corporation, a company or corporation:</w:t>
      </w:r>
    </w:p>
    <w:p>
      <w:pPr>
        <w:spacing w:after="0" w:line="233"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which is controlled, directly or indirectly, by the first mentioned company or corporation;</w:t>
      </w:r>
    </w:p>
    <w:p>
      <w:pPr>
        <w:spacing w:after="0" w:line="219" w:lineRule="exact"/>
        <w:rPr>
          <w:rFonts w:ascii="Times New Roman" w:cs="Times New Roman" w:eastAsia="Times New Roman" w:hAnsi="Times New Roman"/>
          <w:sz w:val="22"/>
          <w:szCs w:val="22"/>
          <w:color w:val="auto"/>
        </w:rPr>
      </w:pPr>
    </w:p>
    <w:p>
      <w:pPr>
        <w:ind w:left="1300" w:hanging="644"/>
        <w:spacing w:after="0" w:line="273" w:lineRule="auto"/>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more than half the issued share capital (which gives rise to voting rights) of which is beneficially owner, directly or indirectly, by the first mentioned company or corporation; 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is a Subsidiary of another Subsidiary of the first mentioned company or corporation,</w:t>
      </w:r>
    </w:p>
    <w:p>
      <w:pPr>
        <w:spacing w:after="0" w:line="206" w:lineRule="exact"/>
        <w:rPr>
          <w:sz w:val="20"/>
          <w:szCs w:val="20"/>
          <w:color w:val="auto"/>
        </w:rPr>
      </w:pPr>
    </w:p>
    <w:p>
      <w:pPr>
        <w:jc w:val="both"/>
        <w:ind w:left="660"/>
        <w:spacing w:after="0" w:line="246" w:lineRule="exact"/>
        <w:rPr>
          <w:sz w:val="20"/>
          <w:szCs w:val="20"/>
          <w:color w:val="auto"/>
        </w:rPr>
      </w:pPr>
      <w:r>
        <w:rPr>
          <w:rFonts w:ascii="Times New Roman" w:cs="Times New Roman" w:eastAsia="Times New Roman" w:hAnsi="Times New Roman"/>
          <w:sz w:val="20"/>
          <w:szCs w:val="20"/>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line basis for such period;</w:t>
      </w:r>
    </w:p>
    <w:p>
      <w:pPr>
        <w:spacing w:after="0" w:line="165" w:lineRule="exact"/>
        <w:rPr>
          <w:sz w:val="20"/>
          <w:szCs w:val="20"/>
          <w:color w:val="auto"/>
        </w:rPr>
      </w:pPr>
    </w:p>
    <w:p>
      <w:pPr>
        <w:jc w:val="both"/>
        <w:ind w:left="6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"US GAAP" </w:t>
      </w:r>
      <w:r>
        <w:rPr>
          <w:rFonts w:ascii="Times New Roman" w:cs="Times New Roman" w:eastAsia="Times New Roman" w:hAnsi="Times New Roman"/>
          <w:sz w:val="20"/>
          <w:szCs w:val="20"/>
          <w:color w:val="auto"/>
        </w:rPr>
        <w:t>means generally accepted accounting principles in the United States of America, as promulgated, from time to time,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Financial Accounting Standards Board;</w:t>
      </w:r>
    </w:p>
    <w:p>
      <w:pPr>
        <w:spacing w:after="0" w:line="15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Schedule 7</w:t>
      </w: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Material Companies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USA INC, USA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SORIN GROUP ITALIA SRL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JAPAN K.K.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AUSTRALIA PTY LIMITED</w:t>
      </w:r>
    </w:p>
    <w:p>
      <w:pPr>
        <w:sectPr>
          <w:pgSz w:w="11900" w:h="16838" w:orient="portrait"/>
          <w:cols w:equalWidth="0" w:num="1">
            <w:col w:w="11420"/>
          </w:cols>
          <w:pgMar w:left="240" w:top="126" w:right="239"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LIVANOVA CANADA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0"/>
          <w:szCs w:val="20"/>
          <w:b w:val="1"/>
          <w:bCs w:val="1"/>
          <w:color w:val="auto"/>
        </w:rPr>
        <w:t>Schedule 8</w:t>
      </w:r>
    </w:p>
    <w:p>
      <w:pPr>
        <w:spacing w:after="0" w:line="216"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20"/>
          <w:szCs w:val="20"/>
          <w:b w:val="1"/>
          <w:bCs w:val="1"/>
          <w:color w:val="auto"/>
        </w:rPr>
        <w:t>Existing Security</w:t>
      </w:r>
    </w:p>
    <w:p>
      <w:pPr>
        <w:spacing w:after="0" w:line="363" w:lineRule="exact"/>
        <w:rPr>
          <w:sz w:val="20"/>
          <w:szCs w:val="20"/>
          <w:color w:val="auto"/>
        </w:rPr>
      </w:pPr>
    </w:p>
    <w:tbl>
      <w:tblPr>
        <w:tblLayout w:type="fixed"/>
        <w:tblInd w:w="780" w:type="dxa"/>
        <w:tblCellMar>
          <w:top w:w="0" w:type="dxa"/>
          <w:left w:w="0" w:type="dxa"/>
          <w:bottom w:w="0" w:type="dxa"/>
          <w:right w:w="0" w:type="dxa"/>
        </w:tblCellMar>
      </w:tblPr>
      <w:tr>
        <w:trPr>
          <w:trHeight w:val="253"/>
        </w:trPr>
        <w:tc>
          <w:tcPr>
            <w:tcW w:w="28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GROUP MEMBER</w:t>
            </w:r>
          </w:p>
        </w:tc>
        <w:tc>
          <w:tcPr>
            <w:tcW w:w="29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SECURITY</w:t>
            </w:r>
          </w:p>
        </w:tc>
        <w:tc>
          <w:tcPr>
            <w:tcW w:w="424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6"/>
              </w:rPr>
              <w:t>TOTAL PRINCIPAL AMOUNT OF</w:t>
            </w:r>
          </w:p>
        </w:tc>
      </w:tr>
      <w:tr>
        <w:trPr>
          <w:trHeight w:val="287"/>
        </w:trPr>
        <w:tc>
          <w:tcPr>
            <w:tcW w:w="2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4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8"/>
              </w:rPr>
              <w:t>INDEBTEDNESS SECURED</w:t>
            </w:r>
          </w:p>
        </w:tc>
      </w:tr>
      <w:tr>
        <w:trPr>
          <w:trHeight w:val="70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Sorin Group Italia Srl</w:t>
            </w:r>
          </w:p>
        </w:tc>
        <w:tc>
          <w:tcPr>
            <w:tcW w:w="2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Mortgage</w:t>
            </w:r>
          </w:p>
        </w:tc>
        <w:tc>
          <w:tcPr>
            <w:tcW w:w="424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6"/>
              </w:rPr>
              <w:t>€210,526</w:t>
            </w:r>
          </w:p>
        </w:tc>
      </w:tr>
      <w:tr>
        <w:trPr>
          <w:trHeight w:val="70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Sorin Group Italia Srl</w:t>
            </w:r>
          </w:p>
        </w:tc>
        <w:tc>
          <w:tcPr>
            <w:tcW w:w="2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Mortgage</w:t>
            </w:r>
          </w:p>
        </w:tc>
        <w:tc>
          <w:tcPr>
            <w:tcW w:w="424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6"/>
              </w:rPr>
              <w:t>€325,926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- 8 -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EU-DOCS\23679229.8</w:t>
      </w:r>
    </w:p>
    <w:p>
      <w:pPr>
        <w:sectPr>
          <w:pgSz w:w="11900" w:h="16838" w:orient="portrait"/>
          <w:cols w:equalWidth="0" w:num="1">
            <w:col w:w="10820"/>
          </w:cols>
          <w:pgMar w:left="240" w:top="114" w:right="8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5"/>
          <w:szCs w:val="25"/>
          <w:b w:val="1"/>
          <w:bCs w:val="1"/>
          <w:color w:val="auto"/>
        </w:rPr>
        <w:t>Exhibit 10.9</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___ February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ALISTAIR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1384935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53"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on __ _________ 2017 (the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189" w:lineRule="exact"/>
        <w:rPr>
          <w:sz w:val="20"/>
          <w:szCs w:val="20"/>
          <w:color w:val="auto"/>
        </w:rPr>
      </w:pPr>
    </w:p>
    <w:p>
      <w:pPr>
        <w:ind w:right="200" w:firstLine="8"/>
        <w:spacing w:after="0" w:line="273" w:lineRule="auto"/>
        <w:tabs>
          <w:tab w:leader="none" w:pos="42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LIVANOVA PLC</w:t>
      </w:r>
      <w:r>
        <w:rPr>
          <w:rFonts w:ascii="Times New Roman" w:cs="Times New Roman" w:eastAsia="Times New Roman" w:hAnsi="Times New Roman"/>
          <w:sz w:val="20"/>
          <w:szCs w:val="20"/>
          <w:color w:val="auto"/>
        </w:rPr>
        <w:t>, a company registered in England with registered number 09451374 and having its registered office at 20 Eastbourne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Terrace, W2 6LG London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w:t>
      </w:r>
    </w:p>
    <w:p>
      <w:pPr>
        <w:spacing w:after="0" w:line="16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ALISTAIR SIMPSON</w:t>
      </w:r>
      <w:r>
        <w:rPr>
          <w:rFonts w:ascii="Times New Roman" w:cs="Times New Roman" w:eastAsia="Times New Roman" w:hAnsi="Times New Roman"/>
          <w:sz w:val="20"/>
          <w:szCs w:val="20"/>
          <w:color w:val="auto"/>
        </w:rPr>
        <w:t>, residing in ____________________________(the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The Company wishes to employ the Executive as </w:t>
      </w:r>
      <w:r>
        <w:rPr>
          <w:rFonts w:ascii="Times New Roman" w:cs="Times New Roman" w:eastAsia="Times New Roman" w:hAnsi="Times New Roman"/>
          <w:sz w:val="20"/>
          <w:szCs w:val="20"/>
          <w:color w:val="0D0D0D"/>
        </w:rPr>
        <w:t>General Manager, Cardiac Surgery</w:t>
      </w:r>
      <w:r>
        <w:rPr>
          <w:rFonts w:ascii="Times New Roman" w:cs="Times New Roman" w:eastAsia="Times New Roman" w:hAnsi="Times New Roman"/>
          <w:sz w:val="20"/>
          <w:szCs w:val="20"/>
          <w:color w:val="auto"/>
        </w:rPr>
        <w:t xml:space="preserve"> on the terms and conditions of this Agreement and the Executive wishes to accept such employment.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this Agreement, unless the context otherwise requires: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Basic Salary</w:t>
            </w:r>
            <w:r>
              <w:rPr>
                <w:rFonts w:ascii="Times New Roman" w:cs="Times New Roman" w:eastAsia="Times New Roman" w:hAnsi="Times New Roman"/>
                <w:sz w:val="20"/>
                <w:szCs w:val="20"/>
                <w:color w:val="auto"/>
              </w:rPr>
              <w:t>”</w:t>
            </w: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means the salary, as specified in Clause 6.1.1 or, as appropriate, the reviewed</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annual salary from time to time;</w:t>
            </w:r>
          </w:p>
        </w:tc>
        <w:tc>
          <w:tcPr>
            <w:tcW w:w="0" w:type="dxa"/>
            <w:vAlign w:val="bottom"/>
          </w:tcPr>
          <w:p>
            <w:pPr>
              <w:spacing w:after="0"/>
              <w:rPr>
                <w:sz w:val="1"/>
                <w:szCs w:val="1"/>
                <w:color w:val="auto"/>
              </w:rPr>
            </w:pPr>
          </w:p>
        </w:tc>
      </w:tr>
      <w:tr>
        <w:trPr>
          <w:trHeight w:val="444"/>
        </w:trPr>
        <w:tc>
          <w:tcPr>
            <w:tcW w:w="36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w:t>
            </w: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means the Board of directors of the Company from time to time or any duly</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authorised committee thereof, or where the relevant powers have been reserved to</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Company’s members, its members from time to time;</w:t>
            </w:r>
          </w:p>
        </w:tc>
        <w:tc>
          <w:tcPr>
            <w:tcW w:w="0" w:type="dxa"/>
            <w:vAlign w:val="bottom"/>
          </w:tcPr>
          <w:p>
            <w:pPr>
              <w:spacing w:after="0"/>
              <w:rPr>
                <w:sz w:val="1"/>
                <w:szCs w:val="1"/>
                <w:color w:val="auto"/>
              </w:rPr>
            </w:pPr>
          </w:p>
        </w:tc>
      </w:tr>
      <w:tr>
        <w:trPr>
          <w:trHeight w:val="473"/>
        </w:trPr>
        <w:tc>
          <w:tcPr>
            <w:tcW w:w="36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w:t>
            </w: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means the compensation committee appointed by the Board;</w:t>
            </w:r>
          </w:p>
        </w:tc>
        <w:tc>
          <w:tcPr>
            <w:tcW w:w="0" w:type="dxa"/>
            <w:vAlign w:val="bottom"/>
          </w:tcPr>
          <w:p>
            <w:pPr>
              <w:spacing w:after="0"/>
              <w:rPr>
                <w:sz w:val="1"/>
                <w:szCs w:val="1"/>
                <w:color w:val="auto"/>
              </w:rPr>
            </w:pPr>
          </w:p>
        </w:tc>
      </w:tr>
      <w:tr>
        <w:trPr>
          <w:trHeight w:val="444"/>
        </w:trPr>
        <w:tc>
          <w:tcPr>
            <w:tcW w:w="36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w:t>
            </w: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means all information which is identified or treated by the Company or any Group</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Company or any of the Group’s clients or customers as confidential or which by</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8"/>
              </w:rPr>
              <w:t>reason of its character or the circumstances or manner of its disclosure is evidently</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confidential  including  (without  prejudice  to  the  foregoing  generality)  any</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information about the personal affairs of any of the directors (or their families) of</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Company or any Group Company, business plans, proposals relating to the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acquisition or disposal of a company or business or proposed expansion or</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contraction of activities, maturing new business opportunities, research and</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development projects, designs, secret processes, trade secrets, product or services</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development and formulae, know-how, inventions, sales statistics and forecasts,</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marketing  strategies  and  plans,  costs,  profit  and  loss  and  other  financial</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information (save to the extent published in audited accounts), prices and discount</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structures and the names, addresses and contact and other details of: (a)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employees and their terms of employment; (b) customers and potential customers,</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their requirements and their terms of business with the Company/Group; and (c)</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suppliers and potential suppliers and their terms of business (all whether or not</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recorded in writing or in electronic or other format);</w:t>
            </w:r>
          </w:p>
        </w:tc>
        <w:tc>
          <w:tcPr>
            <w:tcW w:w="0" w:type="dxa"/>
            <w:vAlign w:val="bottom"/>
          </w:tcPr>
          <w:p>
            <w:pPr>
              <w:spacing w:after="0"/>
              <w:rPr>
                <w:sz w:val="1"/>
                <w:szCs w:val="1"/>
                <w:color w:val="auto"/>
              </w:rPr>
            </w:pPr>
          </w:p>
        </w:tc>
      </w:tr>
      <w:tr>
        <w:trPr>
          <w:trHeight w:val="444"/>
        </w:trPr>
        <w:tc>
          <w:tcPr>
            <w:tcW w:w="36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w:t>
            </w:r>
            <w:r>
              <w:rPr>
                <w:rFonts w:ascii="Times New Roman" w:cs="Times New Roman" w:eastAsia="Times New Roman" w:hAnsi="Times New Roman"/>
                <w:sz w:val="20"/>
                <w:szCs w:val="20"/>
                <w:color w:val="auto"/>
              </w:rPr>
              <w:t>”</w:t>
            </w: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means the employment of the Executive under this Agreement or, as the context</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7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requires, the duration of that employment;</w:t>
            </w:r>
          </w:p>
        </w:tc>
        <w:tc>
          <w:tcPr>
            <w:tcW w:w="0" w:type="dxa"/>
            <w:vAlign w:val="bottom"/>
          </w:tcPr>
          <w:p>
            <w:pPr>
              <w:spacing w:after="0"/>
              <w:rPr>
                <w:sz w:val="1"/>
                <w:szCs w:val="1"/>
                <w:color w:val="auto"/>
              </w:rPr>
            </w:pPr>
          </w:p>
        </w:tc>
      </w:tr>
      <w:tr>
        <w:trPr>
          <w:trHeight w:val="669"/>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SV\1600310.5</w:t>
            </w:r>
          </w:p>
        </w:tc>
        <w:tc>
          <w:tcPr>
            <w:tcW w:w="70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6"/>
        </w:trPr>
        <w:tc>
          <w:tcPr>
            <w:tcW w:w="3640" w:type="dxa"/>
            <w:vAlign w:val="bottom"/>
            <w:vMerge w:val="continue"/>
          </w:tcPr>
          <w:p>
            <w:pPr>
              <w:spacing w:after="0"/>
              <w:rPr>
                <w:sz w:val="14"/>
                <w:szCs w:val="14"/>
                <w:color w:val="auto"/>
              </w:rPr>
            </w:pPr>
          </w:p>
        </w:tc>
        <w:tc>
          <w:tcPr>
            <w:tcW w:w="7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means together or separately the Company, any holding company of the Company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any subsidiaries and subsidiary undertakings of the Company or any such</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holding company (and the words “subsidiary” and “holding company” shall have</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 meanings given to them in section 1159 of the Companies Act 2006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“subsidiary undertaking” shall have the meaning given in section 1162 of the</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Companies Act 2006) from time to time;</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Company</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any company within the Group;</w:t>
            </w:r>
          </w:p>
        </w:tc>
      </w:tr>
      <w:tr>
        <w:trPr>
          <w:trHeight w:val="444"/>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 Care Scheme</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the medical expenses insurance, permanent health insurance (“</w:t>
            </w:r>
            <w:r>
              <w:rPr>
                <w:rFonts w:ascii="Times New Roman" w:cs="Times New Roman" w:eastAsia="Times New Roman" w:hAnsi="Times New Roman"/>
                <w:sz w:val="20"/>
                <w:szCs w:val="20"/>
                <w:b w:val="1"/>
                <w:bCs w:val="1"/>
                <w:color w:val="auto"/>
              </w:rPr>
              <w:t>PHI</w:t>
            </w:r>
            <w:r>
              <w:rPr>
                <w:rFonts w:ascii="Times New Roman" w:cs="Times New Roman" w:eastAsia="Times New Roman" w:hAnsi="Times New Roman"/>
                <w:sz w:val="20"/>
                <w:szCs w:val="20"/>
                <w:color w:val="auto"/>
              </w:rPr>
              <w:t>”),</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critical  illness  insurance  or  other  healthcare  or  disability  scheme(s)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arrangement(s) as may be provided or introduced from time to time by the</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Company (at the Company’s discretion) for the benefit of executives in the Group;</w:t>
            </w:r>
          </w:p>
        </w:tc>
      </w:tr>
      <w:tr>
        <w:trPr>
          <w:trHeight w:val="36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any and all existing and future intellectual or industrial property rights 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to any Works (whether registered or unregistered), including all existing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future  patents,  copyrights,  design  rights,  database  rights,  trade  marks,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semiconductor topography rights, plant varieties rights, internet rights/domain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names, know-how and any and all applications for any of the foregoing and any</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all rights to apply for any of the foregoing in and to any Works;</w:t>
            </w:r>
          </w:p>
        </w:tc>
      </w:tr>
      <w:tr>
        <w:trPr>
          <w:trHeight w:val="444"/>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Minority Holder</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a person who either solely or jointly holds (directly or through nominees)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any shares or loan capital in any company whose shares are listed or dealt in on a</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recognised investment exchange (as that term is defined by section 285 Financial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Services and Markets Act 2000) provided that such holding does not, when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aggregated with any shares or loan capital held by the Executive’s partner and/or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his or his partner’s children under the age of 18, exceed 3% of the shares or loan</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of the class concerned for the time being issued;</w:t>
            </w:r>
          </w:p>
        </w:tc>
      </w:tr>
      <w:tr>
        <w:trPr>
          <w:trHeight w:val="444"/>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 Incentives</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any options or other rights that the Executive may have to purchase, hold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 otherwise acquire shares or rights in respect of or relating to shares in the</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Company or a Group Company;</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the date of termination of the Employment;</w:t>
            </w:r>
          </w:p>
        </w:tc>
      </w:tr>
      <w:tr>
        <w:trPr>
          <w:trHeight w:val="444"/>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Works</w:t>
            </w:r>
            <w:r>
              <w:rPr>
                <w:rFonts w:ascii="Times New Roman" w:cs="Times New Roman" w:eastAsia="Times New Roman" w:hAnsi="Times New Roman"/>
                <w:sz w:val="20"/>
                <w:szCs w:val="20"/>
                <w:color w:val="auto"/>
              </w:rPr>
              <w:t>”</w:t>
            </w: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means  any  documents,  materials,  models,  designs,  drawings,  processes,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inventions, formulae, computer coding, methodologies, know-how, Confidential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Information or other work, performed made, created, devised, developed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discovered by the Executive in the course of the Employment (and whether or not</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made or discovered in the course of the Employment) either alone or with 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other person in connection with or in any way affecting or relating to the business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 the Company or any Group Company or capable of being used or adapted for</w:t>
            </w:r>
          </w:p>
        </w:tc>
      </w:tr>
      <w:tr>
        <w:trPr>
          <w:trHeight w:val="258"/>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use therein or in connection therewith.</w:t>
            </w:r>
          </w:p>
        </w:tc>
      </w:tr>
      <w:tr>
        <w:trPr>
          <w:trHeight w:val="446"/>
        </w:trPr>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5"/>
              </w:rPr>
              <w:t>1.2</w:t>
            </w:r>
          </w:p>
        </w:tc>
        <w:tc>
          <w:tcPr>
            <w:tcW w:w="32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Interpretation and Construction</w:t>
            </w:r>
          </w:p>
        </w:tc>
        <w:tc>
          <w:tcPr>
            <w:tcW w:w="692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10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Save to the extent that the context or the express provisions of this Agreement require otherwise, in this Agreement:</w:t>
            </w:r>
          </w:p>
        </w:tc>
      </w:tr>
    </w:tbl>
    <w:p>
      <w:pPr>
        <w:spacing w:after="0" w:line="160" w:lineRule="exact"/>
        <w:rPr>
          <w:sz w:val="20"/>
          <w:szCs w:val="20"/>
          <w:color w:val="auto"/>
        </w:rPr>
      </w:pPr>
    </w:p>
    <w:p>
      <w:pPr>
        <w:ind w:left="1260" w:hanging="604"/>
        <w:spacing w:after="0"/>
        <w:tabs>
          <w:tab w:leader="none" w:pos="12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importing the singular shall include the plural and vice versa;</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importing any gender shall include all other genders;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importing the whole shall be treated as including reference to any part of the whole;</w:t>
      </w: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0640"/>
          </w:cols>
          <w:pgMar w:left="240" w:top="518" w:right="1019" w:bottom="1440" w:gutter="0" w:footer="0" w:header="0"/>
        </w:sectPr>
      </w:pPr>
    </w:p>
    <w:bookmarkStart w:id="79" w:name="page80"/>
    <w:bookmarkEnd w:id="79"/>
    <w:p>
      <w:pPr>
        <w:ind w:left="1280" w:hanging="624"/>
        <w:spacing w:after="0" w:line="269"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Clause, the Schedule or part of the Schedule is to the relevant Clause, Schedule or part of the Schedule of or to this Agreement unless otherwise specified;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 of any words coming after “other” or “otherwise” shall not be constrained by the meaning of any words coming before “other” or “otherwise where a wider construction is possible.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Headings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table of contents and the headings in this Agreement are included for convenience only and shall be ignored in construing this Agreement.</w:t>
      </w:r>
    </w:p>
    <w:p>
      <w:pPr>
        <w:spacing w:after="0" w:line="129" w:lineRule="exact"/>
        <w:rPr>
          <w:sz w:val="20"/>
          <w:szCs w:val="20"/>
          <w:color w:val="auto"/>
        </w:rPr>
      </w:pPr>
    </w:p>
    <w:p>
      <w:pPr>
        <w:ind w:left="620" w:hanging="612"/>
        <w:spacing w:after="0"/>
        <w:tabs>
          <w:tab w:leader="none" w:pos="62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EMPLOYMENT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b w:val="1"/>
          <w:bCs w:val="1"/>
          <w:color w:val="auto"/>
        </w:rPr>
        <w:t>Appointment</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 xml:space="preserve">Subject to the provisions of this Agreement, the Company employs the Executive and the Executive accepts employment as </w:t>
      </w:r>
      <w:r>
        <w:rPr>
          <w:rFonts w:ascii="Times New Roman" w:cs="Times New Roman" w:eastAsia="Times New Roman" w:hAnsi="Times New Roman"/>
          <w:sz w:val="20"/>
          <w:szCs w:val="20"/>
          <w:color w:val="0D0D0D"/>
        </w:rPr>
        <w:t>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D0D0D"/>
        </w:rPr>
        <w:t xml:space="preserve">Manager, Cardiac Surgery </w:t>
      </w:r>
      <w:r>
        <w:rPr>
          <w:rFonts w:ascii="Times New Roman" w:cs="Times New Roman" w:eastAsia="Times New Roman" w:hAnsi="Times New Roman"/>
          <w:sz w:val="20"/>
          <w:szCs w:val="20"/>
          <w:color w:val="000000"/>
        </w:rPr>
        <w:t>of the Company.</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starting date of this agreement is __________________, subject to the obtainment of the necessary work permit and visa according</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 the UK immigration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color w:val="auto"/>
        </w:rPr>
        <w:t>Work Permits and warranty</w:t>
      </w:r>
    </w:p>
    <w:p>
      <w:pPr>
        <w:spacing w:after="0" w:line="193"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2.2.1</w:t>
        <w:tab/>
        <w:t>The Executive warrants to the Company that by virtue of entering into this Agreement he will not be in breach of any express or implied obligation to any third party, including any restrictive covenants.</w:t>
      </w:r>
    </w:p>
    <w:p>
      <w:pPr>
        <w:spacing w:after="0" w:line="133"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2.2.2</w:t>
        <w:tab/>
        <w:t>This employment contract is executed under the condition that the employee obtains all legally required immigration documents, including the residence permit and work permit/visa.</w:t>
      </w:r>
    </w:p>
    <w:p>
      <w:pPr>
        <w:spacing w:after="0" w:line="133"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2.2.3</w:t>
        <w:tab/>
        <w:t>As from the commencement of this employment contract, and therefore after receiving all necessary immigration documents, the Executive warrants that he will notify the Company in advance of any possible change to his immigration status, as soon as he becomes aware of 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80" w:name="page81"/>
    <w:bookmarkEnd w:id="80"/>
    <w:p>
      <w:pPr>
        <w:jc w:val="both"/>
        <w:ind w:left="620"/>
        <w:spacing w:after="0" w:line="277" w:lineRule="auto"/>
        <w:rPr>
          <w:sz w:val="20"/>
          <w:szCs w:val="20"/>
          <w:color w:val="auto"/>
        </w:rPr>
      </w:pPr>
      <w:r>
        <w:rPr>
          <w:rFonts w:ascii="Times New Roman" w:cs="Times New Roman" w:eastAsia="Times New Roman" w:hAnsi="Times New Roman"/>
          <w:sz w:val="20"/>
          <w:szCs w:val="20"/>
          <w:color w:val="auto"/>
        </w:rPr>
        <w:t>circumstances that might give rise to such change. Should the Company discover that the Executive does not have permission to live and work anymore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200" w:lineRule="exact"/>
        <w:rPr>
          <w:sz w:val="20"/>
          <w:szCs w:val="20"/>
          <w:color w:val="auto"/>
        </w:rPr>
      </w:pPr>
    </w:p>
    <w:p>
      <w:pPr>
        <w:spacing w:after="0" w:line="355" w:lineRule="exact"/>
        <w:rPr>
          <w:sz w:val="20"/>
          <w:szCs w:val="20"/>
          <w:color w:val="auto"/>
        </w:rPr>
      </w:pPr>
    </w:p>
    <w:p>
      <w:pPr>
        <w:ind w:left="620" w:hanging="612"/>
        <w:spacing w:after="0"/>
        <w:tabs>
          <w:tab w:leader="none" w:pos="62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DURATION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color w:val="auto"/>
        </w:rPr>
        <w:t>Continuous Employment</w:t>
      </w:r>
    </w:p>
    <w:p>
      <w:pPr>
        <w:spacing w:after="0" w:line="1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The Executive’s continuous period of employment with the Company commenced on the Effective Date.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No employment with any previous employer shall count as part of the Executive’s continuous period of employment.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color w:val="auto"/>
        </w:rPr>
        <w:t>Duration and Notice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Subject to the provisions of Clauses 3.3 and 17.1, the Employment shall continue unless and until terminated at any time by:</w:t>
      </w:r>
    </w:p>
    <w:p>
      <w:pPr>
        <w:spacing w:after="0" w:line="189" w:lineRule="exact"/>
        <w:rPr>
          <w:sz w:val="20"/>
          <w:szCs w:val="20"/>
          <w:color w:val="auto"/>
        </w:rPr>
      </w:pPr>
    </w:p>
    <w:p>
      <w:pPr>
        <w:ind w:left="1280" w:hanging="624"/>
        <w:spacing w:after="0" w:line="269" w:lineRule="auto"/>
        <w:tabs>
          <w:tab w:leader="none" w:pos="126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which must give to the Executive not less than six months’ prior written notice of termination of the Employment; or</w:t>
      </w:r>
    </w:p>
    <w:p>
      <w:pPr>
        <w:spacing w:after="0" w:line="132" w:lineRule="exact"/>
        <w:rPr>
          <w:rFonts w:ascii="Times New Roman" w:cs="Times New Roman" w:eastAsia="Times New Roman" w:hAnsi="Times New Roman"/>
          <w:sz w:val="20"/>
          <w:szCs w:val="20"/>
          <w:color w:val="auto"/>
        </w:rPr>
      </w:pPr>
    </w:p>
    <w:p>
      <w:pPr>
        <w:ind w:right="100" w:firstLine="656"/>
        <w:spacing w:after="0" w:line="436" w:lineRule="auto"/>
        <w:tabs>
          <w:tab w:leader="none" w:pos="125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 who must give to the Company not less than six months’ prior written notice of termination of the Employment. 3.3 </w:t>
      </w:r>
      <w:r>
        <w:rPr>
          <w:rFonts w:ascii="Times New Roman" w:cs="Times New Roman" w:eastAsia="Times New Roman" w:hAnsi="Times New Roman"/>
          <w:sz w:val="20"/>
          <w:szCs w:val="20"/>
          <w:b w:val="1"/>
          <w:bCs w:val="1"/>
          <w:color w:val="auto"/>
        </w:rPr>
        <w:t>Payment in lieu of notice</w:t>
      </w:r>
    </w:p>
    <w:p>
      <w:pPr>
        <w:spacing w:after="0" w:line="2"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3.3.1</w:t>
        <w:tab/>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(the payment being referred to as a “</w:t>
      </w:r>
      <w:r>
        <w:rPr>
          <w:rFonts w:ascii="Times New Roman" w:cs="Times New Roman" w:eastAsia="Times New Roman" w:hAnsi="Times New Roman"/>
          <w:sz w:val="20"/>
          <w:szCs w:val="20"/>
          <w:b w:val="1"/>
          <w:bCs w:val="1"/>
          <w:color w:val="auto"/>
        </w:rPr>
        <w:t>Notice Payment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3.3.2</w:t>
        <w:tab/>
        <w:t>For the avoidance of doubt, the Company is not obliged to make a Notice Payment. If the Company shall decide not to make a Notice Payment, the Executive shall not be entitled to enforce that payment as a contractual debt nor as liquidated damages.</w:t>
      </w:r>
    </w:p>
    <w:p>
      <w:pPr>
        <w:spacing w:after="0" w:line="133" w:lineRule="exact"/>
        <w:rPr>
          <w:sz w:val="20"/>
          <w:szCs w:val="20"/>
          <w:color w:val="auto"/>
        </w:rPr>
      </w:pPr>
    </w:p>
    <w:p>
      <w:pPr>
        <w:jc w:val="both"/>
        <w:ind w:left="620" w:right="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3.3.3</w:t>
        <w:tab/>
        <w:t>The Notice Payment will be paid less all deductions that are required or permitted by law to be made including in respect of income tax, national insurance contributions and any sums due to the Company or any Group Company.</w:t>
      </w:r>
    </w:p>
    <w:p>
      <w:pPr>
        <w:spacing w:after="0" w:line="133"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3.3.4</w:t>
        <w:tab/>
        <w:t>Subject to the terms of Clause 3.4, the Notice Payment will consist of a sum equivalent to the Basic Salary which the Executive would have received in respect of any notice period outstanding on the Termination Date, but will exclude any bonus, commission share of profit, pension contributions and any other benefits (including any benefits derived from any Share Incentives) that he would have received or would have accrued to him during that period.</w:t>
      </w:r>
    </w:p>
    <w:p>
      <w:pPr>
        <w:spacing w:after="0" w:line="153"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3.3.5</w:t>
        <w:tab/>
        <w:t>The Notice Payment is in full and final settlement of all and any rights and claims that the Executive may have against the Company arising out of the termination of his employment (including both contractual and statutory employment claims). The Executive agrees to waive, release and discharge any and all such rights and claims and acknowledges that it is a condition of the payment of the Notice Payment that he will execute a settlement agreement (and any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73" w:right="239" w:bottom="1440" w:gutter="0" w:footer="0" w:header="0"/>
        </w:sectPr>
      </w:pPr>
    </w:p>
    <w:bookmarkStart w:id="81" w:name="page82"/>
    <w:bookmarkEnd w:id="81"/>
    <w:p>
      <w:pPr>
        <w:ind w:left="620" w:right="20"/>
        <w:spacing w:after="0" w:line="297" w:lineRule="auto"/>
        <w:rPr>
          <w:sz w:val="20"/>
          <w:szCs w:val="20"/>
          <w:color w:val="auto"/>
        </w:rPr>
      </w:pPr>
      <w:r>
        <w:rPr>
          <w:rFonts w:ascii="Times New Roman" w:cs="Times New Roman" w:eastAsia="Times New Roman" w:hAnsi="Times New Roman"/>
          <w:sz w:val="20"/>
          <w:szCs w:val="20"/>
          <w:color w:val="auto"/>
        </w:rPr>
        <w:t>documents reasonably required by the Company) in a form reasonably acceptable to the Company in order to give effect to the release and waiver in this Clause 3.3.</w:t>
      </w:r>
    </w:p>
    <w:p>
      <w:pPr>
        <w:spacing w:after="0" w:line="1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color w:val="auto"/>
        </w:rPr>
        <w:t>Payment in instalments</w:t>
      </w:r>
    </w:p>
    <w:p>
      <w:pPr>
        <w:spacing w:after="0" w:line="193"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3.4.1</w:t>
        <w:tab/>
        <w:t>The Company may, at its sole discretion and subject to the terms of Clause 3.4.2, pay the Notice Payment in equal monthly instalments over a period of six months (the “</w:t>
      </w:r>
      <w:r>
        <w:rPr>
          <w:rFonts w:ascii="Times New Roman" w:cs="Times New Roman" w:eastAsia="Times New Roman" w:hAnsi="Times New Roman"/>
          <w:sz w:val="20"/>
          <w:szCs w:val="20"/>
          <w:b w:val="1"/>
          <w:bCs w:val="1"/>
          <w:color w:val="auto"/>
        </w:rPr>
        <w:t>Instalment Period</w:t>
      </w:r>
      <w:r>
        <w:rPr>
          <w:rFonts w:ascii="Times New Roman" w:cs="Times New Roman" w:eastAsia="Times New Roman" w:hAnsi="Times New Roman"/>
          <w:sz w:val="20"/>
          <w:szCs w:val="20"/>
          <w:color w:val="auto"/>
        </w:rPr>
        <w:t>”), the first instalment payable at the end of the month in which the Termination Date occurs.</w:t>
      </w:r>
    </w:p>
    <w:p>
      <w:pPr>
        <w:spacing w:after="0" w:line="148" w:lineRule="exact"/>
        <w:rPr>
          <w:sz w:val="20"/>
          <w:szCs w:val="20"/>
          <w:color w:val="auto"/>
        </w:rPr>
      </w:pPr>
    </w:p>
    <w:p>
      <w:pPr>
        <w:jc w:val="both"/>
        <w:ind w:left="620" w:right="20" w:hanging="620"/>
        <w:spacing w:after="0" w:line="296" w:lineRule="auto"/>
        <w:tabs>
          <w:tab w:leader="none" w:pos="60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If the Executive commences alternative employment during the Instalment Period then the gross instalments of Notice Payment payable after that date will be reduced by a sum equal to the gross amount of the Executive’s income from the alternative employment.</w:t>
      </w:r>
    </w:p>
    <w:p>
      <w:pPr>
        <w:spacing w:after="0" w:line="109"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3.4.3</w:t>
        <w:tab/>
        <w:t>If the Executive obtains alternative employment that is to commence during the Instalment Period he will immediately advise the Company of that fact and of his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149" w:lineRule="exact"/>
        <w:rPr>
          <w:sz w:val="20"/>
          <w:szCs w:val="20"/>
          <w:color w:val="auto"/>
        </w:rPr>
      </w:pPr>
    </w:p>
    <w:p>
      <w:pPr>
        <w:ind w:left="620" w:hanging="612"/>
        <w:spacing w:after="0"/>
        <w:tabs>
          <w:tab w:leader="none" w:pos="6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HOURS AND PLACE OF WORK</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color w:val="auto"/>
        </w:rPr>
        <w:t>Hours of work</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color w:val="auto"/>
        </w:rPr>
        <w:t>Working Time Regulations</w:t>
      </w:r>
    </w:p>
    <w:p>
      <w:pPr>
        <w:spacing w:after="0" w:line="1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color w:val="auto"/>
        </w:rPr>
        <w:t>The Executive has autonomous decision making powers. The duration of his working time is not measured or predetermined.</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b w:val="1"/>
          <w:bCs w:val="1"/>
          <w:color w:val="auto"/>
        </w:rPr>
        <w:t>Place of work</w:t>
      </w:r>
    </w:p>
    <w:p>
      <w:pPr>
        <w:spacing w:after="0" w:line="193" w:lineRule="exact"/>
        <w:rPr>
          <w:sz w:val="20"/>
          <w:szCs w:val="20"/>
          <w:color w:val="auto"/>
        </w:rPr>
      </w:pPr>
    </w:p>
    <w:p>
      <w:pPr>
        <w:jc w:val="both"/>
        <w:ind w:left="620" w:right="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4.3.1</w:t>
        <w:tab/>
        <w:t>The Executive’s place of work will initially be at the Company’s offices at 20 Eastbourne Terrace, W2 6LG London but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14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4.3.2</w:t>
      </w:r>
      <w:r>
        <w:rPr>
          <w:sz w:val="20"/>
          <w:szCs w:val="20"/>
          <w:color w:val="auto"/>
        </w:rPr>
        <w:tab/>
      </w:r>
      <w:r>
        <w:rPr>
          <w:rFonts w:ascii="Times New Roman" w:cs="Times New Roman" w:eastAsia="Times New Roman" w:hAnsi="Times New Roman"/>
          <w:sz w:val="19"/>
          <w:szCs w:val="19"/>
          <w:color w:val="auto"/>
        </w:rPr>
        <w:t>The Executive will not be required to be absent from the United Kingdom for a period exceeding one month at any one time.</w:t>
      </w:r>
    </w:p>
    <w:p>
      <w:pPr>
        <w:spacing w:after="0" w:line="185" w:lineRule="exact"/>
        <w:rPr>
          <w:sz w:val="20"/>
          <w:szCs w:val="20"/>
          <w:color w:val="auto"/>
        </w:rPr>
      </w:pPr>
    </w:p>
    <w:p>
      <w:pPr>
        <w:ind w:left="620" w:hanging="612"/>
        <w:spacing w:after="0"/>
        <w:tabs>
          <w:tab w:leader="none" w:pos="62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Duties of the Executive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During the Employment the Executive shall:</w:t>
      </w:r>
    </w:p>
    <w:p>
      <w:pPr>
        <w:spacing w:after="0" w:line="189" w:lineRule="exact"/>
        <w:rPr>
          <w:sz w:val="20"/>
          <w:szCs w:val="20"/>
          <w:color w:val="auto"/>
        </w:rPr>
      </w:pPr>
    </w:p>
    <w:p>
      <w:pPr>
        <w:jc w:val="both"/>
        <w:ind w:left="1280" w:hanging="624"/>
        <w:spacing w:after="0" w:line="254" w:lineRule="auto"/>
        <w:tabs>
          <w:tab w:leader="none" w:pos="126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and carry out to the best of his ability such duties and exercise such powers in relation to the Group’s business as may from time to time be assigned to or vested in him, including where those duties require the Executive to work for any Group Company;</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74" w:lineRule="auto"/>
        <w:tabs>
          <w:tab w:leader="none" w:pos="126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discharge of those duties and the exercise of those powers observe and comply with all lawful resolutions, regulations and directions from time to time made by, or under the authority of, the Board and promptly upon request, give a full account to the Chief Executive Officer of all matters with which he is involved. He will provide the information in writing if requested;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73" w:right="239" w:bottom="1440" w:gutter="0" w:footer="0" w:header="0"/>
        </w:sectPr>
      </w:pPr>
    </w:p>
    <w:bookmarkStart w:id="82" w:name="page83"/>
    <w:bookmarkEnd w:id="82"/>
    <w:p>
      <w:pPr>
        <w:ind w:left="1260" w:hanging="604"/>
        <w:spacing w:after="0"/>
        <w:tabs>
          <w:tab w:leader="none" w:pos="12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Articles of Association (as amended from time to time) of any Group Company of which he is a director;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or refrain from doing, such things as are necessary or expedient to ensure compliance by himself and any Group Company with applicable law and regulations;</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compliance with the UK Corporate Governance Code, as applicable from time to time;</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in accordance with all statutory, fiduciary and common law duties that he owes to the Company and any Group Company;</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refrain from doing anything which would cause him to be disqualified from acting as a director;</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prevented by ill-health, holidays or other unavoidable cause, devote the whole of his working time, attention and skill to the discharge of his duties under this Agreement;</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faithfully and diligently perform his duties and at all times use his best endeavours to promote and protect the interests of the Group;</w:t>
      </w:r>
    </w:p>
    <w:p>
      <w:pPr>
        <w:spacing w:after="0" w:line="132" w:lineRule="exact"/>
        <w:rPr>
          <w:rFonts w:ascii="Times New Roman" w:cs="Times New Roman" w:eastAsia="Times New Roman" w:hAnsi="Times New Roman"/>
          <w:sz w:val="20"/>
          <w:szCs w:val="20"/>
          <w:color w:val="auto"/>
        </w:rPr>
      </w:pPr>
    </w:p>
    <w:p>
      <w:pPr>
        <w:jc w:val="both"/>
        <w:ind w:left="1280" w:right="20" w:hanging="624"/>
        <w:spacing w:after="0" w:line="254"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disclose to the Company full details of any wrongdoing by the Executive or any other employee of any Group Company where that wrongdoing is material to that employee’s employment by the relevant company or to the interests or reputation of any Group Company;</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incur on behalf of the Company or any Group Company any capital expenditure in excess of such sum as may be authorised from time to time by resolution of the Board; and</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Directorships and Directors and Officers insurance</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Executive may be required to act as a director of a Group Company (either executive or non-executive) as the Board requires from time to time. The Company reserves the right on giving written notice to the Executive to terminate any office of directorship immediately at any time</w:t>
      </w:r>
      <w:r>
        <w:rPr>
          <w:rFonts w:ascii="Times New Roman" w:cs="Times New Roman" w:eastAsia="Times New Roman" w:hAnsi="Times New Roman"/>
          <w:sz w:val="20"/>
          <w:szCs w:val="20"/>
          <w:b w:val="1"/>
          <w:bCs w:val="1"/>
          <w:color w:val="auto"/>
        </w:rPr>
        <w: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Right to suspend duties and powers</w:t>
      </w:r>
    </w:p>
    <w:p>
      <w:pPr>
        <w:spacing w:after="0" w:line="193" w:lineRule="exact"/>
        <w:rPr>
          <w:sz w:val="20"/>
          <w:szCs w:val="20"/>
          <w:color w:val="auto"/>
        </w:rPr>
      </w:pPr>
    </w:p>
    <w:p>
      <w:pPr>
        <w:jc w:val="both"/>
        <w:ind w:left="620" w:hanging="620"/>
        <w:spacing w:after="0" w:line="245" w:lineRule="auto"/>
        <w:tabs>
          <w:tab w:leader="none" w:pos="600" w:val="left"/>
        </w:tabs>
        <w:rPr>
          <w:sz w:val="20"/>
          <w:szCs w:val="20"/>
          <w:color w:val="auto"/>
        </w:rPr>
      </w:pPr>
      <w:r>
        <w:rPr>
          <w:rFonts w:ascii="Times New Roman" w:cs="Times New Roman" w:eastAsia="Times New Roman" w:hAnsi="Times New Roman"/>
          <w:sz w:val="20"/>
          <w:szCs w:val="20"/>
          <w:color w:val="auto"/>
        </w:rPr>
        <w:t>5.3.1</w:t>
        <w:tab/>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Times New Roman" w:cs="Times New Roman" w:eastAsia="Times New Roman" w:hAnsi="Times New Roman"/>
          <w:sz w:val="20"/>
          <w:szCs w:val="20"/>
          <w:b w:val="1"/>
          <w:bCs w:val="1"/>
          <w:color w:val="auto"/>
        </w:rPr>
        <w:t>Garden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Leave</w:t>
      </w:r>
      <w:r>
        <w:rPr>
          <w:rFonts w:ascii="Times New Roman" w:cs="Times New Roman" w:eastAsia="Times New Roman" w:hAnsi="Times New Roman"/>
          <w:sz w:val="20"/>
          <w:szCs w:val="20"/>
          <w:color w:val="auto"/>
        </w:rPr>
        <w:t>”). During any period of Garden Leave the terms and conditions set out in this Agreement shall continue to apply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83" w:name="page84"/>
    <w:bookmarkEnd w:id="83"/>
    <w:p>
      <w:pPr>
        <w:spacing w:after="0"/>
        <w:tabs>
          <w:tab w:leader="none" w:pos="60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19"/>
          <w:szCs w:val="19"/>
          <w:color w:val="auto"/>
        </w:rPr>
        <w:t>The Company may, at its sole discretion, require that during the Garden Leave the Executive shall not:</w:t>
      </w:r>
    </w:p>
    <w:p>
      <w:pPr>
        <w:spacing w:after="0" w:line="189" w:lineRule="exact"/>
        <w:rPr>
          <w:sz w:val="20"/>
          <w:szCs w:val="20"/>
          <w:color w:val="auto"/>
        </w:rPr>
      </w:pPr>
    </w:p>
    <w:p>
      <w:pPr>
        <w:ind w:left="1260" w:hanging="604"/>
        <w:spacing w:after="0"/>
        <w:tabs>
          <w:tab w:leader="none" w:pos="12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or attend the premises of the Company or any Group Company;</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or have any communication with any client or prospective client or supplier of the Company or any Group Company in relation to the business of the Company or any Group Company;</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or have any communication with any employee, officer, director, agent or consultant of the Company or any Group Company in relation to the business of the Company or any Group Company;</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or become involved in any aspect of the business of the Company or any Group Company except as required by such companies; or</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either on his own account or on behalf of any other person.</w:t>
      </w:r>
    </w:p>
    <w:p>
      <w:pPr>
        <w:spacing w:after="0" w:line="189" w:lineRule="exact"/>
        <w:rPr>
          <w:sz w:val="20"/>
          <w:szCs w:val="20"/>
          <w:color w:val="auto"/>
        </w:rPr>
      </w:pPr>
    </w:p>
    <w:p>
      <w:pPr>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5.3.3</w:t>
        <w:tab/>
        <w:t>During Garden Leave, the Executive will continue to receive his Basic Salary and benefits but will not accrue any bonus, commission or share of profit.</w:t>
      </w:r>
    </w:p>
    <w:p>
      <w:pPr>
        <w:spacing w:after="0" w:line="133" w:lineRule="exact"/>
        <w:rPr>
          <w:sz w:val="20"/>
          <w:szCs w:val="20"/>
          <w:color w:val="auto"/>
        </w:rPr>
      </w:pPr>
    </w:p>
    <w:p>
      <w:pPr>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5.3.4</w:t>
        <w:tab/>
        <w:t>For the avoidance of doubt, the Company may exercise its powers under this Clause 5.3 at any time during the Employment on a condition that notice of termination has been given by either party.</w:t>
      </w:r>
    </w:p>
    <w:p>
      <w:pPr>
        <w:spacing w:after="0" w:line="129" w:lineRule="exact"/>
        <w:rPr>
          <w:sz w:val="20"/>
          <w:szCs w:val="20"/>
          <w:color w:val="auto"/>
        </w:rPr>
      </w:pPr>
    </w:p>
    <w:p>
      <w:pPr>
        <w:ind w:left="620" w:hanging="612"/>
        <w:spacing w:after="0"/>
        <w:tabs>
          <w:tab w:leader="none" w:pos="62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color w:val="auto"/>
        </w:rPr>
        <w:t>Basic Salary</w:t>
      </w:r>
    </w:p>
    <w:p>
      <w:pPr>
        <w:spacing w:after="0" w:line="193"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6.1.1</w:t>
        <w:tab/>
        <w:t>During the Employment the Company shall pay the Executive a Basic Salary of not less than £280,000 per annum. The Basic Salary shall accrue from day to day and be payable by credit transfer in equal monthly instalments in arrears on or around the last day of each calendar month or otherwise as arranged from time to time.</w:t>
      </w:r>
    </w:p>
    <w:p>
      <w:pPr>
        <w:spacing w:after="0" w:line="148"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6.1.2</w:t>
        <w:tab/>
        <w:t>The Basic Salary shall be inclusive of all directors’ fees (if any) to which the Executive may become entitled including all remuneration and director’s fees in respect of services rendered by the Executive to any Group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Salary review</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Basic Salary shall be reviewed annually; however, the Company is not obliged to increase the Basic Salary at any review.</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b w:val="1"/>
          <w:bCs w:val="1"/>
          <w:color w:val="auto"/>
        </w:rPr>
        <w:t>Discretionary bonus</w:t>
      </w:r>
    </w:p>
    <w:p>
      <w:pPr>
        <w:spacing w:after="0" w:line="18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0"/>
          <w:szCs w:val="20"/>
          <w:color w:val="auto"/>
        </w:rPr>
        <w:t>6.3.1</w:t>
        <w:tab/>
        <w:t>The Company may, at its sole discretion, pay the Executive a bonus in respect of each financial year of the Company (the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The Executive’s target bonus is a sum equal to 40% of his Basic Salary for that financial year. The terms and amount of this bonus (and whether it is paid in cash or in other forms, such as shares or share options) will be approved from time to time and notified to the Executive by the Company, or if applicable to the Executive, the Compensation Committee, in its sole discretion.</w:t>
      </w:r>
    </w:p>
    <w:p>
      <w:pPr>
        <w:spacing w:after="0" w:line="153"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6.3.2</w:t>
        <w:tab/>
        <w:t>The actual amount of any Bonus payable will be determined by reference to the achievement of performance objectives, which may include both Company and personal performance objectives. The Compensation Committee, if applicable to the Executive, will determine appropriate Company performance targets at the beginning of each financial year. The Bonus will be paid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20"/>
          <w:szCs w:val="20"/>
          <w:color w:val="auto"/>
        </w:rPr>
        <w:t>by the Company after receipt by it of the audited financial statements of the Company for the financial year in question.</w:t>
      </w:r>
    </w:p>
    <w:p>
      <w:pPr>
        <w:spacing w:after="0" w:line="202"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6.3.3</w:t>
        <w:tab/>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17, the Executive will have no rights as a result of this Agreement or any alleged breach of it to any compensation under or in respect of any Bonus. For the avoidance of doubt, the Bonus will not accrue, nor will the Executive have any legitimate expectation as to the size or form of the Bonus, until the Company pays it to him. There are no circumstances whether in reliance on express or implied terms or otherwise where the Executive can require pay out of a particular sum or payment in a particular form or claim compensation for loss of such a Bonus.</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b w:val="1"/>
          <w:bCs w:val="1"/>
          <w:color w:val="auto"/>
        </w:rPr>
        <w:t>Signing bonus</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The Company shall pay the Executive a signing bonus of £170,000 gross, subject to withholding taxes and national insurance contribution, and the payment of it will be made together with the first salary payment of the Employee within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b w:val="1"/>
          <w:bCs w:val="1"/>
          <w:color w:val="auto"/>
        </w:rPr>
        <w:t>Corporate Governance</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Times New Roman" w:cs="Times New Roman" w:eastAsia="Times New Roman" w:hAnsi="Times New Roman"/>
          <w:sz w:val="20"/>
          <w:szCs w:val="20"/>
          <w:b w:val="1"/>
          <w:bCs w:val="1"/>
          <w:color w:val="auto"/>
        </w:rPr>
        <w:t>Remuneration Governance</w:t>
      </w:r>
      <w:r>
        <w:rPr>
          <w:rFonts w:ascii="Times New Roman" w:cs="Times New Roman" w:eastAsia="Times New Roman" w:hAnsi="Times New Roman"/>
          <w:sz w:val="20"/>
          <w:szCs w:val="20"/>
          <w:color w:val="auto"/>
        </w:rPr>
        <w:t>”). The Company reserves the right to amend, reduce, hold back, defer, claw back and alter the structure of any payments and benefits payable to the Executive in order to comply with Remuneration Governance.</w:t>
      </w:r>
    </w:p>
    <w:p>
      <w:pPr>
        <w:spacing w:after="0" w:line="150" w:lineRule="exact"/>
        <w:rPr>
          <w:sz w:val="20"/>
          <w:szCs w:val="20"/>
          <w:color w:val="auto"/>
        </w:rPr>
      </w:pPr>
    </w:p>
    <w:p>
      <w:pPr>
        <w:ind w:left="620" w:hanging="612"/>
        <w:spacing w:after="0"/>
        <w:tabs>
          <w:tab w:leader="none" w:pos="62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b w:val="1"/>
          <w:bCs w:val="1"/>
          <w:color w:val="auto"/>
        </w:rPr>
        <w:t>Out-of-pocket expenses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reimburse to the Executive (against receipts or other appropriate evidence as the Company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Company credit/charge cards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In the event that the Company issues a Company sponsored credit or charge card to the Executive he shall use such card only for expenses reimbursable under Clause 7.1 and shall return it to the Company when so requested and in any event immediately on termination of the Employment howsoever arising.</w:t>
      </w:r>
    </w:p>
    <w:p>
      <w:pPr>
        <w:spacing w:after="0" w:line="144" w:lineRule="exact"/>
        <w:rPr>
          <w:sz w:val="20"/>
          <w:szCs w:val="20"/>
          <w:color w:val="auto"/>
        </w:rPr>
      </w:pPr>
    </w:p>
    <w:p>
      <w:pPr>
        <w:ind w:left="620" w:hanging="612"/>
        <w:spacing w:after="0"/>
        <w:tabs>
          <w:tab w:leader="none" w:pos="62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DEDUCTIONS</w:t>
      </w:r>
    </w:p>
    <w:p>
      <w:pPr>
        <w:spacing w:after="0" w:line="192" w:lineRule="exact"/>
        <w:rPr>
          <w:rFonts w:ascii="Times New Roman" w:cs="Times New Roman" w:eastAsia="Times New Roman" w:hAnsi="Times New Roman"/>
          <w:sz w:val="20"/>
          <w:szCs w:val="20"/>
          <w:b w:val="1"/>
          <w:bCs w:val="1"/>
          <w:color w:val="auto"/>
        </w:rPr>
      </w:pPr>
    </w:p>
    <w:p>
      <w:pPr>
        <w:jc w:val="both"/>
        <w:ind w:left="62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149"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ALLOWANCES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73" w:right="239" w:bottom="1440" w:gutter="0" w:footer="0" w:header="0"/>
        </w:sectPr>
      </w:pPr>
    </w:p>
    <w:bookmarkStart w:id="85" w:name="page86"/>
    <w:bookmarkEnd w:id="85"/>
    <w:p>
      <w:pPr>
        <w:spacing w:after="0"/>
        <w:tabs>
          <w:tab w:leader="none" w:pos="60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b w:val="1"/>
          <w:bCs w:val="1"/>
          <w:color w:val="auto"/>
        </w:rPr>
        <w:t>School Allowance</w:t>
      </w:r>
    </w:p>
    <w:p>
      <w:pPr>
        <w:spacing w:after="0" w:line="193" w:lineRule="exact"/>
        <w:rPr>
          <w:sz w:val="20"/>
          <w:szCs w:val="20"/>
          <w:color w:val="auto"/>
        </w:rPr>
      </w:pPr>
    </w:p>
    <w:p>
      <w:pPr>
        <w:jc w:val="both"/>
        <w:ind w:left="620"/>
        <w:spacing w:after="0" w:line="232" w:lineRule="auto"/>
        <w:rPr>
          <w:sz w:val="20"/>
          <w:szCs w:val="20"/>
          <w:color w:val="auto"/>
        </w:rPr>
      </w:pPr>
      <w:r>
        <w:rPr>
          <w:rFonts w:ascii="Times New Roman" w:cs="Times New Roman" w:eastAsia="Times New Roman" w:hAnsi="Times New Roman"/>
          <w:sz w:val="20"/>
          <w:szCs w:val="20"/>
          <w:color w:val="auto"/>
        </w:rPr>
        <w:t>Commencing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August 2017 (the “School Date”), the Company will provide the Executive with a monthly allowance toward Executive’s incremental costs for school tuition for the Executive’s daughter in the amount of £4.167 (the “School Allowance”), subject to the deduction of tax and National Insurance contributions. The School Allowance shall decrease by 20% (up to £3.333) on the first anniversary of the School Date, and Executive’s entitlement to the School Allowance shall end as of 31 July 2019.</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color w:val="auto"/>
        </w:rPr>
        <w:t>Company car</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Executive will be entitled to receive a Company leased-car corresponding to his level in accordance to the Company Car Policy. Alternatively, the Executive may choose to receive a cash allowance of £1100 per month, subject to normal tax withholdings, in lieu of a Company vehicle. This amount is also subject to company car policy changes.</w:t>
      </w:r>
    </w:p>
    <w:p>
      <w:pPr>
        <w:spacing w:after="0" w:line="144" w:lineRule="exact"/>
        <w:rPr>
          <w:sz w:val="20"/>
          <w:szCs w:val="20"/>
          <w:color w:val="auto"/>
        </w:rPr>
      </w:pPr>
    </w:p>
    <w:p>
      <w:pPr>
        <w:ind w:left="620" w:hanging="612"/>
        <w:spacing w:after="0"/>
        <w:tabs>
          <w:tab w:leader="none" w:pos="62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SCHEME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b w:val="1"/>
          <w:bCs w:val="1"/>
          <w:color w:val="auto"/>
        </w:rPr>
        <w:t>The Scheme</w:t>
      </w:r>
    </w:p>
    <w:p>
      <w:pPr>
        <w:spacing w:after="0" w:line="189" w:lineRule="exact"/>
        <w:rPr>
          <w:sz w:val="20"/>
          <w:szCs w:val="20"/>
          <w:color w:val="auto"/>
        </w:rPr>
      </w:pPr>
    </w:p>
    <w:p>
      <w:pPr>
        <w:jc w:val="both"/>
        <w:ind w:left="620" w:hanging="620"/>
        <w:spacing w:after="0" w:line="248" w:lineRule="auto"/>
        <w:rPr>
          <w:sz w:val="20"/>
          <w:szCs w:val="20"/>
          <w:color w:val="auto"/>
        </w:rPr>
      </w:pPr>
      <w:r>
        <w:rPr>
          <w:rFonts w:ascii="Times New Roman" w:cs="Times New Roman" w:eastAsia="Times New Roman" w:hAnsi="Times New Roman"/>
          <w:sz w:val="20"/>
          <w:szCs w:val="20"/>
          <w:color w:val="auto"/>
        </w:rPr>
        <w:t>10.1.1 The Executive is eligible to join the Company’s pension scheme (the “</w:t>
      </w:r>
      <w:r>
        <w:rPr>
          <w:rFonts w:ascii="Times New Roman" w:cs="Times New Roman" w:eastAsia="Times New Roman" w:hAnsi="Times New Roman"/>
          <w:sz w:val="20"/>
          <w:szCs w:val="20"/>
          <w:b w:val="1"/>
          <w:bCs w:val="1"/>
          <w:color w:val="auto"/>
        </w:rPr>
        <w:t>Scheme</w:t>
      </w:r>
      <w:r>
        <w:rPr>
          <w:rFonts w:ascii="Times New Roman" w:cs="Times New Roman" w:eastAsia="Times New Roman" w:hAnsi="Times New Roman"/>
          <w:sz w:val="20"/>
          <w:szCs w:val="20"/>
          <w:color w:val="auto"/>
        </w:rPr>
        <w:t>”), subject to its rules in force from time to time. Details of the Scheme are available from the Company. Pursuant to the Scheme, the Company will make an annual contribution to the Scheme in respect of the Executive equal to 15% of the Executive’s monthly gross salary and bonus payments, excluding other payments such as the car allowance. The contribution shall be paid to the Scheme at such time or times during the year as the Company shall decide at its discretion.</w:t>
      </w:r>
    </w:p>
    <w:p>
      <w:pPr>
        <w:spacing w:after="0" w:line="153"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0"/>
          <w:szCs w:val="20"/>
          <w:color w:val="auto"/>
        </w:rPr>
        <w:t>10.1.2 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10.1.3 A copy of the current explanatory booklet giving details of the Scheme is available from the HR department.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10.1.4 The Scheme is not a contracted-out scheme for the purposes of the Pension Schemes Act 1993.</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b w:val="1"/>
          <w:bCs w:val="1"/>
          <w:color w:val="auto"/>
        </w:rPr>
        <w:t>Company’s right to amend and terminate</w:t>
      </w:r>
    </w:p>
    <w:p>
      <w:pPr>
        <w:spacing w:after="0" w:line="193" w:lineRule="exact"/>
        <w:rPr>
          <w:sz w:val="20"/>
          <w:szCs w:val="20"/>
          <w:color w:val="auto"/>
        </w:rPr>
      </w:pPr>
    </w:p>
    <w:p>
      <w:pPr>
        <w:jc w:val="both"/>
        <w:ind w:left="620" w:right="20" w:hanging="620"/>
        <w:spacing w:after="0" w:line="269" w:lineRule="auto"/>
        <w:rPr>
          <w:sz w:val="20"/>
          <w:szCs w:val="20"/>
          <w:color w:val="auto"/>
        </w:rPr>
      </w:pPr>
      <w:r>
        <w:rPr>
          <w:rFonts w:ascii="Times New Roman" w:cs="Times New Roman" w:eastAsia="Times New Roman" w:hAnsi="Times New Roman"/>
          <w:sz w:val="20"/>
          <w:szCs w:val="20"/>
          <w:color w:val="auto"/>
        </w:rPr>
        <w:t>10.2.1 The Company may at any time terminate the Scheme or the Executive’s membership of it subject to providing him with membership of an equivalent pension scheme.</w:t>
      </w:r>
    </w:p>
    <w:p>
      <w:pPr>
        <w:spacing w:after="0" w:line="129" w:lineRule="exact"/>
        <w:rPr>
          <w:sz w:val="20"/>
          <w:szCs w:val="20"/>
          <w:color w:val="auto"/>
        </w:rPr>
      </w:pPr>
    </w:p>
    <w:p>
      <w:pPr>
        <w:ind w:left="620" w:hanging="612"/>
        <w:spacing w:after="0"/>
        <w:tabs>
          <w:tab w:leader="none" w:pos="62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INSURANCE &amp; BENEFITS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b w:val="1"/>
          <w:bCs w:val="1"/>
          <w:color w:val="auto"/>
        </w:rPr>
        <w:t>Health Care Scheme</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Without prejudice to the terms of Clauses 3 and 17, the Executive (and his spouse and children up to the age of 18 in respect of private medical insurance) shall be entitled during the Employment, to participate in any Health Care Scheme subject to the following terms and conditions:</w:t>
      </w:r>
    </w:p>
    <w:p>
      <w:pPr>
        <w:spacing w:after="0" w:line="148" w:lineRule="exact"/>
        <w:rPr>
          <w:sz w:val="20"/>
          <w:szCs w:val="20"/>
          <w:color w:val="auto"/>
        </w:rPr>
      </w:pPr>
    </w:p>
    <w:p>
      <w:pPr>
        <w:jc w:val="both"/>
        <w:ind w:left="1280" w:right="20" w:hanging="624"/>
        <w:spacing w:after="0" w:line="254" w:lineRule="auto"/>
        <w:tabs>
          <w:tab w:leader="none" w:pos="126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56" w:right="239" w:bottom="1440" w:gutter="0" w:footer="0" w:header="0"/>
        </w:sectPr>
      </w:pPr>
    </w:p>
    <w:bookmarkStart w:id="86" w:name="page87"/>
    <w:bookmarkEnd w:id="86"/>
    <w:p>
      <w:pPr>
        <w:jc w:val="both"/>
        <w:ind w:left="1280" w:hanging="624"/>
        <w:spacing w:after="0" w:line="254" w:lineRule="auto"/>
        <w:tabs>
          <w:tab w:leader="none" w:pos="126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terminate the Executive’s (or his family’s, as applicable) or the Company’s participation in any of the Schemes, substitute a new scheme for an existing Scheme and/or alter the level or type of benefits available under any Scheme;</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family) under the applicable Scheme, the Company shall not be liable to provide (or compensate the Executive for the loss of) such benefit(s) nor shall it be obliged to take action against the provider to enforce any rights under the Scheme;</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termination of the Employment under Clauses 3 and 17 may result in the Executive or his family ceasing to be eligible to receive or continue to receive benefits under any Scheme does not remove the Company’s right to terminate the Employment; and</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acceptance of such variations to his terms and conditions of employment as may from time to time be required by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b w:val="1"/>
          <w:bCs w:val="1"/>
          <w:color w:val="auto"/>
        </w:rPr>
        <w:t>Payments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11.2.1  All payments under the Schemes will be subject to the deductions required by law.</w:t>
      </w:r>
    </w:p>
    <w:p>
      <w:pPr>
        <w:spacing w:after="0" w:line="189"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0"/>
          <w:szCs w:val="20"/>
          <w:color w:val="auto"/>
        </w:rPr>
        <w:t>11.2.2 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b w:val="1"/>
          <w:bCs w:val="1"/>
          <w:color w:val="auto"/>
        </w:rPr>
        <w:t>Medical examinations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44" w:lineRule="exact"/>
        <w:rPr>
          <w:sz w:val="20"/>
          <w:szCs w:val="20"/>
          <w:color w:val="auto"/>
        </w:rPr>
      </w:pPr>
    </w:p>
    <w:p>
      <w:pPr>
        <w:ind w:left="620" w:hanging="612"/>
        <w:spacing w:after="0"/>
        <w:tabs>
          <w:tab w:leader="none" w:pos="62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RELOCATION PACKAGE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b w:val="1"/>
          <w:bCs w:val="1"/>
          <w:color w:val="auto"/>
        </w:rPr>
        <w:t>Relocation allowance</w:t>
      </w:r>
    </w:p>
    <w:p>
      <w:pPr>
        <w:spacing w:after="0" w:line="193" w:lineRule="exact"/>
        <w:rPr>
          <w:sz w:val="20"/>
          <w:szCs w:val="20"/>
          <w:color w:val="auto"/>
        </w:rPr>
      </w:pPr>
    </w:p>
    <w:p>
      <w:pPr>
        <w:jc w:val="both"/>
        <w:ind w:left="620" w:right="20"/>
        <w:spacing w:after="0" w:line="254" w:lineRule="auto"/>
        <w:rPr>
          <w:sz w:val="20"/>
          <w:szCs w:val="20"/>
          <w:color w:val="auto"/>
        </w:rPr>
      </w:pPr>
      <w:r>
        <w:rPr>
          <w:rFonts w:ascii="Times New Roman" w:cs="Times New Roman" w:eastAsia="Times New Roman" w:hAnsi="Times New Roman"/>
          <w:sz w:val="20"/>
          <w:szCs w:val="20"/>
          <w:color w:val="auto"/>
        </w:rPr>
        <w:t>A one-time “Relocation Allowance” of 30,000 GBP gross (15,000 GBP + 15,000 GBP in compensation of not using the shipment of household goods assistance), subject to taxes and National Insurance contribution, will be provided to the Employee to cover miscellaneous relocation expenses not covered elsewhere in the policy.</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Executive is encouraged to retain receipts for relocation expenses to reduce their taxability at filing time.</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b w:val="1"/>
          <w:bCs w:val="1"/>
          <w:color w:val="auto"/>
        </w:rPr>
        <w:t>Pre-departure Visits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In addition to the Relocation Allowance, the Company will reimburse the Employee and his spouse for reasonable expenses related to a visit the new United Kingdom once to secure housing, schooling, and become acquainted with the new living environment. All travel should be booked and expensed per the Company’s corporate travel and expense guidelines.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87" w:name="page88"/>
    <w:bookmarkEnd w:id="87"/>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b w:val="1"/>
          <w:bCs w:val="1"/>
          <w:color w:val="auto"/>
        </w:rPr>
        <w:t>Two Years of Tax Assistance</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In addition to the Relocation Allowance, the Company will provide the Executive with tax consultation through a professional tax services firm prior to relocation and after arrival in the United Kingdom for a period of two tax years. The intent of this consultation is to explain tax implications resulting from localization and to review the Executive’s expected tax responsibilities associated with it. The Company will appoint a Tax Consultant to support the Executive on tax compliance in the UK and in the United States, if desired, for the first two tax years following the Commencement Date.</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b w:val="1"/>
          <w:bCs w:val="1"/>
          <w:color w:val="auto"/>
        </w:rPr>
        <w:t>Immigration Support</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In addition to the Relocation Allowance, the Company will provide immigration assistance to the Executive through an immigration vendor and will cover the cost of obtaining required entry and work documentation for the Executive, as well as required entry documentation for the Executive’s approved accompanying family members prior to relocation. This includes passports and any required medical exams or other documentation required by immigration authorities.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Executive is responsible for maintaining valid immigration and travel documents going forward.</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b w:val="1"/>
          <w:bCs w:val="1"/>
          <w:color w:val="auto"/>
        </w:rPr>
        <w:t>Travel to the new employment country (the United Kingdom)</w:t>
      </w:r>
    </w:p>
    <w:p>
      <w:pPr>
        <w:spacing w:after="0" w:line="193" w:lineRule="exact"/>
        <w:rPr>
          <w:sz w:val="20"/>
          <w:szCs w:val="20"/>
          <w:color w:val="auto"/>
        </w:rPr>
      </w:pPr>
    </w:p>
    <w:p>
      <w:pPr>
        <w:jc w:val="both"/>
        <w:ind w:left="620" w:right="20"/>
        <w:spacing w:after="0" w:line="269" w:lineRule="auto"/>
        <w:rPr>
          <w:sz w:val="20"/>
          <w:szCs w:val="20"/>
          <w:color w:val="auto"/>
        </w:rPr>
      </w:pPr>
      <w:r>
        <w:rPr>
          <w:rFonts w:ascii="Times New Roman" w:cs="Times New Roman" w:eastAsia="Times New Roman" w:hAnsi="Times New Roman"/>
          <w:sz w:val="20"/>
          <w:szCs w:val="20"/>
          <w:color w:val="auto"/>
        </w:rPr>
        <w:t>In addition to the Relocation Allowance, the Company will provide the Executive and his accompanying dependents with travel to the United Kingdom for purposes of relocation according to the Company’s corporate travel guidelines.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b w:val="1"/>
          <w:bCs w:val="1"/>
          <w:color w:val="auto"/>
        </w:rPr>
        <w:t>Temporary Living</w:t>
      </w:r>
    </w:p>
    <w:p>
      <w:pPr>
        <w:spacing w:after="0" w:line="193"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9"/>
          <w:szCs w:val="19"/>
          <w:color w:val="auto"/>
        </w:rPr>
        <w:t>In addition to the Relocation Allowance, the Company will support temporary living expenses for a total of 60 cumulative days in the home and/or new employment country while the Executive and the Executive’s family are in between permanent housing. Hotel accommodation is provided. Temporary living expenses are covered in accordance with The Company’s travel and expense guidelines.</w:t>
      </w:r>
    </w:p>
    <w:p>
      <w:pPr>
        <w:spacing w:after="0" w:line="12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b w:val="1"/>
          <w:bCs w:val="1"/>
          <w:color w:val="auto"/>
        </w:rPr>
        <w:t>Housing</w:t>
      </w:r>
    </w:p>
    <w:p>
      <w:pPr>
        <w:spacing w:after="0" w:line="193" w:lineRule="exact"/>
        <w:rPr>
          <w:sz w:val="20"/>
          <w:szCs w:val="20"/>
          <w:color w:val="auto"/>
        </w:rPr>
      </w:pPr>
    </w:p>
    <w:p>
      <w:pPr>
        <w:jc w:val="both"/>
        <w:ind w:left="620" w:firstLine="14"/>
        <w:spacing w:after="0" w:line="243" w:lineRule="auto"/>
        <w:rPr>
          <w:sz w:val="20"/>
          <w:szCs w:val="20"/>
          <w:color w:val="auto"/>
        </w:rPr>
      </w:pPr>
      <w:r>
        <w:rPr>
          <w:rFonts w:ascii="Times New Roman" w:cs="Times New Roman" w:eastAsia="Times New Roman" w:hAnsi="Times New Roman"/>
          <w:sz w:val="20"/>
          <w:szCs w:val="20"/>
          <w:color w:val="auto"/>
        </w:rPr>
        <w:t>In addition to the Relocation Allowance, the Company agrees to provide relocation assistance to the Executive, including assistance with the sale of the Executive’s principal residence at 1821 La Colina Drive, Santa Ana, California 92705, pursuant to the terms of the Managed Executive Plan provided by the Company’s vendor, Orion Mobility; packing, shipping to the United Kingdom and unpacking Executive’s household possessions at the Company’s expense; and reimbursement of expenses incurred in connection with the purchase of a principal residence in the United Kingdom. If the Executive is compelled to pay income taxes on any of the foregoing relocation benefits provided by the Company, the Company will pay to the Executive such additional amounts as are necessary to ensure receipt by the Executive of the full amount that the Executive would have received but for the income taxes payable by the Executive or by the Company on his behalf.</w:t>
      </w:r>
    </w:p>
    <w:p>
      <w:pPr>
        <w:spacing w:after="0" w:line="200" w:lineRule="exact"/>
        <w:rPr>
          <w:sz w:val="20"/>
          <w:szCs w:val="20"/>
          <w:color w:val="auto"/>
        </w:rPr>
      </w:pPr>
    </w:p>
    <w:p>
      <w:pPr>
        <w:spacing w:after="0" w:line="378" w:lineRule="exact"/>
        <w:rPr>
          <w:sz w:val="20"/>
          <w:szCs w:val="20"/>
          <w:color w:val="auto"/>
        </w:rPr>
      </w:pPr>
    </w:p>
    <w:p>
      <w:pPr>
        <w:ind w:left="620" w:hanging="612"/>
        <w:spacing w:after="0"/>
        <w:tabs>
          <w:tab w:leader="none" w:pos="62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HOLIDAYS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The holiday year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56" w:right="239" w:bottom="1440" w:gutter="0" w:footer="0" w:header="0"/>
        </w:sectPr>
      </w:pPr>
    </w:p>
    <w:bookmarkStart w:id="88" w:name="page89"/>
    <w:bookmarkEnd w:id="88"/>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Company’s holiday year runs from 1st January to 31st December. Holidays can only be taken with the prior permission of the Chief Executive Officer of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b w:val="1"/>
          <w:bCs w:val="1"/>
          <w:color w:val="auto"/>
        </w:rPr>
        <w:t>Annual entitlement</w:t>
      </w:r>
    </w:p>
    <w:p>
      <w:pPr>
        <w:spacing w:after="0" w:line="193" w:lineRule="exact"/>
        <w:rPr>
          <w:sz w:val="20"/>
          <w:szCs w:val="20"/>
          <w:color w:val="auto"/>
        </w:rPr>
      </w:pPr>
    </w:p>
    <w:p>
      <w:pPr>
        <w:jc w:val="both"/>
        <w:ind w:left="620" w:hanging="620"/>
        <w:spacing w:after="0" w:line="274" w:lineRule="auto"/>
        <w:rPr>
          <w:sz w:val="20"/>
          <w:szCs w:val="20"/>
          <w:color w:val="auto"/>
        </w:rPr>
      </w:pPr>
      <w:r>
        <w:rPr>
          <w:rFonts w:ascii="Times New Roman" w:cs="Times New Roman" w:eastAsia="Times New Roman" w:hAnsi="Times New Roman"/>
          <w:sz w:val="19"/>
          <w:szCs w:val="19"/>
          <w:color w:val="auto"/>
        </w:rPr>
        <w:t>13.2.1 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five additional days.</w:t>
      </w:r>
    </w:p>
    <w:p>
      <w:pPr>
        <w:spacing w:after="0" w:line="130" w:lineRule="exact"/>
        <w:rPr>
          <w:sz w:val="20"/>
          <w:szCs w:val="20"/>
          <w:color w:val="auto"/>
        </w:rPr>
      </w:pPr>
    </w:p>
    <w:p>
      <w:pPr>
        <w:jc w:val="both"/>
        <w:ind w:left="620" w:hanging="620"/>
        <w:spacing w:after="0" w:line="269" w:lineRule="auto"/>
        <w:rPr>
          <w:sz w:val="20"/>
          <w:szCs w:val="20"/>
          <w:color w:val="auto"/>
        </w:rPr>
      </w:pPr>
      <w:r>
        <w:rPr>
          <w:rFonts w:ascii="Times New Roman" w:cs="Times New Roman" w:eastAsia="Times New Roman" w:hAnsi="Times New Roman"/>
          <w:sz w:val="20"/>
          <w:szCs w:val="20"/>
          <w:color w:val="auto"/>
        </w:rPr>
        <w:t>13.2.2 Entitlement to contractual holidays is accrued pro rata throughout the holiday year. The Executive will be entitled to take public and customary holidays on the days that they are recognised by the Company during the holiday year.</w:t>
      </w:r>
    </w:p>
    <w:p>
      <w:pPr>
        <w:spacing w:after="0" w:line="133" w:lineRule="exact"/>
        <w:rPr>
          <w:sz w:val="20"/>
          <w:szCs w:val="20"/>
          <w:color w:val="auto"/>
        </w:rPr>
      </w:pPr>
    </w:p>
    <w:p>
      <w:pPr>
        <w:jc w:val="both"/>
        <w:ind w:left="620" w:right="20" w:hanging="620"/>
        <w:spacing w:after="0" w:line="269" w:lineRule="auto"/>
        <w:rPr>
          <w:sz w:val="20"/>
          <w:szCs w:val="20"/>
          <w:color w:val="auto"/>
        </w:rPr>
      </w:pPr>
      <w:r>
        <w:rPr>
          <w:rFonts w:ascii="Times New Roman" w:cs="Times New Roman" w:eastAsia="Times New Roman" w:hAnsi="Times New Roman"/>
          <w:sz w:val="20"/>
          <w:szCs w:val="20"/>
          <w:color w:val="auto"/>
        </w:rPr>
        <w:t>13.2.3 The Executive is not entitled to carry any unused holiday entitlement forward to the next holiday year without the permission of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b w:val="1"/>
          <w:bCs w:val="1"/>
          <w:color w:val="auto"/>
        </w:rPr>
        <w:t>Holiday entitlement on termination</w:t>
      </w:r>
    </w:p>
    <w:p>
      <w:pPr>
        <w:spacing w:after="0" w:line="193" w:lineRule="exact"/>
        <w:rPr>
          <w:sz w:val="20"/>
          <w:szCs w:val="20"/>
          <w:color w:val="auto"/>
        </w:rPr>
      </w:pPr>
    </w:p>
    <w:p>
      <w:pPr>
        <w:jc w:val="both"/>
        <w:ind w:left="620" w:hanging="620"/>
        <w:spacing w:after="0" w:line="274" w:lineRule="auto"/>
        <w:rPr>
          <w:sz w:val="20"/>
          <w:szCs w:val="20"/>
          <w:color w:val="auto"/>
        </w:rPr>
      </w:pPr>
      <w:r>
        <w:rPr>
          <w:rFonts w:ascii="Times New Roman" w:cs="Times New Roman" w:eastAsia="Times New Roman" w:hAnsi="Times New Roman"/>
          <w:sz w:val="19"/>
          <w:szCs w:val="19"/>
          <w:color w:val="auto"/>
        </w:rPr>
        <w:t>13.3.1 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130" w:lineRule="exact"/>
        <w:rPr>
          <w:sz w:val="20"/>
          <w:szCs w:val="20"/>
          <w:color w:val="auto"/>
        </w:rPr>
      </w:pPr>
    </w:p>
    <w:p>
      <w:pPr>
        <w:jc w:val="both"/>
        <w:ind w:left="620" w:right="20" w:hanging="620"/>
        <w:spacing w:after="0" w:line="269" w:lineRule="auto"/>
        <w:rPr>
          <w:sz w:val="20"/>
          <w:szCs w:val="20"/>
          <w:color w:val="auto"/>
        </w:rPr>
      </w:pPr>
      <w:r>
        <w:rPr>
          <w:rFonts w:ascii="Times New Roman" w:cs="Times New Roman" w:eastAsia="Times New Roman" w:hAnsi="Times New Roman"/>
          <w:sz w:val="20"/>
          <w:szCs w:val="20"/>
          <w:color w:val="auto"/>
        </w:rPr>
        <w:t>13.3.2 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129" w:lineRule="exact"/>
        <w:rPr>
          <w:sz w:val="20"/>
          <w:szCs w:val="20"/>
          <w:color w:val="auto"/>
        </w:rPr>
      </w:pPr>
    </w:p>
    <w:p>
      <w:pPr>
        <w:ind w:left="620" w:hanging="612"/>
        <w:spacing w:after="0"/>
        <w:tabs>
          <w:tab w:leader="none" w:pos="62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ABSENCE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b w:val="1"/>
          <w:bCs w:val="1"/>
          <w:color w:val="auto"/>
        </w:rPr>
        <w:t>Absence due to sickness or injury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14.1.1 If the Executive is absent from work due to sickness or injury he shall:</w:t>
      </w:r>
    </w:p>
    <w:p>
      <w:pPr>
        <w:spacing w:after="0" w:line="189" w:lineRule="exact"/>
        <w:rPr>
          <w:sz w:val="20"/>
          <w:szCs w:val="20"/>
          <w:color w:val="auto"/>
        </w:rPr>
      </w:pPr>
    </w:p>
    <w:p>
      <w:pPr>
        <w:ind w:left="1260" w:hanging="604"/>
        <w:spacing w:after="0"/>
        <w:tabs>
          <w:tab w:leader="none" w:pos="12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inform the Company of his sickness or injury; and</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148" w:lineRule="exact"/>
        <w:rPr>
          <w:sz w:val="20"/>
          <w:szCs w:val="20"/>
          <w:color w:val="auto"/>
        </w:rPr>
      </w:pPr>
    </w:p>
    <w:p>
      <w:pPr>
        <w:jc w:val="both"/>
        <w:ind w:left="620" w:hanging="620"/>
        <w:spacing w:after="0" w:line="269" w:lineRule="auto"/>
        <w:rPr>
          <w:sz w:val="20"/>
          <w:szCs w:val="20"/>
          <w:color w:val="auto"/>
        </w:rPr>
      </w:pPr>
      <w:r>
        <w:rPr>
          <w:rFonts w:ascii="Times New Roman" w:cs="Times New Roman" w:eastAsia="Times New Roman" w:hAnsi="Times New Roman"/>
          <w:sz w:val="20"/>
          <w:szCs w:val="20"/>
          <w:color w:val="auto"/>
        </w:rPr>
        <w:t>14.1.2 Failure to follow the requirements referred to in Clause 13.1.1 may result in disciplinary action and loss of Statutory Sick Pay and/or Company Sick Pay pursuant to Clause 13.2.</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b w:val="1"/>
          <w:bCs w:val="1"/>
          <w:color w:val="auto"/>
        </w:rPr>
        <w:t>Payment of salary during absence</w:t>
      </w:r>
    </w:p>
    <w:p>
      <w:pPr>
        <w:spacing w:after="0" w:line="193"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0"/>
          <w:szCs w:val="20"/>
          <w:color w:val="auto"/>
        </w:rPr>
        <w:t>14.2.1 Subject to the Executive complying with the terms of Clause 13.1.1, the Company may, at its sole discretion, continue to pay Basic Salary during any period of absence due to sickness or injury for up to a maximum of three months in any period of twelve consecutive months (the twelve-month period being referred to as the “</w:t>
      </w:r>
      <w:r>
        <w:rPr>
          <w:rFonts w:ascii="Times New Roman" w:cs="Times New Roman" w:eastAsia="Times New Roman" w:hAnsi="Times New Roman"/>
          <w:sz w:val="20"/>
          <w:szCs w:val="20"/>
          <w:b w:val="1"/>
          <w:bCs w:val="1"/>
          <w:color w:val="auto"/>
        </w:rPr>
        <w:t>Entitlement Period</w:t>
      </w:r>
      <w:r>
        <w:rPr>
          <w:rFonts w:ascii="Times New Roman" w:cs="Times New Roman" w:eastAsia="Times New Roman" w:hAnsi="Times New Roman"/>
          <w:sz w:val="20"/>
          <w:szCs w:val="20"/>
          <w:color w:val="auto"/>
        </w:rPr>
        <w:t>”) unless the Employment is terminated in terms of Clauses 3 or 17. The first Entitlement Period will begin on the first day of absence and any subsequent Entitlement Period will start on the first day of any absence occurring outside an enduring Entitlement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14.2.2 Payment of the Basic Salary in terms of Clause 13.2.1 shall be made less:</w:t>
      </w:r>
    </w:p>
    <w:p>
      <w:pPr>
        <w:spacing w:after="0" w:line="189" w:lineRule="exact"/>
        <w:rPr>
          <w:sz w:val="20"/>
          <w:szCs w:val="20"/>
          <w:color w:val="auto"/>
        </w:rPr>
      </w:pPr>
    </w:p>
    <w:p>
      <w:pPr>
        <w:ind w:left="1260" w:hanging="604"/>
        <w:spacing w:after="0"/>
        <w:tabs>
          <w:tab w:leader="none" w:pos="12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equivalent to any Statutory Sick Pay payable to the Executive;</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sums which may be received by the Executive under any insurance policy effected by the Company; and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benefits or sums which the Executive receives, such as under a PHI or other insurance scheme, in terms of the Employment or under any relevant legislation.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b w:val="1"/>
          <w:bCs w:val="1"/>
          <w:color w:val="auto"/>
        </w:rPr>
        <w:t>Absence caused by third party negligence</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If the Executive’s absence is caused by the negligence of a third party in respect of which damages are recoverable, then all sums paid by the Company during the period of absence in terms of Clause 13.2 shall constitute loans to the Executive who shall:</w:t>
      </w:r>
    </w:p>
    <w:p>
      <w:pPr>
        <w:spacing w:after="0" w:line="133" w:lineRule="exact"/>
        <w:rPr>
          <w:sz w:val="20"/>
          <w:szCs w:val="20"/>
          <w:color w:val="auto"/>
        </w:rPr>
      </w:pPr>
    </w:p>
    <w:p>
      <w:pPr>
        <w:ind w:left="1280" w:hanging="624"/>
        <w:spacing w:after="0" w:line="269" w:lineRule="auto"/>
        <w:tabs>
          <w:tab w:leader="none" w:pos="1262"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the Company immediately of all the relevant circumstances and of any claim, compromise, settlement or judgment made or awarded; and</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requires, refund to it an amount determined by the Company, not exceeding the lesser of:</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damages recovered by him in respect of loss of earnings during the period of absence under any compromise, settlement or judgment; and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sums advanced to him by the Company in respect of the period of incapacity.</w:t>
      </w:r>
    </w:p>
    <w:p>
      <w:pPr>
        <w:spacing w:after="0" w:line="184"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DURING EMPLOYMENT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Disclosure of other interests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Executive shall disclose to the Company any interest of his own (or that of his partner or of any child of his or of his partner under eighteen years of age):</w:t>
      </w:r>
    </w:p>
    <w:p>
      <w:pPr>
        <w:spacing w:after="0" w:line="133" w:lineRule="exact"/>
        <w:rPr>
          <w:sz w:val="20"/>
          <w:szCs w:val="20"/>
          <w:color w:val="auto"/>
        </w:rPr>
      </w:pPr>
    </w:p>
    <w:p>
      <w:pPr>
        <w:ind w:left="1280" w:hanging="624"/>
        <w:spacing w:after="0" w:line="269" w:lineRule="auto"/>
        <w:tabs>
          <w:tab w:leader="none" w:pos="126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trade, business or occupation whatsoever which is in any way similar to any of those in which the Company or any Group Company is involved;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trade, business or occupation carried on by any supplier or customer of the Company or any Group Company whether or not such trade, business or occupation is conducted for profit or gain.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Restrictions on other activities and interests of the Executive</w:t>
      </w:r>
    </w:p>
    <w:p>
      <w:pPr>
        <w:spacing w:after="0" w:line="193"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0"/>
          <w:szCs w:val="20"/>
          <w:color w:val="auto"/>
        </w:rPr>
        <w:t>15.2.1 During the Employment the Executive shall not at any time, without the prior written consent of the Company, either alone or jointly with any other person, carry on or be directly or indirectly employed, engaged, concerned or interested in any business, prospective business or undertaking other than a Group Company. Nothing contained in this Clause 14.2.1 shall preclude the Executive from being a Minority Holder unless the holding is in a company that is a direct business competitor of the Company or any Group Company in which case, the Executive shall obtain the prior consent of the Company to the acquisition or variation of such holding.</w:t>
      </w:r>
    </w:p>
    <w:p>
      <w:pPr>
        <w:spacing w:after="0" w:line="154" w:lineRule="exact"/>
        <w:rPr>
          <w:sz w:val="20"/>
          <w:szCs w:val="20"/>
          <w:color w:val="auto"/>
        </w:rPr>
      </w:pPr>
    </w:p>
    <w:p>
      <w:pPr>
        <w:jc w:val="both"/>
        <w:ind w:left="620" w:hanging="620"/>
        <w:spacing w:after="0" w:line="269" w:lineRule="auto"/>
        <w:rPr>
          <w:sz w:val="20"/>
          <w:szCs w:val="20"/>
          <w:color w:val="auto"/>
        </w:rPr>
      </w:pPr>
      <w:r>
        <w:rPr>
          <w:rFonts w:ascii="Times New Roman" w:cs="Times New Roman" w:eastAsia="Times New Roman" w:hAnsi="Times New Roman"/>
          <w:sz w:val="20"/>
          <w:szCs w:val="20"/>
          <w:color w:val="auto"/>
        </w:rPr>
        <w:t>15.2.2 If the Executive, with the consent of the Company, accepts any other appointment he must keep the Company accurately informed of the amount of time he spends working under that appointment.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b w:val="1"/>
          <w:bCs w:val="1"/>
          <w:color w:val="auto"/>
        </w:rPr>
        <w:t>Transactions with the Company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0" w:name="page91"/>
    <w:bookmarkEnd w:id="90"/>
    <w:p>
      <w:pPr>
        <w:jc w:val="both"/>
        <w:ind w:left="620"/>
        <w:spacing w:after="0" w:line="245" w:lineRule="auto"/>
        <w:rPr>
          <w:sz w:val="20"/>
          <w:szCs w:val="20"/>
          <w:color w:val="auto"/>
        </w:rPr>
      </w:pPr>
      <w:r>
        <w:rPr>
          <w:rFonts w:ascii="Times New Roman" w:cs="Times New Roman" w:eastAsia="Times New Roman" w:hAnsi="Times New Roman"/>
          <w:sz w:val="20"/>
          <w:szCs w:val="20"/>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Times New Roman" w:cs="Times New Roman" w:eastAsia="Times New Roman" w:hAnsi="Times New Roman"/>
          <w:sz w:val="20"/>
          <w:szCs w:val="20"/>
          <w:b w:val="1"/>
          <w:bCs w:val="1"/>
          <w:color w:val="auto"/>
        </w:rPr>
        <w:t>Gratuity</w:t>
      </w:r>
      <w:r>
        <w:rPr>
          <w:rFonts w:ascii="Times New Roman" w:cs="Times New Roman" w:eastAsia="Times New Roman" w:hAnsi="Times New Roman"/>
          <w:sz w:val="20"/>
          <w:szCs w:val="20"/>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b w:val="1"/>
          <w:bCs w:val="1"/>
          <w:color w:val="auto"/>
        </w:rPr>
        <w:t>Dealing in securities</w:t>
      </w:r>
    </w:p>
    <w:p>
      <w:pPr>
        <w:spacing w:after="0" w:line="193" w:lineRule="exact"/>
        <w:rPr>
          <w:sz w:val="20"/>
          <w:szCs w:val="20"/>
          <w:color w:val="auto"/>
        </w:rPr>
      </w:pPr>
    </w:p>
    <w:p>
      <w:pPr>
        <w:jc w:val="both"/>
        <w:ind w:left="620"/>
        <w:spacing w:after="0" w:line="242" w:lineRule="auto"/>
        <w:rPr>
          <w:sz w:val="20"/>
          <w:szCs w:val="20"/>
          <w:color w:val="auto"/>
        </w:rPr>
      </w:pPr>
      <w:r>
        <w:rPr>
          <w:rFonts w:ascii="Times New Roman" w:cs="Times New Roman" w:eastAsia="Times New Roman" w:hAnsi="Times New Roman"/>
          <w:sz w:val="20"/>
          <w:szCs w:val="20"/>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9"/>
          <w:szCs w:val="19"/>
          <w:b w:val="1"/>
          <w:bCs w:val="1"/>
          <w:color w:val="auto"/>
        </w:rPr>
        <w:t>Compliance with the code on Corporate Governance</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Executive shall comply, if and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144" w:lineRule="exact"/>
        <w:rPr>
          <w:sz w:val="20"/>
          <w:szCs w:val="20"/>
          <w:color w:val="auto"/>
        </w:rPr>
      </w:pPr>
    </w:p>
    <w:p>
      <w:pPr>
        <w:ind w:left="620" w:hanging="612"/>
        <w:spacing w:after="0"/>
        <w:tabs>
          <w:tab w:leader="none" w:pos="62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AND COMPANY DOCUMENTS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b w:val="1"/>
          <w:bCs w:val="1"/>
          <w:color w:val="auto"/>
        </w:rPr>
        <w:t>Restrictions on disclosure and use of Confidential Information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Executive must not either during the Employment (except in the proper performance of his duties) or at any time (without limit)</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after the Termination Date:</w:t>
      </w:r>
    </w:p>
    <w:p>
      <w:pPr>
        <w:spacing w:after="0" w:line="167" w:lineRule="exact"/>
        <w:rPr>
          <w:sz w:val="20"/>
          <w:szCs w:val="20"/>
          <w:color w:val="auto"/>
        </w:rPr>
      </w:pPr>
    </w:p>
    <w:p>
      <w:pPr>
        <w:ind w:left="1260" w:hanging="604"/>
        <w:spacing w:after="0"/>
        <w:tabs>
          <w:tab w:leader="none" w:pos="12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divulge or communicate to any person;</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for his own purposes or for any purposes other than those of the Company or any Group Company;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9"/>
          <w:szCs w:val="19"/>
          <w:b w:val="1"/>
          <w:bCs w:val="1"/>
          <w:color w:val="auto"/>
        </w:rPr>
        <w:t>Protection of Company documents and materials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1" w:name="page92"/>
    <w:bookmarkEnd w:id="91"/>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153" w:lineRule="exact"/>
        <w:rPr>
          <w:sz w:val="20"/>
          <w:szCs w:val="20"/>
          <w:color w:val="auto"/>
        </w:rPr>
      </w:pPr>
    </w:p>
    <w:p>
      <w:pPr>
        <w:ind w:left="1260" w:hanging="604"/>
        <w:spacing w:after="0"/>
        <w:tabs>
          <w:tab w:leader="none" w:pos="12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and remain the property of the Company or the relevant Group Company or client; and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handed over by the Executive to the Company or the relevant Group Company or client on demand by the Company and in any event on the termination of the Employment;</w:t>
      </w:r>
    </w:p>
    <w:p>
      <w:pPr>
        <w:spacing w:after="0" w:line="1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provided that following the termination of the Employment, the Executive shall be provided with reasonable access to board minutes and agendas of any Group Company relating to a period during which he was a director of such Group Company that shall nevertheless remain confidential.</w:t>
      </w:r>
    </w:p>
    <w:p>
      <w:pPr>
        <w:spacing w:after="0" w:line="144" w:lineRule="exact"/>
        <w:rPr>
          <w:sz w:val="20"/>
          <w:szCs w:val="20"/>
          <w:color w:val="auto"/>
        </w:rPr>
      </w:pPr>
    </w:p>
    <w:p>
      <w:pPr>
        <w:ind w:left="620" w:hanging="612"/>
        <w:spacing w:after="0"/>
        <w:tabs>
          <w:tab w:leader="none" w:pos="6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INVENTIONS AND OTHER WORKS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b w:val="1"/>
          <w:bCs w:val="1"/>
          <w:color w:val="auto"/>
        </w:rPr>
        <w:t>Executive to further interests of the Company</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19"/>
          <w:szCs w:val="19"/>
          <w:b w:val="1"/>
          <w:bCs w:val="1"/>
          <w:color w:val="auto"/>
        </w:rPr>
        <w:t>Disclosure and ownership of Works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9"/>
          <w:szCs w:val="19"/>
          <w:b w:val="1"/>
          <w:bCs w:val="1"/>
          <w:color w:val="auto"/>
        </w:rPr>
        <w:t>Protection, registration and vesting of Works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Executive shall immediately on request by the Company (whether during or after the Employment) and at the expense of the</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Company:</w:t>
      </w:r>
    </w:p>
    <w:p>
      <w:pPr>
        <w:spacing w:after="0" w:line="167" w:lineRule="exact"/>
        <w:rPr>
          <w:sz w:val="20"/>
          <w:szCs w:val="20"/>
          <w:color w:val="auto"/>
        </w:rPr>
      </w:pPr>
    </w:p>
    <w:p>
      <w:pPr>
        <w:ind w:left="1280" w:right="20" w:hanging="624"/>
        <w:spacing w:after="0" w:line="269" w:lineRule="auto"/>
        <w:tabs>
          <w:tab w:leader="none" w:pos="126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or join with the Company or any Group Company in applying for any Intellectual Property Rights or other protection or registration (“</w:t>
      </w:r>
      <w:r>
        <w:rPr>
          <w:rFonts w:ascii="Times New Roman" w:cs="Times New Roman" w:eastAsia="Times New Roman" w:hAnsi="Times New Roman"/>
          <w:sz w:val="20"/>
          <w:szCs w:val="20"/>
          <w:b w:val="1"/>
          <w:bCs w:val="1"/>
          <w:color w:val="auto"/>
        </w:rPr>
        <w:t>Protection</w:t>
      </w:r>
      <w:r>
        <w:rPr>
          <w:rFonts w:ascii="Times New Roman" w:cs="Times New Roman" w:eastAsia="Times New Roman" w:hAnsi="Times New Roman"/>
          <w:sz w:val="20"/>
          <w:szCs w:val="20"/>
          <w:color w:val="auto"/>
        </w:rPr>
        <w:t>”) in the United Kingdom and in any other part of the world for, or in relation to, any Works;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b w:val="1"/>
          <w:bCs w:val="1"/>
          <w:color w:val="auto"/>
        </w:rPr>
        <w:t>Waiver of rights by the Executive</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2" w:name="page93"/>
    <w:bookmarkEnd w:id="92"/>
    <w:p>
      <w:pPr>
        <w:ind w:left="1260" w:hanging="604"/>
        <w:spacing w:after="0"/>
        <w:tabs>
          <w:tab w:leader="none" w:pos="12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conferred by section 77 of that Act to be identified as the author of any such Works; and</w:t>
      </w:r>
    </w:p>
    <w:p>
      <w:pPr>
        <w:spacing w:after="0" w:line="188" w:lineRule="exact"/>
        <w:rPr>
          <w:rFonts w:ascii="Times New Roman" w:cs="Times New Roman" w:eastAsia="Times New Roman" w:hAnsi="Times New Roman"/>
          <w:sz w:val="20"/>
          <w:szCs w:val="20"/>
          <w:color w:val="auto"/>
        </w:rPr>
      </w:pPr>
    </w:p>
    <w:p>
      <w:pPr>
        <w:ind w:right="1700" w:firstLine="656"/>
        <w:spacing w:after="0" w:line="436" w:lineRule="auto"/>
        <w:tabs>
          <w:tab w:leader="none" w:pos="125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 conferred by section 80 of that Act not to have any such Works subjected to derogatory treatment. 17.5 </w:t>
      </w:r>
      <w:r>
        <w:rPr>
          <w:rFonts w:ascii="Times New Roman" w:cs="Times New Roman" w:eastAsia="Times New Roman" w:hAnsi="Times New Roman"/>
          <w:sz w:val="20"/>
          <w:szCs w:val="20"/>
          <w:b w:val="1"/>
          <w:bCs w:val="1"/>
          <w:color w:val="auto"/>
        </w:rPr>
        <w:t>Power of Attorney</w:t>
      </w:r>
    </w:p>
    <w:p>
      <w:pPr>
        <w:spacing w:after="0" w:line="2"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9"/>
          <w:szCs w:val="19"/>
          <w:b w:val="1"/>
          <w:bCs w:val="1"/>
          <w:color w:val="auto"/>
        </w:rPr>
        <w:t>Statutory rights</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Nothing in this Clause 16 shall be construed as restricting the rights of the Executive or the Company under sections 39 to 43 Patents Act 1977.</w:t>
      </w:r>
    </w:p>
    <w:p>
      <w:pPr>
        <w:spacing w:after="0" w:line="129" w:lineRule="exact"/>
        <w:rPr>
          <w:sz w:val="20"/>
          <w:szCs w:val="20"/>
          <w:color w:val="auto"/>
        </w:rPr>
      </w:pPr>
    </w:p>
    <w:p>
      <w:pPr>
        <w:ind w:left="620" w:hanging="612"/>
        <w:spacing w:after="0"/>
        <w:tabs>
          <w:tab w:leader="none" w:pos="62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b w:val="1"/>
          <w:bCs w:val="1"/>
          <w:color w:val="auto"/>
        </w:rPr>
        <w:t>Termination events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48" w:lineRule="exact"/>
        <w:rPr>
          <w:sz w:val="20"/>
          <w:szCs w:val="20"/>
          <w:color w:val="auto"/>
        </w:rPr>
      </w:pPr>
    </w:p>
    <w:p>
      <w:pPr>
        <w:ind w:left="1280" w:right="20" w:hanging="624"/>
        <w:spacing w:after="0" w:line="269" w:lineRule="auto"/>
        <w:tabs>
          <w:tab w:leader="none" w:pos="12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guilty of any gross misconduct or behaviour which tends to bring himself or the Company or any Group Company into disrepute; or</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Company; or</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fails to perform his duties to the reasonable satisfaction of the Company after having been given notice in writing of: (i) the areas of underperformance, and (ii) the improvements in performance that are reasonably required by the Company; and after a reasonable period of time to make the necessary improvements in performance; or</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becomes insolvent or bankrupt or compounds with or grants a trust deed for the benefit of his creditors; or</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has an order made against him disqualifying him from acting as a company director;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becomes of unsound mind;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3" w:name="page94"/>
    <w:bookmarkEnd w:id="93"/>
    <w:p>
      <w:pPr>
        <w:jc w:val="both"/>
        <w:ind w:left="1280" w:hanging="624"/>
        <w:spacing w:after="0" w:line="249" w:lineRule="auto"/>
        <w:tabs>
          <w:tab w:leader="none" w:pos="126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 or</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5" w:lineRule="auto"/>
        <w:tabs>
          <w:tab w:leader="none" w:pos="126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3 months following notice in writing if the Executive has been prevented by reason of ill health, injury or some other reason beyond his control from performing his duties under this Agreement for a period or periods aggregating at least ninety days in the preceding period of twenty-four consecutive months, provided that if at any time during the period of such notice and before the termination of the Employment the Executive shall provide a medical certificate satisfactory to the Company to the effect that he has fully recovered his physical and/or mental health and that no recurrence of illness or incapacity can reasonably be anticipated, the Company shall withdraw the notice.</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b w:val="1"/>
          <w:bCs w:val="1"/>
          <w:color w:val="auto"/>
        </w:rPr>
        <w:t>Company’s right to proceed</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While the Company will endeavour to deal fairly with allegations against the Executive, it reserves the right to proceed under Clause 17.1 without prior notice and without holding a hearing or inviting any representations from the Executive.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19"/>
          <w:szCs w:val="19"/>
          <w:b w:val="1"/>
          <w:bCs w:val="1"/>
          <w:color w:val="auto"/>
        </w:rPr>
        <w:t>Termination on resignation as director</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b w:val="1"/>
          <w:bCs w:val="1"/>
          <w:color w:val="auto"/>
        </w:rPr>
        <w:t>No damages or payment in lieu of notice</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In the event of the Employment being terminated pursuant to Clause 17.1 or 17.3,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149" w:lineRule="exact"/>
        <w:rPr>
          <w:sz w:val="20"/>
          <w:szCs w:val="20"/>
          <w:color w:val="auto"/>
        </w:rPr>
      </w:pPr>
    </w:p>
    <w:p>
      <w:pPr>
        <w:ind w:left="620" w:hanging="612"/>
        <w:spacing w:after="0"/>
        <w:tabs>
          <w:tab w:leader="none" w:pos="6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EVENTS UPON TERMINATION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b w:val="1"/>
          <w:bCs w:val="1"/>
          <w:color w:val="auto"/>
        </w:rPr>
        <w:t>Obligations upon termination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Immediately upon the termination of the Employment howsoever arising, the Executive shall:</w:t>
      </w:r>
    </w:p>
    <w:p>
      <w:pPr>
        <w:spacing w:after="0" w:line="189" w:lineRule="exact"/>
        <w:rPr>
          <w:sz w:val="20"/>
          <w:szCs w:val="20"/>
          <w:color w:val="auto"/>
        </w:rPr>
      </w:pPr>
    </w:p>
    <w:p>
      <w:pPr>
        <w:jc w:val="both"/>
        <w:ind w:left="1280" w:hanging="624"/>
        <w:spacing w:after="0" w:line="247" w:lineRule="auto"/>
        <w:tabs>
          <w:tab w:leader="none" w:pos="126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Company all Works, materials within the scope of Clause 15.2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 (without claim for compensation) as a director and from all other offices held by him in the Company or any Group Company or otherwise by virtue of the Employment. For the avoidance of doubt, such resignations shall be without prejudice to any claims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4" w:name="page95"/>
    <w:bookmarkEnd w:id="94"/>
    <w:p>
      <w:pPr>
        <w:ind w:left="1280"/>
        <w:spacing w:after="0"/>
        <w:rPr>
          <w:sz w:val="20"/>
          <w:szCs w:val="20"/>
          <w:color w:val="auto"/>
        </w:rPr>
      </w:pPr>
      <w:r>
        <w:rPr>
          <w:rFonts w:ascii="Times New Roman" w:cs="Times New Roman" w:eastAsia="Times New Roman" w:hAnsi="Times New Roman"/>
          <w:sz w:val="20"/>
          <w:szCs w:val="20"/>
          <w:color w:val="auto"/>
        </w:rPr>
        <w:t>the Executive may have against the Company or any Group Company arising out of the termination of the Employment; and</w:t>
      </w:r>
    </w:p>
    <w:p>
      <w:pPr>
        <w:spacing w:after="0" w:line="202" w:lineRule="exact"/>
        <w:rPr>
          <w:sz w:val="20"/>
          <w:szCs w:val="20"/>
          <w:color w:val="auto"/>
        </w:rPr>
      </w:pPr>
    </w:p>
    <w:p>
      <w:pPr>
        <w:ind w:left="1280" w:hanging="624"/>
        <w:spacing w:after="0" w:line="269" w:lineRule="auto"/>
        <w:tabs>
          <w:tab w:leader="none" w:pos="12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without payment, to the Company, or as the Company may direct, any shares or other securities held by the Executive as nominee or trustee for the Company or any Group Company;</w:t>
      </w:r>
    </w:p>
    <w:p>
      <w:pPr>
        <w:spacing w:after="0" w:line="13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and should the Executive fail to do so the Company is hereby irrevocably authorised to appoint some person to sign any documents and/or do all things in his name and on his behalf necessary to give effect thereto,</w:t>
      </w:r>
    </w:p>
    <w:p>
      <w:pPr>
        <w:spacing w:after="0" w:line="200" w:lineRule="exact"/>
        <w:rPr>
          <w:sz w:val="20"/>
          <w:szCs w:val="20"/>
          <w:color w:val="auto"/>
        </w:rPr>
      </w:pPr>
    </w:p>
    <w:p>
      <w:pPr>
        <w:spacing w:after="0" w:line="347" w:lineRule="exact"/>
        <w:rPr>
          <w:sz w:val="20"/>
          <w:szCs w:val="20"/>
          <w:color w:val="auto"/>
        </w:rPr>
      </w:pPr>
    </w:p>
    <w:p>
      <w:pPr>
        <w:ind w:left="620" w:hanging="612"/>
        <w:spacing w:after="0"/>
        <w:tabs>
          <w:tab w:leader="none" w:pos="62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FFFFFF"/>
        </w:rPr>
        <w:t>2</w:t>
      </w:r>
      <w:r>
        <w:rPr>
          <w:rFonts w:ascii="Times New Roman" w:cs="Times New Roman" w:eastAsia="Times New Roman" w:hAnsi="Times New Roman"/>
          <w:sz w:val="20"/>
          <w:szCs w:val="20"/>
          <w:b w:val="1"/>
          <w:bCs w:val="1"/>
          <w:color w:val="000000"/>
        </w:rPr>
        <w:t>RESTRICTIONS AFTER TERMINATION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19.2 to 19.5. In this Clause 19, unless the context otherwise requires: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73" w:right="239" w:bottom="1440" w:gutter="0" w:footer="0" w:header="0"/>
        </w:sectPr>
      </w:pPr>
    </w:p>
    <w:bookmarkStart w:id="95" w:name="page96"/>
    <w:bookmarkEnd w:id="95"/>
    <w:tbl>
      <w:tblPr>
        <w:tblLayout w:type="fixed"/>
        <w:tblInd w:w="8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means any person to which the Company distributed, sold or supplied Restricted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Products or Restricted Services during the Relevant Period and with which, during that</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period either the Executive, or any employee under the direct or indirect supervision of</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the Executive, had material dealings in the course of the Employment, but always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excluding therefrom, any division, branch or office of such person with which the</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Executive and/or any such employee had no dealings during that period;</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Prospective Customer</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8"/>
              </w:rPr>
              <w:t>means any person with which the Company had discussions during the Relevant Period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regarding the possible distribution, sale or supply of Restricted Products or Restricted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Services and with which during such period the Executive, or any employee who was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under the direct or indirect supervision of the Executive, had material dealings in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course of the Employment, but always excluding therefrom any division, branch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office of that person with which the Executive and/or any such employee had no</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dealings during that period;</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8"/>
              </w:rPr>
              <w:t>means: (i) where the Employment is continuing, the period of the Employment; and (ii)</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where the Employment has terminated, the period of twelve months immediately</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preceding the Termination Date;</w:t>
            </w:r>
          </w:p>
        </w:tc>
      </w:tr>
      <w:tr>
        <w:trPr>
          <w:trHeight w:val="473"/>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w:t>
            </w:r>
          </w:p>
        </w:tc>
        <w:tc>
          <w:tcPr>
            <w:tcW w:w="14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means:</w:t>
            </w:r>
          </w:p>
        </w:tc>
        <w:tc>
          <w:tcPr>
            <w:tcW w:w="5880" w:type="dxa"/>
            <w:vAlign w:val="bottom"/>
          </w:tcPr>
          <w:p>
            <w:pPr>
              <w:spacing w:after="0"/>
              <w:rPr>
                <w:sz w:val="24"/>
                <w:szCs w:val="24"/>
                <w:color w:val="auto"/>
              </w:rPr>
            </w:pPr>
          </w:p>
        </w:tc>
      </w:tr>
      <w:tr>
        <w:trPr>
          <w:trHeight w:val="338"/>
        </w:trPr>
        <w:tc>
          <w:tcPr>
            <w:tcW w:w="2440" w:type="dxa"/>
            <w:vAlign w:val="bottom"/>
          </w:tcPr>
          <w:p>
            <w:pPr>
              <w:spacing w:after="0"/>
              <w:rPr>
                <w:sz w:val="24"/>
                <w:szCs w:val="24"/>
                <w:color w:val="auto"/>
              </w:rPr>
            </w:pPr>
          </w:p>
        </w:tc>
        <w:tc>
          <w:tcPr>
            <w:tcW w:w="734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(a)  the United Kingdom; and</w:t>
            </w:r>
          </w:p>
        </w:tc>
      </w:tr>
      <w:tr>
        <w:trPr>
          <w:trHeight w:val="390"/>
        </w:trPr>
        <w:tc>
          <w:tcPr>
            <w:tcW w:w="244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(b)</w:t>
            </w:r>
          </w:p>
        </w:tc>
        <w:tc>
          <w:tcPr>
            <w:tcW w:w="5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any other country in the world where, on the Termination Date, the</w:t>
            </w:r>
          </w:p>
        </w:tc>
      </w:tr>
      <w:tr>
        <w:trPr>
          <w:trHeight w:val="258"/>
        </w:trPr>
        <w:tc>
          <w:tcPr>
            <w:tcW w:w="2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Company dealt in Restricted Products or Restricted Services;</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Employee</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means any person who was a director, employee or consultant of the Company at any</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time within the Relevant Period who by reason of that position and in particular his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seniority and expertise or knowledge of Confidential Information or knowledge of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influence over the clients, customers or contacts of the Company is likely to cause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damage to the Company if he were to leave the employment of the Company and</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become employed by a competitor of the Company;</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means the period commencing on the Termination Date and, subject to the terms of</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Clause 19.4, continuing for twelve months;</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Products</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means any product, device, equipment or machinery researched into, developed,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manufactured, supplied, marketed, distributed or sold by the Company and with which</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the duties of the Executive were materially concerned or for which he was responsible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during the Relevant Period, or any products, equipment or machinery of the same type</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or materially similar to those products, equipment or machinery;</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Services</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means any services (including but not limited to technical and product support,</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technical advice and customer services) researched into, developed or supplied by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Company and with which the duties of the Executive were materially concerned or for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which he was responsible during the Relevant Period, or any services of the same type</w:t>
            </w:r>
          </w:p>
        </w:tc>
      </w:tr>
      <w:tr>
        <w:trPr>
          <w:trHeight w:val="258"/>
        </w:trPr>
        <w:tc>
          <w:tcPr>
            <w:tcW w:w="2440" w:type="dxa"/>
            <w:vAlign w:val="bottom"/>
          </w:tcPr>
          <w:p>
            <w:pPr>
              <w:spacing w:after="0"/>
              <w:rPr>
                <w:sz w:val="22"/>
                <w:szCs w:val="22"/>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or materially similar to those services;</w:t>
            </w:r>
          </w:p>
        </w:tc>
      </w:tr>
      <w:tr>
        <w:trPr>
          <w:trHeight w:val="444"/>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Supplier</w:t>
            </w:r>
            <w:r>
              <w:rPr>
                <w:rFonts w:ascii="Times New Roman" w:cs="Times New Roman" w:eastAsia="Times New Roman" w:hAnsi="Times New Roman"/>
                <w:sz w:val="20"/>
                <w:szCs w:val="20"/>
                <w:color w:val="auto"/>
              </w:rPr>
              <w:t>”</w:t>
            </w: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9"/>
              </w:rPr>
              <w:t>means any supplier, agent, distributor or other person who, during the Relevant Period</w:t>
            </w:r>
          </w:p>
        </w:tc>
      </w:tr>
      <w:tr>
        <w:trPr>
          <w:trHeight w:val="252"/>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was in the habit of dealing with the Company and with which, during that period, the</w:t>
            </w:r>
          </w:p>
        </w:tc>
      </w:tr>
    </w:tbl>
    <w:p>
      <w:pPr>
        <w:ind w:left="3680"/>
        <w:spacing w:after="0" w:line="246" w:lineRule="auto"/>
        <w:rPr>
          <w:sz w:val="20"/>
          <w:szCs w:val="20"/>
          <w:color w:val="auto"/>
        </w:rPr>
      </w:pPr>
      <w:r>
        <w:rPr>
          <w:rFonts w:ascii="Times New Roman" w:cs="Times New Roman" w:eastAsia="Times New Roman" w:hAnsi="Times New Roman"/>
          <w:sz w:val="20"/>
          <w:szCs w:val="20"/>
          <w:color w:val="auto"/>
        </w:rPr>
        <w:t>Executive, or any employee under the direct or indirect supervision of the Executive, had material dealings in the course of the Employment.</w:t>
      </w:r>
    </w:p>
    <w:p>
      <w:pPr>
        <w:spacing w:after="0" w:line="17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b w:val="1"/>
          <w:bCs w:val="1"/>
          <w:color w:val="auto"/>
        </w:rPr>
        <w:t>Restrictive covenants</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00"/>
          </w:cols>
          <w:pgMar w:left="240" w:top="518" w:right="10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0600"/>
          </w:cols>
          <w:pgMar w:left="240" w:top="518" w:right="1059" w:bottom="1440" w:gutter="0" w:footer="0" w:header="0"/>
          <w:type w:val="continuous"/>
        </w:sectPr>
      </w:pPr>
    </w:p>
    <w:bookmarkStart w:id="96" w:name="page97"/>
    <w:bookmarkEnd w:id="96"/>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Both during the Employment and during the Restricted Period, the Executive will not, without the prior written consent of the Company (such consent not to be unreasonably withheld), whether by himself, through his employees or agents or otherwise and whether on his own behalf or on behalf of any person, directly or indirectly:</w:t>
      </w:r>
    </w:p>
    <w:p>
      <w:pPr>
        <w:spacing w:after="0" w:line="148" w:lineRule="exact"/>
        <w:rPr>
          <w:sz w:val="20"/>
          <w:szCs w:val="20"/>
          <w:color w:val="auto"/>
        </w:rPr>
      </w:pPr>
    </w:p>
    <w:p>
      <w:pPr>
        <w:ind w:left="1280" w:hanging="624"/>
        <w:spacing w:after="0" w:line="269"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as to compete with the Company, solicit business from or canvas any Customer or Prospective Customer in respect of Restricted Products or Restricted Services;</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as to compete with the Company, accept orders from, act for or have any business dealings with, any Customer or Prospective Customer in respect of Restricted Products or Restricted Services;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5"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15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induce or endeavour to solicit or induce any person who was a Restricted Employee (and with whom the Executive had dealings during the Relevant Period) to cease working for or providing services to the Company, whether or not any such person would thereby commit a breach of contract;</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 or otherwise engage any Restricted Employee in the business of researching into, developing, manufacturing, distributing, selling, supplying or otherwise dealing with Restricted Products or Restricted Services if that business is, or seeks to be, in competition with the Company; or</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induce or endeavour to solicit or induce any Supplier to cease to deal with the Company and shall not interfere in any way with any relationship between a Supplier and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b w:val="1"/>
          <w:bCs w:val="1"/>
          <w:color w:val="auto"/>
        </w:rPr>
        <w:t>Application of restrictive covenants to other Group Companies</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Clause 19.2 shall also apply as though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in Clauses 19.1 and 19.2 include references to each Group Company in relation to which the Executive has in the course of the Employment or by reason of rendering services to or holding office in such Group Company:</w:t>
      </w:r>
    </w:p>
    <w:p>
      <w:pPr>
        <w:spacing w:after="0" w:line="146" w:lineRule="exact"/>
        <w:rPr>
          <w:sz w:val="20"/>
          <w:szCs w:val="20"/>
          <w:color w:val="auto"/>
        </w:rPr>
      </w:pPr>
    </w:p>
    <w:p>
      <w:pPr>
        <w:ind w:left="1260" w:hanging="604"/>
        <w:spacing w:after="0"/>
        <w:tabs>
          <w:tab w:leader="none" w:pos="12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knowledge of its products, services, trade secrets or Confidential Information;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personal dealings with its Customers or Prospective Customers;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supervised directly or indirectly employees having personal dealings with its Customers or Prospective Customers;</w:t>
      </w:r>
    </w:p>
    <w:p>
      <w:pPr>
        <w:spacing w:after="0" w:line="185"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20"/>
          <w:szCs w:val="20"/>
          <w:color w:val="auto"/>
        </w:rPr>
        <w:t>but so that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for this purpose be deemed to be references to the relevant Group Company. The obligations undertaken by the Executive pursuant to this Clause 19.3 shall, with respect to each Group Company, constitute a separate and distinct covenant in favour of and for the benefit of each Group Company and which shall be enforceable either by the particular Group Company or by the Company on behalf of the Group Company and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7" w:name="page98"/>
    <w:bookmarkEnd w:id="97"/>
    <w:p>
      <w:pPr>
        <w:jc w:val="both"/>
        <w:ind w:left="620" w:right="20"/>
        <w:spacing w:after="0" w:line="269" w:lineRule="auto"/>
        <w:rPr>
          <w:sz w:val="20"/>
          <w:szCs w:val="20"/>
          <w:color w:val="auto"/>
        </w:rPr>
      </w:pPr>
      <w:r>
        <w:rPr>
          <w:rFonts w:ascii="Times New Roman" w:cs="Times New Roman" w:eastAsia="Times New Roman" w:hAnsi="Times New Roman"/>
          <w:sz w:val="20"/>
          <w:szCs w:val="20"/>
          <w:color w:val="auto"/>
        </w:rPr>
        <w:t>invalidity or unenforceability of any such covenant shall not affect the validity or enforceability of the covenants in favour of any other Group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b w:val="1"/>
          <w:bCs w:val="1"/>
          <w:color w:val="auto"/>
        </w:rPr>
        <w:t>Effect of suspension on Restricted Period</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b w:val="1"/>
          <w:bCs w:val="1"/>
          <w:color w:val="auto"/>
        </w:rPr>
        <w:t>Further undertakings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Executive hereby undertakes to the Company that he will not at any time:</w:t>
      </w:r>
    </w:p>
    <w:p>
      <w:pPr>
        <w:spacing w:after="0" w:line="189" w:lineRule="exact"/>
        <w:rPr>
          <w:sz w:val="20"/>
          <w:szCs w:val="20"/>
          <w:color w:val="auto"/>
        </w:rPr>
      </w:pPr>
    </w:p>
    <w:p>
      <w:pPr>
        <w:jc w:val="both"/>
        <w:ind w:left="1280" w:hanging="624"/>
        <w:spacing w:after="0" w:line="254" w:lineRule="auto"/>
        <w:tabs>
          <w:tab w:leader="none" w:pos="12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Termination Date make any public statement in relation to the Company or any Group Company or any of their officers or employees; or</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b w:val="1"/>
          <w:bCs w:val="1"/>
          <w:color w:val="auto"/>
        </w:rPr>
        <w:t>Severance</w:t>
      </w:r>
    </w:p>
    <w:p>
      <w:pPr>
        <w:spacing w:after="0" w:line="193"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20"/>
          <w:szCs w:val="20"/>
          <w:color w:val="auto"/>
        </w:rPr>
        <w:t>The restrictions in this Clause 19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54" w:lineRule="exact"/>
        <w:rPr>
          <w:sz w:val="20"/>
          <w:szCs w:val="20"/>
          <w:color w:val="auto"/>
        </w:rPr>
      </w:pPr>
    </w:p>
    <w:p>
      <w:pPr>
        <w:ind w:left="620" w:hanging="612"/>
        <w:spacing w:after="0"/>
        <w:tabs>
          <w:tab w:leader="none" w:pos="6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RECONSTRUCTION AND AMALGAMATIONS</w:t>
      </w:r>
    </w:p>
    <w:p>
      <w:pPr>
        <w:spacing w:after="0" w:line="192" w:lineRule="exact"/>
        <w:rPr>
          <w:rFonts w:ascii="Times New Roman" w:cs="Times New Roman" w:eastAsia="Times New Roman" w:hAnsi="Times New Roman"/>
          <w:sz w:val="20"/>
          <w:szCs w:val="20"/>
          <w:b w:val="1"/>
          <w:bCs w:val="1"/>
          <w:color w:val="auto"/>
        </w:rPr>
      </w:pPr>
    </w:p>
    <w:p>
      <w:pPr>
        <w:jc w:val="both"/>
        <w:ind w:left="62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49"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DISCIPLINARY AND GRIEVANCE PROCEDURE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98" w:name="page99"/>
    <w:bookmarkEnd w:id="98"/>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b w:val="1"/>
          <w:bCs w:val="1"/>
          <w:color w:val="auto"/>
        </w:rPr>
        <w:t>Disciplinary procedures and grievance procedures</w:t>
      </w:r>
    </w:p>
    <w:p>
      <w:pPr>
        <w:spacing w:after="0" w:line="193" w:lineRule="exact"/>
        <w:rPr>
          <w:sz w:val="20"/>
          <w:szCs w:val="20"/>
          <w:color w:val="auto"/>
        </w:rPr>
      </w:pPr>
    </w:p>
    <w:p>
      <w:pPr>
        <w:jc w:val="both"/>
        <w:ind w:left="620" w:hanging="620"/>
        <w:spacing w:after="0" w:line="296" w:lineRule="auto"/>
        <w:rPr>
          <w:sz w:val="20"/>
          <w:szCs w:val="20"/>
          <w:color w:val="auto"/>
        </w:rPr>
      </w:pPr>
      <w:r>
        <w:rPr>
          <w:rFonts w:ascii="Times New Roman" w:cs="Times New Roman" w:eastAsia="Times New Roman" w:hAnsi="Times New Roman"/>
          <w:sz w:val="19"/>
          <w:szCs w:val="19"/>
          <w:color w:val="auto"/>
        </w:rPr>
        <w:t>22.1.1 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109"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0"/>
          <w:szCs w:val="20"/>
          <w:color w:val="auto"/>
        </w:rPr>
        <w:t>22.1.2 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144" w:lineRule="exact"/>
        <w:rPr>
          <w:sz w:val="20"/>
          <w:szCs w:val="20"/>
          <w:color w:val="auto"/>
        </w:rPr>
      </w:pPr>
    </w:p>
    <w:p>
      <w:pPr>
        <w:ind w:left="620" w:hanging="612"/>
        <w:spacing w:after="0"/>
        <w:tabs>
          <w:tab w:leader="none" w:pos="62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b w:val="1"/>
          <w:bCs w:val="1"/>
          <w:color w:val="auto"/>
        </w:rPr>
        <w:t>Provisions which survive termination</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b w:val="1"/>
          <w:bCs w:val="1"/>
          <w:color w:val="auto"/>
        </w:rPr>
        <w:t>No collective agreements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There are no collective agreements that directly affect the terms and conditions of the Employment.</w:t>
      </w:r>
    </w:p>
    <w:p>
      <w:pPr>
        <w:spacing w:after="0" w:line="185" w:lineRule="exact"/>
        <w:rPr>
          <w:sz w:val="20"/>
          <w:szCs w:val="20"/>
          <w:color w:val="auto"/>
        </w:rPr>
      </w:pPr>
    </w:p>
    <w:p>
      <w:pPr>
        <w:ind w:left="620" w:hanging="612"/>
        <w:spacing w:after="0"/>
        <w:tabs>
          <w:tab w:leader="none" w:pos="6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PROTECTION AND PRIVACY</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b w:val="1"/>
          <w:bCs w:val="1"/>
          <w:color w:val="auto"/>
        </w:rPr>
        <w:t>Data Protection</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23.1 applies to information held, used or disclosed in any medium.</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20"/>
          <w:szCs w:val="20"/>
          <w:b w:val="1"/>
          <w:bCs w:val="1"/>
          <w:color w:val="auto"/>
        </w:rPr>
        <w:t>Privacy</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All communications, whether by telephone, email, fax, or any other means, which are transmitted, undertaken or received using the Company’s IT or communications systems (“</w:t>
      </w:r>
      <w:r>
        <w:rPr>
          <w:rFonts w:ascii="Times New Roman" w:cs="Times New Roman" w:eastAsia="Times New Roman" w:hAnsi="Times New Roman"/>
          <w:sz w:val="20"/>
          <w:szCs w:val="20"/>
          <w:b w:val="1"/>
          <w:bCs w:val="1"/>
          <w:color w:val="auto"/>
        </w:rPr>
        <w:t>Company Systems</w:t>
      </w:r>
      <w:r>
        <w:rPr>
          <w:rFonts w:ascii="Times New Roman" w:cs="Times New Roman" w:eastAsia="Times New Roman" w:hAnsi="Times New Roman"/>
          <w:sz w:val="20"/>
          <w:szCs w:val="20"/>
          <w:color w:val="auto"/>
        </w:rPr>
        <w:t>”) or on Company premises will be treated by the Company as work 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150" w:lineRule="exact"/>
        <w:rPr>
          <w:sz w:val="20"/>
          <w:szCs w:val="20"/>
          <w:color w:val="auto"/>
        </w:rPr>
      </w:pPr>
    </w:p>
    <w:p>
      <w:pPr>
        <w:ind w:left="620" w:hanging="612"/>
        <w:spacing w:after="0"/>
        <w:tabs>
          <w:tab w:leader="none" w:pos="62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20"/>
          <w:szCs w:val="20"/>
          <w:b w:val="1"/>
          <w:bCs w:val="1"/>
          <w:color w:val="auto"/>
        </w:rPr>
        <w:t>Amendments</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b w:val="1"/>
          <w:bCs w:val="1"/>
          <w:color w:val="auto"/>
        </w:rPr>
        <w:t>Waivers and remedies cumulative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25.2.1 The rights of each party under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56" w:right="239" w:bottom="1440" w:gutter="0" w:footer="0" w:header="0"/>
        </w:sectPr>
      </w:pPr>
    </w:p>
    <w:bookmarkStart w:id="99" w:name="page100"/>
    <w:bookmarkEnd w:id="99"/>
    <w:p>
      <w:pPr>
        <w:ind w:left="1260" w:hanging="604"/>
        <w:spacing w:after="0"/>
        <w:tabs>
          <w:tab w:leader="none" w:pos="12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exercised as often as necessary;</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cumulative and not exclusive of its rights under the general law;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waived only in writing and specifically.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25.2.2 Delay in exercising or non-exercise of any right is not a waiver of that right.</w:t>
      </w:r>
    </w:p>
    <w:p>
      <w:pPr>
        <w:spacing w:after="0" w:line="189" w:lineRule="exact"/>
        <w:rPr>
          <w:sz w:val="20"/>
          <w:szCs w:val="20"/>
          <w:color w:val="auto"/>
        </w:rPr>
      </w:pPr>
    </w:p>
    <w:p>
      <w:pPr>
        <w:ind w:left="620" w:right="20" w:hanging="620"/>
        <w:spacing w:after="0" w:line="269" w:lineRule="auto"/>
        <w:rPr>
          <w:sz w:val="20"/>
          <w:szCs w:val="20"/>
          <w:color w:val="auto"/>
        </w:rPr>
      </w:pPr>
      <w:r>
        <w:rPr>
          <w:rFonts w:ascii="Times New Roman" w:cs="Times New Roman" w:eastAsia="Times New Roman" w:hAnsi="Times New Roman"/>
          <w:sz w:val="20"/>
          <w:szCs w:val="20"/>
          <w:color w:val="auto"/>
        </w:rPr>
        <w:t>25.2.3 Any right of rescission conferred upon the Company by this Agreement shall be in addition to and without prejudice to all other rights and remedies available to it.</w:t>
      </w:r>
    </w:p>
    <w:p>
      <w:pPr>
        <w:spacing w:after="0" w:line="129" w:lineRule="exact"/>
        <w:rPr>
          <w:sz w:val="20"/>
          <w:szCs w:val="20"/>
          <w:color w:val="auto"/>
        </w:rPr>
      </w:pPr>
    </w:p>
    <w:p>
      <w:pPr>
        <w:ind w:left="620" w:hanging="612"/>
        <w:spacing w:after="0"/>
        <w:tabs>
          <w:tab w:leader="none" w:pos="6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193" w:lineRule="exact"/>
        <w:rPr>
          <w:sz w:val="20"/>
          <w:szCs w:val="20"/>
          <w:color w:val="auto"/>
        </w:rPr>
      </w:pPr>
    </w:p>
    <w:p>
      <w:pPr>
        <w:jc w:val="both"/>
        <w:ind w:left="620" w:right="20" w:hanging="620"/>
        <w:spacing w:after="0" w:line="254" w:lineRule="auto"/>
        <w:rPr>
          <w:sz w:val="20"/>
          <w:szCs w:val="20"/>
          <w:color w:val="auto"/>
        </w:rPr>
      </w:pPr>
      <w:r>
        <w:rPr>
          <w:rFonts w:ascii="Times New Roman" w:cs="Times New Roman" w:eastAsia="Times New Roman" w:hAnsi="Times New Roman"/>
          <w:sz w:val="20"/>
          <w:szCs w:val="20"/>
          <w:color w:val="auto"/>
        </w:rPr>
        <w:t>26.1.1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48" w:lineRule="exact"/>
        <w:rPr>
          <w:sz w:val="20"/>
          <w:szCs w:val="20"/>
          <w:color w:val="auto"/>
        </w:rPr>
      </w:pPr>
    </w:p>
    <w:p>
      <w:pPr>
        <w:jc w:val="both"/>
        <w:ind w:left="620" w:hanging="620"/>
        <w:spacing w:after="0" w:line="269" w:lineRule="auto"/>
        <w:rPr>
          <w:sz w:val="20"/>
          <w:szCs w:val="20"/>
          <w:color w:val="auto"/>
        </w:rPr>
      </w:pPr>
      <w:r>
        <w:rPr>
          <w:rFonts w:ascii="Times New Roman" w:cs="Times New Roman" w:eastAsia="Times New Roman" w:hAnsi="Times New Roman"/>
          <w:sz w:val="20"/>
          <w:szCs w:val="20"/>
          <w:color w:val="auto"/>
        </w:rPr>
        <w:t>26.1.2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33" w:lineRule="exact"/>
        <w:rPr>
          <w:sz w:val="20"/>
          <w:szCs w:val="20"/>
          <w:color w:val="auto"/>
        </w:rPr>
      </w:pPr>
    </w:p>
    <w:p>
      <w:pPr>
        <w:jc w:val="both"/>
        <w:ind w:left="620" w:hanging="620"/>
        <w:spacing w:after="0" w:line="269" w:lineRule="auto"/>
        <w:rPr>
          <w:sz w:val="20"/>
          <w:szCs w:val="20"/>
          <w:color w:val="auto"/>
        </w:rPr>
      </w:pPr>
      <w:r>
        <w:rPr>
          <w:rFonts w:ascii="Times New Roman" w:cs="Times New Roman" w:eastAsia="Times New Roman" w:hAnsi="Times New Roman"/>
          <w:sz w:val="20"/>
          <w:szCs w:val="20"/>
          <w:color w:val="auto"/>
        </w:rPr>
        <w:t>26.1.3 Each party agrees that it shall have no claim for innocent or negligent misrepresentation or negligent misstatement based on any statement in this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26.1.4 Nothing in this Clause shall limit or exclude any liability for fraud.</w:t>
      </w:r>
    </w:p>
    <w:p>
      <w:pPr>
        <w:spacing w:after="0" w:line="185" w:lineRule="exact"/>
        <w:rPr>
          <w:sz w:val="20"/>
          <w:szCs w:val="20"/>
          <w:color w:val="auto"/>
        </w:rPr>
      </w:pPr>
    </w:p>
    <w:p>
      <w:pPr>
        <w:ind w:left="620" w:hanging="612"/>
        <w:spacing w:after="0"/>
        <w:tabs>
          <w:tab w:leader="none" w:pos="62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OUTSTANDING CLAIMS</w:t>
      </w:r>
    </w:p>
    <w:p>
      <w:pPr>
        <w:spacing w:after="0" w:line="192" w:lineRule="exact"/>
        <w:rPr>
          <w:rFonts w:ascii="Times New Roman" w:cs="Times New Roman" w:eastAsia="Times New Roman" w:hAnsi="Times New Roman"/>
          <w:sz w:val="20"/>
          <w:szCs w:val="20"/>
          <w:b w:val="1"/>
          <w:bCs w:val="1"/>
          <w:color w:val="auto"/>
        </w:rPr>
      </w:pPr>
    </w:p>
    <w:p>
      <w:pPr>
        <w:ind w:left="6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Executive hereby acknowledges that he has no outstanding claims of any kind against the Company or any Group Company (other than in respect of remuneration and expenses due to the date of this Agreement but not yet paid).</w:t>
      </w:r>
    </w:p>
    <w:p>
      <w:pPr>
        <w:spacing w:after="0" w:line="128"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w:t>
      </w:r>
    </w:p>
    <w:p>
      <w:pPr>
        <w:spacing w:after="0" w:line="192" w:lineRule="exact"/>
        <w:rPr>
          <w:rFonts w:ascii="Times New Roman" w:cs="Times New Roman" w:eastAsia="Times New Roman" w:hAnsi="Times New Roman"/>
          <w:sz w:val="20"/>
          <w:szCs w:val="20"/>
          <w:b w:val="1"/>
          <w:bCs w:val="1"/>
          <w:color w:val="auto"/>
        </w:rPr>
      </w:pPr>
    </w:p>
    <w:p>
      <w:pPr>
        <w:ind w:left="6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this Agreement is or becomes illegal, invalid or unenforceable in any jurisdiction, that shall not affect:</w:t>
      </w:r>
    </w:p>
    <w:p>
      <w:pPr>
        <w:spacing w:after="0" w:line="188" w:lineRule="exact"/>
        <w:rPr>
          <w:rFonts w:ascii="Times New Roman" w:cs="Times New Roman" w:eastAsia="Times New Roman" w:hAnsi="Times New Roman"/>
          <w:sz w:val="20"/>
          <w:szCs w:val="20"/>
          <w:b w:val="1"/>
          <w:bCs w:val="1"/>
          <w:color w:val="auto"/>
        </w:rPr>
      </w:pPr>
    </w:p>
    <w:p>
      <w:pPr>
        <w:ind w:left="1260" w:hanging="604"/>
        <w:spacing w:after="0"/>
        <w:tabs>
          <w:tab w:leader="none" w:pos="126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in that jurisdiction of any other provisions of this Agreement;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in any other jurisdiction of that or any other provision of this Agreement.</w:t>
      </w:r>
    </w:p>
    <w:p>
      <w:pPr>
        <w:spacing w:after="0" w:line="184"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FFFFFF"/>
        </w:rPr>
        <w:t>2</w:t>
      </w:r>
      <w:r>
        <w:rPr>
          <w:rFonts w:ascii="Times New Roman" w:cs="Times New Roman" w:eastAsia="Times New Roman" w:hAnsi="Times New Roman"/>
          <w:sz w:val="20"/>
          <w:szCs w:val="20"/>
          <w:b w:val="1"/>
          <w:bCs w:val="1"/>
          <w:color w:val="000000"/>
        </w:rPr>
        <w:t>NOTICE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19"/>
          <w:szCs w:val="19"/>
          <w:b w:val="1"/>
          <w:bCs w:val="1"/>
          <w:color w:val="auto"/>
        </w:rPr>
        <w:t>Notices and deemed receipt</w:t>
      </w:r>
    </w:p>
    <w:p>
      <w:pPr>
        <w:spacing w:after="0" w:line="193"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9"/>
          <w:szCs w:val="19"/>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139" w:lineRule="exact"/>
        <w:rPr>
          <w:sz w:val="20"/>
          <w:szCs w:val="20"/>
          <w:color w:val="auto"/>
        </w:rPr>
      </w:pPr>
    </w:p>
    <w:p>
      <w:pPr>
        <w:ind w:left="1260" w:hanging="604"/>
        <w:spacing w:after="0"/>
        <w:tabs>
          <w:tab w:leader="none" w:pos="12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personally, at the time of delivery;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100" w:name="page101"/>
    <w:bookmarkEnd w:id="100"/>
    <w:p>
      <w:pPr>
        <w:ind w:left="1260" w:hanging="604"/>
        <w:spacing w:after="0"/>
        <w:tabs>
          <w:tab w:leader="none" w:pos="12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pre-paid recorded delivery or registered post, 48 hours from the date of posting;</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registered airmail, five days from the date of posting;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fax or email, at the time of transmission;</w:t>
      </w:r>
    </w:p>
    <w:p>
      <w:pPr>
        <w:spacing w:after="0" w:line="189"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which is not a Saturday, a Sunday or a public holiday in the place at or to which the notice is left or sent.</w:t>
      </w:r>
    </w:p>
    <w:p>
      <w:pPr>
        <w:spacing w:after="0" w:line="149" w:lineRule="exact"/>
        <w:rPr>
          <w:sz w:val="20"/>
          <w:szCs w:val="20"/>
          <w:color w:val="auto"/>
        </w:rPr>
      </w:pPr>
    </w:p>
    <w:p>
      <w:pPr>
        <w:ind w:left="620" w:hanging="612"/>
        <w:spacing w:after="0"/>
        <w:tabs>
          <w:tab w:leader="none" w:pos="62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9"/>
          <w:szCs w:val="19"/>
          <w:b w:val="1"/>
          <w:bCs w:val="1"/>
          <w:color w:val="auto"/>
        </w:rPr>
        <w:t>Governing law</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This Agreement is governed by and to be construed in accordance with English law.</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b w:val="1"/>
          <w:bCs w:val="1"/>
          <w:color w:val="auto"/>
        </w:rPr>
        <w:t>Jurisdiction</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SV\1600310.5</w:t>
      </w:r>
    </w:p>
    <w:p>
      <w:pPr>
        <w:sectPr>
          <w:pgSz w:w="11900" w:h="16838" w:orient="portrait"/>
          <w:cols w:equalWidth="0" w:num="1">
            <w:col w:w="11420"/>
          </w:cols>
          <w:pgMar w:left="240" w:top="360"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auto"/>
        </w:rPr>
        <w:t xml:space="preserve">IN WITNESS </w:t>
      </w:r>
      <w:r>
        <w:rPr>
          <w:rFonts w:ascii="Times New Roman" w:cs="Times New Roman" w:eastAsia="Times New Roman" w:hAnsi="Times New Roman"/>
          <w:sz w:val="19"/>
          <w:szCs w:val="19"/>
          <w:color w:val="auto"/>
        </w:rPr>
        <w:t>of which this Agreement has been executed and delivered as a deed on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EXECUTED as a Deed</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by LIVANOVA PLC</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Elodie Maertens</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acting by Elodie Maertens,</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HR Director</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and a Witness</w:t>
            </w:r>
          </w:p>
        </w:tc>
        <w:tc>
          <w:tcPr>
            <w:tcW w:w="4500" w:type="dxa"/>
            <w:vAlign w:val="bottom"/>
            <w:vMerge w:val="restart"/>
          </w:tcPr>
          <w:p>
            <w:pPr>
              <w:ind w:left="122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4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Witness</w:t>
            </w:r>
          </w:p>
        </w:tc>
        <w:tc>
          <w:tcPr>
            <w:tcW w:w="0" w:type="dxa"/>
            <w:vAlign w:val="bottom"/>
          </w:tcPr>
          <w:p>
            <w:pPr>
              <w:spacing w:after="0"/>
              <w:rPr>
                <w:sz w:val="1"/>
                <w:szCs w:val="1"/>
                <w:color w:val="auto"/>
              </w:rPr>
            </w:pPr>
          </w:p>
        </w:tc>
      </w:tr>
      <w:tr>
        <w:trPr>
          <w:trHeight w:val="459"/>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Full Name:</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4"/>
                <w:szCs w:val="24"/>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4"/>
                <w:szCs w:val="24"/>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876"/>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EXECUTED as a Deed</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By Alistair Simpson</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Witness’s</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Full Name:</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45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4"/>
                <w:szCs w:val="24"/>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4"/>
                <w:szCs w:val="24"/>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89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SV\1600310.5</w:t>
            </w:r>
          </w:p>
        </w:tc>
        <w:tc>
          <w:tcPr>
            <w:tcW w:w="45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66"/>
        </w:trPr>
        <w:tc>
          <w:tcPr>
            <w:tcW w:w="2700" w:type="dxa"/>
            <w:vAlign w:val="bottom"/>
            <w:vMerge w:val="continue"/>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56"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Damien McDonald, certify that:</w:t>
      </w:r>
    </w:p>
    <w:p>
      <w:pPr>
        <w:spacing w:after="0" w:line="117" w:lineRule="exact"/>
        <w:rPr>
          <w:sz w:val="20"/>
          <w:szCs w:val="20"/>
          <w:color w:val="auto"/>
        </w:rPr>
      </w:pPr>
    </w:p>
    <w:p>
      <w:pPr>
        <w:ind w:firstLine="332"/>
        <w:spacing w:after="0" w:line="282" w:lineRule="auto"/>
        <w:tabs>
          <w:tab w:leader="none" w:pos="58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2019,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0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6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1, 2019</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30"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Thad Huston, certify that:</w:t>
      </w:r>
    </w:p>
    <w:p>
      <w:pPr>
        <w:spacing w:after="0" w:line="117" w:lineRule="exact"/>
        <w:rPr>
          <w:sz w:val="20"/>
          <w:szCs w:val="20"/>
          <w:color w:val="auto"/>
        </w:rPr>
      </w:pPr>
    </w:p>
    <w:p>
      <w:pPr>
        <w:ind w:firstLine="332"/>
        <w:spacing w:after="0" w:line="282" w:lineRule="auto"/>
        <w:tabs>
          <w:tab w:leader="none" w:pos="58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2019,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6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1, 2019</w:t>
      </w: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738"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Damien McDonald, Chief Executive Officer of LivaNova PLC (the “Company”), and Thad Huston, Chief Financial Officer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hereby certifies pursuant to 18 U.S.C. Section 1350, as adopted pursuant to Section 906 of the Sarbanes-Oxley Act of 2002, that to the best of his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w:t>
      </w:r>
    </w:p>
    <w:p>
      <w:pPr>
        <w:spacing w:after="0" w:line="306" w:lineRule="exact"/>
        <w:rPr>
          <w:sz w:val="20"/>
          <w:szCs w:val="20"/>
          <w:color w:val="auto"/>
        </w:rPr>
      </w:pPr>
    </w:p>
    <w:p>
      <w:pPr>
        <w:jc w:val="both"/>
        <w:ind w:firstLine="548"/>
        <w:spacing w:after="0" w:line="485" w:lineRule="auto"/>
        <w:tabs>
          <w:tab w:leader="none" w:pos="8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 ended March 31, 2019, as filed with the Securities and Exchange Commission on the date hereof (the “Report”), fully complies with the requirements of Section 13(a) or 15(d) of the Securities Exchange Act of 1934, as amended; and</w:t>
      </w:r>
    </w:p>
    <w:p>
      <w:pPr>
        <w:spacing w:after="0" w:line="68" w:lineRule="exact"/>
        <w:rPr>
          <w:rFonts w:ascii="Times New Roman" w:cs="Times New Roman" w:eastAsia="Times New Roman" w:hAnsi="Times New Roman"/>
          <w:sz w:val="18"/>
          <w:szCs w:val="18"/>
          <w:color w:val="auto"/>
        </w:rPr>
      </w:pPr>
    </w:p>
    <w:p>
      <w:pPr>
        <w:ind w:left="840" w:hanging="292"/>
        <w:spacing w:after="0"/>
        <w:tabs>
          <w:tab w:leader="none" w:pos="8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 2019</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1)"/>
      <w:numFmt w:val="decimal"/>
      <w:start w:val="1"/>
    </w:lvl>
  </w:abstractNum>
  <w:abstractNum w:abstractNumId="7">
    <w:nsid w:val="1716703B"/>
    <w:multiLevelType w:val="hybridMultilevel"/>
    <w:lvl w:ilvl="0">
      <w:lvlJc w:val="left"/>
      <w:lvlText w:val="(%1)"/>
      <w:numFmt w:val="decimal"/>
      <w:start w:val="1"/>
    </w:lvl>
  </w:abstractNum>
  <w:abstractNum w:abstractNumId="8">
    <w:nsid w:val="14E17E33"/>
    <w:multiLevelType w:val="hybridMultilevel"/>
    <w:lvl w:ilvl="0">
      <w:lvlJc w:val="left"/>
      <w:lvlText w:val="(%1)"/>
      <w:numFmt w:val="decimal"/>
      <w:start w:val="1"/>
    </w:lvl>
  </w:abstractNum>
  <w:abstractNum w:abstractNumId="9">
    <w:nsid w:val="3222E7CD"/>
    <w:multiLevelType w:val="hybridMultilevel"/>
    <w:lvl w:ilvl="0">
      <w:lvlJc w:val="left"/>
      <w:lvlText w:val="(%1)"/>
      <w:numFmt w:val="decimal"/>
      <w:start w:val="1"/>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1)"/>
      <w:numFmt w:val="decimal"/>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1)"/>
      <w:numFmt w:val="decimal"/>
      <w:start w:val="1"/>
    </w:lvl>
  </w:abstractNum>
  <w:abstractNum w:abstractNumId="17">
    <w:nsid w:val="CC1016F"/>
    <w:multiLevelType w:val="hybridMultilevel"/>
    <w:lvl w:ilvl="0">
      <w:lvlJc w:val="left"/>
      <w:lvlText w:val="(%1)"/>
      <w:numFmt w:val="decimal"/>
      <w:start w:val="1"/>
    </w:lvl>
  </w:abstractNum>
  <w:abstractNum w:abstractNumId="18">
    <w:nsid w:val="43F18422"/>
    <w:multiLevelType w:val="hybridMultilevel"/>
    <w:lvl w:ilvl="0">
      <w:lvlJc w:val="left"/>
      <w:lvlText w:val="(%1)"/>
      <w:numFmt w:val="decimal"/>
      <w:start w:val="1"/>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lowerLetter"/>
      <w:start w:val="1"/>
    </w:lvl>
  </w:abstractNum>
  <w:abstractNum w:abstractNumId="23">
    <w:nsid w:val="7055A5F5"/>
    <w:multiLevelType w:val="hybridMultilevel"/>
    <w:lvl w:ilvl="0">
      <w:lvlJc w:val="left"/>
      <w:lvlText w:val="(%1)"/>
      <w:numFmt w:val="lowerLetter"/>
      <w:start w:val="1"/>
    </w:lvl>
  </w:abstractNum>
  <w:abstractNum w:abstractNumId="24">
    <w:nsid w:val="5FB8370B"/>
    <w:multiLevelType w:val="hybridMultilevel"/>
    <w:lvl w:ilvl="0">
      <w:lvlJc w:val="left"/>
      <w:lvlText w:val="%1."/>
      <w:numFmt w:val="decimal"/>
      <w:start w:val="2"/>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1"/>
      <w:numFmt w:val="decimal"/>
      <w:start w:val="1"/>
    </w:lvl>
    <w:lvl w:ilvl="1">
      <w:lvlJc w:val="left"/>
      <w:lvlText w:val="(%2)"/>
      <w:numFmt w:val="lowerLetter"/>
      <w:start w:val="4"/>
    </w:lvl>
  </w:abstractNum>
  <w:abstractNum w:abstractNumId="27">
    <w:nsid w:val="5FB8011C"/>
    <w:multiLevelType w:val="hybridMultilevel"/>
    <w:lvl w:ilvl="0">
      <w:lvlJc w:val="left"/>
      <w:lvlText w:val="%1."/>
      <w:numFmt w:val="decimal"/>
      <w:start w:val="3"/>
    </w:lvl>
    <w:lvl w:ilvl="1">
      <w:lvlJc w:val="left"/>
      <w:lvlText w:val="%2"/>
      <w:numFmt w:val="lowerLetter"/>
      <w:start w:val="1"/>
    </w:lvl>
  </w:abstractNum>
  <w:abstractNum w:abstractNumId="28">
    <w:nsid w:val="6AA78F7F"/>
    <w:multiLevelType w:val="hybridMultilevel"/>
    <w:lvl w:ilvl="0">
      <w:lvlJc w:val="left"/>
      <w:lvlText w:val="%1."/>
      <w:numFmt w:val="decimal"/>
      <w:start w:val="4"/>
    </w:lvl>
  </w:abstractNum>
  <w:abstractNum w:abstractNumId="29">
    <w:nsid w:val="7672BD23"/>
    <w:multiLevelType w:val="hybridMultilevel"/>
    <w:lvl w:ilvl="0">
      <w:lvlJc w:val="left"/>
      <w:lvlText w:val="%1."/>
      <w:numFmt w:val="decimal"/>
      <w:start w:val="5"/>
    </w:lvl>
    <w:lvl w:ilvl="1">
      <w:lvlJc w:val="left"/>
      <w:lvlText w:val="(%2)"/>
      <w:numFmt w:val="lowerLetter"/>
      <w:start w:val="1"/>
    </w:lvl>
  </w:abstractNum>
  <w:abstractNum w:abstractNumId="30">
    <w:nsid w:val="6FC75AF8"/>
    <w:multiLevelType w:val="hybridMultilevel"/>
    <w:lvl w:ilvl="0">
      <w:lvlJc w:val="left"/>
      <w:lvlText w:val="%1"/>
      <w:numFmt w:val="decimal"/>
      <w:start w:val="1"/>
    </w:lvl>
    <w:lvl w:ilvl="1">
      <w:lvlJc w:val="left"/>
      <w:lvlText w:val="(%2)"/>
      <w:numFmt w:val="lowerLetter"/>
      <w:start w:val="2"/>
    </w:lvl>
  </w:abstractNum>
  <w:abstractNum w:abstractNumId="31">
    <w:nsid w:val="6A5F7029"/>
    <w:multiLevelType w:val="hybridMultilevel"/>
    <w:lvl w:ilvl="0">
      <w:lvlJc w:val="left"/>
      <w:lvlText w:val="%1."/>
      <w:numFmt w:val="decimal"/>
      <w:start w:val="6"/>
    </w:lvl>
    <w:lvl w:ilvl="1">
      <w:lvlJc w:val="left"/>
      <w:lvlText w:val="%2"/>
      <w:numFmt w:val="lowerLetter"/>
      <w:start w:val="1"/>
    </w:lvl>
  </w:abstractNum>
  <w:abstractNum w:abstractNumId="32">
    <w:nsid w:val="7D5E18F8"/>
    <w:multiLevelType w:val="hybridMultilevel"/>
    <w:lvl w:ilvl="0">
      <w:lvlJc w:val="left"/>
      <w:lvlText w:val="(%1)"/>
      <w:numFmt w:val="lowerLetter"/>
      <w:start w:val="1"/>
    </w:lvl>
  </w:abstractNum>
  <w:abstractNum w:abstractNumId="33">
    <w:nsid w:val="5F3534A4"/>
    <w:multiLevelType w:val="hybridMultilevel"/>
    <w:lvl w:ilvl="0">
      <w:lvlJc w:val="left"/>
      <w:lvlText w:val="%1."/>
      <w:numFmt w:val="decimal"/>
      <w:start w:val="7"/>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Letter"/>
      <w:start w:val="1"/>
    </w:lvl>
    <w:lvl w:ilvl="1">
      <w:lvlJc w:val="left"/>
      <w:lvlText w:val="(%2)"/>
      <w:numFmt w:val="lowerRoman"/>
      <w:start w:val="1"/>
    </w:lvl>
  </w:abstractNum>
  <w:abstractNum w:abstractNumId="36">
    <w:nsid w:val="555C55B5"/>
    <w:multiLevelType w:val="hybridMultilevel"/>
    <w:lvl w:ilvl="0">
      <w:lvlJc w:val="left"/>
      <w:lvlText w:val="(%1)"/>
      <w:numFmt w:val="lowerLetter"/>
      <w:start w:val="2"/>
    </w:lvl>
    <w:lvl w:ilvl="1">
      <w:lvlJc w:val="left"/>
      <w:lvlText w:val="%2"/>
      <w:numFmt w:val="lowerRoman"/>
      <w:start w:val="1"/>
    </w:lvl>
  </w:abstractNum>
  <w:abstractNum w:abstractNumId="37">
    <w:nsid w:val="3FA62ACA"/>
    <w:multiLevelType w:val="hybridMultilevel"/>
    <w:lvl w:ilvl="0">
      <w:lvlJc w:val="left"/>
      <w:lvlText w:val="(%1)"/>
      <w:numFmt w:val="lowerLetter"/>
      <w:start w:val="1"/>
    </w:lvl>
    <w:lvl w:ilvl="1">
      <w:lvlJc w:val="left"/>
      <w:lvlText w:val="(%2)"/>
      <w:numFmt w:val="lowerRoman"/>
      <w:start w:val="1"/>
    </w:lvl>
  </w:abstractNum>
  <w:abstractNum w:abstractNumId="38">
    <w:nsid w:val="14FCE74E"/>
    <w:multiLevelType w:val="hybridMultilevel"/>
    <w:lvl w:ilvl="0">
      <w:lvlJc w:val="left"/>
      <w:lvlText w:val="(%1)"/>
      <w:numFmt w:val="lowerRoman"/>
      <w:start w:val="2"/>
    </w:lvl>
  </w:abstractNum>
  <w:abstractNum w:abstractNumId="39">
    <w:nsid w:val="6A3DD3E8"/>
    <w:multiLevelType w:val="hybridMultilevel"/>
    <w:lvl w:ilvl="0">
      <w:lvlJc w:val="left"/>
      <w:lvlText w:val="%1."/>
      <w:numFmt w:val="decimal"/>
      <w:start w:val="8"/>
    </w:lvl>
    <w:lvl w:ilvl="1">
      <w:lvlJc w:val="left"/>
      <w:lvlText w:val="(%2)"/>
      <w:numFmt w:val="lowerLetter"/>
      <w:start w:val="1"/>
    </w:lvl>
  </w:abstractNum>
  <w:abstractNum w:abstractNumId="40">
    <w:nsid w:val="71C91298"/>
    <w:multiLevelType w:val="hybridMultilevel"/>
    <w:lvl w:ilvl="0">
      <w:lvlJc w:val="left"/>
      <w:lvlText w:val="%1."/>
      <w:numFmt w:val="decimal"/>
      <w:start w:val="10"/>
    </w:lvl>
  </w:abstractNum>
  <w:abstractNum w:abstractNumId="41">
    <w:nsid w:val="9DAF632"/>
    <w:multiLevelType w:val="hybridMultilevel"/>
    <w:lvl w:ilvl="0">
      <w:lvlJc w:val="left"/>
      <w:lvlText w:val="%1."/>
      <w:numFmt w:val="decimal"/>
      <w:start w:val="11"/>
    </w:lvl>
  </w:abstractNum>
  <w:abstractNum w:abstractNumId="42">
    <w:nsid w:val="53299938"/>
    <w:multiLevelType w:val="hybridMultilevel"/>
    <w:lvl w:ilvl="0">
      <w:lvlJc w:val="left"/>
      <w:lvlText w:val="%1."/>
      <w:numFmt w:val="decimal"/>
      <w:start w:val="12"/>
    </w:lvl>
  </w:abstractNum>
  <w:abstractNum w:abstractNumId="43">
    <w:nsid w:val="1FBFE8E0"/>
    <w:multiLevelType w:val="hybridMultilevel"/>
    <w:lvl w:ilvl="0">
      <w:lvlJc w:val="left"/>
      <w:lvlText w:val="%1."/>
      <w:numFmt w:val="decimal"/>
      <w:start w:val="13"/>
    </w:lvl>
  </w:abstractNum>
  <w:abstractNum w:abstractNumId="44">
    <w:nsid w:val="5092CA79"/>
    <w:multiLevelType w:val="hybridMultilevel"/>
    <w:lvl w:ilvl="0">
      <w:lvlJc w:val="left"/>
      <w:lvlText w:val="%1."/>
      <w:numFmt w:val="decimal"/>
      <w:start w:val="14"/>
    </w:lvl>
  </w:abstractNum>
  <w:abstractNum w:abstractNumId="45">
    <w:nsid w:val="1D545C4D"/>
    <w:multiLevelType w:val="hybridMultilevel"/>
    <w:lvl w:ilvl="0">
      <w:lvlJc w:val="left"/>
      <w:lvlText w:val="%1."/>
      <w:numFmt w:val="decimal"/>
      <w:start w:val="15"/>
    </w:lvl>
  </w:abstractNum>
  <w:abstractNum w:abstractNumId="46">
    <w:nsid w:val="59ADEA3D"/>
    <w:multiLevelType w:val="hybridMultilevel"/>
    <w:lvl w:ilvl="0">
      <w:lvlJc w:val="left"/>
      <w:lvlText w:val="%1."/>
      <w:numFmt w:val="decimal"/>
      <w:start w:val="16"/>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1"/>
    </w:lvl>
  </w:abstractNum>
  <w:abstractNum w:abstractNumId="49">
    <w:nsid w:val="1D9F6E5F"/>
    <w:multiLevelType w:val="hybridMultilevel"/>
    <w:lvl w:ilvl="0">
      <w:lvlJc w:val="left"/>
      <w:lvlText w:val="(%1)"/>
      <w:numFmt w:val="lowerLetter"/>
      <w:start w:val="2"/>
    </w:lvl>
  </w:abstractNum>
  <w:abstractNum w:abstractNumId="50">
    <w:nsid w:val="97E1B4E"/>
    <w:multiLevelType w:val="hybridMultilevel"/>
    <w:lvl w:ilvl="0">
      <w:lvlJc w:val="left"/>
      <w:lvlText w:val="(%1)"/>
      <w:numFmt w:val="decimal"/>
      <w:start w:val="1"/>
    </w:lvl>
  </w:abstractNum>
  <w:abstractNum w:abstractNumId="51">
    <w:nsid w:val="51088277"/>
    <w:multiLevelType w:val="hybridMultilevel"/>
    <w:lvl w:ilvl="0">
      <w:lvlJc w:val="left"/>
      <w:lvlText w:val="(%1)"/>
      <w:numFmt w:val="decimal"/>
      <w:start w:val="1"/>
    </w:lvl>
  </w:abstractNum>
  <w:abstractNum w:abstractNumId="52">
    <w:nsid w:val="1CA0C5FA"/>
    <w:multiLevelType w:val="hybridMultilevel"/>
    <w:lvl w:ilvl="0">
      <w:lvlJc w:val="left"/>
      <w:lvlText w:val="(%1)"/>
      <w:numFmt w:val="lowerLetter"/>
      <w:start w:val="3"/>
    </w:lvl>
  </w:abstractNum>
  <w:abstractNum w:abstractNumId="53">
    <w:nsid w:val="53584BCB"/>
    <w:multiLevelType w:val="hybridMultilevel"/>
    <w:lvl w:ilvl="0">
      <w:lvlJc w:val="left"/>
      <w:lvlText w:val="%1."/>
      <w:numFmt w:val="decimal"/>
      <w:start w:val="1"/>
    </w:lvl>
    <w:lvl w:ilvl="1">
      <w:lvlJc w:val="left"/>
      <w:lvlText w:val="(%2)"/>
      <w:numFmt w:val="lowerLetter"/>
      <w:start w:val="1"/>
    </w:lvl>
  </w:abstractNum>
  <w:abstractNum w:abstractNumId="54">
    <w:nsid w:val="415E286C"/>
    <w:multiLevelType w:val="hybridMultilevel"/>
    <w:lvl w:ilvl="0">
      <w:lvlJc w:val="left"/>
      <w:lvlText w:val="%1"/>
      <w:numFmt w:val="decimal"/>
      <w:start w:val="1"/>
    </w:lvl>
    <w:lvl w:ilvl="1">
      <w:lvlJc w:val="left"/>
      <w:lvlText w:val="(%2)"/>
      <w:numFmt w:val="lowerLetter"/>
      <w:start w:val="2"/>
    </w:lvl>
  </w:abstractNum>
  <w:abstractNum w:abstractNumId="55">
    <w:nsid w:val="7C58FD05"/>
    <w:multiLevelType w:val="hybridMultilevel"/>
    <w:lvl w:ilvl="0">
      <w:lvlJc w:val="left"/>
      <w:lvlText w:val="%1."/>
      <w:numFmt w:val="decimal"/>
      <w:start w:val="2"/>
    </w:lvl>
    <w:lvl w:ilvl="1">
      <w:lvlJc w:val="left"/>
      <w:lvlText w:val="(%2)"/>
      <w:numFmt w:val="lowerLetter"/>
      <w:start w:val="1"/>
    </w:lvl>
  </w:abstractNum>
  <w:abstractNum w:abstractNumId="56">
    <w:nsid w:val="23D86AAC"/>
    <w:multiLevelType w:val="hybridMultilevel"/>
    <w:lvl w:ilvl="0">
      <w:lvlJc w:val="left"/>
      <w:lvlText w:val="%1."/>
      <w:numFmt w:val="decimal"/>
      <w:start w:val="6"/>
    </w:lvl>
    <w:lvl w:ilvl="1">
      <w:lvlJc w:val="left"/>
      <w:lvlText w:val="(%2)"/>
      <w:numFmt w:val="lowerLetter"/>
      <w:start w:val="1"/>
    </w:lvl>
  </w:abstractNum>
  <w:abstractNum w:abstractNumId="57">
    <w:nsid w:val="45E6D486"/>
    <w:multiLevelType w:val="hybridMultilevel"/>
    <w:lvl w:ilvl="0">
      <w:lvlJc w:val="left"/>
      <w:lvlText w:val="%1."/>
      <w:numFmt w:val="decimal"/>
      <w:start w:val="8"/>
    </w:lvl>
    <w:lvl w:ilvl="1">
      <w:lvlJc w:val="left"/>
      <w:lvlText w:val="(%2)"/>
      <w:numFmt w:val="lowerLetter"/>
      <w:start w:val="1"/>
    </w:lvl>
  </w:abstractNum>
  <w:abstractNum w:abstractNumId="58">
    <w:nsid w:val="5C10FE21"/>
    <w:multiLevelType w:val="hybridMultilevel"/>
    <w:lvl w:ilvl="0">
      <w:lvlJc w:val="left"/>
      <w:lvlText w:val="%1."/>
      <w:numFmt w:val="decimal"/>
      <w:start w:val="11"/>
    </w:lvl>
    <w:lvl w:ilvl="1">
      <w:lvlJc w:val="left"/>
      <w:lvlText w:val="(%2)"/>
      <w:numFmt w:val="lowerLetter"/>
      <w:start w:val="1"/>
    </w:lvl>
  </w:abstractNum>
  <w:abstractNum w:abstractNumId="59">
    <w:nsid w:val="E7FFA2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0">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4BD8591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2">
    <w:nsid w:val="78DF6A55"/>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63">
    <w:nsid w:val="39B7AAA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2B0D8DBE"/>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65">
    <w:nsid w:val="6C80EC70"/>
    <w:multiLevelType w:val="hybridMultilevel"/>
    <w:lvl w:ilvl="0">
      <w:lvlJc w:val="left"/>
      <w:lvlText w:val="%1."/>
      <w:numFmt w:val="decimal"/>
      <w:start w:val="1"/>
    </w:lvl>
    <w:lvl w:ilvl="1">
      <w:lvlJc w:val="left"/>
      <w:lvlText w:val="(%2)"/>
      <w:numFmt w:val="lowerLetter"/>
      <w:start w:val="1"/>
    </w:lvl>
  </w:abstractNum>
  <w:abstractNum w:abstractNumId="66">
    <w:nsid w:val="379E21B5"/>
    <w:multiLevelType w:val="hybridMultilevel"/>
    <w:lvl w:ilvl="0">
      <w:lvlJc w:val="left"/>
      <w:lvlText w:val="%1."/>
      <w:numFmt w:val="decimal"/>
      <w:start w:val="3"/>
    </w:lvl>
  </w:abstractNum>
  <w:abstractNum w:abstractNumId="67">
    <w:nsid w:val="69E373"/>
    <w:multiLevelType w:val="hybridMultilevel"/>
    <w:lvl w:ilvl="0">
      <w:lvlJc w:val="left"/>
      <w:lvlText w:val="(%1)"/>
      <w:numFmt w:val="lowerLetter"/>
      <w:start w:val="1"/>
    </w:lvl>
  </w:abstractNum>
  <w:abstractNum w:abstractNumId="68">
    <w:nsid w:val="2C27173B"/>
    <w:multiLevelType w:val="hybridMultilevel"/>
    <w:lvl w:ilvl="0">
      <w:lvlJc w:val="left"/>
      <w:lvlText w:val="(%1)"/>
      <w:numFmt w:val="lowerLetter"/>
      <w:start w:val="1"/>
    </w:lvl>
  </w:abstractNum>
  <w:abstractNum w:abstractNumId="69">
    <w:nsid w:val="4C9B0904"/>
    <w:multiLevelType w:val="hybridMultilevel"/>
    <w:lvl w:ilvl="0">
      <w:lvlJc w:val="left"/>
      <w:lvlText w:val="(%1)"/>
      <w:numFmt w:val="lowerLetter"/>
      <w:start w:val="1"/>
    </w:lvl>
  </w:abstractNum>
  <w:abstractNum w:abstractNumId="70">
    <w:nsid w:val="6AA7B75C"/>
    <w:multiLevelType w:val="hybridMultilevel"/>
    <w:lvl w:ilvl="0">
      <w:lvlJc w:val="left"/>
      <w:lvlText w:val="%1."/>
      <w:numFmt w:val="decimal"/>
      <w:start w:val="1"/>
    </w:lvl>
    <w:lvl w:ilvl="1">
      <w:lvlJc w:val="left"/>
      <w:lvlText w:val="(%2)"/>
      <w:numFmt w:val="lowerLetter"/>
      <w:start w:val="1"/>
    </w:lvl>
  </w:abstractNum>
  <w:abstractNum w:abstractNumId="71">
    <w:nsid w:val="1DF029D3"/>
    <w:multiLevelType w:val="hybridMultilevel"/>
    <w:lvl w:ilvl="0">
      <w:lvlJc w:val="left"/>
      <w:lvlText w:val="%1."/>
      <w:numFmt w:val="decimal"/>
      <w:start w:val="2"/>
    </w:lvl>
  </w:abstractNum>
  <w:abstractNum w:abstractNumId="72">
    <w:nsid w:val="5675FF36"/>
    <w:multiLevelType w:val="hybridMultilevel"/>
    <w:lvl w:ilvl="0">
      <w:lvlJc w:val="left"/>
      <w:lvlText w:val="%1"/>
      <w:numFmt w:val="decimal"/>
      <w:start w:val="1"/>
    </w:lvl>
    <w:lvl w:ilvl="1">
      <w:lvlJc w:val="left"/>
      <w:lvlText w:val="(%2)"/>
      <w:numFmt w:val="lowerLetter"/>
      <w:start w:val="1"/>
    </w:lvl>
  </w:abstractNum>
  <w:abstractNum w:abstractNumId="73">
    <w:nsid w:val="3DD15094"/>
    <w:multiLevelType w:val="hybridMultilevel"/>
    <w:lvl w:ilvl="0">
      <w:lvlJc w:val="left"/>
      <w:lvlText w:val="%1."/>
      <w:numFmt w:val="decimal"/>
      <w:start w:val="4"/>
    </w:lvl>
    <w:lvl w:ilvl="1">
      <w:lvlJc w:val="left"/>
      <w:lvlText w:val="(%2)"/>
      <w:numFmt w:val="lowerLetter"/>
      <w:start w:val="1"/>
    </w:lvl>
  </w:abstractNum>
  <w:abstractNum w:abstractNumId="74">
    <w:nsid w:val="3DB012B3"/>
    <w:multiLevelType w:val="hybridMultilevel"/>
    <w:lvl w:ilvl="0">
      <w:lvlJc w:val="left"/>
      <w:lvlText w:val="%1."/>
      <w:numFmt w:val="decimal"/>
      <w:start w:val="5"/>
    </w:lvl>
    <w:lvl w:ilvl="1">
      <w:lvlJc w:val="left"/>
      <w:lvlText w:val="(%2)"/>
      <w:numFmt w:val="lowerLetter"/>
      <w:start w:val="1"/>
    </w:lvl>
  </w:abstractNum>
  <w:abstractNum w:abstractNumId="75">
    <w:nsid w:val="2708C9AF"/>
    <w:multiLevelType w:val="hybridMultilevel"/>
    <w:lvl w:ilvl="0">
      <w:lvlJc w:val="left"/>
      <w:lvlText w:val="%1."/>
      <w:numFmt w:val="decimal"/>
      <w:start w:val="8"/>
    </w:lvl>
    <w:lvl w:ilvl="1">
      <w:lvlJc w:val="left"/>
      <w:lvlText w:val="(%2)"/>
      <w:numFmt w:val="lowerLetter"/>
      <w:start w:val="1"/>
    </w:lvl>
  </w:abstractNum>
  <w:abstractNum w:abstractNumId="76">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7">
    <w:nsid w:val="175DFCF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8">
    <w:nsid w:val="4F97E3E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9">
    <w:nsid w:val="53B0A9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0">
    <w:nsid w:val="34FD6B4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81">
    <w:nsid w:val="5915FF32"/>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82">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519E314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4">
    <w:nsid w:val="2C6E4AF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5">
    <w:nsid w:val="17A1B582"/>
    <w:multiLevelType w:val="hybridMultilevel"/>
    <w:lvl w:ilvl="0">
      <w:lvlJc w:val="left"/>
      <w:lvlText w:val="%1"/>
      <w:numFmt w:val="decimal"/>
      <w:start w:val="1"/>
    </w:lvl>
    <w:lvl w:ilvl="1">
      <w:lvlJc w:val="left"/>
      <w:lvlText w:val="(%2)"/>
      <w:numFmt w:val="lowerLetter"/>
      <w:start w:val="2"/>
    </w:lvl>
  </w:abstractNum>
  <w:abstractNum w:abstractNumId="86">
    <w:nsid w:val="4DF72E4E"/>
    <w:multiLevelType w:val="hybridMultilevel"/>
    <w:lvl w:ilvl="0">
      <w:lvlJc w:val="left"/>
      <w:lvlText w:val="%1."/>
      <w:numFmt w:val="decimal"/>
      <w:start w:val="8"/>
    </w:lvl>
    <w:lvl w:ilvl="1">
      <w:lvlJc w:val="left"/>
      <w:lvlText w:val="(%2)"/>
      <w:numFmt w:val="lowerLetter"/>
      <w:start w:val="1"/>
    </w:lvl>
  </w:abstractNum>
  <w:abstractNum w:abstractNumId="87">
    <w:nsid w:val="5046B5A9"/>
    <w:multiLevelType w:val="hybridMultilevel"/>
    <w:lvl w:ilvl="0">
      <w:lvlJc w:val="left"/>
      <w:lvlText w:val="%1."/>
      <w:numFmt w:val="decimal"/>
      <w:start w:val="14"/>
    </w:lvl>
  </w:abstractNum>
  <w:abstractNum w:abstractNumId="88">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2A082C70"/>
    <w:multiLevelType w:val="hybridMultilevel"/>
    <w:lvl w:ilvl="0">
      <w:lvlJc w:val="left"/>
      <w:lvlText w:val="(%1)"/>
      <w:numFmt w:val="lowerLetter"/>
      <w:start w:val="1"/>
    </w:lvl>
  </w:abstractNum>
  <w:abstractNum w:abstractNumId="90">
    <w:nsid w:val="5EC6AFD4"/>
    <w:multiLevelType w:val="hybridMultilevel"/>
    <w:lvl w:ilvl="0">
      <w:lvlJc w:val="left"/>
      <w:lvlText w:val="(%1)"/>
      <w:numFmt w:val="lowerLetter"/>
      <w:start w:val="1"/>
    </w:lvl>
  </w:abstractNum>
  <w:abstractNum w:abstractNumId="91">
    <w:nsid w:val="19E21BB2"/>
    <w:multiLevelType w:val="hybridMultilevel"/>
    <w:lvl w:ilvl="0">
      <w:lvlJc w:val="left"/>
      <w:lvlText w:val="(%1)"/>
      <w:numFmt w:val="lowerLetter"/>
      <w:start w:val="1"/>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1"/>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lowerLetter"/>
      <w:start w:val="1"/>
    </w:lvl>
    <w:lvl w:ilvl="1">
      <w:lvlJc w:val="left"/>
      <w:lvlText w:val="(%2)"/>
      <w:numFmt w:val="lowerRoman"/>
      <w:start w:val="1"/>
    </w:lvl>
  </w:abstractNum>
  <w:abstractNum w:abstractNumId="97">
    <w:nsid w:val="B37E80A"/>
    <w:multiLevelType w:val="hybridMultilevel"/>
    <w:lvl w:ilvl="0">
      <w:lvlJc w:val="left"/>
      <w:lvlText w:val="(%1)"/>
      <w:numFmt w:val="lowerLetter"/>
      <w:start w:val="1"/>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1"/>
    </w:lvl>
    <w:lvl w:ilvl="1">
      <w:lvlJc w:val="left"/>
      <w:lvlText w:val="(%2)"/>
      <w:numFmt w:val="lowerRoman"/>
      <w:start w:val="1"/>
    </w:lvl>
  </w:abstractNum>
  <w:abstractNum w:abstractNumId="101">
    <w:nsid w:val="BFFAE18"/>
    <w:multiLevelType w:val="hybridMultilevel"/>
    <w:lvl w:ilvl="0">
      <w:lvlJc w:val="left"/>
      <w:lvlText w:val="(%1)"/>
      <w:numFmt w:val="lowerLetter"/>
      <w:start w:val="4"/>
    </w:lvl>
    <w:lvl w:ilvl="1">
      <w:lvlJc w:val="left"/>
      <w:lvlText w:val="(%2)"/>
      <w:numFmt w:val="lowerRoman"/>
      <w:start w:val="1"/>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lowerLetter"/>
      <w:start w:val="1"/>
    </w:lvl>
  </w:abstractNum>
  <w:abstractNum w:abstractNumId="106">
    <w:nsid w:val="5551B9F3"/>
    <w:multiLevelType w:val="hybridMultilevel"/>
    <w:lvl w:ilvl="0">
      <w:lvlJc w:val="left"/>
      <w:lvlText w:val="(%1)"/>
      <w:numFmt w:val="decimal"/>
      <w:start w:val="1"/>
    </w:lvl>
  </w:abstractNum>
  <w:abstractNum w:abstractNumId="107">
    <w:nsid w:val="24F6AB8E"/>
    <w:multiLevelType w:val="hybridMultilevel"/>
    <w:lvl w:ilvl="0">
      <w:lvlJc w:val="left"/>
      <w:lvlText w:val="%1."/>
      <w:numFmt w:val="decimal"/>
      <w:start w:val="1"/>
    </w:lvl>
  </w:abstractNum>
  <w:abstractNum w:abstractNumId="108">
    <w:nsid w:val="634C574C"/>
    <w:multiLevelType w:val="hybridMultilevel"/>
    <w:lvl w:ilvl="0">
      <w:lvlJc w:val="left"/>
      <w:lvlText w:val="(%1)"/>
      <w:numFmt w:val="lowerLetter"/>
      <w:start w:val="1"/>
    </w:lvl>
  </w:abstractNum>
  <w:abstractNum w:abstractNumId="109">
    <w:nsid w:val="24E99DD7"/>
    <w:multiLevelType w:val="hybridMultilevel"/>
    <w:lvl w:ilvl="0">
      <w:lvlJc w:val="left"/>
      <w:lvlText w:val="(%1)"/>
      <w:numFmt w:val="lowerLetter"/>
      <w:start w:val="4"/>
    </w:lvl>
  </w:abstractNum>
  <w:abstractNum w:abstractNumId="110">
    <w:nsid w:val="2A31B62D"/>
    <w:multiLevelType w:val="hybridMultilevel"/>
    <w:lvl w:ilvl="0">
      <w:lvlJc w:val="left"/>
      <w:lvlText w:val="%1."/>
      <w:numFmt w:val="decimal"/>
      <w:start w:val="2"/>
    </w:lvl>
  </w:abstractNum>
  <w:abstractNum w:abstractNumId="111">
    <w:nsid w:val="1849C29B"/>
    <w:multiLevelType w:val="hybridMultilevel"/>
    <w:lvl w:ilvl="0">
      <w:lvlJc w:val="left"/>
      <w:lvlText w:val="%1."/>
      <w:numFmt w:val="decimal"/>
      <w:start w:val="3"/>
    </w:lvl>
  </w:abstractNum>
  <w:abstractNum w:abstractNumId="112">
    <w:nsid w:val="7DFF9D09"/>
    <w:multiLevelType w:val="hybridMultilevel"/>
    <w:lvl w:ilvl="0">
      <w:lvlJc w:val="left"/>
      <w:lvlText w:val="(%1)"/>
      <w:numFmt w:val="lowerLetter"/>
      <w:start w:val="1"/>
    </w:lvl>
  </w:abstractNum>
  <w:abstractNum w:abstractNumId="113">
    <w:nsid w:val="754342"/>
    <w:multiLevelType w:val="hybridMultilevel"/>
    <w:lvl w:ilvl="0">
      <w:lvlJc w:val="left"/>
      <w:lvlText w:val="%1."/>
      <w:numFmt w:val="decimal"/>
      <w:start w:val="4"/>
    </w:lvl>
  </w:abstractNum>
  <w:abstractNum w:abstractNumId="114">
    <w:nsid w:val="69E7F3E5"/>
    <w:multiLevelType w:val="hybridMultilevel"/>
    <w:lvl w:ilvl="0">
      <w:lvlJc w:val="left"/>
      <w:lvlText w:val="%1."/>
      <w:numFmt w:val="decimal"/>
      <w:start w:val="5"/>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3"/>
    </w:lvl>
  </w:abstractNum>
  <w:abstractNum w:abstractNumId="117">
    <w:nsid w:val="37DF2233"/>
    <w:multiLevelType w:val="hybridMultilevel"/>
    <w:lvl w:ilvl="0">
      <w:lvlJc w:val="left"/>
      <w:lvlText w:val="(%1)"/>
      <w:numFmt w:val="lowerLetter"/>
      <w:start w:val="1"/>
    </w:lvl>
  </w:abstractNum>
  <w:abstractNum w:abstractNumId="118">
    <w:nsid w:val="7AB49DAF"/>
    <w:multiLevelType w:val="hybridMultilevel"/>
    <w:lvl w:ilvl="0">
      <w:lvlJc w:val="left"/>
      <w:lvlText w:val="%1."/>
      <w:numFmt w:val="decimal"/>
      <w:start w:val="6"/>
    </w:lvl>
  </w:abstractNum>
  <w:abstractNum w:abstractNumId="119">
    <w:nsid w:val="759F82CD"/>
    <w:multiLevelType w:val="hybridMultilevel"/>
    <w:lvl w:ilvl="0">
      <w:lvlJc w:val="left"/>
      <w:lvlText w:val="%1."/>
      <w:numFmt w:val="decimal"/>
      <w:start w:val="7"/>
    </w:lvl>
  </w:abstractNum>
  <w:abstractNum w:abstractNumId="120">
    <w:nsid w:val="61E74EA3"/>
    <w:multiLevelType w:val="hybridMultilevel"/>
    <w:lvl w:ilvl="0">
      <w:lvlJc w:val="left"/>
      <w:lvlText w:val="%1."/>
      <w:numFmt w:val="decimal"/>
      <w:start w:val="8"/>
    </w:lvl>
  </w:abstractNum>
  <w:abstractNum w:abstractNumId="121">
    <w:nsid w:val="597B4D84"/>
    <w:multiLevelType w:val="hybridMultilevel"/>
    <w:lvl w:ilvl="0">
      <w:lvlJc w:val="left"/>
      <w:lvlText w:val="%1."/>
      <w:numFmt w:val="decimal"/>
      <w:start w:val="10"/>
    </w:lvl>
  </w:abstractNum>
  <w:abstractNum w:abstractNumId="122">
    <w:nsid w:val="F819E7F"/>
    <w:multiLevelType w:val="hybridMultilevel"/>
    <w:lvl w:ilvl="0">
      <w:lvlJc w:val="left"/>
      <w:lvlText w:val="%1."/>
      <w:numFmt w:val="decimal"/>
      <w:start w:val="11"/>
    </w:lvl>
  </w:abstractNum>
  <w:abstractNum w:abstractNumId="123">
    <w:nsid w:val="57C7D42D"/>
    <w:multiLevelType w:val="hybridMultilevel"/>
    <w:lvl w:ilvl="0">
      <w:lvlJc w:val="left"/>
      <w:lvlText w:val="(%1)"/>
      <w:numFmt w:val="lowerLetter"/>
      <w:start w:val="1"/>
    </w:lvl>
  </w:abstractNum>
  <w:abstractNum w:abstractNumId="124">
    <w:nsid w:val="312167AD"/>
    <w:multiLevelType w:val="hybridMultilevel"/>
    <w:lvl w:ilvl="0">
      <w:lvlJc w:val="left"/>
      <w:lvlText w:val="(%1)"/>
      <w:numFmt w:val="lowerLetter"/>
      <w:start w:val="2"/>
    </w:lvl>
  </w:abstractNum>
  <w:abstractNum w:abstractNumId="125">
    <w:nsid w:val="631B64D4"/>
    <w:multiLevelType w:val="hybridMultilevel"/>
    <w:lvl w:ilvl="0">
      <w:lvlJc w:val="left"/>
      <w:lvlText w:val="%1."/>
      <w:numFmt w:val="decimal"/>
      <w:start w:val="12"/>
    </w:lvl>
  </w:abstractNum>
  <w:abstractNum w:abstractNumId="126">
    <w:nsid w:val="78B5E776"/>
    <w:multiLevelType w:val="hybridMultilevel"/>
    <w:lvl w:ilvl="0">
      <w:lvlJc w:val="left"/>
      <w:lvlText w:val="%1."/>
      <w:numFmt w:val="decimal"/>
      <w:start w:val="13"/>
    </w:lvl>
  </w:abstractNum>
  <w:abstractNum w:abstractNumId="127">
    <w:nsid w:val="75486E47"/>
    <w:multiLevelType w:val="hybridMultilevel"/>
    <w:lvl w:ilvl="0">
      <w:lvlJc w:val="left"/>
      <w:lvlText w:val="%1."/>
      <w:numFmt w:val="decimal"/>
      <w:start w:val="14"/>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1">
    <w:nsid w:val="46263DE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decimal"/>
      <w:start w:val="16"/>
    </w:lvl>
  </w:abstractNum>
  <w:abstractNum w:abstractNumId="134">
    <w:nsid w:val="746F2E30"/>
    <w:multiLevelType w:val="hybridMultilevel"/>
    <w:lvl w:ilvl="0">
      <w:lvlJc w:val="left"/>
      <w:lvlText w:val="(%1)"/>
      <w:numFmt w:val="lowerLetter"/>
      <w:start w:val="1"/>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decimal"/>
      <w:start w:val="17"/>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1"/>
    </w:lvl>
  </w:abstractNum>
  <w:abstractNum w:abstractNumId="139">
    <w:nsid w:val="230F856C"/>
    <w:multiLevelType w:val="hybridMultilevel"/>
    <w:lvl w:ilvl="0">
      <w:lvlJc w:val="left"/>
      <w:lvlText w:val="%1."/>
      <w:numFmt w:val="decimal"/>
      <w:start w:val="18"/>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lowerLetter"/>
      <w:start w:val="8"/>
    </w:lvl>
  </w:abstractNum>
  <w:abstractNum w:abstractNumId="142">
    <w:nsid w:val="3B594807"/>
    <w:multiLevelType w:val="hybridMultilevel"/>
    <w:lvl w:ilvl="0">
      <w:lvlJc w:val="left"/>
      <w:lvlText w:val="%1."/>
      <w:numFmt w:val="decimal"/>
      <w:start w:val="19"/>
    </w:lvl>
  </w:abstractNum>
  <w:abstractNum w:abstractNumId="143">
    <w:nsid w:val="6CAA2304"/>
    <w:multiLevelType w:val="hybridMultilevel"/>
    <w:lvl w:ilvl="0">
      <w:lvlJc w:val="left"/>
      <w:lvlText w:val="(%1)"/>
      <w:numFmt w:val="lowerLetter"/>
      <w:start w:val="1"/>
    </w:lvl>
  </w:abstractNum>
  <w:abstractNum w:abstractNumId="144">
    <w:nsid w:val="3F7C2FF4"/>
    <w:multiLevelType w:val="hybridMultilevel"/>
    <w:lvl w:ilvl="0">
      <w:lvlJc w:val="left"/>
      <w:lvlText w:val="(%1)"/>
      <w:numFmt w:val="lowerLetter"/>
      <w:start w:val="3"/>
    </w:lvl>
  </w:abstractNum>
  <w:abstractNum w:abstractNumId="145">
    <w:nsid w:val="25413BEC"/>
    <w:multiLevelType w:val="hybridMultilevel"/>
    <w:lvl w:ilvl="0">
      <w:lvlJc w:val="left"/>
      <w:lvlText w:val="%1."/>
      <w:numFmt w:val="decimal"/>
      <w:start w:val="20"/>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lowerLetter"/>
      <w:start w:val="1"/>
    </w:lvl>
  </w:abstractNum>
  <w:abstractNum w:abstractNumId="148">
    <w:nsid w:val="5D205E20"/>
    <w:multiLevelType w:val="hybridMultilevel"/>
    <w:lvl w:ilvl="0">
      <w:lvlJc w:val="left"/>
      <w:lvlText w:val="(%1)"/>
      <w:numFmt w:val="lowerLetter"/>
      <w:start w:val="1"/>
    </w:lvl>
  </w:abstractNum>
  <w:abstractNum w:abstractNumId="149">
    <w:nsid w:val="11CCA8BA"/>
    <w:multiLevelType w:val="hybridMultilevel"/>
    <w:lvl w:ilvl="0">
      <w:lvlJc w:val="left"/>
      <w:lvlText w:val="%1."/>
      <w:numFmt w:val="decimal"/>
      <w:start w:val="21"/>
    </w:lvl>
  </w:abstractNum>
  <w:abstractNum w:abstractNumId="150">
    <w:nsid w:val="4D32AB86"/>
    <w:multiLevelType w:val="hybridMultilevel"/>
    <w:lvl w:ilvl="0">
      <w:lvlJc w:val="left"/>
      <w:lvlText w:val="%1."/>
      <w:numFmt w:val="decimal"/>
      <w:start w:val="23"/>
    </w:lvl>
  </w:abstractNum>
  <w:abstractNum w:abstractNumId="151">
    <w:nsid w:val="3F07ACC3"/>
    <w:multiLevelType w:val="hybridMultilevel"/>
    <w:lvl w:ilvl="0">
      <w:lvlJc w:val="left"/>
      <w:lvlText w:val="%1."/>
      <w:numFmt w:val="decimal"/>
      <w:start w:val="24"/>
    </w:lvl>
  </w:abstractNum>
  <w:abstractNum w:abstractNumId="152">
    <w:nsid w:val="6B47F63E"/>
    <w:multiLevelType w:val="hybridMultilevel"/>
    <w:lvl w:ilvl="0">
      <w:lvlJc w:val="left"/>
      <w:lvlText w:val="%1."/>
      <w:numFmt w:val="decimal"/>
      <w:start w:val="25"/>
    </w:lvl>
  </w:abstractNum>
  <w:abstractNum w:abstractNumId="153">
    <w:nsid w:val="5CB44A05"/>
    <w:multiLevelType w:val="hybridMultilevel"/>
    <w:lvl w:ilvl="0">
      <w:lvlJc w:val="left"/>
      <w:lvlText w:val="(%1)"/>
      <w:numFmt w:val="lowerLetter"/>
      <w:start w:val="1"/>
    </w:lvl>
  </w:abstractNum>
  <w:abstractNum w:abstractNumId="154">
    <w:nsid w:val="16CF80F1"/>
    <w:multiLevelType w:val="hybridMultilevel"/>
    <w:lvl w:ilvl="0">
      <w:lvlJc w:val="left"/>
      <w:lvlText w:val="%1."/>
      <w:numFmt w:val="decimal"/>
      <w:start w:val="26"/>
    </w:lvl>
  </w:abstractNum>
  <w:abstractNum w:abstractNumId="155">
    <w:nsid w:val="1C695DEC"/>
    <w:multiLevelType w:val="hybridMultilevel"/>
    <w:lvl w:ilvl="0">
      <w:lvlJc w:val="left"/>
      <w:lvlText w:val="%1."/>
      <w:numFmt w:val="decimal"/>
      <w:start w:val="27"/>
    </w:lvl>
    <w:lvl w:ilvl="1">
      <w:lvlJc w:val="left"/>
      <w:lvlText w:val="(%2)"/>
      <w:numFmt w:val="lowerLetter"/>
      <w:start w:val="1"/>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1)"/>
      <w:numFmt w:val="lowerLetter"/>
      <w:start w:val="2"/>
    </w:lvl>
  </w:abstractNum>
  <w:abstractNum w:abstractNumId="158">
    <w:nsid w:val="11B1CC33"/>
    <w:multiLevelType w:val="hybridMultilevel"/>
    <w:lvl w:ilvl="0">
      <w:lvlJc w:val="left"/>
      <w:lvlText w:val="%1."/>
      <w:numFmt w:val="decimal"/>
      <w:start w:val="30"/>
    </w:lvl>
  </w:abstractNum>
  <w:abstractNum w:abstractNumId="159">
    <w:nsid w:val="2E22FBB7"/>
    <w:multiLevelType w:val="hybridMultilevel"/>
    <w:lvl w:ilvl="0">
      <w:lvlJc w:val="left"/>
      <w:lvlText w:val="%1."/>
      <w:numFmt w:val="decimal"/>
      <w:start w:val="1"/>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1."/>
      <w:numFmt w:val="decimal"/>
      <w:start w:val="5"/>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lowerLetter"/>
      <w:start w:val="1"/>
    </w:lvl>
  </w:abstractNum>
  <w:abstractNum w:abstractNumId="165">
    <w:nsid w:val="68B867D3"/>
    <w:multiLevelType w:val="hybridMultilevel"/>
    <w:lvl w:ilvl="0">
      <w:lvlJc w:val="left"/>
      <w:lvlText w:val="%1."/>
      <w:numFmt w:val="decimal"/>
      <w:start w:val="5"/>
    </w:lvl>
  </w:abstractNum>
  <w:abstractNum w:abstractNumId="166">
    <w:nsid w:val="3F7F5DD9"/>
    <w:multiLevelType w:val="hybridMultilevel"/>
    <w:lvl w:ilvl="0">
      <w:lvlJc w:val="left"/>
      <w:lvlText w:val="(%1)"/>
      <w:numFmt w:val="lowerLetter"/>
      <w:start w:val="1"/>
    </w:lvl>
  </w:abstractNum>
  <w:abstractNum w:abstractNumId="167">
    <w:nsid w:val="2AE05A3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3" Type="http://schemas.openxmlformats.org/officeDocument/2006/relationships/hyperlink" Target="http://www.sec.gov/Archives/edgar/data/1639691/000119312518074964/d542715dex21.htm" TargetMode="External"/><Relationship Id="rId14" Type="http://schemas.openxmlformats.org/officeDocument/2006/relationships/hyperlink" Target="http://www.sec.gov/Archives/edgar/data/1639691/000163969117000060/exhibit31livanovaarticleso.htm" TargetMode="External"/><Relationship Id="rId15" Type="http://schemas.openxmlformats.org/officeDocument/2006/relationships/hyperlink" Target="http://www.sec.gov/Archives/edgar/data/1639691/000163969119000027/ex101_livanova2019stiprevi.htm" TargetMode="External"/><Relationship Id="rId16" Type="http://schemas.openxmlformats.org/officeDocument/2006/relationships/hyperlink" Target="http://www.sec.gov/Archives/edgar/data/1639691/000163969119000048/livanova8-kfacilityagreeme.htm" TargetMode="External"/><Relationship Id="rId17" Type="http://schemas.openxmlformats.org/officeDocument/2006/relationships/hyperlink" Target="http://www.sec.gov/Archives/edgar/data/1639691/000163969119000052/ex10_12019livanovalong-ter.htm" TargetMode="External"/><Relationship Id="rId18" Type="http://schemas.openxmlformats.org/officeDocument/2006/relationships/hyperlink" Target="http://www.sec.gov/Archives/edgar/data/1639691/000163969119000052/ex10_2formof2019ltiprsuawa.htm" TargetMode="External"/><Relationship Id="rId19" Type="http://schemas.openxmlformats.org/officeDocument/2006/relationships/hyperlink" Target="http://www.sec.gov/Archives/edgar/data/1639691/000163969119000052/ex10_4formof2019ltippsuawa.htm" TargetMode="External"/><Relationship Id="rId20" Type="http://schemas.openxmlformats.org/officeDocument/2006/relationships/hyperlink" Target="http://www.sec.gov/Archives/edgar/data/1639691/000163969119000052/ex10_5formof2019ltippsua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2019-12-28T13:16:24Z</dcterms:created>
  <dcterms:modified xsi:type="dcterms:W3CDTF">2019-12-28T13:16:24Z</dcterms:modified>
</cp:coreProperties>
</file>