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219075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127000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659"/>
        <w:spacing w:after="0"/>
        <w:rPr>
          <w:sz w:val="20"/>
          <w:szCs w:val="20"/>
          <w:color w:val="auto"/>
        </w:rPr>
      </w:pPr>
      <w:r>
        <w:rPr>
          <w:rFonts w:ascii="Arial" w:cs="Arial" w:eastAsia="Arial" w:hAnsi="Arial"/>
          <w:sz w:val="32"/>
          <w:szCs w:val="32"/>
          <w:color w:val="auto"/>
        </w:rPr>
        <w:t>CURRENT REPORT</w:t>
      </w:r>
    </w:p>
    <w:p>
      <w:pPr>
        <w:spacing w:after="0" w:line="20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Date of Report (February 22, 2017): February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194945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392430</wp:posOffset>
            </wp:positionV>
            <wp:extent cx="147510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64770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England and Wales</w:t>
            </w:r>
          </w:p>
        </w:tc>
        <w:tc>
          <w:tcPr>
            <w:tcW w:w="3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27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3140" w:type="dxa"/>
            <w:vAlign w:val="bottom"/>
          </w:tcPr>
          <w:p>
            <w:pPr>
              <w:jc w:val="center"/>
              <w:ind w:right="1110"/>
              <w:spacing w:after="0" w:line="202" w:lineRule="exact"/>
              <w:rPr>
                <w:sz w:val="20"/>
                <w:szCs w:val="20"/>
                <w:color w:val="auto"/>
              </w:rPr>
            </w:pPr>
            <w:r>
              <w:rPr>
                <w:rFonts w:ascii="Arial" w:cs="Arial" w:eastAsia="Arial" w:hAnsi="Arial"/>
                <w:sz w:val="18"/>
                <w:szCs w:val="18"/>
                <w:color w:val="auto"/>
                <w:w w:val="90"/>
              </w:rPr>
              <w:t>(State or Other Jurisdiction</w:t>
            </w:r>
          </w:p>
        </w:tc>
        <w:tc>
          <w:tcPr>
            <w:tcW w:w="354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ind w:left="127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right="1050"/>
              <w:spacing w:after="0"/>
              <w:rPr>
                <w:sz w:val="20"/>
                <w:szCs w:val="20"/>
                <w:color w:val="auto"/>
              </w:rPr>
            </w:pPr>
            <w:r>
              <w:rPr>
                <w:rFonts w:ascii="Arial" w:cs="Arial" w:eastAsia="Arial" w:hAnsi="Arial"/>
                <w:sz w:val="18"/>
                <w:szCs w:val="18"/>
                <w:color w:val="auto"/>
                <w:w w:val="94"/>
              </w:rPr>
              <w:t>of Incorporation)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214630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20 Eastbourne Terrace</w:t>
      </w:r>
    </w:p>
    <w:p>
      <w:pPr>
        <w:spacing w:after="0" w:line="1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London, W2 6LG</w:t>
      </w:r>
    </w:p>
    <w:p>
      <w:pPr>
        <w:jc w:val="center"/>
        <w:ind w:right="-659"/>
        <w:spacing w:after="0" w:line="234"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color w:val="auto"/>
        </w:rPr>
        <w:t>(44) 203 786 5275</w:t>
      </w:r>
    </w:p>
    <w:p>
      <w:pPr>
        <w:spacing w:after="0" w:line="1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193675</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1003" w:right="899" w:bottom="1440" w:gutter="0" w:footer="0" w:header="0"/>
        </w:sectPr>
      </w:pPr>
    </w:p>
    <w:bookmarkStart w:id="1" w:name="page2"/>
    <w:bookmarkEnd w:id="1"/>
    <w:p>
      <w:pPr>
        <w:ind w:right="560"/>
        <w:spacing w:after="0" w:line="329" w:lineRule="auto"/>
        <w:rPr>
          <w:sz w:val="20"/>
          <w:szCs w:val="20"/>
          <w:color w:val="auto"/>
        </w:rPr>
      </w:pPr>
      <w:r>
        <w:rPr>
          <w:rFonts w:ascii="Arial" w:cs="Arial" w:eastAsia="Arial" w:hAnsi="Arial"/>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LivaNova 2017 Short-Term Incentive Plan</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February 22, 2017, the Compensation Committee (the "Committee") of the Board of Directors of LivaNova Plc (the "Company") approved the Company's 2017 annual short-term incentive plan (the "2017 STIP"). The 2017 STIP is described in Exhibit 10.1, which is attached hereto and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Employment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2017, the Committee approved a Service Agreement between Damien McDonald and the Company effective as of January 1, 2017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pursuant to which Mr. McDonald will serve as the Company's Chief Executive Officer. In consideration of his services, Mr. McDonald will</w:t>
      </w:r>
    </w:p>
    <w:p>
      <w:pPr>
        <w:spacing w:after="0" w:line="182" w:lineRule="auto"/>
        <w:rPr>
          <w:sz w:val="20"/>
          <w:szCs w:val="20"/>
          <w:color w:val="auto"/>
        </w:rPr>
      </w:pPr>
      <w:r>
        <w:rPr>
          <w:rFonts w:ascii="Arial" w:cs="Arial" w:eastAsia="Arial" w:hAnsi="Arial"/>
          <w:sz w:val="15"/>
          <w:szCs w:val="15"/>
          <w:color w:val="auto"/>
        </w:rPr>
        <w:t>receive an annual base salary in the amount of £658,000 ($819,348)</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and an opportunity to earn an annual cash incentive bonus with a target amount equal to</w:t>
      </w:r>
    </w:p>
    <w:p>
      <w:pPr>
        <w:spacing w:after="0"/>
        <w:rPr>
          <w:sz w:val="20"/>
          <w:szCs w:val="20"/>
          <w:color w:val="auto"/>
        </w:rPr>
      </w:pPr>
      <w:r>
        <w:rPr>
          <w:rFonts w:ascii="Arial" w:cs="Arial" w:eastAsia="Arial" w:hAnsi="Arial"/>
          <w:sz w:val="17"/>
          <w:szCs w:val="17"/>
          <w:color w:val="auto"/>
        </w:rPr>
        <w:t>100% of his annual base salary. In addition, the Company has agreed to pay Mr. McDonald an annual housing allowance for a period of five years,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commencing at £150,000 ($186,782) for 2017 and decreasing by £30,000 ($37,356) each year for the next four years, an annual school allowance for a period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 five years, commencing at £31,950 ($39,784) for 2017 and decreasing by £6,390 ($7,957) each year for the next four years, an annual car allowance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£17,750 ($22,102), and pension contributions equal to 15% of the sum of his base salary and annual bonus. Mr. McDonald will also be eligible to participate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 the Company's employee benefit plans made available to all U.K.-based employees of the Company. The Agreement will continue in effect until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expiration of 12 months following notice of termination delivered by Mr. McDonald or the Company.</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February 22, 2017, the Company also delivered a side letter (the "Side Letter") to Mr. McDonald addressing certain intended future grants of equity awards. The Side Letter confirmed that the Company will recommend that the Committee grant an award of restricted stock units ("RSUs") to Mr. McDonald having a grant date value equal to $4.0 million, including $1.0 million in service-based RSUs to vest annually over a four-year period and $3.0 million in market-based and service-based RSUs vesting, if the market-based condition is at least partially achieved after the first year, annually over a four-year period.</w:t>
      </w:r>
    </w:p>
    <w:p>
      <w:pPr>
        <w:spacing w:after="0" w:line="142"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A copy of the Agreement and the Side Letter are filed herewith as Exhibits 10.2 and 10.3, respectively. The foregoing descriptions of these documents are summaries only and are qualified in their entirety by the full text of Agreement and the Side Letter, which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540" w:firstLine="8"/>
        <w:spacing w:after="0" w:line="200"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Amounts payable in British Pounds are converted to U.S. Dollars based on the average selling price for British Pounds for the 24-hour period ending February 26, 2017 at 22:00 UTC ($1.24521) as published by OANDA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100" w:type="dxa"/>
            <w:vAlign w:val="bottom"/>
          </w:tcPr>
          <w:p>
            <w:pPr>
              <w:spacing w:after="0"/>
              <w:rPr>
                <w:sz w:val="17"/>
                <w:szCs w:val="17"/>
                <w:color w:val="auto"/>
              </w:rPr>
            </w:pPr>
          </w:p>
        </w:tc>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80"/>
        </w:trPr>
        <w:tc>
          <w:tcPr>
            <w:tcW w:w="920" w:type="dxa"/>
            <w:vAlign w:val="bottom"/>
            <w:gridSpan w:val="3"/>
          </w:tcPr>
          <w:p>
            <w:pPr>
              <w:spacing w:after="0"/>
              <w:rPr>
                <w:sz w:val="20"/>
                <w:szCs w:val="20"/>
                <w:color w:val="auto"/>
              </w:rPr>
            </w:pPr>
            <w:r>
              <w:rPr>
                <w:rFonts w:ascii="Arial" w:cs="Arial" w:eastAsia="Arial" w:hAnsi="Arial"/>
                <w:sz w:val="18"/>
                <w:szCs w:val="18"/>
                <w:color w:val="auto"/>
                <w:w w:val="99"/>
              </w:rPr>
              <w:t>(d) Exhibits</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365"/>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3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r>
      <w:tr>
        <w:trPr>
          <w:trHeight w:val="507"/>
        </w:trPr>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10.1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500" w:type="dxa"/>
            <w:vAlign w:val="bottom"/>
            <w:gridSpan w:val="5"/>
          </w:tcPr>
          <w:p>
            <w:pPr>
              <w:ind w:left="80"/>
              <w:spacing w:after="0"/>
              <w:rPr>
                <w:sz w:val="20"/>
                <w:szCs w:val="20"/>
                <w:color w:val="auto"/>
              </w:rPr>
            </w:pPr>
            <w:r>
              <w:rPr>
                <w:rFonts w:ascii="Arial" w:cs="Arial" w:eastAsia="Arial" w:hAnsi="Arial"/>
                <w:sz w:val="18"/>
                <w:szCs w:val="18"/>
                <w:color w:val="auto"/>
              </w:rPr>
              <w:t>2017 LivaNova Short-Term Incentive Plan</w:t>
            </w:r>
          </w:p>
        </w:tc>
      </w:tr>
      <w:tr>
        <w:trPr>
          <w:trHeight w:val="257"/>
        </w:trPr>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10.2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500" w:type="dxa"/>
            <w:vAlign w:val="bottom"/>
            <w:gridSpan w:val="5"/>
          </w:tcPr>
          <w:p>
            <w:pPr>
              <w:ind w:left="80"/>
              <w:spacing w:after="0"/>
              <w:rPr>
                <w:sz w:val="20"/>
                <w:szCs w:val="20"/>
                <w:color w:val="auto"/>
              </w:rPr>
            </w:pPr>
            <w:r>
              <w:rPr>
                <w:rFonts w:ascii="Arial" w:cs="Arial" w:eastAsia="Arial" w:hAnsi="Arial"/>
                <w:sz w:val="18"/>
                <w:szCs w:val="18"/>
                <w:color w:val="auto"/>
              </w:rPr>
              <w:t>CEO Employment Agreement effective January 1, 2017 between LivaNova Plc and Mr. Damien McDonald.</w:t>
            </w:r>
          </w:p>
        </w:tc>
      </w:tr>
      <w:tr>
        <w:trPr>
          <w:trHeight w:val="257"/>
        </w:trPr>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10.3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500" w:type="dxa"/>
            <w:vAlign w:val="bottom"/>
            <w:gridSpan w:val="5"/>
          </w:tcPr>
          <w:p>
            <w:pPr>
              <w:ind w:left="80"/>
              <w:spacing w:after="0"/>
              <w:rPr>
                <w:sz w:val="20"/>
                <w:szCs w:val="20"/>
                <w:color w:val="auto"/>
              </w:rPr>
            </w:pPr>
            <w:r>
              <w:rPr>
                <w:rFonts w:ascii="Arial" w:cs="Arial" w:eastAsia="Arial" w:hAnsi="Arial"/>
                <w:sz w:val="18"/>
                <w:szCs w:val="18"/>
                <w:color w:val="auto"/>
              </w:rPr>
              <w:t>Side Letter dated January 1, 2017 between LivaNova Plc and Mr. Damien McDonald.</w:t>
            </w:r>
          </w:p>
        </w:tc>
      </w:tr>
      <w:tr>
        <w:trPr>
          <w:trHeight w:val="642"/>
        </w:trPr>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 February 28, 2017</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-10160</wp:posOffset>
            </wp:positionV>
            <wp:extent cx="16567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67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Catherine Moroz</w:t>
      </w:r>
    </w:p>
    <w:p>
      <w:pPr>
        <w:spacing w:after="0" w:line="35"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121"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2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6920" w:type="dxa"/>
            <w:vAlign w:val="bottom"/>
          </w:tcPr>
          <w:p>
            <w:pPr>
              <w:spacing w:after="0"/>
              <w:rPr>
                <w:sz w:val="24"/>
                <w:szCs w:val="24"/>
                <w:color w:val="auto"/>
              </w:rPr>
            </w:pPr>
          </w:p>
        </w:tc>
      </w:tr>
      <w:tr>
        <w:trPr>
          <w:trHeight w:val="547"/>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60" w:type="dxa"/>
            <w:vAlign w:val="bottom"/>
          </w:tcPr>
          <w:p>
            <w:pPr>
              <w:spacing w:after="0"/>
              <w:rPr>
                <w:sz w:val="24"/>
                <w:szCs w:val="24"/>
                <w:color w:val="auto"/>
              </w:rPr>
            </w:pPr>
          </w:p>
        </w:tc>
        <w:tc>
          <w:tcPr>
            <w:tcW w:w="8100" w:type="dxa"/>
            <w:vAlign w:val="bottom"/>
            <w:gridSpan w:val="3"/>
          </w:tcPr>
          <w:p>
            <w:pPr>
              <w:ind w:left="280"/>
              <w:spacing w:after="0"/>
              <w:rPr>
                <w:sz w:val="20"/>
                <w:szCs w:val="20"/>
                <w:color w:val="auto"/>
              </w:rPr>
            </w:pPr>
            <w:r>
              <w:rPr>
                <w:rFonts w:ascii="Arial" w:cs="Arial" w:eastAsia="Arial" w:hAnsi="Arial"/>
                <w:sz w:val="18"/>
                <w:szCs w:val="18"/>
                <w:color w:val="auto"/>
              </w:rPr>
              <w:t>2017 LivaNova Short-Term Incentive Plan</w:t>
            </w: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60" w:type="dxa"/>
            <w:vAlign w:val="bottom"/>
          </w:tcPr>
          <w:p>
            <w:pPr>
              <w:spacing w:after="0"/>
              <w:rPr>
                <w:sz w:val="23"/>
                <w:szCs w:val="23"/>
                <w:color w:val="auto"/>
              </w:rPr>
            </w:pPr>
          </w:p>
        </w:tc>
        <w:tc>
          <w:tcPr>
            <w:tcW w:w="8100" w:type="dxa"/>
            <w:vAlign w:val="bottom"/>
            <w:gridSpan w:val="3"/>
          </w:tcPr>
          <w:p>
            <w:pPr>
              <w:ind w:left="280"/>
              <w:spacing w:after="0"/>
              <w:rPr>
                <w:sz w:val="20"/>
                <w:szCs w:val="20"/>
                <w:color w:val="auto"/>
              </w:rPr>
            </w:pPr>
            <w:r>
              <w:rPr>
                <w:rFonts w:ascii="Arial" w:cs="Arial" w:eastAsia="Arial" w:hAnsi="Arial"/>
                <w:sz w:val="18"/>
                <w:szCs w:val="18"/>
                <w:color w:val="auto"/>
                <w:w w:val="91"/>
              </w:rPr>
              <w:t>COO Employment Agreement effective January 1, 2017 between LivaNova Plc and Mr. Damien McDonald.</w:t>
            </w: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60" w:type="dxa"/>
            <w:vAlign w:val="bottom"/>
          </w:tcPr>
          <w:p>
            <w:pPr>
              <w:spacing w:after="0"/>
              <w:rPr>
                <w:sz w:val="23"/>
                <w:szCs w:val="23"/>
                <w:color w:val="auto"/>
              </w:rPr>
            </w:pPr>
          </w:p>
        </w:tc>
        <w:tc>
          <w:tcPr>
            <w:tcW w:w="8100" w:type="dxa"/>
            <w:vAlign w:val="bottom"/>
            <w:gridSpan w:val="3"/>
          </w:tcPr>
          <w:p>
            <w:pPr>
              <w:ind w:left="280"/>
              <w:spacing w:after="0"/>
              <w:rPr>
                <w:sz w:val="20"/>
                <w:szCs w:val="20"/>
                <w:color w:val="auto"/>
              </w:rPr>
            </w:pPr>
            <w:r>
              <w:rPr>
                <w:rFonts w:ascii="Arial" w:cs="Arial" w:eastAsia="Arial" w:hAnsi="Arial"/>
                <w:sz w:val="18"/>
                <w:szCs w:val="18"/>
                <w:color w:val="auto"/>
              </w:rPr>
              <w:t>Side Letter dated January 1, 2017 between LivaNova Plc and Mr. Damien McDonald.</w:t>
            </w:r>
          </w:p>
        </w:tc>
      </w:tr>
    </w:tbl>
    <w:p>
      <w:pPr>
        <w:sectPr>
          <w:pgSz w:w="11900" w:h="16838" w:orient="portrait"/>
          <w:cols w:equalWidth="0" w:num="1">
            <w:col w:w="10039"/>
          </w:cols>
          <w:pgMar w:left="420" w:top="60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LivaNova Short-Term Incentive Plan</w:t>
      </w:r>
    </w:p>
    <w:p>
      <w:pPr>
        <w:spacing w:after="0" w:line="216"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On February 22, 2017, the Compensation Committee (the "Committee") of the Board of Directors of LivaNova Plc (the "Company") approved the Company's 2017 annual short-term incentive plan (the "2017 STIP"). The Company's chief executive officer, Damien McDonald, and chief financial officer, Vivid Sehgal, as well as one of its named executive officers, Jacques Gutedel, are eligible to participate in the 2017 STIP.</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addition, our other executive officers, Douglas Manko and David Wise, will also participate in the 2017 STIP.</w:t>
      </w:r>
    </w:p>
    <w:p>
      <w:pPr>
        <w:spacing w:after="0" w:line="176"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Under the 2017 STIP, each participant is eligible to receive a target bonus amount calculated as a percentage of base salary, as specified in the participants' employment agreements, copies of which are on file with the Securities and Exchange Commission, or as subsequently determined by the Committee. The current target bonus percentage for each of the participants is as follows:</w:t>
      </w:r>
    </w:p>
    <w:p>
      <w:pPr>
        <w:spacing w:after="0" w:line="178" w:lineRule="exact"/>
        <w:rPr>
          <w:sz w:val="20"/>
          <w:szCs w:val="20"/>
          <w:color w:val="auto"/>
        </w:rPr>
      </w:pPr>
    </w:p>
    <w:tbl>
      <w:tblPr>
        <w:tblLayout w:type="fixed"/>
        <w:tblInd w:w="2880" w:type="dxa"/>
        <w:tblCellMar>
          <w:top w:w="0" w:type="dxa"/>
          <w:left w:w="0" w:type="dxa"/>
          <w:bottom w:w="0" w:type="dxa"/>
          <w:right w:w="0" w:type="dxa"/>
        </w:tblCellMar>
      </w:tblPr>
      <w:tr>
        <w:trPr>
          <w:trHeight w:val="241"/>
        </w:trPr>
        <w:tc>
          <w:tcPr>
            <w:tcW w:w="14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Target Bonus % of Base Salary</w:t>
            </w:r>
          </w:p>
        </w:tc>
      </w:tr>
      <w:tr>
        <w:trPr>
          <w:trHeight w:val="230"/>
        </w:trPr>
        <w:tc>
          <w:tcPr>
            <w:tcW w:w="14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McDonald</w:t>
            </w:r>
          </w:p>
        </w:tc>
        <w:tc>
          <w:tcPr>
            <w:tcW w:w="4240" w:type="dxa"/>
            <w:vAlign w:val="bottom"/>
            <w:tcBorders>
              <w:bottom w:val="single" w:sz="8" w:color="auto"/>
            </w:tcBorders>
            <w:shd w:val="clear" w:color="auto" w:fill="D9D9D9"/>
          </w:tcPr>
          <w:p>
            <w:pPr>
              <w:jc w:val="right"/>
              <w:ind w:right="1650"/>
              <w:spacing w:after="0"/>
              <w:rPr>
                <w:sz w:val="20"/>
                <w:szCs w:val="20"/>
                <w:color w:val="auto"/>
              </w:rPr>
            </w:pPr>
            <w:r>
              <w:rPr>
                <w:rFonts w:ascii="Arial" w:cs="Arial" w:eastAsia="Arial" w:hAnsi="Arial"/>
                <w:sz w:val="18"/>
                <w:szCs w:val="18"/>
                <w:color w:val="auto"/>
              </w:rPr>
              <w:t>100%</w:t>
            </w:r>
          </w:p>
        </w:tc>
      </w:tr>
      <w:tr>
        <w:trPr>
          <w:trHeight w:val="230"/>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Sehgal</w:t>
            </w:r>
          </w:p>
        </w:tc>
        <w:tc>
          <w:tcPr>
            <w:tcW w:w="424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75%</w:t>
            </w:r>
          </w:p>
        </w:tc>
      </w:tr>
      <w:tr>
        <w:trPr>
          <w:trHeight w:val="229"/>
        </w:trPr>
        <w:tc>
          <w:tcPr>
            <w:tcW w:w="14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Gutedel</w:t>
            </w:r>
          </w:p>
        </w:tc>
        <w:tc>
          <w:tcPr>
            <w:tcW w:w="4240" w:type="dxa"/>
            <w:vAlign w:val="bottom"/>
            <w:tcBorders>
              <w:bottom w:val="single" w:sz="8" w:color="auto"/>
            </w:tcBorders>
            <w:shd w:val="clear" w:color="auto" w:fill="D9D9D9"/>
          </w:tcPr>
          <w:p>
            <w:pPr>
              <w:jc w:val="right"/>
              <w:ind w:right="1650"/>
              <w:spacing w:after="0"/>
              <w:rPr>
                <w:sz w:val="20"/>
                <w:szCs w:val="20"/>
                <w:color w:val="auto"/>
              </w:rPr>
            </w:pPr>
            <w:r>
              <w:rPr>
                <w:rFonts w:ascii="Arial" w:cs="Arial" w:eastAsia="Arial" w:hAnsi="Arial"/>
                <w:sz w:val="18"/>
                <w:szCs w:val="18"/>
                <w:color w:val="auto"/>
              </w:rPr>
              <w:t>75%</w:t>
            </w:r>
          </w:p>
        </w:tc>
      </w:tr>
      <w:tr>
        <w:trPr>
          <w:trHeight w:val="223"/>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Manko</w:t>
            </w:r>
          </w:p>
        </w:tc>
        <w:tc>
          <w:tcPr>
            <w:tcW w:w="424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rPr>
              <w:t>40%</w:t>
            </w:r>
          </w:p>
        </w:tc>
      </w:tr>
      <w:tr>
        <w:trPr>
          <w:trHeight w:val="223"/>
        </w:trPr>
        <w:tc>
          <w:tcPr>
            <w:tcW w:w="14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Wise</w:t>
            </w:r>
          </w:p>
        </w:tc>
        <w:tc>
          <w:tcPr>
            <w:tcW w:w="4240" w:type="dxa"/>
            <w:vAlign w:val="bottom"/>
            <w:tcBorders>
              <w:bottom w:val="single" w:sz="8" w:color="auto"/>
            </w:tcBorders>
            <w:shd w:val="clear" w:color="auto" w:fill="D9D9D9"/>
          </w:tcPr>
          <w:p>
            <w:pPr>
              <w:jc w:val="right"/>
              <w:ind w:right="1650"/>
              <w:spacing w:after="0"/>
              <w:rPr>
                <w:sz w:val="20"/>
                <w:szCs w:val="20"/>
                <w:color w:val="auto"/>
              </w:rPr>
            </w:pPr>
            <w:r>
              <w:rPr>
                <w:rFonts w:ascii="Arial" w:cs="Arial" w:eastAsia="Arial" w:hAnsi="Arial"/>
                <w:sz w:val="18"/>
                <w:szCs w:val="18"/>
                <w:color w:val="auto"/>
              </w:rPr>
              <w:t>70%</w:t>
            </w:r>
          </w:p>
        </w:tc>
      </w:tr>
    </w:tbl>
    <w:p>
      <w:pPr>
        <w:spacing w:after="0" w:line="188"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Payment of the target bonus amount is conditioned on the Company's achievement of certain financial objectives and, with the exception of our chief executive officer, each participant's achievement of an individual objective related to talent, as follows:</w:t>
      </w:r>
    </w:p>
    <w:p>
      <w:pPr>
        <w:spacing w:after="0" w:line="161"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2620" w:type="dxa"/>
            <w:vAlign w:val="bottom"/>
            <w:gridSpan w:val="2"/>
          </w:tcPr>
          <w:p>
            <w:pPr>
              <w:ind w:left="700"/>
              <w:spacing w:after="0"/>
              <w:rPr>
                <w:sz w:val="20"/>
                <w:szCs w:val="20"/>
                <w:color w:val="auto"/>
              </w:rPr>
            </w:pPr>
            <w:r>
              <w:rPr>
                <w:rFonts w:ascii="Arial" w:cs="Arial" w:eastAsia="Arial" w:hAnsi="Arial"/>
                <w:sz w:val="18"/>
                <w:szCs w:val="18"/>
                <w:b w:val="1"/>
                <w:bCs w:val="1"/>
                <w:color w:val="auto"/>
              </w:rPr>
              <w:t>Group Objectives</w:t>
            </w:r>
          </w:p>
        </w:tc>
        <w:tc>
          <w:tcPr>
            <w:tcW w:w="2360" w:type="dxa"/>
            <w:vAlign w:val="bottom"/>
            <w:gridSpan w:val="2"/>
          </w:tcPr>
          <w:p>
            <w:pPr>
              <w:ind w:left="420"/>
              <w:spacing w:after="0"/>
              <w:rPr>
                <w:sz w:val="20"/>
                <w:szCs w:val="20"/>
                <w:color w:val="auto"/>
              </w:rPr>
            </w:pPr>
            <w:r>
              <w:rPr>
                <w:rFonts w:ascii="Arial" w:cs="Arial" w:eastAsia="Arial" w:hAnsi="Arial"/>
                <w:sz w:val="18"/>
                <w:szCs w:val="18"/>
                <w:b w:val="1"/>
                <w:bCs w:val="1"/>
                <w:color w:val="auto"/>
              </w:rPr>
              <w:t>Regional Objectives</w:t>
            </w: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Talent Objective</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Individual</w:t>
            </w:r>
          </w:p>
        </w:tc>
      </w:tr>
      <w:tr>
        <w:trPr>
          <w:trHeight w:val="234"/>
        </w:trPr>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Objectives</w:t>
            </w:r>
          </w:p>
        </w:tc>
      </w:tr>
      <w:tr>
        <w:trPr>
          <w:trHeight w:val="195"/>
        </w:trPr>
        <w:tc>
          <w:tcPr>
            <w:tcW w:w="1360" w:type="dxa"/>
            <w:vAlign w:val="bottom"/>
          </w:tcPr>
          <w:p>
            <w:pPr>
              <w:spacing w:after="0"/>
              <w:rPr>
                <w:sz w:val="16"/>
                <w:szCs w:val="16"/>
                <w:color w:val="auto"/>
              </w:rPr>
            </w:pPr>
          </w:p>
        </w:tc>
        <w:tc>
          <w:tcPr>
            <w:tcW w:w="1380" w:type="dxa"/>
            <w:vAlign w:val="bottom"/>
          </w:tcPr>
          <w:p>
            <w:pPr>
              <w:jc w:val="center"/>
              <w:ind w:left="30"/>
              <w:spacing w:after="0" w:line="195" w:lineRule="exact"/>
              <w:rPr>
                <w:sz w:val="20"/>
                <w:szCs w:val="20"/>
                <w:color w:val="auto"/>
              </w:rPr>
            </w:pPr>
            <w:r>
              <w:rPr>
                <w:rFonts w:ascii="Arial" w:cs="Arial" w:eastAsia="Arial" w:hAnsi="Arial"/>
                <w:sz w:val="18"/>
                <w:szCs w:val="18"/>
                <w:color w:val="auto"/>
                <w:w w:val="91"/>
              </w:rPr>
              <w:t>Adjusted Net</w:t>
            </w: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1"/>
              </w:rPr>
              <w:t>Adjusted Net</w:t>
            </w:r>
          </w:p>
        </w:tc>
        <w:tc>
          <w:tcPr>
            <w:tcW w:w="1200" w:type="dxa"/>
            <w:vAlign w:val="bottom"/>
          </w:tcPr>
          <w:p>
            <w:pPr>
              <w:ind w:left="140"/>
              <w:spacing w:after="0" w:line="195" w:lineRule="exact"/>
              <w:rPr>
                <w:sz w:val="20"/>
                <w:szCs w:val="20"/>
                <w:color w:val="auto"/>
              </w:rPr>
            </w:pPr>
            <w:r>
              <w:rPr>
                <w:rFonts w:ascii="Arial" w:cs="Arial" w:eastAsia="Arial" w:hAnsi="Arial"/>
                <w:sz w:val="18"/>
                <w:szCs w:val="18"/>
                <w:color w:val="auto"/>
              </w:rPr>
              <w:t>Adjusted Net</w:t>
            </w: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3"/>
              </w:rPr>
              <w:t>Adjusted Net</w:t>
            </w:r>
          </w:p>
        </w:tc>
        <w:tc>
          <w:tcPr>
            <w:tcW w:w="1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4"/>
              </w:rPr>
              <w:t>Sales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Sales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30"/>
        </w:trPr>
        <w:tc>
          <w:tcPr>
            <w:tcW w:w="13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McDonald</w:t>
            </w:r>
          </w:p>
        </w:tc>
        <w:tc>
          <w:tcPr>
            <w:tcW w:w="1380" w:type="dxa"/>
            <w:vAlign w:val="bottom"/>
            <w:tcBorders>
              <w:bottom w:val="single" w:sz="8" w:color="auto"/>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60%</w:t>
            </w:r>
          </w:p>
        </w:tc>
        <w:tc>
          <w:tcPr>
            <w:tcW w:w="12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40%</w:t>
            </w:r>
          </w:p>
        </w:tc>
        <w:tc>
          <w:tcPr>
            <w:tcW w:w="120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tcBorders>
            <w:shd w:val="clear" w:color="auto" w:fill="D9D9D9"/>
          </w:tcPr>
          <w:p>
            <w:pPr>
              <w:spacing w:after="0"/>
              <w:rPr>
                <w:sz w:val="20"/>
                <w:szCs w:val="20"/>
                <w:color w:val="auto"/>
              </w:rPr>
            </w:pPr>
          </w:p>
        </w:tc>
        <w:tc>
          <w:tcPr>
            <w:tcW w:w="1280" w:type="dxa"/>
            <w:vAlign w:val="bottom"/>
            <w:tcBorders>
              <w:bottom w:val="single" w:sz="8" w:color="auto"/>
            </w:tcBorders>
            <w:shd w:val="clear" w:color="auto" w:fill="D9D9D9"/>
          </w:tcPr>
          <w:p>
            <w:pPr>
              <w:spacing w:after="0"/>
              <w:rPr>
                <w:sz w:val="20"/>
                <w:szCs w:val="20"/>
                <w:color w:val="auto"/>
              </w:rPr>
            </w:pPr>
          </w:p>
        </w:tc>
      </w:tr>
      <w:tr>
        <w:trPr>
          <w:trHeight w:val="23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Sehgal</w:t>
            </w:r>
          </w:p>
        </w:tc>
        <w:tc>
          <w:tcPr>
            <w:tcW w:w="1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45%</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35%</w:t>
            </w: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280" w:type="dxa"/>
            <w:vAlign w:val="bottom"/>
            <w:tcBorders>
              <w:bottom w:val="single" w:sz="8" w:color="auto"/>
            </w:tcBorders>
          </w:tcPr>
          <w:p>
            <w:pPr>
              <w:spacing w:after="0"/>
              <w:rPr>
                <w:sz w:val="20"/>
                <w:szCs w:val="20"/>
                <w:color w:val="auto"/>
              </w:rPr>
            </w:pPr>
          </w:p>
        </w:tc>
      </w:tr>
      <w:tr>
        <w:trPr>
          <w:trHeight w:val="237"/>
        </w:trPr>
        <w:tc>
          <w:tcPr>
            <w:tcW w:w="13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Gutedel</w:t>
            </w:r>
          </w:p>
        </w:tc>
        <w:tc>
          <w:tcPr>
            <w:tcW w:w="1380" w:type="dxa"/>
            <w:vAlign w:val="bottom"/>
            <w:tcBorders>
              <w:bottom w:val="single" w:sz="8" w:color="auto"/>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20%</w:t>
            </w:r>
          </w:p>
        </w:tc>
        <w:tc>
          <w:tcPr>
            <w:tcW w:w="12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10%</w:t>
            </w:r>
          </w:p>
        </w:tc>
        <w:tc>
          <w:tcPr>
            <w:tcW w:w="1200" w:type="dxa"/>
            <w:vAlign w:val="bottom"/>
            <w:tcBorders>
              <w:bottom w:val="single" w:sz="8" w:color="auto"/>
            </w:tcBorders>
            <w:shd w:val="clear" w:color="auto" w:fill="D9D9D9"/>
          </w:tcPr>
          <w:p>
            <w:pPr>
              <w:ind w:left="44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20%</w:t>
            </w:r>
          </w:p>
        </w:tc>
        <w:tc>
          <w:tcPr>
            <w:tcW w:w="15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20%</w:t>
            </w:r>
          </w:p>
        </w:tc>
        <w:tc>
          <w:tcPr>
            <w:tcW w:w="1280" w:type="dxa"/>
            <w:vAlign w:val="bottom"/>
            <w:tcBorders>
              <w:bottom w:val="single" w:sz="8" w:color="auto"/>
            </w:tcBorders>
            <w:shd w:val="clear" w:color="auto" w:fill="D9D9D9"/>
          </w:tcPr>
          <w:p>
            <w:pPr>
              <w:spacing w:after="0"/>
              <w:rPr>
                <w:sz w:val="20"/>
                <w:szCs w:val="20"/>
                <w:color w:val="auto"/>
              </w:rPr>
            </w:pPr>
          </w:p>
        </w:tc>
      </w:tr>
      <w:tr>
        <w:trPr>
          <w:trHeight w:val="23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Manko</w:t>
            </w:r>
          </w:p>
        </w:tc>
        <w:tc>
          <w:tcPr>
            <w:tcW w:w="1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15%</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51%</w:t>
            </w:r>
          </w:p>
        </w:tc>
      </w:tr>
      <w:tr>
        <w:trPr>
          <w:trHeight w:val="237"/>
        </w:trPr>
        <w:tc>
          <w:tcPr>
            <w:tcW w:w="13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Wise</w:t>
            </w:r>
          </w:p>
        </w:tc>
        <w:tc>
          <w:tcPr>
            <w:tcW w:w="1380" w:type="dxa"/>
            <w:vAlign w:val="bottom"/>
            <w:tcBorders>
              <w:bottom w:val="single" w:sz="8" w:color="auto"/>
            </w:tcBorders>
            <w:shd w:val="clear" w:color="auto" w:fill="D9D9D9"/>
          </w:tcPr>
          <w:p>
            <w:pPr>
              <w:jc w:val="center"/>
              <w:ind w:left="30"/>
              <w:spacing w:after="0"/>
              <w:rPr>
                <w:sz w:val="20"/>
                <w:szCs w:val="20"/>
                <w:color w:val="auto"/>
              </w:rPr>
            </w:pPr>
            <w:r>
              <w:rPr>
                <w:rFonts w:ascii="Arial" w:cs="Arial" w:eastAsia="Arial" w:hAnsi="Arial"/>
                <w:sz w:val="18"/>
                <w:szCs w:val="18"/>
                <w:color w:val="auto"/>
                <w:w w:val="94"/>
              </w:rPr>
              <w:t>45%</w:t>
            </w:r>
          </w:p>
        </w:tc>
        <w:tc>
          <w:tcPr>
            <w:tcW w:w="12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35%</w:t>
            </w:r>
          </w:p>
        </w:tc>
        <w:tc>
          <w:tcPr>
            <w:tcW w:w="120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20%</w:t>
            </w:r>
          </w:p>
        </w:tc>
        <w:tc>
          <w:tcPr>
            <w:tcW w:w="1280" w:type="dxa"/>
            <w:vAlign w:val="bottom"/>
            <w:tcBorders>
              <w:bottom w:val="single" w:sz="8" w:color="auto"/>
            </w:tcBorders>
            <w:shd w:val="clear" w:color="auto" w:fill="D9D9D9"/>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funding for each financial objective is scaled for underachievement and overachievement of the objective, as follows:</w:t>
      </w:r>
    </w:p>
    <w:p>
      <w:pPr>
        <w:spacing w:after="0" w:line="208"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Percent Achievement of Objective</w:t>
            </w:r>
          </w:p>
        </w:tc>
        <w:tc>
          <w:tcPr>
            <w:tcW w:w="2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Percent Funding for Objective</w:t>
            </w:r>
          </w:p>
        </w:tc>
      </w:tr>
      <w:tr>
        <w:trPr>
          <w:trHeight w:val="223"/>
        </w:trPr>
        <w:tc>
          <w:tcPr>
            <w:tcW w:w="3000" w:type="dxa"/>
            <w:vAlign w:val="bottom"/>
            <w:tcBorders>
              <w:bottom w:val="single" w:sz="8" w:color="auto"/>
            </w:tcBorders>
            <w:shd w:val="clear" w:color="auto" w:fill="D9D9D9"/>
          </w:tcPr>
          <w:p>
            <w:pPr>
              <w:jc w:val="right"/>
              <w:ind w:right="1190"/>
              <w:spacing w:after="0"/>
              <w:rPr>
                <w:sz w:val="20"/>
                <w:szCs w:val="20"/>
                <w:color w:val="auto"/>
              </w:rPr>
            </w:pPr>
            <w:r>
              <w:rPr>
                <w:rFonts w:ascii="Arial" w:cs="Arial" w:eastAsia="Arial" w:hAnsi="Arial"/>
                <w:sz w:val="18"/>
                <w:szCs w:val="18"/>
                <w:color w:val="auto"/>
              </w:rPr>
              <w:t>&lt;95%</w:t>
            </w:r>
          </w:p>
        </w:tc>
        <w:tc>
          <w:tcPr>
            <w:tcW w:w="440" w:type="dxa"/>
            <w:vAlign w:val="bottom"/>
            <w:tcBorders>
              <w:bottom w:val="single" w:sz="8" w:color="auto"/>
            </w:tcBorders>
            <w:shd w:val="clear" w:color="auto" w:fill="D9D9D9"/>
          </w:tcPr>
          <w:p>
            <w:pPr>
              <w:spacing w:after="0"/>
              <w:rPr>
                <w:sz w:val="19"/>
                <w:szCs w:val="19"/>
                <w:color w:val="auto"/>
              </w:rPr>
            </w:pPr>
          </w:p>
        </w:tc>
        <w:tc>
          <w:tcPr>
            <w:tcW w:w="2260" w:type="dxa"/>
            <w:vAlign w:val="bottom"/>
            <w:tcBorders>
              <w:bottom w:val="single" w:sz="8" w:color="auto"/>
            </w:tcBorders>
            <w:shd w:val="clear" w:color="auto" w:fill="D9D9D9"/>
          </w:tcPr>
          <w:p>
            <w:pPr>
              <w:jc w:val="right"/>
              <w:ind w:right="1030"/>
              <w:spacing w:after="0"/>
              <w:rPr>
                <w:sz w:val="20"/>
                <w:szCs w:val="20"/>
                <w:color w:val="auto"/>
              </w:rPr>
            </w:pPr>
            <w:r>
              <w:rPr>
                <w:rFonts w:ascii="Arial" w:cs="Arial" w:eastAsia="Arial" w:hAnsi="Arial"/>
                <w:sz w:val="18"/>
                <w:szCs w:val="18"/>
                <w:color w:val="auto"/>
              </w:rPr>
              <w:t>0%</w:t>
            </w:r>
          </w:p>
        </w:tc>
      </w:tr>
      <w:tr>
        <w:trPr>
          <w:trHeight w:val="224"/>
        </w:trPr>
        <w:tc>
          <w:tcPr>
            <w:tcW w:w="3000" w:type="dxa"/>
            <w:vAlign w:val="bottom"/>
          </w:tcPr>
          <w:p>
            <w:pPr>
              <w:jc w:val="right"/>
              <w:ind w:right="1190"/>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9"/>
                <w:szCs w:val="19"/>
                <w:color w:val="auto"/>
              </w:rPr>
            </w:pPr>
          </w:p>
        </w:tc>
        <w:tc>
          <w:tcPr>
            <w:tcW w:w="2260" w:type="dxa"/>
            <w:vAlign w:val="bottom"/>
          </w:tcPr>
          <w:p>
            <w:pPr>
              <w:jc w:val="right"/>
              <w:ind w:right="1030"/>
              <w:spacing w:after="0"/>
              <w:rPr>
                <w:sz w:val="20"/>
                <w:szCs w:val="20"/>
                <w:color w:val="auto"/>
              </w:rPr>
            </w:pPr>
            <w:r>
              <w:rPr>
                <w:rFonts w:ascii="Arial" w:cs="Arial" w:eastAsia="Arial" w:hAnsi="Arial"/>
                <w:sz w:val="18"/>
                <w:szCs w:val="18"/>
                <w:color w:val="auto"/>
              </w:rPr>
              <w:t>50%</w:t>
            </w:r>
          </w:p>
        </w:tc>
      </w:tr>
      <w:tr>
        <w:trPr>
          <w:trHeight w:val="26"/>
        </w:trPr>
        <w:tc>
          <w:tcPr>
            <w:tcW w:w="344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auto"/>
            </w:tcBorders>
            <w:gridSpan w:val="2"/>
            <w:shd w:val="clear" w:color="auto" w:fill="D9D9D9"/>
          </w:tcPr>
          <w:p>
            <w:pPr>
              <w:ind w:left="1880"/>
              <w:spacing w:after="0"/>
              <w:rPr>
                <w:sz w:val="20"/>
                <w:szCs w:val="20"/>
                <w:color w:val="auto"/>
              </w:rPr>
            </w:pPr>
            <w:r>
              <w:rPr>
                <w:rFonts w:ascii="Arial" w:cs="Arial" w:eastAsia="Arial" w:hAnsi="Arial"/>
                <w:sz w:val="18"/>
                <w:szCs w:val="18"/>
                <w:color w:val="auto"/>
                <w:w w:val="96"/>
              </w:rPr>
              <w:t>Linear Interpolation:</w:t>
            </w:r>
          </w:p>
        </w:tc>
        <w:tc>
          <w:tcPr>
            <w:tcW w:w="2260" w:type="dxa"/>
            <w:vAlign w:val="bottom"/>
            <w:tcBorders>
              <w:bottom w:val="single" w:sz="8" w:color="auto"/>
            </w:tcBorders>
            <w:shd w:val="clear" w:color="auto" w:fill="D9D9D9"/>
          </w:tcPr>
          <w:p>
            <w:pPr>
              <w:jc w:val="right"/>
              <w:ind w:right="1830"/>
              <w:spacing w:after="0"/>
              <w:rPr>
                <w:sz w:val="20"/>
                <w:szCs w:val="20"/>
                <w:color w:val="auto"/>
              </w:rPr>
            </w:pPr>
            <w:r>
              <w:rPr>
                <w:rFonts w:ascii="Arial" w:cs="Arial" w:eastAsia="Arial" w:hAnsi="Arial"/>
                <w:sz w:val="18"/>
                <w:szCs w:val="18"/>
                <w:color w:val="auto"/>
                <w:w w:val="91"/>
              </w:rPr>
              <w:t>1:10</w:t>
            </w:r>
          </w:p>
        </w:tc>
      </w:tr>
      <w:tr>
        <w:trPr>
          <w:trHeight w:val="223"/>
        </w:trPr>
        <w:tc>
          <w:tcPr>
            <w:tcW w:w="30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100%</w:t>
            </w:r>
          </w:p>
        </w:tc>
      </w:tr>
      <w:tr>
        <w:trPr>
          <w:trHeight w:val="223"/>
        </w:trPr>
        <w:tc>
          <w:tcPr>
            <w:tcW w:w="3440" w:type="dxa"/>
            <w:vAlign w:val="bottom"/>
            <w:tcBorders>
              <w:bottom w:val="single" w:sz="8" w:color="auto"/>
            </w:tcBorders>
            <w:gridSpan w:val="2"/>
            <w:shd w:val="clear" w:color="auto" w:fill="D9D9D9"/>
          </w:tcPr>
          <w:p>
            <w:pPr>
              <w:ind w:left="1920"/>
              <w:spacing w:after="0"/>
              <w:rPr>
                <w:sz w:val="20"/>
                <w:szCs w:val="20"/>
                <w:color w:val="auto"/>
              </w:rPr>
            </w:pPr>
            <w:r>
              <w:rPr>
                <w:rFonts w:ascii="Arial" w:cs="Arial" w:eastAsia="Arial" w:hAnsi="Arial"/>
                <w:sz w:val="18"/>
                <w:szCs w:val="18"/>
                <w:color w:val="auto"/>
                <w:w w:val="94"/>
              </w:rPr>
              <w:t>Linear Interpolation:</w:t>
            </w:r>
          </w:p>
        </w:tc>
        <w:tc>
          <w:tcPr>
            <w:tcW w:w="2260" w:type="dxa"/>
            <w:vAlign w:val="bottom"/>
            <w:tcBorders>
              <w:bottom w:val="single" w:sz="8" w:color="auto"/>
            </w:tcBorders>
            <w:shd w:val="clear" w:color="auto" w:fill="D9D9D9"/>
          </w:tcPr>
          <w:p>
            <w:pPr>
              <w:jc w:val="right"/>
              <w:ind w:right="1870"/>
              <w:spacing w:after="0"/>
              <w:rPr>
                <w:sz w:val="20"/>
                <w:szCs w:val="20"/>
                <w:color w:val="auto"/>
              </w:rPr>
            </w:pPr>
            <w:r>
              <w:rPr>
                <w:rFonts w:ascii="Arial" w:cs="Arial" w:eastAsia="Arial" w:hAnsi="Arial"/>
                <w:sz w:val="18"/>
                <w:szCs w:val="18"/>
                <w:color w:val="auto"/>
              </w:rPr>
              <w:t>1:3</w:t>
            </w:r>
          </w:p>
        </w:tc>
      </w:tr>
      <w:tr>
        <w:trPr>
          <w:trHeight w:val="223"/>
        </w:trPr>
        <w:tc>
          <w:tcPr>
            <w:tcW w:w="30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125%</w:t>
            </w:r>
          </w:p>
        </w:tc>
        <w:tc>
          <w:tcPr>
            <w:tcW w:w="4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175%</w:t>
            </w:r>
          </w:p>
        </w:tc>
      </w:tr>
      <w:tr>
        <w:trPr>
          <w:trHeight w:val="223"/>
        </w:trPr>
        <w:tc>
          <w:tcPr>
            <w:tcW w:w="3000" w:type="dxa"/>
            <w:vAlign w:val="bottom"/>
            <w:tcBorders>
              <w:bottom w:val="single" w:sz="8" w:color="auto"/>
            </w:tcBorders>
            <w:shd w:val="clear" w:color="auto" w:fill="D9D9D9"/>
          </w:tcPr>
          <w:p>
            <w:pPr>
              <w:jc w:val="right"/>
              <w:ind w:right="1130"/>
              <w:spacing w:after="0"/>
              <w:rPr>
                <w:sz w:val="20"/>
                <w:szCs w:val="20"/>
                <w:color w:val="auto"/>
              </w:rPr>
            </w:pPr>
            <w:r>
              <w:rPr>
                <w:rFonts w:ascii="Arial" w:cs="Arial" w:eastAsia="Arial" w:hAnsi="Arial"/>
                <w:sz w:val="18"/>
                <w:szCs w:val="18"/>
                <w:color w:val="auto"/>
              </w:rPr>
              <w:t>&gt;125%</w:t>
            </w:r>
          </w:p>
        </w:tc>
        <w:tc>
          <w:tcPr>
            <w:tcW w:w="440" w:type="dxa"/>
            <w:vAlign w:val="bottom"/>
            <w:tcBorders>
              <w:bottom w:val="single" w:sz="8" w:color="auto"/>
            </w:tcBorders>
            <w:shd w:val="clear" w:color="auto" w:fill="D9D9D9"/>
          </w:tcPr>
          <w:p>
            <w:pPr>
              <w:spacing w:after="0"/>
              <w:rPr>
                <w:sz w:val="19"/>
                <w:szCs w:val="19"/>
                <w:color w:val="auto"/>
              </w:rPr>
            </w:pPr>
          </w:p>
        </w:tc>
        <w:tc>
          <w:tcPr>
            <w:tcW w:w="2260" w:type="dxa"/>
            <w:vAlign w:val="bottom"/>
            <w:tcBorders>
              <w:bottom w:val="single" w:sz="8" w:color="auto"/>
            </w:tcBorders>
            <w:shd w:val="clear" w:color="auto" w:fill="D9D9D9"/>
          </w:tcPr>
          <w:p>
            <w:pPr>
              <w:jc w:val="right"/>
              <w:ind w:right="1030"/>
              <w:spacing w:after="0"/>
              <w:rPr>
                <w:sz w:val="20"/>
                <w:szCs w:val="20"/>
                <w:color w:val="auto"/>
              </w:rPr>
            </w:pPr>
            <w:r>
              <w:rPr>
                <w:rFonts w:ascii="Arial" w:cs="Arial" w:eastAsia="Arial" w:hAnsi="Arial"/>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hanging="112"/>
        <w:spacing w:after="0"/>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André-Michel Ballester is no longer employed by the Company. Michel Darnaud is not eligible to participate in the 2017 STIP.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6" w:name="page7"/>
    <w:bookmarkEnd w:id="6"/>
    <w:p>
      <w:pPr>
        <w:ind w:right="120"/>
        <w:spacing w:after="0" w:line="255" w:lineRule="auto"/>
        <w:rPr>
          <w:sz w:val="20"/>
          <w:szCs w:val="20"/>
          <w:color w:val="auto"/>
        </w:rPr>
      </w:pPr>
      <w:r>
        <w:rPr>
          <w:rFonts w:ascii="Arial" w:cs="Arial" w:eastAsia="Arial" w:hAnsi="Arial"/>
          <w:sz w:val="17"/>
          <w:szCs w:val="17"/>
          <w:color w:val="auto"/>
        </w:rPr>
        <w:t>For example, if the Company achieves 110% of its Group Adjusted Net Sales objective and 98% of its Group Adjusted Net Income objective, then Mr. McDonald's bonus amount would be 110% of his base salary, calculated as follows. For each 1% of the Company's overachievement of the Group Adjusted Net Sales objective, he receives an incremental 3% of achievement for this objective, resulting in an overachievement of 30% (= 10% x 3) and an achievement percentage for this objective equal to 78% (= 60% + (60% x 30%)). For each 1% of underachievement of the Group Adjusted Net Income objective, he loses 10% of achievement for this objective, resulting in an underachievement of 20% (= 2% x 10) and an achievement percentage for this objective equal to 32% (= 40% ─ (40% x 20%)). Thus, Mr. McDonald's total achievement percentage is 110% (= 78% + 32%), and his 2017 STIP payment would be 110% of his target bonus amount, or 110% (= 100% x 110%).</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the event that the Company fails to achieve all Group and Regional financial objectives applicable to any participant, that participant is nonetheless eligible to receive a payment for the portion of the participant's short-term incentive payment that is based on such Group and Regional financial objectives if shareholder value, as measured by the price of the Company's stock on the NASDAQ Stock Exchange, has increased by at least a threshold amount, as follows.</w:t>
      </w:r>
    </w:p>
    <w:p>
      <w:pPr>
        <w:spacing w:after="0" w:line="175" w:lineRule="exact"/>
        <w:rPr>
          <w:sz w:val="20"/>
          <w:szCs w:val="20"/>
          <w:color w:val="auto"/>
        </w:rPr>
      </w:pPr>
    </w:p>
    <w:p>
      <w:pPr>
        <w:ind w:left="340" w:right="80" w:hanging="332"/>
        <w:spacing w:after="0" w:line="24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closing stock price (the "Measure Price") two business days after the earnings announcement for the year ended December 31, 2017 (the "Measure Date") is at least a specified price (the "Threshold Price"), the participant will be entitled to receive at least 50% of the portion of the participant's short-term incentive payment that is based on Group and Regional financial objectives.</w:t>
      </w:r>
    </w:p>
    <w:p>
      <w:pPr>
        <w:spacing w:after="0" w:line="168"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the Measure Price is at least a specified amount more than the Threshold Price (the "Upper Price"), the participant will be entitled to receive 100% of the portion of the participant's short-term incentive payment that is based on Group and Regional financial objectives; and</w:t>
      </w:r>
    </w:p>
    <w:p>
      <w:pPr>
        <w:spacing w:after="0" w:line="133" w:lineRule="exact"/>
        <w:rPr>
          <w:rFonts w:ascii="Arial" w:cs="Arial" w:eastAsia="Arial" w:hAnsi="Arial"/>
          <w:sz w:val="17"/>
          <w:szCs w:val="17"/>
          <w:color w:val="auto"/>
        </w:rPr>
      </w:pPr>
    </w:p>
    <w:p>
      <w:pPr>
        <w:jc w:val="both"/>
        <w:ind w:left="340" w:right="140" w:hanging="332"/>
        <w:spacing w:after="0" w:line="294"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Measure Price falls between the Threshold Price and the Upper Price, the participant will be entitled to receive a portion of the participant's short-term incentive payment that is based on Group and Regional financial objectives equal to the sum of 50% and that portion of 50% determined by linear interpolation (the difference between the Measure Price and Threshold Price, divided by the specified amount, and then multiplied by 50%).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minimum and maximum achievement of the target short-term incentive payment under the 2017 STIP.</w:t>
      </w:r>
    </w:p>
    <w:p>
      <w:pPr>
        <w:spacing w:after="0" w:line="208" w:lineRule="exact"/>
        <w:rPr>
          <w:sz w:val="20"/>
          <w:szCs w:val="20"/>
          <w:color w:val="auto"/>
        </w:rPr>
      </w:pPr>
    </w:p>
    <w:tbl>
      <w:tblPr>
        <w:tblLayout w:type="fixed"/>
        <w:tblInd w:w="2880" w:type="dxa"/>
        <w:tblCellMar>
          <w:top w:w="0" w:type="dxa"/>
          <w:left w:w="0" w:type="dxa"/>
          <w:bottom w:w="0" w:type="dxa"/>
          <w:right w:w="0" w:type="dxa"/>
        </w:tblCellMar>
      </w:tblPr>
      <w:tr>
        <w:trPr>
          <w:trHeight w:val="241"/>
        </w:trPr>
        <w:tc>
          <w:tcPr>
            <w:tcW w:w="1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8"/>
              </w:rPr>
              <w:t>Minimum</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30"/>
        </w:trPr>
        <w:tc>
          <w:tcPr>
            <w:tcW w:w="198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McDonald</w:t>
            </w:r>
          </w:p>
        </w:tc>
        <w:tc>
          <w:tcPr>
            <w:tcW w:w="2100" w:type="dxa"/>
            <w:vAlign w:val="bottom"/>
            <w:tcBorders>
              <w:bottom w:val="single" w:sz="8" w:color="auto"/>
            </w:tcBorders>
            <w:shd w:val="clear" w:color="auto" w:fill="D9D9D9"/>
          </w:tcPr>
          <w:p>
            <w:pPr>
              <w:jc w:val="center"/>
              <w:ind w:left="410"/>
              <w:spacing w:after="0"/>
              <w:rPr>
                <w:sz w:val="20"/>
                <w:szCs w:val="20"/>
                <w:color w:val="auto"/>
              </w:rPr>
            </w:pPr>
            <w:r>
              <w:rPr>
                <w:rFonts w:ascii="Arial" w:cs="Arial" w:eastAsia="Arial" w:hAnsi="Arial"/>
                <w:sz w:val="18"/>
                <w:szCs w:val="18"/>
                <w:color w:val="auto"/>
                <w:w w:val="92"/>
              </w:rPr>
              <w:t>0%</w:t>
            </w:r>
          </w:p>
        </w:tc>
        <w:tc>
          <w:tcPr>
            <w:tcW w:w="16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175%</w:t>
            </w:r>
          </w:p>
        </w:tc>
      </w:tr>
      <w:tr>
        <w:trPr>
          <w:trHeight w:val="223"/>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Sehgal</w:t>
            </w:r>
          </w:p>
        </w:tc>
        <w:tc>
          <w:tcPr>
            <w:tcW w:w="21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2"/>
              </w:rPr>
              <w:t>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160%</w:t>
            </w:r>
          </w:p>
        </w:tc>
      </w:tr>
      <w:tr>
        <w:trPr>
          <w:trHeight w:val="223"/>
        </w:trPr>
        <w:tc>
          <w:tcPr>
            <w:tcW w:w="198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Gutedel</w:t>
            </w:r>
          </w:p>
        </w:tc>
        <w:tc>
          <w:tcPr>
            <w:tcW w:w="2100" w:type="dxa"/>
            <w:vAlign w:val="bottom"/>
            <w:tcBorders>
              <w:bottom w:val="single" w:sz="8" w:color="auto"/>
            </w:tcBorders>
            <w:shd w:val="clear" w:color="auto" w:fill="D9D9D9"/>
          </w:tcPr>
          <w:p>
            <w:pPr>
              <w:jc w:val="center"/>
              <w:ind w:left="410"/>
              <w:spacing w:after="0"/>
              <w:rPr>
                <w:sz w:val="20"/>
                <w:szCs w:val="20"/>
                <w:color w:val="auto"/>
              </w:rPr>
            </w:pPr>
            <w:r>
              <w:rPr>
                <w:rFonts w:ascii="Arial" w:cs="Arial" w:eastAsia="Arial" w:hAnsi="Arial"/>
                <w:sz w:val="18"/>
                <w:szCs w:val="18"/>
                <w:color w:val="auto"/>
                <w:w w:val="92"/>
              </w:rPr>
              <w:t>0%</w:t>
            </w:r>
          </w:p>
        </w:tc>
        <w:tc>
          <w:tcPr>
            <w:tcW w:w="16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160%</w:t>
            </w:r>
          </w:p>
        </w:tc>
      </w:tr>
      <w:tr>
        <w:trPr>
          <w:trHeight w:val="223"/>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Manko</w:t>
            </w:r>
          </w:p>
        </w:tc>
        <w:tc>
          <w:tcPr>
            <w:tcW w:w="21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2"/>
              </w:rPr>
              <w:t>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130%</w:t>
            </w:r>
          </w:p>
        </w:tc>
      </w:tr>
      <w:tr>
        <w:trPr>
          <w:trHeight w:val="223"/>
        </w:trPr>
        <w:tc>
          <w:tcPr>
            <w:tcW w:w="198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color w:val="auto"/>
              </w:rPr>
              <w:t>Mr. Wise</w:t>
            </w:r>
          </w:p>
        </w:tc>
        <w:tc>
          <w:tcPr>
            <w:tcW w:w="2100" w:type="dxa"/>
            <w:vAlign w:val="bottom"/>
            <w:tcBorders>
              <w:bottom w:val="single" w:sz="8" w:color="auto"/>
            </w:tcBorders>
            <w:shd w:val="clear" w:color="auto" w:fill="D9D9D9"/>
          </w:tcPr>
          <w:p>
            <w:pPr>
              <w:jc w:val="center"/>
              <w:ind w:left="410"/>
              <w:spacing w:after="0"/>
              <w:rPr>
                <w:sz w:val="20"/>
                <w:szCs w:val="20"/>
                <w:color w:val="auto"/>
              </w:rPr>
            </w:pPr>
            <w:r>
              <w:rPr>
                <w:rFonts w:ascii="Arial" w:cs="Arial" w:eastAsia="Arial" w:hAnsi="Arial"/>
                <w:sz w:val="18"/>
                <w:szCs w:val="18"/>
                <w:color w:val="auto"/>
                <w:w w:val="92"/>
              </w:rPr>
              <w:t>0%</w:t>
            </w:r>
          </w:p>
        </w:tc>
        <w:tc>
          <w:tcPr>
            <w:tcW w:w="16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160%</w:t>
            </w:r>
          </w:p>
        </w:tc>
      </w:tr>
    </w:tbl>
    <w:p>
      <w:pPr>
        <w:sectPr>
          <w:pgSz w:w="11900" w:h="16838" w:orient="portrait"/>
          <w:cols w:equalWidth="0" w:num="1">
            <w:col w:w="11400"/>
          </w:cols>
          <w:pgMar w:left="240" w:top="125" w:right="2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22 February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LIVANOVA PLC</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1115060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692150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effective on 1 January 2017 (the "Effective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98" w:lineRule="exact"/>
        <w:rPr>
          <w:sz w:val="20"/>
          <w:szCs w:val="20"/>
          <w:color w:val="auto"/>
        </w:rPr>
      </w:pPr>
    </w:p>
    <w:p>
      <w:pPr>
        <w:ind w:left="640" w:hanging="632"/>
        <w:spacing w:after="0" w:line="28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 a company registered in England with registered number 09451374 and having its registered office at 20 Eastbourne Terrace,</w:t>
      </w:r>
      <w:r>
        <w:rPr>
          <w:rFonts w:ascii="Arial" w:cs="Arial" w:eastAsia="Arial" w:hAnsi="Arial"/>
          <w:sz w:val="18"/>
          <w:szCs w:val="18"/>
          <w:b w:val="1"/>
          <w:bCs w:val="1"/>
          <w:color w:val="auto"/>
        </w:rPr>
        <w:t xml:space="preserve"> </w:t>
      </w:r>
      <w:r>
        <w:rPr>
          <w:rFonts w:ascii="Arial" w:cs="Arial" w:eastAsia="Arial" w:hAnsi="Arial"/>
          <w:sz w:val="18"/>
          <w:szCs w:val="18"/>
          <w:color w:val="auto"/>
        </w:rPr>
        <w:t>London, England W2 6LG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350"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DAMIEN McDONALD</w:t>
      </w:r>
      <w:r>
        <w:rPr>
          <w:rFonts w:ascii="Arial" w:cs="Arial" w:eastAsia="Arial" w:hAnsi="Arial"/>
          <w:sz w:val="18"/>
          <w:szCs w:val="18"/>
          <w:color w:val="auto"/>
        </w:rPr>
        <w:t>, c/o 20 Eastbourne Terrace, London, England W2 6LG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wishes to employ the Executive as Chief Executive Officer on the terms and conditions of this Agreement, and the Executive wishes to accept such employment.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1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the context otherwise requires:</w:t>
      </w:r>
    </w:p>
    <w:p>
      <w:pPr>
        <w:spacing w:after="0" w:line="200" w:lineRule="exact"/>
        <w:rPr>
          <w:sz w:val="20"/>
          <w:szCs w:val="20"/>
          <w:color w:val="auto"/>
        </w:rPr>
      </w:pPr>
    </w:p>
    <w:p>
      <w:pPr>
        <w:spacing w:after="0" w:line="224"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Salary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salary, as specified in Clause 6.1.1 or, as appropriate, the reviewed annual salary from time to time;</w:t>
      </w:r>
    </w:p>
    <w:p>
      <w:pPr>
        <w:spacing w:after="0" w:line="36" w:lineRule="exact"/>
        <w:rPr>
          <w:sz w:val="20"/>
          <w:szCs w:val="20"/>
          <w:color w:val="auto"/>
        </w:rPr>
      </w:pPr>
    </w:p>
    <w:p>
      <w:pPr>
        <w:jc w:val="both"/>
        <w:ind w:left="2640" w:right="20" w:hanging="2200"/>
        <w:spacing w:after="0" w:line="266" w:lineRule="auto"/>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the Board of directors of the Company from time to time or any duly authorised committee thereof, or where the relevant powers have been reserved to the Company's members, its members from time to time;</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Committee</w:t>
      </w:r>
      <w:r>
        <w:rPr>
          <w:rFonts w:ascii="Arial" w:cs="Arial" w:eastAsia="Arial" w:hAnsi="Arial"/>
          <w:sz w:val="18"/>
          <w:szCs w:val="18"/>
          <w:color w:val="auto"/>
        </w:rPr>
        <w:t>" means the compensation committee appointed by the Board;</w:t>
      </w:r>
    </w:p>
    <w:p>
      <w:pPr>
        <w:spacing w:after="0" w:line="36" w:lineRule="exact"/>
        <w:rPr>
          <w:sz w:val="20"/>
          <w:szCs w:val="20"/>
          <w:color w:val="auto"/>
        </w:rPr>
      </w:pPr>
    </w:p>
    <w:p>
      <w:pPr>
        <w:jc w:val="both"/>
        <w:ind w:left="2640" w:right="20" w:hanging="22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which is identified or treated by the Company or any Group Company or any of the Group's clients or customers as confidential or which by reason of its character or the circumstances or manner of its disclosure is evidently confidential including (without prejudice to the foregoing generality)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 (a) employees and their terms of employment; (b) customers and potential customers, their requirements and their terms of business with the Company/Group; and (c) suppliers and potential suppliers and their terms of business (all whether or not recorded in writing or in electronic or other format);</w:t>
      </w:r>
    </w:p>
    <w:p>
      <w:pPr>
        <w:spacing w:after="0" w:line="1"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the employment of the Executive under this Agreement or, as the context requires, the duration of that</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employment;</w:t>
      </w:r>
    </w:p>
    <w:p>
      <w:pPr>
        <w:spacing w:after="0" w:line="18"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together or separately the Company, any holding company of the Company and any subsidiaries and subsidiary</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undertakings of the Company or any such holding company (and the words "subsidiary" and "holding company" shall</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have the meanings given to them in section 1159 of the Companies Act 2006 and "subsidiary undertaking" shall have the</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meaning given in section 1162 of the Companies Act 2006) from time to time;</w:t>
      </w:r>
    </w:p>
    <w:p>
      <w:pPr>
        <w:spacing w:after="0" w:line="18"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any company within the Group;</w:t>
      </w:r>
    </w:p>
    <w:p>
      <w:pPr>
        <w:spacing w:after="0" w:line="36"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Care Scheme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medical expenses insurance, permanent health insurance ("</w:t>
      </w:r>
      <w:r>
        <w:rPr>
          <w:rFonts w:ascii="Arial" w:cs="Arial" w:eastAsia="Arial" w:hAnsi="Arial"/>
          <w:sz w:val="16"/>
          <w:szCs w:val="16"/>
          <w:b w:val="1"/>
          <w:bCs w:val="1"/>
          <w:color w:val="auto"/>
        </w:rPr>
        <w:t>PHI</w:t>
      </w:r>
      <w:r>
        <w:rPr>
          <w:rFonts w:ascii="Arial" w:cs="Arial" w:eastAsia="Arial" w:hAnsi="Arial"/>
          <w:sz w:val="16"/>
          <w:szCs w:val="16"/>
          <w:color w:val="auto"/>
        </w:rPr>
        <w:t>"), critical illness insurance or other healthcare</w:t>
      </w:r>
    </w:p>
    <w:p>
      <w:pPr>
        <w:spacing w:after="0" w:line="27" w:lineRule="exact"/>
        <w:rPr>
          <w:sz w:val="20"/>
          <w:szCs w:val="20"/>
          <w:color w:val="auto"/>
        </w:rPr>
      </w:pPr>
    </w:p>
    <w:p>
      <w:pPr>
        <w:ind w:left="2640" w:right="20"/>
        <w:spacing w:after="0" w:line="255" w:lineRule="auto"/>
        <w:rPr>
          <w:sz w:val="20"/>
          <w:szCs w:val="20"/>
          <w:color w:val="auto"/>
        </w:rPr>
      </w:pPr>
      <w:r>
        <w:rPr>
          <w:rFonts w:ascii="Arial" w:cs="Arial" w:eastAsia="Arial" w:hAnsi="Arial"/>
          <w:sz w:val="18"/>
          <w:szCs w:val="18"/>
          <w:color w:val="auto"/>
        </w:rPr>
        <w:t>or disability scheme(s) or arrangement(s) as may be provided or introduced from time to time by the Company (at the Company's discretion) for the benefit of similarly situated executives in the Group;</w:t>
      </w:r>
    </w:p>
    <w:p>
      <w:pPr>
        <w:spacing w:after="0" w:line="1"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sz w:val="20"/>
          <w:szCs w:val="20"/>
          <w:color w:val="auto"/>
        </w:rPr>
        <w:tab/>
      </w:r>
      <w:r>
        <w:rPr>
          <w:rFonts w:ascii="Arial" w:cs="Arial" w:eastAsia="Arial" w:hAnsi="Arial"/>
          <w:sz w:val="16"/>
          <w:szCs w:val="16"/>
          <w:color w:val="auto"/>
        </w:rPr>
        <w:t>means any and all existing and future intellectual or industrial property rights in and to any Works (whether registered or</w:t>
      </w:r>
    </w:p>
    <w:p>
      <w:pPr>
        <w:spacing w:after="0" w:line="27"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b w:val="1"/>
          <w:bCs w:val="1"/>
          <w:color w:val="auto"/>
        </w:rPr>
        <w:t>Rights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unregistered), including all existing and future patents, copyrights, design rights, database rights, trade marks,</w:t>
      </w:r>
    </w:p>
    <w:p>
      <w:pPr>
        <w:spacing w:after="0" w:line="9" w:lineRule="exact"/>
        <w:rPr>
          <w:sz w:val="20"/>
          <w:szCs w:val="20"/>
          <w:color w:val="auto"/>
        </w:rPr>
      </w:pPr>
    </w:p>
    <w:p>
      <w:pPr>
        <w:ind w:left="2640" w:right="20"/>
        <w:spacing w:after="0" w:line="270" w:lineRule="auto"/>
        <w:rPr>
          <w:sz w:val="20"/>
          <w:szCs w:val="20"/>
          <w:color w:val="auto"/>
        </w:rPr>
      </w:pPr>
      <w:r>
        <w:rPr>
          <w:rFonts w:ascii="Arial" w:cs="Arial" w:eastAsia="Arial" w:hAnsi="Arial"/>
          <w:sz w:val="17"/>
          <w:szCs w:val="17"/>
          <w:color w:val="auto"/>
        </w:rPr>
        <w:t>semiconductor topography rights, plant varieties rights, internet rights/domain names, know-how and any and all applications for any of the foregoing and any and all rights to apply for any of the foregoing in and to any Works;</w:t>
      </w:r>
    </w:p>
    <w:p>
      <w:pPr>
        <w:spacing w:after="0" w:line="1"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Holder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means a person who either solely or jointly holds (directly or through nominees) any shares or loan capital in any</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company whose shares are listed or dealt in on a recognised investment exchange (as that term is defined by section 285</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Financial Services and Markets Act 2000) provided that such holding does not, when aggregated with any shares or loan</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capital held by the Executive's partner and/or his or his partner's children under the age of 18, exceed 3% of the shares or</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loan capital of the class concerned for the time being issued;</w:t>
      </w:r>
    </w:p>
    <w:p>
      <w:pPr>
        <w:spacing w:after="0" w:line="18"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Incentives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any options or other rights that the Executive may have to purchase, hold or otherwise acquire shares or rights in</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respect of or relating to shares in the Company or a Group Company;</w:t>
      </w:r>
    </w:p>
    <w:p>
      <w:pPr>
        <w:spacing w:after="0" w:line="18"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date of termination of the Employment;</w:t>
      </w:r>
    </w:p>
    <w:p>
      <w:pPr>
        <w:spacing w:after="0" w:line="36" w:lineRule="exact"/>
        <w:rPr>
          <w:sz w:val="20"/>
          <w:szCs w:val="20"/>
          <w:color w:val="auto"/>
        </w:rPr>
      </w:pPr>
    </w:p>
    <w:p>
      <w:pPr>
        <w:ind w:left="4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means any documents, materials, models, designs, drawings, processes, inventions, formulae, computer coding,</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methodologies, know-how, Confidential Information or other work, performed made, created, devised, developed or</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discovered by the Executive in the course of the Employment (and whether or not made or discovered in the course of</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the Employment) either alone or with any other person in connection with or in any way affecting or relating to the</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business of the Company or any Group Company or capable of being used or adapted for use therein or in connection</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therewith.</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9" w:name="page10"/>
    <w:bookmarkEnd w:id="9"/>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Interpretation and construction</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Save to the extent that the context or the express provisions of this Agreement require otherwise, in this Agreement:</w:t>
      </w:r>
    </w:p>
    <w:p>
      <w:pPr>
        <w:spacing w:after="0" w:line="198" w:lineRule="exact"/>
        <w:rPr>
          <w:sz w:val="20"/>
          <w:szCs w:val="20"/>
          <w:color w:val="auto"/>
        </w:rPr>
      </w:pPr>
    </w:p>
    <w:p>
      <w:pPr>
        <w:ind w:left="1280" w:hanging="63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the singular shall include the plural and vice versa;</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any gender shall include all other genders;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importing the whole shall be treated as including reference to any part of the whole;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reference to a Clause, the Schedule or part of the Schedule is to the relevant Clause, Schedule or part of the Schedule of or to this Agreement unless otherwise specified;</w:t>
      </w:r>
    </w:p>
    <w:p>
      <w:pPr>
        <w:spacing w:after="0" w:line="359"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to this Agreement or to any other document is a reference to this Agreement or to that other document as modified, amended, varied, supplemented, assigned, novated or replaced from time to time;</w:t>
      </w:r>
    </w:p>
    <w:p>
      <w:pPr>
        <w:spacing w:after="0" w:line="359"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356"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370" w:lineRule="exact"/>
        <w:rPr>
          <w:rFonts w:ascii="Arial" w:cs="Arial" w:eastAsia="Arial" w:hAnsi="Arial"/>
          <w:sz w:val="18"/>
          <w:szCs w:val="18"/>
          <w:color w:val="auto"/>
        </w:rPr>
      </w:pPr>
    </w:p>
    <w:p>
      <w:pPr>
        <w:ind w:left="1280" w:right="20" w:hanging="634"/>
        <w:spacing w:after="0" w:line="308"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335" w:lineRule="exact"/>
        <w:rPr>
          <w:rFonts w:ascii="Arial" w:cs="Arial" w:eastAsia="Arial" w:hAnsi="Arial"/>
          <w:sz w:val="17"/>
          <w:szCs w:val="17"/>
          <w:color w:val="auto"/>
        </w:rPr>
      </w:pPr>
    </w:p>
    <w:p>
      <w:pPr>
        <w:ind w:left="1280" w:hanging="634"/>
        <w:spacing w:after="0" w:line="277"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meaning of any words coming after "other" or "otherwise" shall not be constrained by the meaning of any words coming before "other" or "otherwise where a wider construction is possible.</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Headings</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headings in this Agreement are included for convenience only and shall be ignored in construing this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EMPLOYMENT</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Appointment</w:t>
      </w:r>
    </w:p>
    <w:p>
      <w:pPr>
        <w:spacing w:after="0" w:line="200" w:lineRule="exact"/>
        <w:rPr>
          <w:sz w:val="20"/>
          <w:szCs w:val="20"/>
          <w:color w:val="auto"/>
        </w:rPr>
      </w:pPr>
    </w:p>
    <w:p>
      <w:pPr>
        <w:spacing w:after="0" w:line="20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Subject to the provisions of this Agreement, the Company employs the Executive and the Executive accepts employment as Chief Executive Officer of the Company with effect from Closing notwithstanding the date or dates of this Agreement.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Work permits and warranty</w:t>
      </w:r>
    </w:p>
    <w:p>
      <w:pPr>
        <w:spacing w:after="0" w:line="200" w:lineRule="exact"/>
        <w:rPr>
          <w:sz w:val="20"/>
          <w:szCs w:val="20"/>
          <w:color w:val="auto"/>
        </w:rPr>
      </w:pPr>
    </w:p>
    <w:p>
      <w:pPr>
        <w:spacing w:after="0" w:line="218"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Executive warrants to the Company that by virtue of entering into this Agreement he will not be in breach of any express or implied obligation to any third party, including any restrictive covenants.</w:t>
      </w:r>
    </w:p>
    <w:p>
      <w:pPr>
        <w:spacing w:after="0" w:line="346"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The Executive warrants that he is legally entitled to work in the United Kingdom and will throughout the Employment continue to hold a valid United Kingdom work permit if appropriate. The Executive warrants that he will notify the Company in advance of any possible change to his immigration status, as soon as he becomes aware of any circumstances that might give rise to such change.</w:t>
      </w:r>
    </w:p>
    <w:p>
      <w:pPr>
        <w:spacing w:after="0" w:line="366"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THE EMPLOYMENT</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Continuous Employment</w:t>
      </w:r>
    </w:p>
    <w:p>
      <w:pPr>
        <w:spacing w:after="0" w:line="200" w:lineRule="exact"/>
        <w:rPr>
          <w:sz w:val="20"/>
          <w:szCs w:val="20"/>
          <w:color w:val="auto"/>
        </w:rPr>
      </w:pPr>
    </w:p>
    <w:p>
      <w:pPr>
        <w:spacing w:after="0" w:line="2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Executive's employment with the Company will commence on the Effective Date. The Executive's previous employment with the Company, which began on 3 October 2016, counts towards the Executive's period of continuous employment with the Company.</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Duration and notice</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provisions of Clauses 3.3 and 18.1, the Employment shall continue unless and until terminated at any time by:</w:t>
      </w:r>
    </w:p>
    <w:p>
      <w:pPr>
        <w:spacing w:after="0" w:line="198" w:lineRule="exact"/>
        <w:rPr>
          <w:sz w:val="20"/>
          <w:szCs w:val="20"/>
          <w:color w:val="auto"/>
        </w:rPr>
      </w:pPr>
    </w:p>
    <w:p>
      <w:pPr>
        <w:ind w:left="1280" w:hanging="63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which must give to the Executive not less than twelve months' prior written notice of termination of the Employment; or</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280" w:hanging="63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Executive, who must give to the Company not less than twelve months' prior written notice of termination of the Employment.</w:t>
      </w:r>
    </w:p>
    <w:p>
      <w:pPr>
        <w:spacing w:after="0" w:line="200" w:lineRule="exact"/>
        <w:rPr>
          <w:sz w:val="20"/>
          <w:szCs w:val="20"/>
          <w:color w:val="auto"/>
        </w:rPr>
      </w:pP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Payment in lieu of notice</w:t>
      </w:r>
    </w:p>
    <w:p>
      <w:pPr>
        <w:spacing w:after="0" w:line="200" w:lineRule="exact"/>
        <w:rPr>
          <w:sz w:val="20"/>
          <w:szCs w:val="20"/>
          <w:color w:val="auto"/>
        </w:rPr>
      </w:pPr>
    </w:p>
    <w:p>
      <w:pPr>
        <w:spacing w:after="0" w:line="205"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7"/>
          <w:szCs w:val="17"/>
          <w:color w:val="auto"/>
        </w:rPr>
        <w:t>The Company shall be entitled, at its sole discretion, to terminate the Employment immediately at any time by giving the Executive notice in writing. In these circumstances, subject to the terms of Clause 3.3.2, the Company will subsequently make a payment to the Executive in lieu of notice, calculated in accordance with the provisions of Clauses 3.3.3 and 3.3.4 (the payment being referred to as a "</w:t>
      </w:r>
      <w:r>
        <w:rPr>
          <w:rFonts w:ascii="Arial" w:cs="Arial" w:eastAsia="Arial" w:hAnsi="Arial"/>
          <w:sz w:val="17"/>
          <w:szCs w:val="17"/>
          <w:b w:val="1"/>
          <w:bCs w:val="1"/>
          <w:color w:val="auto"/>
        </w:rPr>
        <w:t>Notice Payment</w:t>
      </w:r>
      <w:r>
        <w:rPr>
          <w:rFonts w:ascii="Arial" w:cs="Arial" w:eastAsia="Arial" w:hAnsi="Arial"/>
          <w:sz w:val="17"/>
          <w:szCs w:val="17"/>
          <w:color w:val="auto"/>
        </w:rPr>
        <w:t>").</w:t>
      </w:r>
    </w:p>
    <w:p>
      <w:pPr>
        <w:spacing w:after="0" w:line="355"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For the avoidance of doubt, the Company is not obliged to make a Notice Payment so long as it continues to employ the Executive throughout the notice period. If the Company shall decide not to make a Notice Payment, the Executive shall not be entitled to enforce that payment as a contractual debt nor as liquidated damages.</w:t>
      </w:r>
    </w:p>
    <w:p>
      <w:pPr>
        <w:spacing w:after="0" w:line="370"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The Notice Payment will be paid less all deductions that are required or permitted by law to be made, including in respect of income tax, national insurance contributions and any sums due to the Company or any Group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both"/>
        <w:ind w:left="640" w:right="20" w:hanging="634"/>
        <w:spacing w:after="0" w:line="259" w:lineRule="auto"/>
        <w:tabs>
          <w:tab w:leader="none" w:pos="62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Subject to the terms of Clause 3.4, the Notice Payment will consist of a sum equivalent to the Basic Salary, pensions contributions and any other benefits which the Executive would have received in respect of any notice period outstanding on the Termination Date, but will exclude any bonus, commission and share of profit (including any benefits derived from any Share Incentives) that he would have received or would have accrued to him during that period.</w:t>
      </w:r>
    </w:p>
    <w:p>
      <w:pPr>
        <w:spacing w:after="0" w:line="376"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The Notice Payment is in full and final settlement of all and any rights and claims that the Executive may have against the Company arising out of the termination of his employment (including both contractual and statutory employment claims but excluding claims in respect of Basic Salary accrued to the Termination Date and bonus entitlement, if applicable). The Executive agrees to waive, release and discharge any and all such rights and claims and acknowledges that it is a condition of the payment of the Notice Payment that he will execute a settlement agreement (and any other documents reasonably required by the Company) in a form reasonably acceptable to the Company in order to give effect to the release and waiver in this Clause 3.3.</w:t>
      </w:r>
    </w:p>
    <w:p>
      <w:pPr>
        <w:spacing w:after="0" w:line="3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Payment in instalments</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308" w:lineRule="auto"/>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7"/>
          <w:szCs w:val="17"/>
          <w:color w:val="auto"/>
        </w:rPr>
        <w:t>The Company may, at its sole discretion and subject to the terms of Clause 3.4.2, pay the Notice Payment in equal monthly instalments over a period of twelve months (the "</w:t>
      </w:r>
      <w:r>
        <w:rPr>
          <w:rFonts w:ascii="Arial" w:cs="Arial" w:eastAsia="Arial" w:hAnsi="Arial"/>
          <w:sz w:val="17"/>
          <w:szCs w:val="17"/>
          <w:b w:val="1"/>
          <w:bCs w:val="1"/>
          <w:color w:val="auto"/>
        </w:rPr>
        <w:t>Instalment Period</w:t>
      </w:r>
      <w:r>
        <w:rPr>
          <w:rFonts w:ascii="Arial" w:cs="Arial" w:eastAsia="Arial" w:hAnsi="Arial"/>
          <w:sz w:val="17"/>
          <w:szCs w:val="17"/>
          <w:color w:val="auto"/>
        </w:rPr>
        <w:t>"), the first instalment payable at the end of the month in which the Termination Date occurs.</w:t>
      </w:r>
    </w:p>
    <w:p>
      <w:pPr>
        <w:spacing w:after="0" w:line="336"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If the Executive commences alternative employment during the Instalment Period, then the gross instalments of Notice Payment payable after that date will be reduced by a sum equal to the gross amount of the Executive's income from the alternative employment (but excluding any bonus, commission and share of profits).</w:t>
      </w:r>
    </w:p>
    <w:p>
      <w:pPr>
        <w:spacing w:after="0" w:line="357"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If the Executive obtains alternative employment that is to commence during the Instalment Period, he will immediately advise the Company of that fact and of his gross monthly salary and other contractual benefits (but excluding any bonus, commission and share of profits) from that employment. If the Executive fails to comply with this obligation, then from the date the Executive commences alternative employment, the Executive shall have no further entitlement to any payment of Notice Payment.</w:t>
      </w:r>
    </w:p>
    <w:p>
      <w:pPr>
        <w:spacing w:after="0" w:line="372"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HOURS AND PLACE OF WORK</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Hours of work</w:t>
      </w:r>
    </w:p>
    <w:p>
      <w:pPr>
        <w:spacing w:after="0" w:line="200" w:lineRule="exact"/>
        <w:rPr>
          <w:sz w:val="20"/>
          <w:szCs w:val="20"/>
          <w:color w:val="auto"/>
        </w:rPr>
      </w:pPr>
    </w:p>
    <w:p>
      <w:pPr>
        <w:spacing w:after="0" w:line="205"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Executive agrees that he shall work normal business hours together with such additional hours as are necessary for the proper performance of his duties. No payment will be made for any additional hours worked by the Executive.</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Working Time Regulations</w:t>
      </w:r>
    </w:p>
    <w:p>
      <w:pPr>
        <w:spacing w:after="0" w:line="200" w:lineRule="exact"/>
        <w:rPr>
          <w:sz w:val="20"/>
          <w:szCs w:val="20"/>
          <w:color w:val="auto"/>
        </w:rPr>
      </w:pP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Executive has autonomous decision-making powers. The duration of his working time is not measured or predetermined.</w:t>
      </w:r>
    </w:p>
    <w:p>
      <w:pPr>
        <w:spacing w:after="0" w:line="3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Place of work</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Executive's place of work will initially be at the Company's offices in London, United Kingdom, but, subject to the terms of Clause 4.3.2, the Company may require the Executive to work at any other location within or outside the U.K. for such periods as the Company may from time to time require. The Executive will be given reasonable notice of any change in his permanent place of work.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tabs>
          <w:tab w:leader="none" w:pos="62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The Executive will not be required to be absent from the United Kingdom for a period exceeding one month at any one time.</w:t>
      </w:r>
    </w:p>
    <w:p>
      <w:pPr>
        <w:spacing w:after="0" w:line="200" w:lineRule="exact"/>
        <w:rPr>
          <w:sz w:val="20"/>
          <w:szCs w:val="20"/>
          <w:color w:val="auto"/>
        </w:rPr>
      </w:pPr>
    </w:p>
    <w:p>
      <w:pPr>
        <w:spacing w:after="0" w:line="21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THE EMPLOYMENT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5"/>
          <w:szCs w:val="15"/>
          <w:b w:val="1"/>
          <w:bCs w:val="1"/>
          <w:color w:val="auto"/>
        </w:rPr>
        <w:t>Duties of the Executive</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Employment the Executive shall:</w:t>
      </w:r>
    </w:p>
    <w:p>
      <w:pPr>
        <w:spacing w:after="0" w:line="212" w:lineRule="exact"/>
        <w:rPr>
          <w:sz w:val="20"/>
          <w:szCs w:val="20"/>
          <w:color w:val="auto"/>
        </w:rPr>
      </w:pPr>
    </w:p>
    <w:p>
      <w:pPr>
        <w:ind w:left="1280" w:hanging="634"/>
        <w:spacing w:after="0" w:line="342"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undertake and carry out to the best of his ability such duties and exercise such powers in relation to the Group's business as may from time to time be assigned to or vested in him by the Board, including where those duties require the Executive to work for any Group Company;</w:t>
      </w:r>
    </w:p>
    <w:p>
      <w:pPr>
        <w:spacing w:after="0" w:line="299" w:lineRule="exact"/>
        <w:rPr>
          <w:rFonts w:ascii="Arial" w:cs="Arial" w:eastAsia="Arial" w:hAnsi="Arial"/>
          <w:sz w:val="16"/>
          <w:szCs w:val="16"/>
          <w:color w:val="auto"/>
        </w:rPr>
      </w:pPr>
    </w:p>
    <w:p>
      <w:pPr>
        <w:jc w:val="both"/>
        <w:ind w:left="1280" w:hanging="634"/>
        <w:spacing w:after="0" w:line="26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in writing if requested, of all matters with which he is involved;</w:t>
      </w:r>
    </w:p>
    <w:p>
      <w:pPr>
        <w:spacing w:after="0" w:line="370" w:lineRule="exact"/>
        <w:rPr>
          <w:rFonts w:ascii="Arial" w:cs="Arial" w:eastAsia="Arial" w:hAnsi="Arial"/>
          <w:sz w:val="18"/>
          <w:szCs w:val="18"/>
          <w:color w:val="auto"/>
        </w:rPr>
      </w:pPr>
    </w:p>
    <w:p>
      <w:pPr>
        <w:ind w:left="1280" w:hanging="634"/>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the Articles of Association (as amended from time to time) of any Group Company of which he is a director;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ensure compliance with the UK Corporate Governance Code, as applicable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 in accordance with all statutory, fiduciary and common law duties that he owes to the Company and any Group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refrain from doing anything that would cause him to be disqualified from acting as a director;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reasonable endeavours to do, or refrain from doing, such things as are necessary or expedient to ensure compliance by himself and any Group Company with applicable law and regulations and all other regulatory authorities relevant to any Group Company and any codes of practice issued by any Group Company (as amended from time to time);</w:t>
      </w:r>
    </w:p>
    <w:p>
      <w:pPr>
        <w:spacing w:after="0" w:line="356"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prevented by ill-health, holidays or other unavoidable cause, devote the whole of his working time, attention and skill to the discharge of his duties under this Agreement;</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faithfully and diligently perform his duties and at all times use his best endeavours to promote and protect the interests of the Group;</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jc w:val="both"/>
        <w:ind w:left="1280" w:hanging="634"/>
        <w:spacing w:after="0" w:line="26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promptly disclose to the Board full details of any wrongdoing by the Executive or any other employee of any Group Company of which the Executive is aware and where that wrongdoing is material to that employee's employment by the relevant company or to the interests or reputation of any Group Company;</w:t>
      </w:r>
    </w:p>
    <w:p>
      <w:pPr>
        <w:spacing w:after="0" w:line="356"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incur on behalf of the Company or any Group Company any capital expenditure in excess of such sum as may be authorised from time to time by resolution of the Board; and</w:t>
      </w:r>
    </w:p>
    <w:p>
      <w:pPr>
        <w:spacing w:after="0" w:line="359"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enter into on behalf of the Company or any Group Company any commitment, contract or arrangement which is otherwise than in the normal course of the Company's or the relevant Group Company's business or is outside the scope of his normal duties or authorisations or is of an unusual or onerous or long-term nature.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Directorships and Directors and Officers insurance</w:t>
      </w:r>
    </w:p>
    <w:p>
      <w:pPr>
        <w:spacing w:after="0" w:line="200" w:lineRule="exact"/>
        <w:rPr>
          <w:sz w:val="20"/>
          <w:szCs w:val="20"/>
          <w:color w:val="auto"/>
        </w:rPr>
      </w:pPr>
    </w:p>
    <w:p>
      <w:pPr>
        <w:spacing w:after="0" w:line="214"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8"/>
          <w:szCs w:val="18"/>
          <w:color w:val="auto"/>
        </w:rPr>
        <w:t>The Executive will be required to act as a director of the Company and may be required to act as a director of other Group Companies (either executive or non-executive) as the Board requires from time to time. The Company reserves the right on giving written notice to the Executive to terminate any office of directorship immediately at any time</w:t>
      </w:r>
      <w:r>
        <w:rPr>
          <w:rFonts w:ascii="Arial" w:cs="Arial" w:eastAsia="Arial" w:hAnsi="Arial"/>
          <w:sz w:val="18"/>
          <w:szCs w:val="18"/>
          <w:b w:val="1"/>
          <w:bCs w:val="1"/>
          <w:color w:val="auto"/>
        </w:rPr>
        <w:t>.</w:t>
      </w:r>
    </w:p>
    <w:p>
      <w:pPr>
        <w:spacing w:after="0" w:line="357"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8"/>
          <w:szCs w:val="18"/>
          <w:color w:val="auto"/>
        </w:rPr>
        <w:t>The Company shall for the duration of the Employment and for a period of not less than six calendar years following the Termination Date, maintain directors' and officers' insurance for the benefit of the Executive in respect of those liabilities which he may incur as a director or officer of the Company or any Group Company and for which such insurance is normally available.</w:t>
      </w:r>
    </w:p>
    <w:p>
      <w:pPr>
        <w:spacing w:after="0" w:line="3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Right to suspend duties and powers</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76" w:lineRule="auto"/>
        <w:tabs>
          <w:tab w:leader="none" w:pos="6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7"/>
          <w:szCs w:val="17"/>
          <w:color w:val="auto"/>
        </w:rPr>
        <w:t>The Company reserves the right in its absolute discretion to suspend all or any of the Executive's duties and powers on terms it considers expedient or to require him to perform only such duties, specific projects or tasks as are assigned to him expressly by the Company (including the duties of another position of equivalent status) in any case for such period or periods and at such place or places (including, without limitation, the Executive's home) as the Company in its absolute discretion deems necessary (the "</w:t>
      </w:r>
      <w:r>
        <w:rPr>
          <w:rFonts w:ascii="Arial" w:cs="Arial" w:eastAsia="Arial" w:hAnsi="Arial"/>
          <w:sz w:val="17"/>
          <w:szCs w:val="17"/>
          <w:b w:val="1"/>
          <w:bCs w:val="1"/>
          <w:color w:val="auto"/>
        </w:rPr>
        <w:t>Garden Leave</w:t>
      </w:r>
      <w:r>
        <w:rPr>
          <w:rFonts w:ascii="Arial" w:cs="Arial" w:eastAsia="Arial" w:hAnsi="Arial"/>
          <w:sz w:val="17"/>
          <w:szCs w:val="17"/>
          <w:color w:val="auto"/>
        </w:rPr>
        <w:t>"). During any period of Garden Leave, the terms and conditions set out in this Agreement shall continue to apply to the Executive.</w:t>
      </w:r>
    </w:p>
    <w:p>
      <w:pPr>
        <w:spacing w:after="0" w:line="34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The Company may, at its sole discretion, require that during the Garden Leave the Executive shall not:</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or attend the premises of the Company or any Group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 or have any communication with any client or prospective client or supplier of the Company or any Group Company in relation to the business of the Company or any Group Company;</w:t>
      </w:r>
    </w:p>
    <w:p>
      <w:pPr>
        <w:spacing w:after="0" w:line="346"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 or have any communication with any employee, officer, director, agent or consultant of the Company or any Group Company in relation to the business of the Company or any Group Company;</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remain or become involved in any aspect of the business of the Company or any Group Company except as required by such companies; or</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280" w:hanging="63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either on his own account or on behalf of any other person.</w:t>
      </w:r>
    </w:p>
    <w:p>
      <w:pPr>
        <w:spacing w:after="0" w:line="200" w:lineRule="exact"/>
        <w:rPr>
          <w:sz w:val="20"/>
          <w:szCs w:val="20"/>
          <w:color w:val="auto"/>
        </w:rPr>
      </w:pPr>
    </w:p>
    <w:p>
      <w:pPr>
        <w:spacing w:after="0" w:line="201"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During Garden Leave, the Executive will continue to receive his Basic Salary and benefits but will not accrue any bonus, commission or share of profit, save where Clause 6.3.3 applies.</w:t>
      </w:r>
    </w:p>
    <w:p>
      <w:pPr>
        <w:spacing w:after="0" w:line="360"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For the avoidance of doubt, the Company may exercise its powers under this Clause 5.3 at any time during the Employment including after notice of termination has been given by either party.</w:t>
      </w:r>
    </w:p>
    <w:p>
      <w:pPr>
        <w:spacing w:after="0" w:line="35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Basic Salary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During the Employment the Company shall pay the Executive a Basic Salary of not less than £658,000 per annum. The Basic Salary shall accrue from day to day and be payable by credit transfer in equal monthly instalments in arrears on or around the last day of each calendar month or otherwise as arranged from time to time. The Basic Salary will be paid less all deductions that are required by law to be made including in respect of income tax and national insurance contributions.</w:t>
      </w:r>
    </w:p>
    <w:p>
      <w:pPr>
        <w:spacing w:after="0" w:line="376"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The Basic Salary shall be inclusive of all director's fees (if any) to which the Executive may become entitled including all remuneration and director's fees in respect of services rendered by the Executive to any Group Company.</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Salary review</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Basic Salary shall be reviewed annually; however, the Compensation Committee is not obliged to increase the Basic Salary at any review.</w:t>
      </w:r>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Discretionary bonus</w:t>
      </w:r>
    </w:p>
    <w:p>
      <w:pPr>
        <w:spacing w:after="0" w:line="200" w:lineRule="exact"/>
        <w:rPr>
          <w:sz w:val="20"/>
          <w:szCs w:val="20"/>
          <w:color w:val="auto"/>
        </w:rPr>
      </w:pPr>
    </w:p>
    <w:p>
      <w:pPr>
        <w:spacing w:after="0" w:line="201"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The Executive is eligible to receive an annual bonus in respect of each financial year of the Company (the "</w:t>
      </w:r>
      <w:r>
        <w:rPr>
          <w:rFonts w:ascii="Arial" w:cs="Arial" w:eastAsia="Arial" w:hAnsi="Arial"/>
          <w:sz w:val="18"/>
          <w:szCs w:val="18"/>
          <w:b w:val="1"/>
          <w:bCs w:val="1"/>
          <w:color w:val="auto"/>
        </w:rPr>
        <w:t>Bonus</w:t>
      </w:r>
      <w:r>
        <w:rPr>
          <w:rFonts w:ascii="Arial" w:cs="Arial" w:eastAsia="Arial" w:hAnsi="Arial"/>
          <w:sz w:val="18"/>
          <w:szCs w:val="18"/>
          <w:color w:val="auto"/>
        </w:rPr>
        <w:t>"). The target amount of the Executive's Bonus is a sum equal to 100% of his Basic Salary for that financial year. The terms and amount of this bonus (and whether it is paid in cash or in other forms, such as shares or share options) will be approved from time to time and notified to the Executive by the Compensation Committee in its sole discretion.</w:t>
      </w:r>
    </w:p>
    <w:p>
      <w:pPr>
        <w:spacing w:after="0" w:line="373" w:lineRule="exact"/>
        <w:rPr>
          <w:sz w:val="20"/>
          <w:szCs w:val="20"/>
          <w:color w:val="auto"/>
        </w:rPr>
      </w:pPr>
    </w:p>
    <w:p>
      <w:pPr>
        <w:jc w:val="both"/>
        <w:ind w:left="640" w:hanging="634"/>
        <w:spacing w:after="0" w:line="276" w:lineRule="auto"/>
        <w:tabs>
          <w:tab w:leader="none" w:pos="62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The actual amount of any Bonus payable, which may be greater or less than the target amount specified in Clause 6.3.1, will be determined by reference to the Compensation Committee in its sole discretion and will be determined by the achievement of performance objectives, which may include Company and Group performance objectives, personal performance objectives, or a combination of those objectives. The Compensation Committee will determine appropriate performance targets at the beginning of each financial year. The Bonus will be paid by the Company after receipt by it of the audited financial statements of the Company for the financial year in question.</w:t>
      </w:r>
    </w:p>
    <w:p>
      <w:pPr>
        <w:spacing w:after="0" w:line="362"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8"/>
          <w:szCs w:val="18"/>
          <w:color w:val="auto"/>
        </w:rPr>
        <w:t>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18, the Executive will have no rights as a result of this Agreement or any alleged breach of it to any compensation under or in respect of any Bonus.</w:t>
      </w:r>
    </w:p>
    <w:p>
      <w:pPr>
        <w:spacing w:after="0" w:line="35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Corporate Governance</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302" w:lineRule="auto"/>
        <w:rPr>
          <w:sz w:val="20"/>
          <w:szCs w:val="20"/>
          <w:color w:val="auto"/>
        </w:rPr>
      </w:pPr>
      <w:r>
        <w:rPr>
          <w:rFonts w:ascii="Arial" w:cs="Arial" w:eastAsia="Arial" w:hAnsi="Arial"/>
          <w:sz w:val="16"/>
          <w:szCs w:val="16"/>
          <w:color w:val="auto"/>
        </w:rPr>
        <w:t>All payments and/or benefits payable to the Executive are subject to and conditional upon: (i) the terms of applicable law, regulation and governance codes that regulate or govern executive pay from time to time; and (ii) the consent of the shareholders of the Company, as appropriate as determined by the Board (together "</w:t>
      </w:r>
      <w:r>
        <w:rPr>
          <w:rFonts w:ascii="Arial" w:cs="Arial" w:eastAsia="Arial" w:hAnsi="Arial"/>
          <w:sz w:val="16"/>
          <w:szCs w:val="16"/>
          <w:b w:val="1"/>
          <w:bCs w:val="1"/>
          <w:color w:val="auto"/>
        </w:rPr>
        <w:t>Remuneration Governance</w:t>
      </w:r>
      <w:r>
        <w:rPr>
          <w:rFonts w:ascii="Arial" w:cs="Arial" w:eastAsia="Arial" w:hAnsi="Arial"/>
          <w:sz w:val="16"/>
          <w:szCs w:val="16"/>
          <w:color w:val="auto"/>
        </w:rPr>
        <w:t>"). The Company reserves the right to amend, reduce, hold back, defer, claw back and alter the structure of any payments and benefits payable to the Executive in order to comply with Remuneration Governance.</w:t>
      </w:r>
    </w:p>
    <w:p>
      <w:pPr>
        <w:spacing w:after="0" w:line="13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ACCOMMODATION, ALLOWANCES AND SERVICES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5"/>
          <w:szCs w:val="15"/>
          <w:b w:val="1"/>
          <w:bCs w:val="1"/>
          <w:color w:val="auto"/>
        </w:rPr>
        <w:t>Accommodation allowance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The Company will provide the Executive with an allowance towards accommodation costs of £150,000 for the one-year period commencing on 1 January 2017 (the "</w:t>
      </w:r>
      <w:r>
        <w:rPr>
          <w:rFonts w:ascii="Arial" w:cs="Arial" w:eastAsia="Arial" w:hAnsi="Arial"/>
          <w:sz w:val="18"/>
          <w:szCs w:val="18"/>
          <w:b w:val="1"/>
          <w:bCs w:val="1"/>
          <w:color w:val="auto"/>
        </w:rPr>
        <w:t>Accommodation Allowance</w:t>
      </w:r>
      <w:r>
        <w:rPr>
          <w:rFonts w:ascii="Arial" w:cs="Arial" w:eastAsia="Arial" w:hAnsi="Arial"/>
          <w:sz w:val="18"/>
          <w:szCs w:val="18"/>
          <w:color w:val="auto"/>
        </w:rPr>
        <w:t>"). The Accommodation Allowance shall decrease by 20% (£30,000) on 1 January 2018, and by an additional 20% on 1 January of each succeeding year, such that Executive's entitlement to the Accommodation Allowance shall end as of 31 December 2021.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left="640" w:right="20" w:hanging="634"/>
        <w:spacing w:after="0" w:line="308" w:lineRule="auto"/>
        <w:tabs>
          <w:tab w:leader="none" w:pos="6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The Accommodation Allowance will be paid by the Company to the Executive in equal monthly instalments. The Accommodation Allowance is stated as a gross figure and will be subject to deductions for income tax and National Insurance contributions where applicable.</w:t>
      </w:r>
    </w:p>
    <w:p>
      <w:pPr>
        <w:spacing w:after="0" w:line="336"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8"/>
          <w:szCs w:val="18"/>
          <w:color w:val="auto"/>
        </w:rPr>
        <w:t>The Accommodation Allowance does not form part of the Executive's Basic Salary. For the avoidance of doubt, the Executive is under no obligation to demonstrate that his actual accommodation expenses equal or exceed the Accommodation Allowance.</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Relocation Benefits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In connection with the Executive's relocation to the U.K., the Company agrees to reimburse expenses incurred in connection with the purchase of a principal residence in the U.K. If the Executive is compelled to pay income taxes on any portion of the foregoing relocation benefits provided by the Company, the Company will pay to the Executive such additional amounts as are necessary to ensure receipt by the Executive of the full amount that the Executive would have received but for the income taxes payable by the Executive or by the Company on his behalf.</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color w:val="auto"/>
        </w:rPr>
        <w:t>School allowance</w:t>
      </w:r>
    </w:p>
    <w:p>
      <w:pPr>
        <w:spacing w:after="0" w:line="200" w:lineRule="exact"/>
        <w:rPr>
          <w:sz w:val="20"/>
          <w:szCs w:val="20"/>
          <w:color w:val="auto"/>
        </w:rPr>
      </w:pPr>
    </w:p>
    <w:p>
      <w:pPr>
        <w:spacing w:after="0" w:line="2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will provide the Executive with an annual allowance in the amount of £31,950 to offset incremental school-related expenses for the Executive's two daughters commencing 1 January 2017 (the "</w:t>
      </w:r>
      <w:r>
        <w:rPr>
          <w:rFonts w:ascii="Arial" w:cs="Arial" w:eastAsia="Arial" w:hAnsi="Arial"/>
          <w:sz w:val="18"/>
          <w:szCs w:val="18"/>
          <w:b w:val="1"/>
          <w:bCs w:val="1"/>
          <w:color w:val="auto"/>
        </w:rPr>
        <w:t>School Allowance</w:t>
      </w:r>
      <w:r>
        <w:rPr>
          <w:rFonts w:ascii="Arial" w:cs="Arial" w:eastAsia="Arial" w:hAnsi="Arial"/>
          <w:sz w:val="18"/>
          <w:szCs w:val="18"/>
          <w:color w:val="auto"/>
        </w:rPr>
        <w:t>"). The amount of the School Allowance shall decrease by 20% (£6,390) on 1 January 2018, and by an additional 20% on 1 January of each succeeding year, such that Executive's entitlement to the School Allowance shall end as of 31 December 2021.</w:t>
      </w:r>
    </w:p>
    <w:p>
      <w:pPr>
        <w:spacing w:after="0" w:line="169"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Out-of-pocket expenses</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Company shall reimburse to the Executive (against receipts or other appropriate evidence as the Board may require) the amount of all out-of-pocket expenses reasonably and properly incurred by him in the proper discharge of his duties hereunder to the extent that such expenses are incurred in accordance with the Company's business expenses policy from time to time.</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Company credit/charge cards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In the event that the Company issues a Company-sponsored credit or charge card to the Executive he shall use such card only for expenses reimbursable under Clause 8.1 and shall return it to the Company when so requested and in any event immediately on termination of the Employment howsoever arising.</w:t>
      </w:r>
    </w:p>
    <w:p>
      <w:pPr>
        <w:spacing w:after="0" w:line="15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left="6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Executive agrees that the Company may deduct from any sums due to him under this Agreement any sums due by him to the Company including, without limitation, any debits to his Company credit or charge card not authorised by the Company, the Executive's pension contributions (if any), any overpayments, loans or advances made to him by the Company, the cost of repairing any damage or loss to the Company's property caused by him and any losses suffered by the Company as a result of any negligence or breach of duty by the Executive.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COMPANY CAR</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   Car allowance</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Executive will be paid a car allowance of £17,750 per annum, subject to deduction of income tax and National Insurance contributions.</w:t>
      </w:r>
    </w:p>
    <w:p>
      <w:pPr>
        <w:spacing w:after="0" w:line="208" w:lineRule="exact"/>
        <w:rPr>
          <w:sz w:val="20"/>
          <w:szCs w:val="20"/>
          <w:color w:val="auto"/>
        </w:rPr>
      </w:pPr>
    </w:p>
    <w:p>
      <w:pPr>
        <w:ind w:right="9160" w:firstLine="8"/>
        <w:spacing w:after="0" w:line="754" w:lineRule="auto"/>
        <w:tabs>
          <w:tab w:leader="none" w:pos="635"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PENSION SCHEME 11.1 The Scheme</w:t>
      </w:r>
    </w:p>
    <w:p>
      <w:pPr>
        <w:spacing w:after="0" w:line="1"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Arial" w:cs="Arial" w:eastAsia="Arial" w:hAnsi="Arial"/>
          <w:sz w:val="18"/>
          <w:szCs w:val="18"/>
          <w:color w:val="auto"/>
        </w:rPr>
        <w:t>11.1.1</w:t>
        <w:tab/>
        <w:t>The Executive is eligible to join the Company's pension scheme (the "</w:t>
      </w:r>
      <w:r>
        <w:rPr>
          <w:rFonts w:ascii="Arial" w:cs="Arial" w:eastAsia="Arial" w:hAnsi="Arial"/>
          <w:sz w:val="18"/>
          <w:szCs w:val="18"/>
          <w:b w:val="1"/>
          <w:bCs w:val="1"/>
          <w:color w:val="auto"/>
        </w:rPr>
        <w:t>Scheme</w:t>
      </w:r>
      <w:r>
        <w:rPr>
          <w:rFonts w:ascii="Arial" w:cs="Arial" w:eastAsia="Arial" w:hAnsi="Arial"/>
          <w:sz w:val="18"/>
          <w:szCs w:val="18"/>
          <w:color w:val="auto"/>
        </w:rPr>
        <w:t>"), subject to its rules in force from time to time. Details of the Scheme are available from the Company. Pursuant to the Scheme, the Company will make an annual supplemental contribution to the Scheme in respect of the Executive equal to 15% of the Executive's Basic Salary and discretionary bonus. The contribution shall be paid to the Scheme at such time or times during the year as the Company shall decide at its discretion.</w:t>
      </w:r>
    </w:p>
    <w:p>
      <w:pPr>
        <w:spacing w:after="0" w:line="373"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11.1.2</w:t>
        <w:tab/>
        <w:t>When the Company becomes subject to the employer duties in the Pensions Act 2008, the Company reserves the right to amend the Executive's pension arrangements in place in its absolute discretion. The Company will inform the Executive of any changes to his pension arrangements at that time.</w:t>
      </w:r>
    </w:p>
    <w:p>
      <w:pPr>
        <w:spacing w:after="0" w:line="3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A copy of the current explanatory booklet giving details of the Scheme is available from the Company's Human Resources Department.</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The Scheme is not a contracted-out scheme for the purposes of the Pension Schemes Act 1993.</w:t>
      </w:r>
    </w:p>
    <w:p>
      <w:pPr>
        <w:spacing w:after="0" w:line="200" w:lineRule="exact"/>
        <w:rPr>
          <w:sz w:val="20"/>
          <w:szCs w:val="20"/>
          <w:color w:val="auto"/>
        </w:rPr>
      </w:pP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Company's right to amend and terminate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11.2.1</w:t>
        <w:tab/>
        <w:t>The Company may at any time terminate the Scheme or the Executive's membership of it subject to providing him with membership of an equivalent pension scheme.</w:t>
      </w:r>
    </w:p>
    <w:p>
      <w:pPr>
        <w:spacing w:after="0" w:line="342" w:lineRule="exact"/>
        <w:rPr>
          <w:sz w:val="20"/>
          <w:szCs w:val="20"/>
          <w:color w:val="auto"/>
        </w:rPr>
      </w:pPr>
    </w:p>
    <w:p>
      <w:pPr>
        <w:ind w:right="7880" w:firstLine="8"/>
        <w:spacing w:after="0" w:line="722" w:lineRule="auto"/>
        <w:tabs>
          <w:tab w:leader="none" w:pos="6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&amp; BENEFITS 12.1 Health Care Scheme</w:t>
      </w:r>
    </w:p>
    <w:p>
      <w:pPr>
        <w:spacing w:after="0" w:line="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Without prejudice to the terms of Clauses 3 and 18, the Executive (and his spouse and children in respect of private medical insurance) shall be entitled during the Employment, to participate in any Health Care Scheme subject to the following terms and conditions:</w:t>
      </w:r>
    </w:p>
    <w:p>
      <w:pPr>
        <w:spacing w:after="0" w:line="143" w:lineRule="exact"/>
        <w:rPr>
          <w:sz w:val="20"/>
          <w:szCs w:val="20"/>
          <w:color w:val="auto"/>
        </w:rPr>
      </w:pPr>
    </w:p>
    <w:p>
      <w:pPr>
        <w:ind w:left="1280" w:right="20" w:hanging="634"/>
        <w:spacing w:after="0" w:line="308"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Executive's (and his family's participation as applicable) is subject to the Company's rules regarding eligibility and the rules, terms and conditions of the relevant Scheme, both in force from time to time, copies of which shall be available from Human Resources;</w:t>
      </w:r>
    </w:p>
    <w:p>
      <w:pPr>
        <w:spacing w:after="0" w:line="335" w:lineRule="exact"/>
        <w:rPr>
          <w:rFonts w:ascii="Arial" w:cs="Arial" w:eastAsia="Arial" w:hAnsi="Arial"/>
          <w:sz w:val="17"/>
          <w:szCs w:val="17"/>
          <w:color w:val="auto"/>
        </w:rPr>
      </w:pPr>
    </w:p>
    <w:p>
      <w:pPr>
        <w:ind w:left="1280" w:hanging="634"/>
        <w:spacing w:after="0" w:line="308"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reserves the right to terminate the Executive's (or his family's, as applicable) or the Company's participation in any of the Schemes, substitute a new scheme for an existing Scheme and/or alter the level or type of benefits available under any Scheme;</w:t>
      </w:r>
    </w:p>
    <w:p>
      <w:pPr>
        <w:spacing w:after="0" w:line="335" w:lineRule="exact"/>
        <w:rPr>
          <w:rFonts w:ascii="Arial" w:cs="Arial" w:eastAsia="Arial" w:hAnsi="Arial"/>
          <w:sz w:val="17"/>
          <w:szCs w:val="17"/>
          <w:color w:val="auto"/>
        </w:rPr>
      </w:pPr>
    </w:p>
    <w:p>
      <w:pPr>
        <w:jc w:val="both"/>
        <w:ind w:left="1280" w:hanging="634"/>
        <w:spacing w:after="0" w:line="279"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his family) under the applicable Scheme, the Company shall not be liable to provide (or compensate the Executive for the loss of) such benefit(s) nor shall it be obliged to take action against the provider to enforce any rights under the Scheme;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1280" w:hanging="634"/>
        <w:spacing w:after="0" w:line="308" w:lineRule="auto"/>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fact that the termination of the Employment under Clauses 3 and 18 may result in the Executive or his family ceasing to be eligible to receive or continue to receive benefits under any Scheme does not remove the Company's right to terminate the Employment; and</w:t>
      </w:r>
    </w:p>
    <w:p>
      <w:pPr>
        <w:spacing w:after="0" w:line="335" w:lineRule="exact"/>
        <w:rPr>
          <w:rFonts w:ascii="Arial" w:cs="Arial" w:eastAsia="Arial" w:hAnsi="Arial"/>
          <w:sz w:val="17"/>
          <w:szCs w:val="17"/>
          <w:color w:val="auto"/>
        </w:rPr>
      </w:pPr>
    </w:p>
    <w:p>
      <w:pPr>
        <w:ind w:left="1280" w:hanging="634"/>
        <w:spacing w:after="0" w:line="277"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acceptance of such variations to his terms and conditions of employment as may from time to time be required by the Company.</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Payments</w:t>
      </w:r>
    </w:p>
    <w:p>
      <w:pPr>
        <w:spacing w:after="0" w:line="200" w:lineRule="exact"/>
        <w:rPr>
          <w:sz w:val="20"/>
          <w:szCs w:val="20"/>
          <w:color w:val="auto"/>
        </w:rPr>
      </w:pP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6"/>
          <w:szCs w:val="16"/>
          <w:color w:val="auto"/>
        </w:rPr>
        <w:t>All payments under the Schemes will be subject to the deductions required by law.</w:t>
      </w:r>
    </w:p>
    <w:p>
      <w:pPr>
        <w:spacing w:after="0" w:line="200" w:lineRule="exact"/>
        <w:rPr>
          <w:sz w:val="20"/>
          <w:szCs w:val="20"/>
          <w:color w:val="auto"/>
        </w:rPr>
      </w:pPr>
    </w:p>
    <w:p>
      <w:pPr>
        <w:spacing w:after="0" w:line="214"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12.2.2</w:t>
        <w:tab/>
        <w:t>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3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Medical examinations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164"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The holiday year</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holiday year runs from 1st January to 31st December.</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Annual entitlement</w:t>
      </w:r>
    </w:p>
    <w:p>
      <w:pPr>
        <w:spacing w:after="0" w:line="200" w:lineRule="exact"/>
        <w:rPr>
          <w:sz w:val="20"/>
          <w:szCs w:val="20"/>
          <w:color w:val="auto"/>
        </w:rPr>
      </w:pPr>
    </w:p>
    <w:p>
      <w:pPr>
        <w:spacing w:after="0" w:line="205"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13.2.1</w:t>
        <w:tab/>
        <w:t>The Executive's annual entitlement to paid holidays is to those public or customary holidays recognised by the Company in any holiday year of which there are eight in total and in addition 29 contractual days holiday.</w:t>
      </w:r>
    </w:p>
    <w:p>
      <w:pPr>
        <w:spacing w:after="0" w:line="360"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13.2.2</w:t>
        <w:tab/>
        <w:t>Entitlement to contractual holidays is accrued pro rata throughout the holiday year. The Executive will be entitled to take public and customary holidays on the days that they are recognised by the Company during the holiday year.</w:t>
      </w:r>
    </w:p>
    <w:p>
      <w:pPr>
        <w:spacing w:after="0" w:line="36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color w:val="auto"/>
        </w:rPr>
        <w:t>The Executive is not entitled to carry any unused holiday entitlement forward to the next holiday year without the permission of the Company.</w:t>
      </w:r>
    </w:p>
    <w:p>
      <w:pPr>
        <w:spacing w:after="0" w:line="3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Holiday entitlement on termination</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13.3.1</w:t>
        <w:tab/>
        <w:t>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370"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13.3.2</w:t>
        <w:tab/>
        <w:t>The Executive will be required to make a payment to the Company in respect of any holidays taken in excess of his holiday entitlement accrued at the Termination Date. Any sums so due may be deducted from any money owing to the Executive by the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ABSENCE</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Absence due to sickness or injury</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If the Executive is absent from work due to sickness or injury he shall:</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inform the Company of his sickness or injury;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respect of absence due to sickness, injury or accident that continues for more than 7 consecutive days (including weekends) the Executive must provide the Company with a note of fitness to work stating the reason for the absence. Thereafter notes of fitness to work must be provided to the Company to cover the remainder of the period of continuing sickness absence.</w:t>
      </w:r>
    </w:p>
    <w:p>
      <w:pPr>
        <w:spacing w:after="0" w:line="357"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14.1.2</w:t>
        <w:tab/>
        <w:t>Failure to follow the requirements referred to in Clause 14.1.1 may result in disciplinary action and loss of Statutory Sick Pay and/or Company Sick Pay pursuant to Clause 14.2.</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Payment of salary during absence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Arial" w:cs="Arial" w:eastAsia="Arial" w:hAnsi="Arial"/>
          <w:sz w:val="18"/>
          <w:szCs w:val="18"/>
          <w:color w:val="auto"/>
        </w:rPr>
        <w:t>14.2.1</w:t>
        <w:tab/>
        <w:t>Subject to the Executive complying with the terms of Clause 14.1.1, the Company will continue to pay Basic Salary and usual benefits during any period of absence due to sickness or injury for up to a maximum of six months in any period of twelve consecutive months (the twelve-month period being referred to as the "</w:t>
      </w:r>
      <w:r>
        <w:rPr>
          <w:rFonts w:ascii="Arial" w:cs="Arial" w:eastAsia="Arial" w:hAnsi="Arial"/>
          <w:sz w:val="18"/>
          <w:szCs w:val="18"/>
          <w:b w:val="1"/>
          <w:bCs w:val="1"/>
          <w:color w:val="auto"/>
        </w:rPr>
        <w:t>Entitlement Period</w:t>
      </w:r>
      <w:r>
        <w:rPr>
          <w:rFonts w:ascii="Arial" w:cs="Arial" w:eastAsia="Arial" w:hAnsi="Arial"/>
          <w:sz w:val="18"/>
          <w:szCs w:val="18"/>
          <w:color w:val="auto"/>
        </w:rPr>
        <w:t>") unless the Employment is terminated in terms of Clauses 3 or 18. The first Entitlement Period will begin on the first day of absence and any subsequent Entitlement Period will start on the first day of any absence occurring outside an enduring Entitlement Period.</w:t>
      </w:r>
    </w:p>
    <w:p>
      <w:pPr>
        <w:spacing w:after="0" w:line="3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Payment of the Basic Salary in terms of Clause 14.2.1 shall be made less:</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amount equivalent to any Statutory Sick Pay payable to the Executive;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sums which may be received by the Executive under any insurance policy effected by the Company;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benefits or sums which the Executive receives, such as under a PHI or other insurance scheme, in terms of the Employment or under any relevant legislation.</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Absence caused by third party negligence</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the Executive's absence is caused by the negligence of a third party in respect of which damages are recoverable, then all sums paid by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during the period of absence in terms of Clause 14.2 shall constitute loans to the Executive who shall:</w:t>
      </w:r>
    </w:p>
    <w:p>
      <w:pPr>
        <w:spacing w:after="0" w:line="184" w:lineRule="exact"/>
        <w:rPr>
          <w:sz w:val="20"/>
          <w:szCs w:val="20"/>
          <w:color w:val="auto"/>
        </w:rPr>
      </w:pPr>
    </w:p>
    <w:p>
      <w:pPr>
        <w:ind w:left="1280" w:hanging="634"/>
        <w:spacing w:after="0" w:line="277"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notify the Company immediately of all the relevant circumstances and of any claim, compromise, settlement or judgment made or awarded; and</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Company so requires, refund to it an amount determined by the Company, not exceeding the lesser of:</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20" w:hanging="635"/>
        <w:spacing w:after="0" w:line="277"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amount of damages recovered by him in respect of loss of earnings during the period of absence under any compromise, settlement or judgment; and</w:t>
      </w:r>
    </w:p>
    <w:p>
      <w:pPr>
        <w:spacing w:after="0" w:line="346" w:lineRule="exact"/>
        <w:rPr>
          <w:rFonts w:ascii="Arial" w:cs="Arial" w:eastAsia="Arial" w:hAnsi="Arial"/>
          <w:sz w:val="18"/>
          <w:szCs w:val="18"/>
          <w:color w:val="auto"/>
        </w:rPr>
      </w:pPr>
    </w:p>
    <w:p>
      <w:pPr>
        <w:ind w:left="1920" w:hanging="635"/>
        <w:spacing w:after="0"/>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sums advanced to him by the Company in respect of the period of incapacity.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9" w:name="page20"/>
    <w:bookmarkEnd w:id="19"/>
    <w:p>
      <w:pPr>
        <w:ind w:right="7260" w:firstLine="8"/>
        <w:spacing w:after="0" w:line="714" w:lineRule="auto"/>
        <w:tabs>
          <w:tab w:leader="none" w:pos="63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DURING EMPLOYMENT 15.1 Disclosure of other interests</w:t>
      </w:r>
    </w:p>
    <w:p>
      <w:pPr>
        <w:spacing w:after="0" w:line="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Executive shall disclose to the Board any interest of his own (or that of his partner or of any child of his or of his partner under eighteen years of age):</w:t>
      </w:r>
    </w:p>
    <w:p>
      <w:pPr>
        <w:spacing w:after="0" w:line="157" w:lineRule="exact"/>
        <w:rPr>
          <w:sz w:val="20"/>
          <w:szCs w:val="20"/>
          <w:color w:val="auto"/>
        </w:rPr>
      </w:pPr>
    </w:p>
    <w:p>
      <w:pPr>
        <w:ind w:left="1280" w:hanging="634"/>
        <w:spacing w:after="0" w:line="277"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any trade, business or occupation whatsoever which is in any way similar to any of those in which the Company or any Group Company is involved; and</w:t>
      </w:r>
    </w:p>
    <w:p>
      <w:pPr>
        <w:spacing w:after="0" w:line="359"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any trade, business or occupation carried on by any supplier or customer of the Company or any Group Company whether or not such trade, business or occupation is conducted for profit or gain.</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Restrictions on other activities and interests of the Executive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Arial" w:cs="Arial" w:eastAsia="Arial" w:hAnsi="Arial"/>
          <w:sz w:val="18"/>
          <w:szCs w:val="18"/>
          <w:color w:val="auto"/>
        </w:rPr>
        <w:t>15.2.1</w:t>
        <w:tab/>
        <w:t>During the Employment the Executive shall not at any time, without the prior written consent of the Board, either alone or jointly with any other person, carry on or be directly or indirectly employed, engaged, concerned or interested in any business, prospective business or undertaking other than a Group Company and the Executive's previously declared service as a member of the board of directors of Avita Medical Ltd. Nothing contained in this Clause 15.2.1 shall preclude the Executive from being a Minority Holder unless the holding is in a company that is a direct business competitor of the Company or any Group Company in which case, the Executive shall obtain the prior consent of the Board to the acquisition or variation of such holding.</w:t>
      </w:r>
    </w:p>
    <w:p>
      <w:pPr>
        <w:spacing w:after="0" w:line="382"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15.2.2</w:t>
        <w:tab/>
        <w:t>If the Executive, with the consent of the Board, accepts any other appointment he must keep the Company accurately informed of the amount of time he spends working under that appointment.</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Transactions with the Company</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Subject to any regulations issued by the Company, the Executive shall not be entitled to receive or obtain directly or indirectly any discount, rebate, commission or any other form of gift or gratuity (any of these referred to as a "</w:t>
      </w:r>
      <w:r>
        <w:rPr>
          <w:rFonts w:ascii="Arial" w:cs="Arial" w:eastAsia="Arial" w:hAnsi="Arial"/>
          <w:sz w:val="17"/>
          <w:szCs w:val="17"/>
          <w:b w:val="1"/>
          <w:bCs w:val="1"/>
          <w:color w:val="auto"/>
        </w:rPr>
        <w:t>Gratuity</w:t>
      </w:r>
      <w:r>
        <w:rPr>
          <w:rFonts w:ascii="Arial" w:cs="Arial" w:eastAsia="Arial" w:hAnsi="Arial"/>
          <w:sz w:val="17"/>
          <w:szCs w:val="17"/>
          <w:color w:val="auto"/>
        </w:rPr>
        <w:t>") as a result of the Employment or any sale or purchase of goods or services effected or other business transacted (whether or not by him) by or on behalf of the Company or any Group Company and if he (or any person in which he is interested) obtains any Gratuity he shall account to the Company for the amount received by him (or a due proportion of the amount received by the person having regard to the extent of his interest therein).</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Dealing in securities</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The Executive shall comply with every rule of law (including but not limited to the insider dealing provisions contained in Part V of the Criminal Justice Act 1993), the UK Financial Conduct Authority's listing rules' Model Code for transactions in securities by directors of listed companies, certain employees and persons connected with them and every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tabs>
          <w:tab w:leader="none" w:pos="6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Compliance with the code on Corporate Governance</w:t>
      </w:r>
    </w:p>
    <w:p>
      <w:pPr>
        <w:spacing w:after="0" w:line="200" w:lineRule="exact"/>
        <w:rPr>
          <w:sz w:val="20"/>
          <w:szCs w:val="20"/>
          <w:color w:val="auto"/>
        </w:rPr>
      </w:pPr>
    </w:p>
    <w:p>
      <w:pPr>
        <w:spacing w:after="0" w:line="218"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The Executive shall comply,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93"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COMPANY DOCUMENTS</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Restrictions on disclosure and use of Confidential Information</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Executive must not either during the Employment (except in the proper performance of his duties) or at any time (without limit) after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Termination Date:</w:t>
      </w:r>
    </w:p>
    <w:p>
      <w:pPr>
        <w:spacing w:after="0" w:line="184" w:lineRule="exact"/>
        <w:rPr>
          <w:sz w:val="20"/>
          <w:szCs w:val="20"/>
          <w:color w:val="auto"/>
        </w:rPr>
      </w:pPr>
    </w:p>
    <w:p>
      <w:pPr>
        <w:ind w:left="1280" w:hanging="634"/>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for his own purposes or for any purposes other than those of the Company or any Group Company;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200" w:lineRule="exact"/>
        <w:rPr>
          <w:sz w:val="20"/>
          <w:szCs w:val="20"/>
          <w:color w:val="auto"/>
        </w:rPr>
      </w:pPr>
    </w:p>
    <w:p>
      <w:pPr>
        <w:spacing w:after="0" w:line="201"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any Confidential Information. The Executive must at all times use his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312" w:lineRule="auto"/>
        <w:rPr>
          <w:sz w:val="20"/>
          <w:szCs w:val="20"/>
          <w:color w:val="auto"/>
        </w:rPr>
      </w:pPr>
      <w:r>
        <w:rPr>
          <w:rFonts w:ascii="Arial" w:cs="Arial" w:eastAsia="Arial" w:hAnsi="Arial"/>
          <w:sz w:val="16"/>
          <w:szCs w:val="16"/>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120" w:lineRule="exact"/>
        <w:rPr>
          <w:sz w:val="20"/>
          <w:szCs w:val="20"/>
          <w:color w:val="auto"/>
        </w:rPr>
      </w:pPr>
    </w:p>
    <w:p>
      <w:pPr>
        <w:ind w:left="1280" w:hanging="63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shall be and remain the property of the Company or the relevant Group Company or client;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shall be handed over by the Executive to the Company or the relevant Group Company or client on demand by the Company and in any event on the termination of the Employment;</w:t>
      </w:r>
    </w:p>
    <w:p>
      <w:pPr>
        <w:spacing w:after="0" w:line="360"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provided that following the termination of the Employment, the Executive shall be provided with reasonable access to Board Minutes and agendas of the Company or any Group Company relating to any period during which he was a director of the Company or such Group Company that shall nevertheless remain confidential.</w:t>
      </w:r>
    </w:p>
    <w:p>
      <w:pPr>
        <w:spacing w:after="0" w:line="150"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OTHER WORKS</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Executive to further interests of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both"/>
        <w:ind w:left="640"/>
        <w:spacing w:after="0" w:line="277" w:lineRule="auto"/>
        <w:rPr>
          <w:sz w:val="20"/>
          <w:szCs w:val="20"/>
          <w:color w:val="auto"/>
        </w:rPr>
      </w:pPr>
      <w:r>
        <w:rPr>
          <w:rFonts w:ascii="Arial" w:cs="Arial" w:eastAsia="Arial" w:hAnsi="Arial"/>
          <w:sz w:val="18"/>
          <w:szCs w:val="18"/>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5"/>
          <w:szCs w:val="15"/>
          <w:b w:val="1"/>
          <w:bCs w:val="1"/>
          <w:color w:val="auto"/>
        </w:rPr>
        <w:t>Disclosure and ownership of Works</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Executive shall immediately on request by the Company (whether during or after the Employment) and at the expense of the Company:</w:t>
      </w:r>
    </w:p>
    <w:p>
      <w:pPr>
        <w:spacing w:after="0" w:line="198" w:lineRule="exact"/>
        <w:rPr>
          <w:sz w:val="20"/>
          <w:szCs w:val="20"/>
          <w:color w:val="auto"/>
        </w:rPr>
      </w:pPr>
    </w:p>
    <w:p>
      <w:pPr>
        <w:ind w:left="1280" w:right="20" w:hanging="634"/>
        <w:spacing w:after="0" w:line="277"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apply or join with the Company or any Group Company in applying for any Intellectual Property Rights or other protection or registration ("</w:t>
      </w:r>
      <w:r>
        <w:rPr>
          <w:rFonts w:ascii="Arial" w:cs="Arial" w:eastAsia="Arial" w:hAnsi="Arial"/>
          <w:sz w:val="18"/>
          <w:szCs w:val="18"/>
          <w:b w:val="1"/>
          <w:bCs w:val="1"/>
          <w:color w:val="auto"/>
        </w:rPr>
        <w:t>Protection</w:t>
      </w:r>
      <w:r>
        <w:rPr>
          <w:rFonts w:ascii="Arial" w:cs="Arial" w:eastAsia="Arial" w:hAnsi="Arial"/>
          <w:sz w:val="18"/>
          <w:szCs w:val="18"/>
          <w:color w:val="auto"/>
        </w:rPr>
        <w:t>") in the United Kingdom and in any other part of the world for, or in relation to, any Works;</w:t>
      </w:r>
    </w:p>
    <w:p>
      <w:pPr>
        <w:spacing w:after="0" w:line="359"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370" w:lineRule="exact"/>
        <w:rPr>
          <w:rFonts w:ascii="Arial" w:cs="Arial" w:eastAsia="Arial" w:hAnsi="Arial"/>
          <w:sz w:val="18"/>
          <w:szCs w:val="18"/>
          <w:color w:val="auto"/>
        </w:rPr>
      </w:pPr>
    </w:p>
    <w:p>
      <w:pPr>
        <w:ind w:left="1280" w:right="20" w:hanging="634"/>
        <w:spacing w:after="0" w:line="277"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Waiver of rights by the Executive</w:t>
      </w:r>
    </w:p>
    <w:p>
      <w:pPr>
        <w:spacing w:after="0" w:line="200" w:lineRule="exact"/>
        <w:rPr>
          <w:sz w:val="20"/>
          <w:szCs w:val="20"/>
          <w:color w:val="auto"/>
        </w:rPr>
      </w:pPr>
    </w:p>
    <w:p>
      <w:pPr>
        <w:spacing w:after="0" w:line="218"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Executive hereby irrevocably and unconditionally waives all rights under Chapter IV Copyright, Designs and Patents Act 1988 and any other moral rights which he may have in the Works, in whatever part of the world such rights may be enforceable including:</w:t>
      </w:r>
    </w:p>
    <w:p>
      <w:pPr>
        <w:spacing w:after="0" w:line="157" w:lineRule="exact"/>
        <w:rPr>
          <w:sz w:val="20"/>
          <w:szCs w:val="20"/>
          <w:color w:val="auto"/>
        </w:rPr>
      </w:pPr>
    </w:p>
    <w:p>
      <w:pPr>
        <w:ind w:left="1280" w:hanging="63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 conferred by section 77 of that Act to be identified as the author of any such Works;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 conferred by section 80 of that Act not to have any such Works subjected to derogatory treatment.</w:t>
      </w:r>
    </w:p>
    <w:p>
      <w:pPr>
        <w:spacing w:after="0" w:line="200" w:lineRule="exact"/>
        <w:rPr>
          <w:sz w:val="20"/>
          <w:szCs w:val="20"/>
          <w:color w:val="auto"/>
        </w:rPr>
      </w:pP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Power of Attorney</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Executive hereby irrevocably appoints the Company to be his attorney and in his name and on his behalf to execute any such act and to sign all deeds and documents and generally to use his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Statutory rights</w:t>
      </w: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Nothing in this Clause 17 shall be construed as restricting the rights of the Executive or the Company under sections 39 to 43 Patents Act 1977.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9300" w:firstLine="8"/>
        <w:spacing w:after="0" w:line="714" w:lineRule="auto"/>
        <w:tabs>
          <w:tab w:leader="none" w:pos="6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18.1 Termination events</w:t>
      </w:r>
    </w:p>
    <w:p>
      <w:pPr>
        <w:spacing w:after="0" w:line="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157" w:lineRule="exact"/>
        <w:rPr>
          <w:sz w:val="20"/>
          <w:szCs w:val="20"/>
          <w:color w:val="auto"/>
        </w:rPr>
      </w:pPr>
    </w:p>
    <w:p>
      <w:pPr>
        <w:ind w:left="1280" w:right="20" w:hanging="634"/>
        <w:spacing w:after="0" w:line="277"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Executive is guilty of any gross misconduct or behaviour which tends to bring himself or the Company or any Group Company into disrepute; or</w:t>
      </w:r>
    </w:p>
    <w:p>
      <w:pPr>
        <w:spacing w:after="0" w:line="359"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Board; or</w:t>
      </w:r>
    </w:p>
    <w:p>
      <w:pPr>
        <w:spacing w:after="0" w:line="356"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Executive fails to perform his duties to the reasonable satisfaction of the Board (having been given notice in writing of: (i) the areas of underperformance, (ii) the improvements in performance that are reasonably required by the Board; and (iii) a reasonable period of time to make the necessary improvements in performance; or</w:t>
      </w:r>
    </w:p>
    <w:p>
      <w:pPr>
        <w:spacing w:after="0" w:line="370" w:lineRule="exact"/>
        <w:rPr>
          <w:rFonts w:ascii="Arial" w:cs="Arial" w:eastAsia="Arial" w:hAnsi="Arial"/>
          <w:sz w:val="18"/>
          <w:szCs w:val="18"/>
          <w:color w:val="auto"/>
        </w:rPr>
      </w:pPr>
    </w:p>
    <w:p>
      <w:pPr>
        <w:ind w:left="1280" w:hanging="634"/>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he becomes insolvent or bankrupt or compounds with or grants a trust deed for the benefit of his creditors;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his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 or</w:t>
      </w:r>
    </w:p>
    <w:p>
      <w:pPr>
        <w:spacing w:after="0" w:line="356" w:lineRule="exact"/>
        <w:rPr>
          <w:rFonts w:ascii="Arial" w:cs="Arial" w:eastAsia="Arial" w:hAnsi="Arial"/>
          <w:sz w:val="18"/>
          <w:szCs w:val="18"/>
          <w:color w:val="auto"/>
        </w:rPr>
      </w:pPr>
    </w:p>
    <w:p>
      <w:pPr>
        <w:ind w:left="1280" w:hanging="634"/>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he has an order made against him disqualifying him from acting as a company director;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86"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w:t>
      </w:r>
    </w:p>
    <w:p>
      <w:pPr>
        <w:spacing w:after="0" w:line="3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Company's right to proceed</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While the Company will endeavour to deal fairly with allegations against the Executive, it reserves the right to proceed under Clause 18.1 without prior notice and without holding a hearing or inviting any representations from the Executive.</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Termination on resignation as director</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If the Executive resigns as a director of the Company or any Group Company (otherwise than at the request of the Company), he shall be deemed to have terminated the Employment with effect from the date of his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No damages or payment in lieu of notice</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In the event of the Employment being terminated pursuant to Clause 18.1 or 18.3, the Executive shall not be entitled to receive any payment in lieu of notice nor make any claim against the Company or any Group Company for damages for loss of office or termination of the Employment. Regardless of this, the termination shall be without prejudice to the continuing obligations of the Executive under this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right="8140" w:firstLine="8"/>
        <w:spacing w:after="0" w:line="714" w:lineRule="auto"/>
        <w:tabs>
          <w:tab w:leader="none" w:pos="63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EVENTS UPON TERMINATION 19.1 Obligations upon termination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Immediately upon the termination of the Employment howsoever arising or immediately at the request of the Board at any time after either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or the Executive has served notice of termination of the Employment, the Executive shall:</w:t>
      </w:r>
    </w:p>
    <w:p>
      <w:pPr>
        <w:spacing w:after="0" w:line="197" w:lineRule="exact"/>
        <w:rPr>
          <w:sz w:val="20"/>
          <w:szCs w:val="20"/>
          <w:color w:val="auto"/>
        </w:rPr>
      </w:pPr>
    </w:p>
    <w:p>
      <w:pPr>
        <w:jc w:val="both"/>
        <w:ind w:left="1280" w:hanging="634"/>
        <w:spacing w:after="0" w:line="302" w:lineRule="auto"/>
        <w:tabs>
          <w:tab w:leader="none" w:pos="1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deliver to the Company all Works, materials within the scope of Clause 16.2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343" w:lineRule="exact"/>
        <w:rPr>
          <w:rFonts w:ascii="Arial" w:cs="Arial" w:eastAsia="Arial" w:hAnsi="Arial"/>
          <w:sz w:val="16"/>
          <w:szCs w:val="16"/>
          <w:color w:val="auto"/>
        </w:rPr>
      </w:pPr>
    </w:p>
    <w:p>
      <w:pPr>
        <w:jc w:val="both"/>
        <w:ind w:left="1280" w:hanging="634"/>
        <w:spacing w:after="0" w:line="286" w:lineRule="auto"/>
        <w:tabs>
          <w:tab w:leader="none" w:pos="1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resign (without claim for compensation) as a director and from all other offices held by him in the Company or any Group Company or otherwise by virtue of the Employment. For the avoidance of doubt, such resignations shall be without prejudice to any claims the Executive may have against the Company or any Group Company arising out of the termination of the Employment; and</w:t>
      </w:r>
    </w:p>
    <w:p>
      <w:pPr>
        <w:spacing w:after="0" w:line="341" w:lineRule="exact"/>
        <w:rPr>
          <w:rFonts w:ascii="Arial" w:cs="Arial" w:eastAsia="Arial" w:hAnsi="Arial"/>
          <w:sz w:val="17"/>
          <w:szCs w:val="17"/>
          <w:color w:val="auto"/>
        </w:rPr>
      </w:pPr>
    </w:p>
    <w:p>
      <w:pPr>
        <w:ind w:left="1280" w:hanging="634"/>
        <w:spacing w:after="0" w:line="277"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without payment, to the Company, or as the Company may direct, any shares or other securities held by the Executive as nominee or trustee for the Company or any Group Company;</w:t>
      </w:r>
    </w:p>
    <w:p>
      <w:pPr>
        <w:spacing w:after="0" w:line="36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and should the Executive fail to do so the Company is hereby irrevocably authorised to appoint some person to sign any documents and/or do all things in his name and on his behalf necessary to give effect thereto,</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5"/>
          <w:szCs w:val="15"/>
          <w:b w:val="1"/>
          <w:bCs w:val="1"/>
          <w:color w:val="auto"/>
        </w:rPr>
        <w:t>Loss of Share Incentives</w:t>
      </w:r>
    </w:p>
    <w:p>
      <w:pPr>
        <w:spacing w:after="0" w:line="200" w:lineRule="exact"/>
        <w:rPr>
          <w:sz w:val="20"/>
          <w:szCs w:val="20"/>
          <w:color w:val="auto"/>
        </w:rPr>
      </w:pPr>
    </w:p>
    <w:p>
      <w:pPr>
        <w:spacing w:after="0" w:line="205" w:lineRule="exact"/>
        <w:rPr>
          <w:sz w:val="20"/>
          <w:szCs w:val="20"/>
          <w:color w:val="auto"/>
        </w:rPr>
      </w:pPr>
    </w:p>
    <w:p>
      <w:pPr>
        <w:ind w:left="640" w:right="20"/>
        <w:spacing w:after="0" w:line="308" w:lineRule="auto"/>
        <w:rPr>
          <w:sz w:val="20"/>
          <w:szCs w:val="20"/>
          <w:color w:val="auto"/>
        </w:rPr>
      </w:pPr>
      <w:r>
        <w:rPr>
          <w:rFonts w:ascii="Arial" w:cs="Arial" w:eastAsia="Arial" w:hAnsi="Arial"/>
          <w:sz w:val="17"/>
          <w:szCs w:val="17"/>
          <w:color w:val="auto"/>
        </w:rPr>
        <w:t>On the termination of the Employment (howsoever arising), the Executive shall not be entitled to any compensation or payment for the loss of any Share Incentives that lapse pursuant to the terms of the award agreement that the particular Share Incentives were granted under.</w:t>
      </w:r>
    </w:p>
    <w:p>
      <w:pPr>
        <w:spacing w:after="0" w:line="129" w:lineRule="exact"/>
        <w:rPr>
          <w:sz w:val="20"/>
          <w:szCs w:val="20"/>
          <w:color w:val="auto"/>
        </w:rPr>
      </w:pPr>
    </w:p>
    <w:p>
      <w:pPr>
        <w:ind w:right="7400" w:firstLine="8"/>
        <w:spacing w:after="0" w:line="714" w:lineRule="auto"/>
        <w:tabs>
          <w:tab w:leader="none" w:pos="63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AFTER TERMINATION 20.1 Definitions</w:t>
      </w:r>
    </w:p>
    <w:p>
      <w:pPr>
        <w:spacing w:after="0" w:line="1"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him by law, he will be bound by the covenants and undertakings contained in Clauses 20.2 to 20.5. In this Clause 20, unless the context otherwise requires: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auto"/>
        </w:rPr>
        <w:t>means any person to which the Company distributed, sold or supplied Restricted Products or Restricted Services during the Relevant Period and with which, during that period either the Executive, or any employee under the direct or indirect supervision of the Executive, had material dealings in the course of the Employment, but always excluding therefrom, any division, branch or office of such person with which the Executive and/or any such employee had no dealings during that period;</w:t>
      </w:r>
    </w:p>
    <w:p>
      <w:pPr>
        <w:spacing w:after="0" w:line="4" w:lineRule="exact"/>
        <w:rPr>
          <w:sz w:val="20"/>
          <w:szCs w:val="20"/>
          <w:color w:val="auto"/>
        </w:rPr>
      </w:pPr>
    </w:p>
    <w:p>
      <w:pPr>
        <w:sectPr>
          <w:pgSz w:w="11900" w:h="16838" w:orient="portrait"/>
          <w:cols w:equalWidth="0" w:num="2">
            <w:col w:w="1440" w:space="720"/>
            <w:col w:w="9260"/>
          </w:cols>
          <w:pgMar w:left="240" w:top="135" w:right="239" w:bottom="1440" w:gutter="0" w:footer="0" w:header="0"/>
        </w:sect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Prospective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auto"/>
        </w:rPr>
        <w:t>means any person with which the Company had discussions during the Relevant Period regarding the possible distribution, sale or supply of Restricted Products or Restricted Services and with which during such period the Executive, or any employee who was under the direct or indirect supervision of the Executive, had material dealings in the course of the Employment, but always excluding therefrom any division, branch or office of that person with which the Executive and/or any such employee had no dealings during that period;</w:t>
      </w:r>
    </w:p>
    <w:p>
      <w:pPr>
        <w:spacing w:after="0" w:line="4" w:lineRule="exact"/>
        <w:rPr>
          <w:sz w:val="20"/>
          <w:szCs w:val="20"/>
          <w:color w:val="auto"/>
        </w:rPr>
      </w:pPr>
    </w:p>
    <w:p>
      <w:pPr>
        <w:sectPr>
          <w:pgSz w:w="11900" w:h="16838" w:orient="portrait"/>
          <w:cols w:equalWidth="0" w:num="2">
            <w:col w:w="1440" w:space="720"/>
            <w:col w:w="9260"/>
          </w:cols>
          <w:pgMar w:left="240" w:top="135"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(i) where the Employment is continuing, the period of the Employment; and (ii) where the Employment has terminated, the period of twelve months immediately preceding the Termination Date;</w:t>
      </w:r>
    </w:p>
    <w:p>
      <w:pPr>
        <w:spacing w:after="0" w:line="2" w:lineRule="exact"/>
        <w:rPr>
          <w:sz w:val="20"/>
          <w:szCs w:val="20"/>
          <w:color w:val="auto"/>
        </w:rPr>
      </w:pPr>
    </w:p>
    <w:p>
      <w:pPr>
        <w:sectPr>
          <w:pgSz w:w="11900" w:h="16838" w:orient="portrait"/>
          <w:cols w:equalWidth="0" w:num="2">
            <w:col w:w="1820" w:space="340"/>
            <w:col w:w="9260"/>
          </w:cols>
          <w:pgMar w:left="240" w:top="135" w:right="239" w:bottom="1440" w:gutter="0" w:footer="0" w:header="0"/>
          <w:type w:val="continuous"/>
        </w:sectPr>
      </w:pPr>
    </w:p>
    <w:p>
      <w:pPr>
        <w:ind w:left="440"/>
        <w:spacing w:after="0"/>
        <w:tabs>
          <w:tab w:leader="none" w:pos="21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Area</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means:</w:t>
      </w:r>
    </w:p>
    <w:p>
      <w:pPr>
        <w:spacing w:after="0" w:line="27" w:lineRule="exact"/>
        <w:rPr>
          <w:sz w:val="20"/>
          <w:szCs w:val="20"/>
          <w:color w:val="auto"/>
        </w:rPr>
      </w:pPr>
    </w:p>
    <w:p>
      <w:pPr>
        <w:ind w:left="3160" w:hanging="366"/>
        <w:spacing w:after="0"/>
        <w:tabs>
          <w:tab w:leader="none" w:pos="3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United Kingdom; and</w:t>
      </w:r>
    </w:p>
    <w:p>
      <w:pPr>
        <w:spacing w:after="0" w:line="197" w:lineRule="exact"/>
        <w:rPr>
          <w:rFonts w:ascii="Arial" w:cs="Arial" w:eastAsia="Arial" w:hAnsi="Arial"/>
          <w:sz w:val="18"/>
          <w:szCs w:val="18"/>
          <w:color w:val="auto"/>
        </w:rPr>
      </w:pPr>
    </w:p>
    <w:p>
      <w:pPr>
        <w:ind w:left="2160" w:right="460" w:firstLine="634"/>
        <w:spacing w:after="0" w:line="277" w:lineRule="auto"/>
        <w:tabs>
          <w:tab w:leader="none" w:pos="31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country in the world where, on the Termination Date, the Company dealt in Restricted Products or Restricted Services;</w:t>
      </w:r>
    </w:p>
    <w:p>
      <w:pPr>
        <w:sectPr>
          <w:pgSz w:w="11900" w:h="16838" w:orient="portrait"/>
          <w:cols w:equalWidth="0" w:num="1">
            <w:col w:w="11420"/>
          </w:cols>
          <w:pgMar w:left="240" w:top="135" w:right="239" w:bottom="1440" w:gutter="0" w:footer="0" w:header="0"/>
          <w:type w:val="continuous"/>
        </w:sectPr>
      </w:pP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means any person who was a director, employee or consultant of the Company at any time within the Relevant Period who by reason of that position and in particular his seniority and expertise or knowledge of Confidential Information or knowledge of or influence over the clients, customers or contacts of the Company is likely to cause damage to the Company if he were to leave the employment of the Company and become employed by a competitor of the Company;</w:t>
      </w:r>
    </w:p>
    <w:p>
      <w:pPr>
        <w:spacing w:after="0" w:line="1" w:lineRule="exact"/>
        <w:rPr>
          <w:sz w:val="20"/>
          <w:szCs w:val="20"/>
          <w:color w:val="auto"/>
        </w:rPr>
      </w:pPr>
    </w:p>
    <w:p>
      <w:pPr>
        <w:sectPr>
          <w:pgSz w:w="11900" w:h="16838" w:orient="portrait"/>
          <w:cols w:equalWidth="0" w:num="2">
            <w:col w:w="1440" w:space="720"/>
            <w:col w:w="9260"/>
          </w:cols>
          <w:pgMar w:left="240" w:top="135" w:right="239" w:bottom="1440" w:gutter="0" w:footer="0" w:header="0"/>
          <w:type w:val="continuous"/>
        </w:sectPr>
      </w:pPr>
    </w:p>
    <w:p>
      <w:pPr>
        <w:jc w:val="right"/>
        <w:ind w:left="440"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 the period commencing on the Termination Date and, subject to the terms of Clause 20.4, continuing for twelve months; "</w:t>
      </w:r>
      <w:r>
        <w:rPr>
          <w:rFonts w:ascii="Arial" w:cs="Arial" w:eastAsia="Arial" w:hAnsi="Arial"/>
          <w:sz w:val="17"/>
          <w:szCs w:val="17"/>
          <w:b w:val="1"/>
          <w:bCs w:val="1"/>
          <w:color w:val="auto"/>
        </w:rPr>
        <w:t>Restricted Products</w:t>
      </w:r>
      <w:r>
        <w:rPr>
          <w:rFonts w:ascii="Arial" w:cs="Arial" w:eastAsia="Arial" w:hAnsi="Arial"/>
          <w:sz w:val="17"/>
          <w:szCs w:val="17"/>
          <w:color w:val="auto"/>
        </w:rPr>
        <w:t>" means any product, device, equipment or machinery researched into, developed, manufactured, supplied, marketed, distributed or sold by the Company and with which the duties of the Executive were materially concerned or for which he was responsible during the Relevant Period, or any products, equipment or machinery of the same type or materially similar to those products,</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equipment or machinery;</w:t>
      </w:r>
    </w:p>
    <w:p>
      <w:pPr>
        <w:spacing w:after="0" w:line="18" w:lineRule="exact"/>
        <w:rPr>
          <w:sz w:val="20"/>
          <w:szCs w:val="20"/>
          <w:color w:val="auto"/>
        </w:rPr>
      </w:pPr>
    </w:p>
    <w:p>
      <w:pPr>
        <w:jc w:val="both"/>
        <w:ind w:left="2160" w:right="20" w:hanging="171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Services</w:t>
      </w:r>
      <w:r>
        <w:rPr>
          <w:rFonts w:ascii="Arial" w:cs="Arial" w:eastAsia="Arial" w:hAnsi="Arial"/>
          <w:sz w:val="18"/>
          <w:szCs w:val="18"/>
          <w:color w:val="auto"/>
        </w:rPr>
        <w:t>" means any services (including but not limited to technical and product support, technical advice and customer services) researched into, developed or supplied by the Company and with which the duties of the Executive were materially concerned or for which he was responsible during the Relevant Period, or any services of the same type or materially similar to those services;</w:t>
      </w:r>
    </w:p>
    <w:p>
      <w:pPr>
        <w:spacing w:after="0" w:line="1" w:lineRule="exact"/>
        <w:rPr>
          <w:sz w:val="20"/>
          <w:szCs w:val="20"/>
          <w:color w:val="auto"/>
        </w:rPr>
      </w:pPr>
    </w:p>
    <w:p>
      <w:pPr>
        <w:jc w:val="both"/>
        <w:ind w:left="2160" w:right="20" w:hanging="1714"/>
        <w:spacing w:after="0" w:line="257" w:lineRule="auto"/>
        <w:tabs>
          <w:tab w:leader="none" w:pos="21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any supplier, agent, distributor or other person who, during the Relevant Period was in the habit of dealing with the Company and with which, during that period, the Executive, or any employee under the direct or indirect supervision of the Executive, had material dealings in the course of the Employment.</w:t>
      </w:r>
    </w:p>
    <w:p>
      <w:pPr>
        <w:spacing w:after="0" w:line="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color w:val="auto"/>
        </w:rPr>
        <w:t>Restrictive covenants</w:t>
      </w:r>
    </w:p>
    <w:p>
      <w:pPr>
        <w:spacing w:after="0" w:line="200" w:lineRule="exact"/>
        <w:rPr>
          <w:sz w:val="20"/>
          <w:szCs w:val="20"/>
          <w:color w:val="auto"/>
        </w:rPr>
      </w:pPr>
    </w:p>
    <w:p>
      <w:pPr>
        <w:spacing w:after="0" w:line="213"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Both during the Employment and during the Restricted Period, the Executive will not, without the prior written consent of the Company (such consent not to be unreasonably withheld), whether by himself, through his employees or agents or otherwise and whether on his own behalf or on behalf of any person, directly or indirectly: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25" w:name="page26"/>
    <w:bookmarkEnd w:id="25"/>
    <w:p>
      <w:pPr>
        <w:ind w:left="1280" w:hanging="634"/>
        <w:spacing w:after="0" w:line="277"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 as to compete with the Company, solicit business from or canvas any Customer or Prospective Customer in respect of Restricted Products or Restricted Services;</w:t>
      </w:r>
    </w:p>
    <w:p>
      <w:pPr>
        <w:spacing w:after="0" w:line="359"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 as to compete with the Company, accept orders from, act for or have any business dealings with, any Customer or Prospective Customer in respect of Restricted Products or Restricted Services;</w:t>
      </w:r>
    </w:p>
    <w:p>
      <w:pPr>
        <w:spacing w:after="0" w:line="346" w:lineRule="exact"/>
        <w:rPr>
          <w:rFonts w:ascii="Arial" w:cs="Arial" w:eastAsia="Arial" w:hAnsi="Arial"/>
          <w:sz w:val="18"/>
          <w:szCs w:val="18"/>
          <w:color w:val="auto"/>
        </w:rPr>
      </w:pPr>
    </w:p>
    <w:p>
      <w:pPr>
        <w:jc w:val="both"/>
        <w:ind w:left="1280" w:hanging="634"/>
        <w:spacing w:after="0" w:line="255"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within the Restricted Area, be employed or engaged or at all interested (except as a Minority Holder) in that part of a business or person which is involved in the business 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382"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solicit or induce or endeavour to solicit or induce any person who was a Restricted Employee (and with whom the Executive had direct dealings during the Relevant Period) to cease working for or providing services to the Company, whether or not any such person would thereby commit a breach of contract;</w:t>
      </w:r>
    </w:p>
    <w:p>
      <w:pPr>
        <w:spacing w:after="0" w:line="370" w:lineRule="exact"/>
        <w:rPr>
          <w:rFonts w:ascii="Arial" w:cs="Arial" w:eastAsia="Arial" w:hAnsi="Arial"/>
          <w:sz w:val="18"/>
          <w:szCs w:val="18"/>
          <w:color w:val="auto"/>
        </w:rPr>
      </w:pPr>
    </w:p>
    <w:p>
      <w:pPr>
        <w:jc w:val="both"/>
        <w:ind w:left="1280" w:right="20" w:hanging="634"/>
        <w:spacing w:after="0" w:line="26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 or otherwise engage any Restricted Employee (and with whom the Executive had direct dealings during the Relevant Period) in the business of researching into, developing, manufacturing, distributing, selling, supplying or otherwise dealing with Restricted Products or Restricted Services if that business is, or seeks to be, in competition with the Company; or</w:t>
      </w:r>
    </w:p>
    <w:p>
      <w:pPr>
        <w:spacing w:after="0" w:line="356"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solicit or induce or endeavour to solicit or induce any Supplier to cease to deal with the Company and shall not interfere in any way with any relationship between a Supplier and the Company.</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Application of restrictive covenants to other Group Companies</w:t>
      </w:r>
    </w:p>
    <w:p>
      <w:pPr>
        <w:spacing w:after="0" w:line="200" w:lineRule="exact"/>
        <w:rPr>
          <w:sz w:val="20"/>
          <w:szCs w:val="20"/>
          <w:color w:val="auto"/>
        </w:rPr>
      </w:pPr>
    </w:p>
    <w:p>
      <w:pPr>
        <w:spacing w:after="0" w:line="214" w:lineRule="exact"/>
        <w:rPr>
          <w:sz w:val="20"/>
          <w:szCs w:val="20"/>
          <w:color w:val="auto"/>
        </w:rPr>
      </w:pPr>
    </w:p>
    <w:p>
      <w:pPr>
        <w:ind w:left="640" w:right="20"/>
        <w:spacing w:after="0" w:line="347" w:lineRule="auto"/>
        <w:rPr>
          <w:sz w:val="20"/>
          <w:szCs w:val="20"/>
          <w:color w:val="auto"/>
        </w:rPr>
      </w:pPr>
      <w:r>
        <w:rPr>
          <w:rFonts w:ascii="Arial" w:cs="Arial" w:eastAsia="Arial" w:hAnsi="Arial"/>
          <w:sz w:val="16"/>
          <w:szCs w:val="16"/>
          <w:color w:val="auto"/>
        </w:rPr>
        <w:t>Clause 20.2 shall also apply as though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in Clauses 20.1 and 20.2 include references to each Group Company in relation to which the Executive has in the course of the Employment or by reason of rendering services to or holding office in such Group Company:</w:t>
      </w:r>
    </w:p>
    <w:p>
      <w:pPr>
        <w:spacing w:after="0" w:line="93" w:lineRule="exact"/>
        <w:rPr>
          <w:sz w:val="20"/>
          <w:szCs w:val="20"/>
          <w:color w:val="auto"/>
        </w:rPr>
      </w:pPr>
    </w:p>
    <w:p>
      <w:pPr>
        <w:ind w:left="1280" w:hanging="634"/>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acquired knowledge of its products, services, trade secrets or Confidential Information;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had personal dealings with its Customers or Prospective Customers;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left="1280" w:hanging="634"/>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supervised directly or indirectly employees having personal dealings with its Customers or Prospective Customers;</w:t>
      </w:r>
    </w:p>
    <w:p>
      <w:pPr>
        <w:spacing w:after="0" w:line="200" w:lineRule="exact"/>
        <w:rPr>
          <w:sz w:val="20"/>
          <w:szCs w:val="20"/>
          <w:color w:val="auto"/>
        </w:rPr>
      </w:pPr>
    </w:p>
    <w:p>
      <w:pPr>
        <w:spacing w:after="0" w:line="210" w:lineRule="exact"/>
        <w:rPr>
          <w:sz w:val="20"/>
          <w:szCs w:val="20"/>
          <w:color w:val="auto"/>
        </w:rPr>
      </w:pPr>
    </w:p>
    <w:p>
      <w:pPr>
        <w:jc w:val="both"/>
        <w:ind w:left="640"/>
        <w:spacing w:after="0" w:line="258" w:lineRule="auto"/>
        <w:rPr>
          <w:sz w:val="20"/>
          <w:szCs w:val="20"/>
          <w:color w:val="auto"/>
        </w:rPr>
      </w:pPr>
      <w:r>
        <w:rPr>
          <w:rFonts w:ascii="Arial" w:cs="Arial" w:eastAsia="Arial" w:hAnsi="Arial"/>
          <w:sz w:val="18"/>
          <w:szCs w:val="18"/>
          <w:color w:val="auto"/>
        </w:rPr>
        <w:t>but so that references to the "</w:t>
      </w:r>
      <w:r>
        <w:rPr>
          <w:rFonts w:ascii="Arial" w:cs="Arial" w:eastAsia="Arial" w:hAnsi="Arial"/>
          <w:sz w:val="18"/>
          <w:szCs w:val="18"/>
          <w:b w:val="1"/>
          <w:bCs w:val="1"/>
          <w:color w:val="auto"/>
        </w:rPr>
        <w:t>Company</w:t>
      </w:r>
      <w:r>
        <w:rPr>
          <w:rFonts w:ascii="Arial" w:cs="Arial" w:eastAsia="Arial" w:hAnsi="Arial"/>
          <w:sz w:val="18"/>
          <w:szCs w:val="18"/>
          <w:color w:val="auto"/>
        </w:rPr>
        <w:t>" shall for this purpose be deemed to be references to the relevant Group Company. The obligations undertaken by the Executive pursuant to this Clause 20.3 shall, with respect to each Group Company, constitute a separate and distinct covenant in favour of and for the benefit of each Group Company and which shall be enforceable either 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b w:val="1"/>
          <w:bCs w:val="1"/>
          <w:color w:val="auto"/>
        </w:rPr>
        <w:t>Effect of suspension on Restricted Period</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Further undertakings</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Executive hereby undertakes to the Company that he will not at any time:</w:t>
      </w:r>
    </w:p>
    <w:p>
      <w:pPr>
        <w:spacing w:after="0" w:line="212" w:lineRule="exact"/>
        <w:rPr>
          <w:sz w:val="20"/>
          <w:szCs w:val="20"/>
          <w:color w:val="auto"/>
        </w:rPr>
      </w:pPr>
    </w:p>
    <w:p>
      <w:pPr>
        <w:jc w:val="both"/>
        <w:ind w:left="1280" w:hanging="634"/>
        <w:spacing w:after="0" w:line="264"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37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the Termination Date make any public statement in relation to the Company or any Group Company or any of their officers or employees without the consent of the Board; or</w:t>
      </w:r>
    </w:p>
    <w:p>
      <w:pPr>
        <w:spacing w:after="0" w:line="346"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3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5"/>
          <w:szCs w:val="15"/>
          <w:b w:val="1"/>
          <w:bCs w:val="1"/>
          <w:color w:val="auto"/>
        </w:rPr>
        <w:t>Severance</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The restrictions in this Clause 20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142"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RECONSTRUCTION AND AMALGAMATIONS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170" w:lineRule="exact"/>
        <w:rPr>
          <w:rFonts w:ascii="Arial" w:cs="Arial" w:eastAsia="Arial" w:hAnsi="Arial"/>
          <w:sz w:val="18"/>
          <w:szCs w:val="18"/>
          <w:b w:val="1"/>
          <w:bCs w:val="1"/>
          <w:color w:val="auto"/>
        </w:rPr>
      </w:pPr>
    </w:p>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AND GRIEVANCE PROCEDURE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tabs>
          <w:tab w:leader="none" w:pos="6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Disciplinary procedures and grievance procedures</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22.1.1</w:t>
        <w:tab/>
        <w:t>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346"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22.1.2</w:t>
        <w:tab/>
        <w:t>If the Executive wishes to obtain redress of any grievance relating to the Employment or is dissatisfied with any reprimand, suspension or other disciplinary step taken by the Company, he should follow the procedures set out in the Company's grievance policy, a copy of which is available from Human Resources.</w:t>
      </w:r>
    </w:p>
    <w:p>
      <w:pPr>
        <w:spacing w:after="0" w:line="366"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Provisions which survive termination</w:t>
      </w:r>
    </w:p>
    <w:p>
      <w:pPr>
        <w:spacing w:after="0" w:line="200" w:lineRule="exact"/>
        <w:rPr>
          <w:sz w:val="20"/>
          <w:szCs w:val="20"/>
          <w:color w:val="auto"/>
        </w:rPr>
      </w:pPr>
    </w:p>
    <w:p>
      <w:pPr>
        <w:spacing w:after="0" w:line="20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No collective agreements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collective agreements that directly affect the terms and conditions of the Employment.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760" w:firstLine="8"/>
        <w:spacing w:after="0" w:line="714" w:lineRule="auto"/>
        <w:tabs>
          <w:tab w:leader="none" w:pos="63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 AND PRIVACY 24.1 Data Protection</w:t>
      </w:r>
    </w:p>
    <w:p>
      <w:pPr>
        <w:spacing w:after="0" w:line="1"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24.1 applies to information held, used or disclosed in any medium.</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Privacy</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All communications, whether by telephone, email, fax, or any other means, which are transmitted, undertaken or received using the Company's IT or communications systems ("</w:t>
      </w:r>
      <w:r>
        <w:rPr>
          <w:rFonts w:ascii="Arial" w:cs="Arial" w:eastAsia="Arial" w:hAnsi="Arial"/>
          <w:sz w:val="17"/>
          <w:szCs w:val="17"/>
          <w:b w:val="1"/>
          <w:bCs w:val="1"/>
          <w:color w:val="auto"/>
        </w:rPr>
        <w:t>Company Systems</w:t>
      </w:r>
      <w:r>
        <w:rPr>
          <w:rFonts w:ascii="Arial" w:cs="Arial" w:eastAsia="Arial" w:hAnsi="Arial"/>
          <w:sz w:val="17"/>
          <w:szCs w:val="17"/>
          <w:color w:val="auto"/>
        </w:rPr>
        <w:t>") or on Company premises will be treated by the Company as work-related. The Company Systems are provided for work use only. The Company may intercept, record and monitor all communications made by the Executive and his use of the Company Systems, without further notice. The Executive should not regard any communications or use as being private.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right="7080" w:firstLine="8"/>
        <w:spacing w:after="0" w:line="714" w:lineRule="auto"/>
        <w:tabs>
          <w:tab w:leader="none" w:pos="6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AND REMEDIES 25.1 Amendments</w:t>
      </w:r>
    </w:p>
    <w:p>
      <w:pPr>
        <w:spacing w:after="0" w:line="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Waivers and remedies cumulative</w:t>
      </w:r>
    </w:p>
    <w:p>
      <w:pPr>
        <w:spacing w:after="0" w:line="200" w:lineRule="exact"/>
        <w:rPr>
          <w:sz w:val="20"/>
          <w:szCs w:val="20"/>
          <w:color w:val="auto"/>
        </w:rPr>
      </w:pP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25.2.1</w:t>
      </w:r>
      <w:r>
        <w:rPr>
          <w:sz w:val="20"/>
          <w:szCs w:val="20"/>
          <w:color w:val="auto"/>
        </w:rPr>
        <w:tab/>
      </w:r>
      <w:r>
        <w:rPr>
          <w:rFonts w:ascii="Arial" w:cs="Arial" w:eastAsia="Arial" w:hAnsi="Arial"/>
          <w:sz w:val="16"/>
          <w:szCs w:val="16"/>
          <w:color w:val="auto"/>
        </w:rPr>
        <w:t>The rights of each party under this Agreement:</w:t>
      </w:r>
    </w:p>
    <w:p>
      <w:pPr>
        <w:spacing w:after="0" w:line="200" w:lineRule="exact"/>
        <w:rPr>
          <w:sz w:val="20"/>
          <w:szCs w:val="20"/>
          <w:color w:val="auto"/>
        </w:rPr>
      </w:pPr>
    </w:p>
    <w:p>
      <w:pPr>
        <w:spacing w:after="0" w:line="201" w:lineRule="exact"/>
        <w:rPr>
          <w:sz w:val="20"/>
          <w:szCs w:val="20"/>
          <w:color w:val="auto"/>
        </w:rPr>
      </w:pPr>
    </w:p>
    <w:p>
      <w:pPr>
        <w:ind w:left="1280" w:hanging="634"/>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may be exercised as often as necessary;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are cumulative and not exclusive of its rights under the general law;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may be waived only in writing and specifically.</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25.2.2</w:t>
      </w:r>
      <w:r>
        <w:rPr>
          <w:sz w:val="20"/>
          <w:szCs w:val="20"/>
          <w:color w:val="auto"/>
        </w:rPr>
        <w:tab/>
      </w:r>
      <w:r>
        <w:rPr>
          <w:rFonts w:ascii="Arial" w:cs="Arial" w:eastAsia="Arial" w:hAnsi="Arial"/>
          <w:sz w:val="16"/>
          <w:szCs w:val="16"/>
          <w:color w:val="auto"/>
        </w:rPr>
        <w:t>Delay in exercising or non-exercise of any right is not a waiver of that right.</w:t>
      </w:r>
    </w:p>
    <w:p>
      <w:pPr>
        <w:spacing w:after="0" w:line="200" w:lineRule="exact"/>
        <w:rPr>
          <w:sz w:val="20"/>
          <w:szCs w:val="20"/>
          <w:color w:val="auto"/>
        </w:rPr>
      </w:pPr>
    </w:p>
    <w:p>
      <w:pPr>
        <w:spacing w:after="0" w:line="214"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25.2.3</w:t>
        <w:tab/>
        <w:t>Any right of rescission conferred upon the Company by this Agreement shall be in addition to and without prejudice to all other rights and remedies available to it.</w:t>
      </w:r>
    </w:p>
    <w:p>
      <w:pPr>
        <w:spacing w:after="0" w:line="356"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00" w:lineRule="exact"/>
        <w:rPr>
          <w:sz w:val="20"/>
          <w:szCs w:val="20"/>
          <w:color w:val="auto"/>
        </w:rPr>
      </w:pPr>
    </w:p>
    <w:p>
      <w:pPr>
        <w:spacing w:after="0" w:line="205"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7"/>
          <w:szCs w:val="17"/>
          <w:color w:val="auto"/>
        </w:rPr>
        <w:t>This Agreement and the documents referred to in it constitute the entire agreement and understanding of the parties and supersede and extinguish all previous agreements (including any agreement between the Executive and any Sorin Group entity), promises, assurances, warranties, representations and understandings between the parties, whether written or oral, relating to the subject matter of this Agreement.</w:t>
      </w:r>
    </w:p>
    <w:p>
      <w:pPr>
        <w:spacing w:after="0" w:line="355"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26.1.2</w:t>
        <w:tab/>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360"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26.1.3</w:t>
        <w:tab/>
        <w:t>Each party agrees that it shall have no claim for innocent or negligent misrepresentation or negligent misstatement based on any statement in this Agreement.</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26.1.4</w:t>
      </w:r>
      <w:r>
        <w:rPr>
          <w:sz w:val="20"/>
          <w:szCs w:val="20"/>
          <w:color w:val="auto"/>
        </w:rPr>
        <w:tab/>
      </w:r>
      <w:r>
        <w:rPr>
          <w:rFonts w:ascii="Arial" w:cs="Arial" w:eastAsia="Arial" w:hAnsi="Arial"/>
          <w:sz w:val="16"/>
          <w:szCs w:val="16"/>
          <w:color w:val="auto"/>
        </w:rPr>
        <w:t>Nothing in this Clause shall limit or exclude any liability for fraud.</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 OUTSTANDING CLAIMS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Executive hereby acknowledges that as at Closing, he has no outstanding claims of any kind against the Company or any Group Company (other than in respect of remuneration and expenses due to the date of this Agreement but not yet paid).</w:t>
      </w:r>
    </w:p>
    <w:p>
      <w:pPr>
        <w:spacing w:after="0" w:line="139" w:lineRule="exact"/>
        <w:rPr>
          <w:rFonts w:ascii="Arial" w:cs="Arial" w:eastAsia="Arial" w:hAnsi="Arial"/>
          <w:sz w:val="18"/>
          <w:szCs w:val="18"/>
          <w:b w:val="1"/>
          <w:bCs w:val="1"/>
          <w:color w:val="auto"/>
        </w:rPr>
      </w:pPr>
    </w:p>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If any provision of this Agreement is or becomes illegal, invalid or unenforceable in any jurisdiction, that shall not affect:</w:t>
      </w:r>
    </w:p>
    <w:p>
      <w:pPr>
        <w:spacing w:after="0" w:line="198" w:lineRule="exact"/>
        <w:rPr>
          <w:rFonts w:ascii="Arial" w:cs="Arial" w:eastAsia="Arial" w:hAnsi="Arial"/>
          <w:sz w:val="18"/>
          <w:szCs w:val="18"/>
          <w:b w:val="1"/>
          <w:bCs w:val="1"/>
          <w:color w:val="auto"/>
        </w:rPr>
      </w:pPr>
    </w:p>
    <w:p>
      <w:pPr>
        <w:ind w:left="1280" w:hanging="634"/>
        <w:spacing w:after="0"/>
        <w:tabs>
          <w:tab w:leader="none" w:pos="12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provisions of this Agreement;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legality, validity or enforceability in any other jurisdiction of that or any other provision of this Agreement.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ind w:left="640" w:hanging="632"/>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5"/>
          <w:szCs w:val="15"/>
          <w:b w:val="1"/>
          <w:bCs w:val="1"/>
          <w:color w:val="auto"/>
        </w:rPr>
        <w:t>Notices and deemed receipt</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his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158" w:lineRule="exact"/>
        <w:rPr>
          <w:sz w:val="20"/>
          <w:szCs w:val="20"/>
          <w:color w:val="auto"/>
        </w:rPr>
      </w:pPr>
    </w:p>
    <w:p>
      <w:pPr>
        <w:ind w:left="1280" w:hanging="634"/>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delivered personally, at the time of delivery;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pre-paid recorded delivery or registered post, 48 hours from the date of posting;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registered airmail, five days from the date of posting;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fax or email, at the time of transmission;</w:t>
      </w:r>
    </w:p>
    <w:p>
      <w:pPr>
        <w:spacing w:after="0" w:line="200" w:lineRule="exact"/>
        <w:rPr>
          <w:sz w:val="20"/>
          <w:szCs w:val="20"/>
          <w:color w:val="auto"/>
        </w:rPr>
      </w:pPr>
    </w:p>
    <w:p>
      <w:pPr>
        <w:spacing w:after="0" w:line="214"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provided that if deemed receipt occurs before 9:00 a.m. on a business day the notice shall be deemed to have been received at 9:00 a.m. on that day and if deemed receipt occurs after 5:00 p.m. on a business day, or on a day which is not a business day, the notice shall be deemed to have been received at 9:00 a.m. on the next business day. For the purpose of this Clause,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which is not a Saturday, a Sunday or a public holiday in the place at or to which the notice is left or sent.</w:t>
      </w:r>
    </w:p>
    <w:p>
      <w:pPr>
        <w:spacing w:after="0" w:line="156" w:lineRule="exact"/>
        <w:rPr>
          <w:sz w:val="20"/>
          <w:szCs w:val="20"/>
          <w:color w:val="auto"/>
        </w:rPr>
      </w:pPr>
    </w:p>
    <w:p>
      <w:pPr>
        <w:ind w:right="7400" w:firstLine="8"/>
        <w:spacing w:after="0" w:line="722" w:lineRule="auto"/>
        <w:tabs>
          <w:tab w:leader="none" w:pos="63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30.1 Governing law</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Agreement is governed by and to be construed in accordance with English law.</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Jurisdiction</w:t>
      </w:r>
    </w:p>
    <w:p>
      <w:pPr>
        <w:spacing w:after="0" w:line="200" w:lineRule="exact"/>
        <w:rPr>
          <w:sz w:val="20"/>
          <w:szCs w:val="20"/>
          <w:color w:val="auto"/>
        </w:rPr>
      </w:pPr>
    </w:p>
    <w:p>
      <w:pPr>
        <w:spacing w:after="0" w:line="218"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Each party hereby submits to the exclusive jurisdiction of the English courts as regards any claim, dispute or matter arising out of or in connection with this Agreement and its implementation and effect.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of which this Agreement has been executed and delivered as a deed as of the first date written above.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EXECUTED as a Deed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by LIVANOVA PLC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0"/>
        </w:trPr>
        <w:tc>
          <w:tcPr>
            <w:tcW w:w="5720" w:type="dxa"/>
            <w:vAlign w:val="bottom"/>
          </w:tcPr>
          <w:p>
            <w:pPr>
              <w:spacing w:after="0" w:line="190" w:lineRule="exact"/>
              <w:rPr>
                <w:sz w:val="20"/>
                <w:szCs w:val="20"/>
                <w:color w:val="auto"/>
              </w:rPr>
            </w:pPr>
            <w:r>
              <w:rPr>
                <w:rFonts w:ascii="Arial" w:cs="Arial" w:eastAsia="Arial" w:hAnsi="Arial"/>
                <w:sz w:val="18"/>
                <w:szCs w:val="18"/>
                <w:color w:val="auto"/>
              </w:rPr>
              <w:t>acting by Daniel J. Moore</w:t>
            </w:r>
          </w:p>
        </w:tc>
        <w:tc>
          <w:tcPr>
            <w:tcW w:w="2920" w:type="dxa"/>
            <w:vAlign w:val="bottom"/>
            <w:gridSpan w:val="8"/>
          </w:tcPr>
          <w:p>
            <w:pPr>
              <w:spacing w:after="0" w:line="190" w:lineRule="exact"/>
              <w:rPr>
                <w:sz w:val="20"/>
                <w:szCs w:val="20"/>
                <w:color w:val="auto"/>
              </w:rPr>
            </w:pPr>
            <w:r>
              <w:rPr>
                <w:rFonts w:ascii="Arial" w:cs="Arial" w:eastAsia="Arial" w:hAnsi="Arial"/>
                <w:sz w:val="18"/>
                <w:szCs w:val="18"/>
                <w:color w:val="auto"/>
              </w:rPr>
              <w:t>/s/ Daniel J. Moore</w:t>
            </w:r>
          </w:p>
        </w:tc>
      </w:tr>
      <w:tr>
        <w:trPr>
          <w:trHeight w:val="20"/>
        </w:trPr>
        <w:tc>
          <w:tcPr>
            <w:tcW w:w="5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1"/>
        </w:trPr>
        <w:tc>
          <w:tcPr>
            <w:tcW w:w="5720" w:type="dxa"/>
            <w:vAlign w:val="bottom"/>
          </w:tcPr>
          <w:p>
            <w:pPr>
              <w:spacing w:after="0"/>
              <w:rPr>
                <w:sz w:val="24"/>
                <w:szCs w:val="24"/>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w w:val="91"/>
              </w:rPr>
              <w:t>Daniel J. Moore, Chairman of the Board</w:t>
            </w:r>
          </w:p>
        </w:tc>
      </w:tr>
      <w:tr>
        <w:trPr>
          <w:trHeight w:val="608"/>
        </w:trPr>
        <w:tc>
          <w:tcPr>
            <w:tcW w:w="5720" w:type="dxa"/>
            <w:vAlign w:val="bottom"/>
          </w:tcPr>
          <w:p>
            <w:pPr>
              <w:spacing w:after="0"/>
              <w:rPr>
                <w:sz w:val="20"/>
                <w:szCs w:val="20"/>
                <w:color w:val="auto"/>
              </w:rPr>
            </w:pPr>
            <w:r>
              <w:rPr>
                <w:rFonts w:ascii="Arial" w:cs="Arial" w:eastAsia="Arial" w:hAnsi="Arial"/>
                <w:sz w:val="18"/>
                <w:szCs w:val="18"/>
                <w:color w:val="auto"/>
              </w:rPr>
              <w:t>In the presence of</w:t>
            </w: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David S. Wise</w:t>
            </w:r>
          </w:p>
        </w:tc>
        <w:tc>
          <w:tcPr>
            <w:tcW w:w="1880" w:type="dxa"/>
            <w:vAlign w:val="bottom"/>
            <w:gridSpan w:val="7"/>
          </w:tcPr>
          <w:p>
            <w:pPr>
              <w:spacing w:after="0"/>
              <w:rPr>
                <w:sz w:val="24"/>
                <w:szCs w:val="24"/>
                <w:color w:val="auto"/>
              </w:rPr>
            </w:pPr>
          </w:p>
        </w:tc>
      </w:tr>
      <w:tr>
        <w:trPr>
          <w:trHeight w:val="291"/>
        </w:trPr>
        <w:tc>
          <w:tcPr>
            <w:tcW w:w="5720" w:type="dxa"/>
            <w:vAlign w:val="bottom"/>
          </w:tcPr>
          <w:p>
            <w:pPr>
              <w:spacing w:after="0"/>
              <w:rPr>
                <w:sz w:val="24"/>
                <w:szCs w:val="24"/>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Witness Name</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Witness's Signature:</w:t>
            </w: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 David S. Wise</w:t>
            </w:r>
          </w:p>
        </w:tc>
        <w:tc>
          <w:tcPr>
            <w:tcW w:w="1660" w:type="dxa"/>
            <w:vAlign w:val="bottom"/>
            <w:gridSpan w:val="5"/>
          </w:tcPr>
          <w:p>
            <w:pPr>
              <w:spacing w:after="0"/>
              <w:rPr>
                <w:sz w:val="24"/>
                <w:szCs w:val="24"/>
                <w:color w:val="auto"/>
              </w:rPr>
            </w:pPr>
          </w:p>
        </w:tc>
      </w:tr>
      <w:tr>
        <w:trPr>
          <w:trHeight w:val="466"/>
        </w:trPr>
        <w:tc>
          <w:tcPr>
            <w:tcW w:w="5720" w:type="dxa"/>
            <w:vAlign w:val="bottom"/>
          </w:tcPr>
          <w:p>
            <w:pPr>
              <w:spacing w:after="0"/>
              <w:rPr>
                <w:sz w:val="20"/>
                <w:szCs w:val="20"/>
                <w:color w:val="auto"/>
              </w:rPr>
            </w:pPr>
            <w:r>
              <w:rPr>
                <w:rFonts w:ascii="Arial" w:cs="Arial" w:eastAsia="Arial" w:hAnsi="Arial"/>
                <w:sz w:val="18"/>
                <w:szCs w:val="18"/>
                <w:color w:val="auto"/>
              </w:rPr>
              <w:t>Full Name:</w:t>
            </w: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David Sholars Wise</w:t>
            </w:r>
          </w:p>
        </w:tc>
        <w:tc>
          <w:tcPr>
            <w:tcW w:w="1480" w:type="dxa"/>
            <w:vAlign w:val="bottom"/>
            <w:gridSpan w:val="3"/>
          </w:tcPr>
          <w:p>
            <w:pPr>
              <w:spacing w:after="0"/>
              <w:rPr>
                <w:sz w:val="24"/>
                <w:szCs w:val="24"/>
                <w:color w:val="auto"/>
              </w:rPr>
            </w:pPr>
          </w:p>
        </w:tc>
      </w:tr>
      <w:tr>
        <w:trPr>
          <w:trHeight w:val="466"/>
        </w:trPr>
        <w:tc>
          <w:tcPr>
            <w:tcW w:w="5720" w:type="dxa"/>
            <w:vAlign w:val="bottom"/>
          </w:tcPr>
          <w:p>
            <w:pPr>
              <w:spacing w:after="0"/>
              <w:rPr>
                <w:sz w:val="20"/>
                <w:szCs w:val="20"/>
                <w:color w:val="auto"/>
              </w:rPr>
            </w:pPr>
            <w:r>
              <w:rPr>
                <w:rFonts w:ascii="Arial" w:cs="Arial" w:eastAsia="Arial" w:hAnsi="Arial"/>
                <w:sz w:val="18"/>
                <w:szCs w:val="18"/>
                <w:color w:val="auto"/>
              </w:rPr>
              <w:t>Address:</w:t>
            </w:r>
          </w:p>
        </w:tc>
        <w:tc>
          <w:tcPr>
            <w:tcW w:w="15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100 Cyberonics Blvd.</w:t>
            </w:r>
          </w:p>
        </w:tc>
        <w:tc>
          <w:tcPr>
            <w:tcW w:w="1340" w:type="dxa"/>
            <w:vAlign w:val="bottom"/>
            <w:gridSpan w:val="2"/>
          </w:tcPr>
          <w:p>
            <w:pPr>
              <w:spacing w:after="0"/>
              <w:rPr>
                <w:sz w:val="24"/>
                <w:szCs w:val="24"/>
                <w:color w:val="auto"/>
              </w:rPr>
            </w:pPr>
          </w:p>
        </w:tc>
      </w:tr>
      <w:tr>
        <w:trPr>
          <w:trHeight w:val="466"/>
        </w:trPr>
        <w:tc>
          <w:tcPr>
            <w:tcW w:w="5720" w:type="dxa"/>
            <w:vAlign w:val="bottom"/>
          </w:tcPr>
          <w:p>
            <w:pPr>
              <w:spacing w:after="0"/>
              <w:rPr>
                <w:sz w:val="24"/>
                <w:szCs w:val="24"/>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Houston, TX 77058</w:t>
            </w:r>
          </w:p>
        </w:tc>
      </w:tr>
      <w:tr>
        <w:trPr>
          <w:trHeight w:val="925"/>
        </w:trPr>
        <w:tc>
          <w:tcPr>
            <w:tcW w:w="5720" w:type="dxa"/>
            <w:vAlign w:val="bottom"/>
          </w:tcPr>
          <w:p>
            <w:pPr>
              <w:spacing w:after="0"/>
              <w:rPr>
                <w:sz w:val="20"/>
                <w:szCs w:val="20"/>
                <w:color w:val="auto"/>
              </w:rPr>
            </w:pPr>
            <w:r>
              <w:rPr>
                <w:rFonts w:ascii="Arial" w:cs="Arial" w:eastAsia="Arial" w:hAnsi="Arial"/>
                <w:sz w:val="18"/>
                <w:szCs w:val="18"/>
                <w:color w:val="auto"/>
              </w:rPr>
              <w:t>EXECUTED as a Deed</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0"/>
        </w:trPr>
        <w:tc>
          <w:tcPr>
            <w:tcW w:w="5720" w:type="dxa"/>
            <w:vAlign w:val="bottom"/>
          </w:tcPr>
          <w:p>
            <w:pPr>
              <w:spacing w:after="0" w:line="190" w:lineRule="exact"/>
              <w:rPr>
                <w:sz w:val="20"/>
                <w:szCs w:val="20"/>
                <w:color w:val="auto"/>
              </w:rPr>
            </w:pPr>
            <w:r>
              <w:rPr>
                <w:rFonts w:ascii="Arial" w:cs="Arial" w:eastAsia="Arial" w:hAnsi="Arial"/>
                <w:sz w:val="18"/>
                <w:szCs w:val="18"/>
                <w:color w:val="auto"/>
              </w:rPr>
              <w:t>by DAMIEN McDONALD</w:t>
            </w:r>
          </w:p>
        </w:tc>
        <w:tc>
          <w:tcPr>
            <w:tcW w:w="2920" w:type="dxa"/>
            <w:vAlign w:val="bottom"/>
            <w:gridSpan w:val="8"/>
          </w:tcPr>
          <w:p>
            <w:pPr>
              <w:spacing w:after="0" w:line="190" w:lineRule="exact"/>
              <w:rPr>
                <w:sz w:val="20"/>
                <w:szCs w:val="20"/>
                <w:color w:val="auto"/>
              </w:rPr>
            </w:pPr>
            <w:r>
              <w:rPr>
                <w:rFonts w:ascii="Arial" w:cs="Arial" w:eastAsia="Arial" w:hAnsi="Arial"/>
                <w:sz w:val="18"/>
                <w:szCs w:val="18"/>
                <w:color w:val="auto"/>
              </w:rPr>
              <w:t>/s/ Damien McDonald</w:t>
            </w:r>
          </w:p>
        </w:tc>
      </w:tr>
      <w:tr>
        <w:trPr>
          <w:trHeight w:val="291"/>
        </w:trPr>
        <w:tc>
          <w:tcPr>
            <w:tcW w:w="5720" w:type="dxa"/>
            <w:vAlign w:val="bottom"/>
          </w:tcPr>
          <w:p>
            <w:pPr>
              <w:spacing w:after="0"/>
              <w:rPr>
                <w:sz w:val="24"/>
                <w:szCs w:val="24"/>
                <w:color w:val="auto"/>
              </w:rPr>
            </w:pPr>
          </w:p>
        </w:tc>
        <w:tc>
          <w:tcPr>
            <w:tcW w:w="16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Damien McDonald</w:t>
            </w:r>
          </w:p>
        </w:tc>
        <w:tc>
          <w:tcPr>
            <w:tcW w:w="1320" w:type="dxa"/>
            <w:vAlign w:val="bottom"/>
          </w:tcPr>
          <w:p>
            <w:pPr>
              <w:spacing w:after="0"/>
              <w:rPr>
                <w:sz w:val="24"/>
                <w:szCs w:val="24"/>
                <w:color w:val="auto"/>
              </w:rPr>
            </w:pPr>
          </w:p>
        </w:tc>
      </w:tr>
      <w:tr>
        <w:trPr>
          <w:trHeight w:val="824"/>
        </w:trPr>
        <w:tc>
          <w:tcPr>
            <w:tcW w:w="5720" w:type="dxa"/>
            <w:vAlign w:val="bottom"/>
          </w:tcPr>
          <w:p>
            <w:pPr>
              <w:spacing w:after="0"/>
              <w:rPr>
                <w:sz w:val="20"/>
                <w:szCs w:val="20"/>
                <w:color w:val="auto"/>
              </w:rPr>
            </w:pPr>
            <w:r>
              <w:rPr>
                <w:rFonts w:ascii="Arial" w:cs="Arial" w:eastAsia="Arial" w:hAnsi="Arial"/>
                <w:sz w:val="18"/>
                <w:szCs w:val="18"/>
                <w:color w:val="auto"/>
              </w:rPr>
              <w:t>In the presence of</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Sarah Shephard</w:t>
            </w:r>
          </w:p>
        </w:tc>
        <w:tc>
          <w:tcPr>
            <w:tcW w:w="1780" w:type="dxa"/>
            <w:vAlign w:val="bottom"/>
            <w:gridSpan w:val="6"/>
          </w:tcPr>
          <w:p>
            <w:pPr>
              <w:spacing w:after="0"/>
              <w:rPr>
                <w:sz w:val="24"/>
                <w:szCs w:val="24"/>
                <w:color w:val="auto"/>
              </w:rPr>
            </w:pPr>
          </w:p>
        </w:tc>
      </w:tr>
      <w:tr>
        <w:trPr>
          <w:trHeight w:val="291"/>
        </w:trPr>
        <w:tc>
          <w:tcPr>
            <w:tcW w:w="5720" w:type="dxa"/>
            <w:vAlign w:val="bottom"/>
          </w:tcPr>
          <w:p>
            <w:pPr>
              <w:spacing w:after="0"/>
              <w:rPr>
                <w:sz w:val="24"/>
                <w:szCs w:val="24"/>
                <w:color w:val="auto"/>
              </w:rPr>
            </w:pPr>
          </w:p>
        </w:tc>
        <w:tc>
          <w:tcPr>
            <w:tcW w:w="2920" w:type="dxa"/>
            <w:vAlign w:val="bottom"/>
            <w:gridSpan w:val="8"/>
          </w:tcPr>
          <w:p>
            <w:pPr>
              <w:spacing w:after="0"/>
              <w:rPr>
                <w:sz w:val="20"/>
                <w:szCs w:val="20"/>
                <w:color w:val="auto"/>
              </w:rPr>
            </w:pPr>
            <w:r>
              <w:rPr>
                <w:rFonts w:ascii="Arial" w:cs="Arial" w:eastAsia="Arial" w:hAnsi="Arial"/>
                <w:sz w:val="18"/>
                <w:szCs w:val="18"/>
                <w:color w:val="auto"/>
              </w:rPr>
              <w:t>Witness Name</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Witness's Signature:</w:t>
            </w:r>
          </w:p>
        </w:tc>
        <w:tc>
          <w:tcPr>
            <w:tcW w:w="2920" w:type="dxa"/>
            <w:vAlign w:val="bottom"/>
            <w:gridSpan w:val="8"/>
          </w:tcPr>
          <w:p>
            <w:pPr>
              <w:spacing w:after="0"/>
              <w:rPr>
                <w:sz w:val="20"/>
                <w:szCs w:val="20"/>
                <w:color w:val="auto"/>
              </w:rPr>
            </w:pPr>
            <w:r>
              <w:rPr>
                <w:rFonts w:ascii="Arial" w:cs="Arial" w:eastAsia="Arial" w:hAnsi="Arial"/>
                <w:sz w:val="18"/>
                <w:szCs w:val="18"/>
                <w:color w:val="auto"/>
              </w:rPr>
              <w:t>/s/ Sarah Shepard</w:t>
            </w:r>
          </w:p>
        </w:tc>
      </w:tr>
      <w:tr>
        <w:trPr>
          <w:trHeight w:val="466"/>
        </w:trPr>
        <w:tc>
          <w:tcPr>
            <w:tcW w:w="5720" w:type="dxa"/>
            <w:vAlign w:val="bottom"/>
          </w:tcPr>
          <w:p>
            <w:pPr>
              <w:spacing w:after="0"/>
              <w:rPr>
                <w:sz w:val="20"/>
                <w:szCs w:val="20"/>
                <w:color w:val="auto"/>
              </w:rPr>
            </w:pPr>
            <w:r>
              <w:rPr>
                <w:rFonts w:ascii="Arial" w:cs="Arial" w:eastAsia="Arial" w:hAnsi="Arial"/>
                <w:sz w:val="18"/>
                <w:szCs w:val="18"/>
                <w:color w:val="auto"/>
              </w:rPr>
              <w:t>Full Name:</w:t>
            </w:r>
          </w:p>
        </w:tc>
        <w:tc>
          <w:tcPr>
            <w:tcW w:w="1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5"/>
              </w:rPr>
              <w:t>Sarah Shephard</w:t>
            </w:r>
          </w:p>
        </w:tc>
        <w:tc>
          <w:tcPr>
            <w:tcW w:w="120" w:type="dxa"/>
            <w:vAlign w:val="bottom"/>
            <w:tcBorders>
              <w:top w:val="single" w:sz="8" w:color="auto"/>
            </w:tcBorders>
          </w:tcPr>
          <w:p>
            <w:pPr>
              <w:spacing w:after="0"/>
              <w:rPr>
                <w:sz w:val="24"/>
                <w:szCs w:val="24"/>
                <w:color w:val="auto"/>
              </w:rPr>
            </w:pPr>
          </w:p>
        </w:tc>
        <w:tc>
          <w:tcPr>
            <w:tcW w:w="1660" w:type="dxa"/>
            <w:vAlign w:val="bottom"/>
            <w:gridSpan w:val="5"/>
          </w:tcPr>
          <w:p>
            <w:pPr>
              <w:spacing w:after="0"/>
              <w:rPr>
                <w:sz w:val="24"/>
                <w:szCs w:val="24"/>
                <w:color w:val="auto"/>
              </w:rPr>
            </w:pPr>
          </w:p>
        </w:tc>
      </w:tr>
    </w:tbl>
    <w:p>
      <w:pPr>
        <w:sectPr>
          <w:pgSz w:w="11900" w:h="16838" w:orient="portrait"/>
          <w:cols w:equalWidth="0" w:num="1">
            <w:col w:w="11420"/>
          </w:cols>
          <w:pgMar w:left="240" w:top="121" w:right="239" w:bottom="0" w:gutter="0" w:footer="0" w:header="0"/>
        </w:sectPr>
      </w:pPr>
    </w:p>
    <w:bookmarkStart w:id="30" w:name="page31"/>
    <w:bookmarkEnd w:id="30"/>
    <w:p>
      <w:pPr>
        <w:spacing w:after="0"/>
        <w:tabs>
          <w:tab w:leader="none" w:pos="5700" w:val="left"/>
        </w:tabs>
        <w:rPr>
          <w:sz w:val="20"/>
          <w:szCs w:val="20"/>
          <w:color w:val="auto"/>
        </w:rPr>
      </w:pPr>
      <w:r>
        <w:rPr>
          <w:rFonts w:ascii="Arial" w:cs="Arial" w:eastAsia="Arial" w:hAnsi="Arial"/>
          <w:sz w:val="15"/>
          <w:szCs w:val="15"/>
          <w:color w:val="auto"/>
        </w:rPr>
        <w:t>Address:</w:t>
      </w:r>
      <w:r>
        <w:rPr>
          <w:sz w:val="20"/>
          <w:szCs w:val="20"/>
          <w:color w:val="auto"/>
        </w:rPr>
        <w:tab/>
      </w:r>
      <w:r>
        <w:rPr>
          <w:rFonts w:ascii="Arial" w:cs="Arial" w:eastAsia="Arial" w:hAnsi="Arial"/>
          <w:sz w:val="15"/>
          <w:szCs w:val="15"/>
          <w:u w:val="single" w:color="auto"/>
          <w:color w:val="auto"/>
        </w:rPr>
        <w:t>20 Eastbourne Terrace</w:t>
      </w:r>
    </w:p>
    <w:p>
      <w:pPr>
        <w:sectPr>
          <w:pgSz w:w="11900" w:h="16838" w:orient="portrait"/>
          <w:cols w:equalWidth="0" w:num="1">
            <w:col w:w="10219"/>
          </w:cols>
          <w:pgMar w:left="240" w:top="125" w:right="1440" w:bottom="1440" w:gutter="0" w:footer="0" w:header="0"/>
        </w:sectPr>
      </w:pPr>
    </w:p>
    <w:p>
      <w:pPr>
        <w:spacing w:after="0" w:line="314"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London W2 6LG</w:t>
      </w: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219"/>
          </w:cols>
          <w:pgMar w:left="240" w:top="125" w:right="1440"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32"/>
          <w:szCs w:val="32"/>
          <w:b w:val="1"/>
          <w:bCs w:val="1"/>
          <w:u w:val="single" w:color="auto"/>
          <w:color w:val="auto"/>
        </w:rPr>
        <w:t>Exhibit 10.3</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Daniel J. Moore</w:t>
      </w:r>
    </w:p>
    <w:p>
      <w:pPr>
        <w:jc w:val="right"/>
        <w:spacing w:after="0"/>
        <w:rPr>
          <w:sz w:val="20"/>
          <w:szCs w:val="20"/>
          <w:color w:val="auto"/>
        </w:rPr>
      </w:pPr>
      <w:r>
        <w:rPr>
          <w:rFonts w:ascii="Arial" w:cs="Arial" w:eastAsia="Arial" w:hAnsi="Arial"/>
          <w:sz w:val="18"/>
          <w:szCs w:val="18"/>
          <w:color w:val="auto"/>
        </w:rPr>
        <w:t>Chairman,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886585" cy="540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65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22 February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Damien McDonald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LivaNova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Eastbourne Terrace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W2 6LG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Proposed awards under the LivaNova 2015 Incentive Award Plan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Damien,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Equity Award</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On behalf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 can confirm that we will recommend to the Compensation Committee that the following awards are </w:t>
      </w:r>
      <w:r>
        <w:rPr>
          <w:rFonts w:ascii="Arial" w:cs="Arial" w:eastAsia="Arial" w:hAnsi="Arial"/>
          <w:sz w:val="18"/>
          <w:szCs w:val="18"/>
          <w:color w:val="36103B"/>
        </w:rPr>
        <w:t>granted</w:t>
      </w:r>
      <w:r>
        <w:rPr>
          <w:rFonts w:ascii="Arial" w:cs="Arial" w:eastAsia="Arial" w:hAnsi="Arial"/>
          <w:sz w:val="18"/>
          <w:szCs w:val="18"/>
          <w:color w:val="auto"/>
        </w:rPr>
        <w:t xml:space="preserve"> </w:t>
      </w:r>
      <w:r>
        <w:rPr>
          <w:rFonts w:ascii="Arial" w:cs="Arial" w:eastAsia="Arial" w:hAnsi="Arial"/>
          <w:sz w:val="18"/>
          <w:szCs w:val="18"/>
          <w:color w:val="36103B"/>
        </w:rPr>
        <w:t>to you in 2017 under the Plan:</w:t>
      </w:r>
    </w:p>
    <w:p>
      <w:pPr>
        <w:spacing w:after="0" w:line="135" w:lineRule="exact"/>
        <w:rPr>
          <w:sz w:val="20"/>
          <w:szCs w:val="20"/>
          <w:color w:val="auto"/>
        </w:rPr>
      </w:pPr>
    </w:p>
    <w:p>
      <w:pPr>
        <w:ind w:left="660" w:hanging="328"/>
        <w:spacing w:after="0" w:line="26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award of service-based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to you over Shares equal in value to $1,000,000, with 25% of the RSUs vesting on each of the first four anniversaries of the grant date. The calculation of the number of Shares subject to the award will be determined based on the closing price of Shares on NASDAQ Stock Exchange on the date of grant of the award.</w:t>
      </w:r>
    </w:p>
    <w:p>
      <w:pPr>
        <w:spacing w:after="0" w:line="18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award of market-based and service-based RSUs to you over Shares equal in value to $3,000,000, as further described below. The calculation of the number of Shares subject to the award will be determined based on the closing price of Shares on NASDAQ Stock Exchange on the date of grant of the award.</w:t>
      </w:r>
    </w:p>
    <w:p>
      <w:pPr>
        <w:spacing w:after="0" w:line="181" w:lineRule="exact"/>
        <w:rPr>
          <w:sz w:val="20"/>
          <w:szCs w:val="20"/>
          <w:color w:val="auto"/>
        </w:rPr>
      </w:pPr>
    </w:p>
    <w:p>
      <w:pPr>
        <w:ind w:left="1300" w:right="180" w:hanging="320"/>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closing stock price on the date two days after the earnings release in respect of the fourth quarter and year ended 31 December 2017 (the "Measure Price" as determined on the "Measure Date") is at least equal to a threshold stock price (the "Threshold Price"), the award will have a value of no less than $1 million.</w:t>
      </w:r>
    </w:p>
    <w:p>
      <w:pPr>
        <w:spacing w:after="0" w:line="181"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Measure Price is equal to or greater than the sum of the Threshold Price and a specified amount (the "Upper Price"), the award will have a value of $3 million.</w:t>
      </w:r>
    </w:p>
    <w:p>
      <w:pPr>
        <w:spacing w:after="0" w:line="170" w:lineRule="exact"/>
        <w:rPr>
          <w:rFonts w:ascii="Arial" w:cs="Arial" w:eastAsia="Arial" w:hAnsi="Arial"/>
          <w:sz w:val="18"/>
          <w:szCs w:val="18"/>
          <w:color w:val="auto"/>
        </w:rPr>
      </w:pPr>
    </w:p>
    <w:p>
      <w:pPr>
        <w:ind w:left="1300" w:right="20" w:hanging="320"/>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Measure Price falls between the Threshold Price and the Upper Price, the award will have a value equal to $1 million plus that portion of $2 million determined by linear interpolation (the difference between the Measure Price and Threshold Price, divided by the specified amount and then multiplied by $2 million).</w:t>
      </w:r>
    </w:p>
    <w:p>
      <w:pPr>
        <w:spacing w:after="0" w:line="181" w:lineRule="exact"/>
        <w:rPr>
          <w:rFonts w:ascii="Arial" w:cs="Arial" w:eastAsia="Arial" w:hAnsi="Arial"/>
          <w:sz w:val="18"/>
          <w:szCs w:val="18"/>
          <w:color w:val="auto"/>
        </w:rPr>
      </w:pPr>
    </w:p>
    <w:p>
      <w:pPr>
        <w:ind w:left="1300" w:right="280" w:hanging="320"/>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each case, one-fourth of the value of the award will vest and become deliverable to the grantee as follows: (i) in 2018, on the Measure Date, and (ii) in each of 2019, 2020 and 2021, on the first three anniversaries of the Measure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 w:right="239" w:bottom="1440" w:gutter="0" w:footer="0" w:header="0"/>
        </w:sectPr>
      </w:pPr>
    </w:p>
    <w:bookmarkStart w:id="32" w:name="page33"/>
    <w:bookmarkEnd w:id="32"/>
    <w:p>
      <w:pPr>
        <w:ind w:right="240"/>
        <w:spacing w:after="0" w:line="277" w:lineRule="auto"/>
        <w:rPr>
          <w:sz w:val="20"/>
          <w:szCs w:val="20"/>
          <w:color w:val="auto"/>
        </w:rPr>
      </w:pPr>
      <w:r>
        <w:rPr>
          <w:rFonts w:ascii="Arial" w:cs="Arial" w:eastAsia="Arial" w:hAnsi="Arial"/>
          <w:sz w:val="18"/>
          <w:szCs w:val="18"/>
          <w:color w:val="auto"/>
        </w:rPr>
        <w:t>The aforementioned service-based award will accelerate upon a change of control of LivaNova, as will any unvested portion of the market-based award for which the market-based condition has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Awards Under the Company's Long-Term Incentive Plan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be eligible to receive annual awards under the Plan commencing in fiscal year 2017. The target amount of your annual award is currently anticipated to be $4,000,000.</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grant of any of the awards under the Plan as described in this letter is, of course, always subject to the discretion of the Compensation Committee of the LivaNova Board of Directors, and nothing in this letter shall be taken to fetter the discretion of the Compensation Committee. The Compensation Committee may decide not to grant awards as described in this letter.</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Vesting of any of the awards is conditional on your continued employment with the Company and vesting will cease upon you ceasing to be employed by the Company. All awards made under the Plan will be subject to the terms of the Plan and the award agreement pursuant to which the particular award is granted.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queries in relation to the terms of this letter, please do not hesitate to contact 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J. Moore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Daniel J. Moore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bullet"/>
      <w:start w:val="1"/>
    </w:lvl>
  </w:abstractNum>
  <w:abstractNum w:abstractNumId="2">
    <w:nsid w:val="1E7FF521"/>
    <w:multiLevelType w:val="hybridMultilevel"/>
    <w:lvl w:ilvl="0">
      <w:lvlJc w:val="left"/>
      <w:lvlText w:val="1"/>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decimal"/>
      <w:start w:val="2"/>
    </w:lvl>
  </w:abstractNum>
  <w:abstractNum w:abstractNumId="8">
    <w:nsid w:val="3006C83E"/>
    <w:multiLevelType w:val="hybridMultilevel"/>
    <w:lvl w:ilvl="0">
      <w:lvlJc w:val="left"/>
      <w:lvlText w:val="%1."/>
      <w:numFmt w:val="decimal"/>
      <w:start w:val="3"/>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decimal"/>
      <w:start w:val="4"/>
    </w:lvl>
  </w:abstractNum>
  <w:abstractNum w:abstractNumId="11">
    <w:nsid w:val="5577F8E1"/>
    <w:multiLevelType w:val="hybridMultilevel"/>
    <w:lvl w:ilvl="0">
      <w:lvlJc w:val="left"/>
      <w:lvlText w:val="%1."/>
      <w:numFmt w:val="decimal"/>
      <w:start w:val="5"/>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decimal"/>
      <w:start w:val="6"/>
    </w:lvl>
  </w:abstractNum>
  <w:abstractNum w:abstractNumId="15">
    <w:nsid w:val="77465F01"/>
    <w:multiLevelType w:val="hybridMultilevel"/>
    <w:lvl w:ilvl="0">
      <w:lvlJc w:val="left"/>
      <w:lvlText w:val="%1."/>
      <w:numFmt w:val="decimal"/>
      <w:start w:val="7"/>
    </w:lvl>
  </w:abstractNum>
  <w:abstractNum w:abstractNumId="16">
    <w:nsid w:val="7724C67E"/>
    <w:multiLevelType w:val="hybridMultilevel"/>
    <w:lvl w:ilvl="0">
      <w:lvlJc w:val="left"/>
      <w:lvlText w:val="%1."/>
      <w:numFmt w:val="decimal"/>
      <w:start w:val="8"/>
    </w:lvl>
  </w:abstractNum>
  <w:abstractNum w:abstractNumId="17">
    <w:nsid w:val="5C482A97"/>
    <w:multiLevelType w:val="hybridMultilevel"/>
    <w:lvl w:ilvl="0">
      <w:lvlJc w:val="left"/>
      <w:lvlText w:val="%1."/>
      <w:numFmt w:val="decimal"/>
      <w:start w:val="9"/>
    </w:lvl>
  </w:abstractNum>
  <w:abstractNum w:abstractNumId="18">
    <w:nsid w:val="2463B9EA"/>
    <w:multiLevelType w:val="hybridMultilevel"/>
    <w:lvl w:ilvl="0">
      <w:lvlJc w:val="left"/>
      <w:lvlText w:val="%1."/>
      <w:numFmt w:val="decimal"/>
      <w:start w:val="10"/>
    </w:lvl>
  </w:abstractNum>
  <w:abstractNum w:abstractNumId="19">
    <w:nsid w:val="5E884ADC"/>
    <w:multiLevelType w:val="hybridMultilevel"/>
    <w:lvl w:ilvl="0">
      <w:lvlJc w:val="left"/>
      <w:lvlText w:val="%1."/>
      <w:numFmt w:val="decimal"/>
      <w:start w:val="11"/>
    </w:lvl>
  </w:abstractNum>
  <w:abstractNum w:abstractNumId="20">
    <w:nsid w:val="51EAD36B"/>
    <w:multiLevelType w:val="hybridMultilevel"/>
    <w:lvl w:ilvl="0">
      <w:lvlJc w:val="left"/>
      <w:lvlText w:val="%1."/>
      <w:numFmt w:val="decimal"/>
      <w:start w:val="12"/>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4"/>
    </w:lvl>
  </w:abstractNum>
  <w:abstractNum w:abstractNumId="23">
    <w:nsid w:val="153EA438"/>
    <w:multiLevelType w:val="hybridMultilevel"/>
    <w:lvl w:ilvl="0">
      <w:lvlJc w:val="left"/>
      <w:lvlText w:val="%1."/>
      <w:numFmt w:val="decimal"/>
      <w:start w:val="13"/>
    </w:lvl>
  </w:abstractNum>
  <w:abstractNum w:abstractNumId="24">
    <w:nsid w:val="3855585C"/>
    <w:multiLevelType w:val="hybridMultilevel"/>
    <w:lvl w:ilvl="0">
      <w:lvlJc w:val="left"/>
      <w:lvlText w:val="%1."/>
      <w:numFmt w:val="decimal"/>
      <w:start w:val="14"/>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Letter"/>
      <w:start w:val="1"/>
    </w:lvl>
    <w:lvl w:ilvl="1">
      <w:lvlJc w:val="left"/>
      <w:lvlText w:val="(%2)"/>
      <w:numFmt w:val="lowerRoman"/>
      <w:start w:val="1"/>
    </w:lvl>
  </w:abstractNum>
  <w:abstractNum w:abstractNumId="28">
    <w:nsid w:val="1D4ED43B"/>
    <w:multiLevelType w:val="hybridMultilevel"/>
    <w:lvl w:ilvl="0">
      <w:lvlJc w:val="left"/>
      <w:lvlText w:val="%1."/>
      <w:numFmt w:val="decimal"/>
      <w:start w:val="15"/>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decimal"/>
      <w:start w:val="16"/>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decimal"/>
      <w:start w:val="17"/>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decimal"/>
      <w:start w:val="18"/>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decimal"/>
      <w:start w:val="19"/>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decimal"/>
      <w:start w:val="20"/>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3"/>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decimal"/>
      <w:start w:val="21"/>
    </w:lvl>
  </w:abstractNum>
  <w:abstractNum w:abstractNumId="47">
    <w:nsid w:val="70C6A529"/>
    <w:multiLevelType w:val="hybridMultilevel"/>
    <w:lvl w:ilvl="0">
      <w:lvlJc w:val="left"/>
      <w:lvlText w:val="%1."/>
      <w:numFmt w:val="decimal"/>
      <w:start w:val="23"/>
    </w:lvl>
  </w:abstractNum>
  <w:abstractNum w:abstractNumId="48">
    <w:nsid w:val="520EEDD1"/>
    <w:multiLevelType w:val="hybridMultilevel"/>
    <w:lvl w:ilvl="0">
      <w:lvlJc w:val="left"/>
      <w:lvlText w:val="%1."/>
      <w:numFmt w:val="decimal"/>
      <w:start w:val="24"/>
    </w:lvl>
  </w:abstractNum>
  <w:abstractNum w:abstractNumId="49">
    <w:nsid w:val="374A3FE6"/>
    <w:multiLevelType w:val="hybridMultilevel"/>
    <w:lvl w:ilvl="0">
      <w:lvlJc w:val="left"/>
      <w:lvlText w:val="%1."/>
      <w:numFmt w:val="decimal"/>
      <w:start w:val="25"/>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decimal"/>
      <w:start w:val="26"/>
    </w:lvl>
  </w:abstractNum>
  <w:abstractNum w:abstractNumId="52">
    <w:nsid w:val="649BB77C"/>
    <w:multiLevelType w:val="hybridMultilevel"/>
    <w:lvl w:ilvl="0">
      <w:lvlJc w:val="left"/>
      <w:lvlText w:val="%1."/>
      <w:numFmt w:val="decimal"/>
      <w:start w:val="27"/>
    </w:lvl>
    <w:lvl w:ilvl="1">
      <w:lvlJc w:val="left"/>
      <w:lvlText w:val="(%2)"/>
      <w:numFmt w:val="lowerLetter"/>
      <w:start w:val="1"/>
    </w:lvl>
  </w:abstractNum>
  <w:abstractNum w:abstractNumId="53">
    <w:nsid w:val="275AC794"/>
    <w:multiLevelType w:val="hybridMultilevel"/>
    <w:lvl w:ilvl="0">
      <w:lvlJc w:val="left"/>
      <w:lvlText w:val="%1."/>
      <w:numFmt w:val="decimal"/>
      <w:start w:val="29"/>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30"/>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2019-12-08T03:16:36Z</dcterms:created>
  <dcterms:modified xsi:type="dcterms:W3CDTF">2019-12-08T03:16:36Z</dcterms:modified>
</cp:coreProperties>
</file>