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42"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right="120" w:firstLine="648"/>
        <w:spacing w:after="0" w:line="294" w:lineRule="auto"/>
        <w:rPr>
          <w:sz w:val="20"/>
          <w:szCs w:val="20"/>
          <w:color w:val="auto"/>
        </w:rPr>
      </w:pPr>
      <w:r>
        <w:rPr>
          <w:rFonts w:ascii="Arial" w:cs="Arial" w:eastAsia="Arial" w:hAnsi="Arial"/>
          <w:sz w:val="16"/>
          <w:szCs w:val="16"/>
          <w:color w:val="auto"/>
        </w:rPr>
        <w:t xml:space="preserve">On May 3, 2023, LivaNova PLC (the “Company”) issued a press release announcing financial results for the first quarter ended March 31, 2023. The Company will host a business update conference call and webcast today, May 3, 2023, at 1 p.m. London time (8 a.m. Eastern Time), during which the Company will discuss the financial results. The conference call will be available through the LivaNova website at </w:t>
      </w:r>
      <w:r>
        <w:rPr>
          <w:rFonts w:ascii="Arial" w:cs="Arial" w:eastAsia="Arial" w:hAnsi="Arial"/>
          <w:sz w:val="16"/>
          <w:szCs w:val="16"/>
          <w:color w:val="3051F2"/>
        </w:rPr>
        <w:t>www.livanova.com/events</w:t>
      </w:r>
      <w:r>
        <w:rPr>
          <w:rFonts w:ascii="Arial" w:cs="Arial" w:eastAsia="Arial" w:hAnsi="Arial"/>
          <w:sz w:val="16"/>
          <w:szCs w:val="16"/>
          <w:color w:val="auto"/>
        </w:rPr>
        <w:t>.</w:t>
      </w:r>
    </w:p>
    <w:p>
      <w:pPr>
        <w:spacing w:after="0" w:line="174"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960" w:type="dxa"/>
            <w:vAlign w:val="bottom"/>
          </w:tcPr>
          <w:p>
            <w:pPr>
              <w:spacing w:after="0"/>
              <w:rPr>
                <w:sz w:val="17"/>
                <w:szCs w:val="17"/>
                <w:color w:val="auto"/>
              </w:rPr>
            </w:pPr>
          </w:p>
        </w:tc>
        <w:tc>
          <w:tcPr>
            <w:tcW w:w="96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0000FF"/>
              </w:rPr>
              <w:t>Press Release of LivaNova PLC dated May 3, 2023</w:t>
            </w:r>
          </w:p>
        </w:tc>
      </w:tr>
      <w:tr>
        <w:trPr>
          <w:trHeight w:val="20"/>
        </w:trPr>
        <w:tc>
          <w:tcPr>
            <w:tcW w:w="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50"/>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960" w:type="dxa"/>
            <w:vAlign w:val="bottom"/>
          </w:tcPr>
          <w:p>
            <w:pPr>
              <w:spacing w:after="0"/>
              <w:rPr>
                <w:sz w:val="21"/>
                <w:szCs w:val="21"/>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5"/>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Michael Hutchinson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Hutchinson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Chief Legal Officer</w:t>
      </w:r>
    </w:p>
    <w:p>
      <w:pPr>
        <w:sectPr>
          <w:pgSz w:w="11900" w:h="16838" w:orient="portrait"/>
          <w:cols w:equalWidth="0" w:num="1">
            <w:col w:w="10980"/>
          </w:cols>
          <w:pgMar w:left="320" w:top="1012" w:right="599" w:bottom="1440" w:gutter="0" w:footer="0" w:header="0"/>
        </w:sectPr>
      </w:pPr>
    </w:p>
    <w:bookmarkStart w:id="3" w:name="page4"/>
    <w:bookmarkEnd w:id="3"/>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68021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9"/>
          <w:szCs w:val="29"/>
          <w:color w:val="6D2077"/>
        </w:rPr>
        <w:t>LivaNova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98" w:lineRule="auto"/>
        <w:rPr>
          <w:sz w:val="20"/>
          <w:szCs w:val="20"/>
          <w:color w:val="auto"/>
        </w:rPr>
      </w:pPr>
      <w:r>
        <w:rPr>
          <w:rFonts w:ascii="Arial" w:cs="Arial" w:eastAsia="Arial" w:hAnsi="Arial"/>
          <w:sz w:val="20"/>
          <w:szCs w:val="20"/>
          <w:b w:val="1"/>
          <w:bCs w:val="1"/>
          <w:color w:val="auto"/>
        </w:rPr>
        <w:t xml:space="preserve">London, May 3, 2023 – </w:t>
      </w:r>
      <w:r>
        <w:rPr>
          <w:rFonts w:ascii="Arial" w:cs="Arial" w:eastAsia="Arial" w:hAnsi="Arial"/>
          <w:sz w:val="20"/>
          <w:szCs w:val="20"/>
          <w:color w:val="auto"/>
        </w:rPr>
        <w:t>LivaNova PLC (Nasdaq: LIVN), a market-leading medical technology and innovation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results for the quarter ended March 31, 2023 and raised full-year 2023 guidance.</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Summary and Highlights</w:t>
      </w:r>
      <w:r>
        <w:rPr>
          <w:rFonts w:ascii="Arial" w:cs="Arial" w:eastAsia="Arial" w:hAnsi="Arial"/>
          <w:sz w:val="25"/>
          <w:szCs w:val="25"/>
          <w:b w:val="1"/>
          <w:bCs w:val="1"/>
          <w:color w:val="auto"/>
          <w:vertAlign w:val="superscript"/>
        </w:rPr>
        <w:t>1</w:t>
      </w:r>
    </w:p>
    <w:p>
      <w:pPr>
        <w:spacing w:after="0" w:line="209" w:lineRule="exact"/>
        <w:rPr>
          <w:sz w:val="20"/>
          <w:szCs w:val="20"/>
          <w:color w:val="auto"/>
        </w:rPr>
      </w:pPr>
    </w:p>
    <w:p>
      <w:pPr>
        <w:ind w:left="340" w:hanging="251"/>
        <w:spacing w:after="0" w:line="275" w:lineRule="auto"/>
        <w:tabs>
          <w:tab w:leader="none" w:pos="2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First-quarter revenue of $263.4 million increased 9.7 percent on a reported basis and increased 12.7 percent on a constant-currency basis, as compared to the prior-year period</w:t>
      </w:r>
    </w:p>
    <w:p>
      <w:pPr>
        <w:spacing w:after="0" w:line="107" w:lineRule="exact"/>
        <w:rPr>
          <w:rFonts w:ascii="Arial" w:cs="Arial" w:eastAsia="Arial" w:hAnsi="Arial"/>
          <w:sz w:val="20"/>
          <w:szCs w:val="20"/>
          <w:b w:val="1"/>
          <w:bCs w:val="1"/>
          <w:color w:val="auto"/>
        </w:rPr>
      </w:pPr>
    </w:p>
    <w:p>
      <w:pPr>
        <w:ind w:left="280" w:hanging="191"/>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0"/>
          <w:szCs w:val="20"/>
          <w:color w:val="auto"/>
        </w:rPr>
        <w:t>First-quarter U.S. GAAP diluted earnings per share was $0.14 and adjusted diluted earnings per share was $0.43</w:t>
      </w:r>
    </w:p>
    <w:p>
      <w:pPr>
        <w:spacing w:after="0" w:line="143" w:lineRule="exact"/>
        <w:rPr>
          <w:rFonts w:ascii="Arial" w:cs="Arial" w:eastAsia="Arial" w:hAnsi="Arial"/>
          <w:sz w:val="20"/>
          <w:szCs w:val="20"/>
          <w:color w:val="auto"/>
        </w:rPr>
      </w:pPr>
    </w:p>
    <w:p>
      <w:pPr>
        <w:ind w:left="280" w:hanging="191"/>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Received U.S. FDA 510(k) clearance for Essenz</w:t>
      </w:r>
      <w:r>
        <w:rPr>
          <w:rFonts w:ascii="Arial" w:cs="Arial" w:eastAsia="Arial" w:hAnsi="Arial"/>
          <w:sz w:val="25"/>
          <w:szCs w:val="25"/>
          <w:color w:val="auto"/>
          <w:vertAlign w:val="superscript"/>
        </w:rPr>
        <w:t>TM</w:t>
      </w:r>
      <w:r>
        <w:rPr>
          <w:rFonts w:ascii="Arial" w:cs="Arial" w:eastAsia="Arial" w:hAnsi="Arial"/>
          <w:sz w:val="20"/>
          <w:szCs w:val="20"/>
          <w:color w:val="auto"/>
        </w:rPr>
        <w:t>, the Company's next-generation heart-lung machine</w:t>
      </w:r>
    </w:p>
    <w:p>
      <w:pPr>
        <w:spacing w:after="0" w:line="104" w:lineRule="exact"/>
        <w:rPr>
          <w:rFonts w:ascii="Arial" w:cs="Arial" w:eastAsia="Arial" w:hAnsi="Arial"/>
          <w:sz w:val="20"/>
          <w:szCs w:val="20"/>
          <w:color w:val="auto"/>
        </w:rPr>
      </w:pPr>
    </w:p>
    <w:p>
      <w:pPr>
        <w:ind w:left="280" w:hanging="191"/>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Randomized 500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unipolar depression patient in RECOVER clinical study</w:t>
      </w:r>
    </w:p>
    <w:p>
      <w:pPr>
        <w:spacing w:after="0" w:line="95" w:lineRule="exact"/>
        <w:rPr>
          <w:rFonts w:ascii="Arial" w:cs="Arial" w:eastAsia="Arial" w:hAnsi="Arial"/>
          <w:sz w:val="20"/>
          <w:szCs w:val="20"/>
          <w:color w:val="auto"/>
        </w:rPr>
      </w:pPr>
    </w:p>
    <w:p>
      <w:pPr>
        <w:ind w:left="280" w:hanging="191"/>
        <w:spacing w:after="0"/>
        <w:tabs>
          <w:tab w:leader="none" w:pos="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Bill Kozy, Chair of the Board of Directors, appointed Interim Chief Executive Officer following Damien McDonald's resignation</w:t>
      </w:r>
    </w:p>
    <w:p>
      <w:pPr>
        <w:spacing w:after="0" w:line="200" w:lineRule="exact"/>
        <w:rPr>
          <w:sz w:val="20"/>
          <w:szCs w:val="20"/>
          <w:color w:val="auto"/>
        </w:rPr>
      </w:pPr>
    </w:p>
    <w:p>
      <w:pPr>
        <w:spacing w:after="0" w:line="257" w:lineRule="exact"/>
        <w:rPr>
          <w:sz w:val="20"/>
          <w:szCs w:val="20"/>
          <w:color w:val="auto"/>
        </w:rPr>
      </w:pPr>
    </w:p>
    <w:p>
      <w:pPr>
        <w:jc w:val="both"/>
        <w:spacing w:after="0" w:line="339" w:lineRule="auto"/>
        <w:rPr>
          <w:sz w:val="20"/>
          <w:szCs w:val="20"/>
          <w:color w:val="auto"/>
        </w:rPr>
      </w:pPr>
      <w:r>
        <w:rPr>
          <w:rFonts w:ascii="Arial" w:cs="Arial" w:eastAsia="Arial" w:hAnsi="Arial"/>
          <w:sz w:val="20"/>
          <w:szCs w:val="20"/>
          <w:color w:val="auto"/>
        </w:rPr>
        <w:t>“During the first quarter, LivaNova delivered solid revenue growth,” said Kozy. "Additionally, the Company achieved important product and clinical milestones, including U.S. FDA 510(k) clearance for Essenz and randomization of the 500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unipolar patient in the RECOVER clinical study. We look forward to building on this progress. I am engaging with our experienced executive leadership team as we maintain focus on executing on our core growth drivers, delivering on our clinical and product pipeline opportunities, and generating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0" w:hanging="72"/>
        <w:spacing w:after="0" w:line="221" w:lineRule="auto"/>
        <w:tabs>
          <w:tab w:leader="none" w:pos="80"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Constant-currency percent change, adjusted operating income, adjusted diluted earnings per share and adjusted free cash flow are non-GAAP measures. For an explanation of these and other non-GAAP measures used in this release, see the section entitled "Use of Non-GAAP Financial Measures." For reconciliations of certain non-GAAP measures, see the tables that accompany this press release.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2023 Results</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revenue for the first quarter of 2023 by segment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9"/>
              </w:rPr>
              <w:t>Three Months Ended</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ind w:left="420"/>
              <w:spacing w:after="0"/>
              <w:rPr>
                <w:sz w:val="20"/>
                <w:szCs w:val="20"/>
                <w:color w:val="auto"/>
              </w:rPr>
            </w:pPr>
            <w:r>
              <w:rPr>
                <w:rFonts w:ascii="Arial" w:cs="Arial" w:eastAsia="Arial" w:hAnsi="Arial"/>
                <w:sz w:val="20"/>
                <w:szCs w:val="20"/>
                <w:b w:val="1"/>
                <w:bCs w:val="1"/>
                <w:color w:val="auto"/>
              </w:rPr>
              <w:t>Constant-</w:t>
            </w:r>
          </w:p>
        </w:tc>
      </w:tr>
      <w:tr>
        <w:trPr>
          <w:trHeight w:val="189"/>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right="580"/>
              <w:spacing w:after="0" w:line="169" w:lineRule="exact"/>
              <w:rPr>
                <w:sz w:val="20"/>
                <w:szCs w:val="20"/>
                <w:color w:val="auto"/>
              </w:rPr>
            </w:pPr>
            <w:r>
              <w:rPr>
                <w:rFonts w:ascii="Arial" w:cs="Arial" w:eastAsia="Arial" w:hAnsi="Arial"/>
                <w:sz w:val="18"/>
                <w:szCs w:val="18"/>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ind w:left="420"/>
              <w:spacing w:after="0" w:line="183" w:lineRule="exact"/>
              <w:rPr>
                <w:sz w:val="20"/>
                <w:szCs w:val="20"/>
                <w:color w:val="auto"/>
              </w:rPr>
            </w:pPr>
            <w:r>
              <w:rPr>
                <w:rFonts w:ascii="Arial" w:cs="Arial" w:eastAsia="Arial" w:hAnsi="Arial"/>
                <w:sz w:val="20"/>
                <w:szCs w:val="20"/>
                <w:b w:val="1"/>
                <w:bCs w:val="1"/>
                <w:color w:val="auto"/>
              </w:rPr>
              <w:t>Currency</w:t>
            </w:r>
          </w:p>
        </w:tc>
      </w:tr>
      <w:tr>
        <w:trPr>
          <w:trHeight w:val="250"/>
        </w:trPr>
        <w:tc>
          <w:tcPr>
            <w:tcW w:w="4940" w:type="dxa"/>
            <w:vAlign w:val="bottom"/>
            <w:gridSpan w:val="3"/>
          </w:tcPr>
          <w:p>
            <w:pPr>
              <w:ind w:left="4460"/>
              <w:spacing w:after="0"/>
              <w:rPr>
                <w:sz w:val="20"/>
                <w:szCs w:val="20"/>
                <w:color w:val="auto"/>
              </w:rPr>
            </w:pPr>
            <w:r>
              <w:rPr>
                <w:rFonts w:ascii="Arial" w:cs="Arial" w:eastAsia="Arial" w:hAnsi="Arial"/>
                <w:sz w:val="18"/>
                <w:szCs w:val="18"/>
                <w:b w:val="1"/>
                <w:bCs w:val="1"/>
                <w:color w:val="auto"/>
              </w:rPr>
              <w:t>2023</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gridSpan w:val="2"/>
          </w:tcPr>
          <w:p>
            <w:pPr>
              <w:ind w:left="400"/>
              <w:spacing w:after="0"/>
              <w:rPr>
                <w:sz w:val="20"/>
                <w:szCs w:val="20"/>
                <w:color w:val="auto"/>
              </w:rPr>
            </w:pPr>
            <w:r>
              <w:rPr>
                <w:rFonts w:ascii="Arial" w:cs="Arial" w:eastAsia="Arial" w:hAnsi="Arial"/>
                <w:sz w:val="20"/>
                <w:szCs w:val="20"/>
                <w:b w:val="1"/>
                <w:bCs w:val="1"/>
                <w:color w:val="auto"/>
              </w:rPr>
              <w:t>% Change</w:t>
            </w:r>
          </w:p>
        </w:tc>
        <w:tc>
          <w:tcPr>
            <w:tcW w:w="1760" w:type="dxa"/>
            <w:vAlign w:val="bottom"/>
          </w:tcPr>
          <w:p>
            <w:pPr>
              <w:ind w:left="400"/>
              <w:spacing w:after="0"/>
              <w:rPr>
                <w:sz w:val="20"/>
                <w:szCs w:val="20"/>
                <w:color w:val="auto"/>
              </w:rPr>
            </w:pPr>
            <w:r>
              <w:rPr>
                <w:rFonts w:ascii="Arial" w:cs="Arial" w:eastAsia="Arial" w:hAnsi="Arial"/>
                <w:sz w:val="20"/>
                <w:szCs w:val="20"/>
                <w:b w:val="1"/>
                <w:bCs w:val="1"/>
                <w:color w:val="auto"/>
              </w:rPr>
              <w:t>% Change</w:t>
            </w: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Cardiopulmonary</w:t>
            </w:r>
          </w:p>
        </w:tc>
        <w:tc>
          <w:tcPr>
            <w:tcW w:w="1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8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17.5 %</w:t>
            </w:r>
          </w:p>
        </w:tc>
      </w:tr>
      <w:tr>
        <w:trPr>
          <w:trHeight w:val="229"/>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Neuromodulation</w:t>
            </w:r>
          </w:p>
        </w:tc>
        <w:tc>
          <w:tcPr>
            <w:tcW w:w="660" w:type="dxa"/>
            <w:vAlign w:val="bottom"/>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30"/>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Advanced Circulatory Support</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Total Net Revenue</w:t>
            </w:r>
          </w:p>
        </w:tc>
        <w:tc>
          <w:tcPr>
            <w:tcW w:w="660" w:type="dxa"/>
            <w:vAlign w:val="bottom"/>
          </w:tcPr>
          <w:p>
            <w:pPr>
              <w:jc w:val="right"/>
              <w:spacing w:after="0"/>
              <w:rPr>
                <w:sz w:val="20"/>
                <w:szCs w:val="20"/>
                <w:color w:val="auto"/>
              </w:rPr>
            </w:pPr>
            <w:r>
              <w:rPr>
                <w:rFonts w:ascii="Arial" w:cs="Arial" w:eastAsia="Arial" w:hAnsi="Arial"/>
                <w:sz w:val="18"/>
                <w:szCs w:val="18"/>
                <w:color w:val="auto"/>
              </w:rPr>
              <w:t>$263.4</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9.7 %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12.7 %</w:t>
            </w: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260" w:hanging="252"/>
        <w:spacing w:after="0" w:line="253" w:lineRule="auto"/>
        <w:tabs>
          <w:tab w:leader="none" w:pos="209"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Note: Constant-currency percent change excludes the impact from fluctuations in the various currencies in which the Company operates as compared to reported percent change. Constant-currency percent change is a non-GAAP metric. For an explanation of this and other non-GAAP metrics used in this release, see the section entitled "Use of Non-GAAP Financial Measures."</w:t>
      </w:r>
    </w:p>
    <w:p>
      <w:pPr>
        <w:spacing w:after="0" w:line="52" w:lineRule="exact"/>
        <w:rPr>
          <w:rFonts w:ascii="Arial" w:cs="Arial" w:eastAsia="Arial" w:hAnsi="Arial"/>
          <w:sz w:val="16"/>
          <w:szCs w:val="16"/>
          <w:color w:val="auto"/>
        </w:rPr>
      </w:pPr>
    </w:p>
    <w:p>
      <w:pPr>
        <w:ind w:left="200" w:hanging="192"/>
        <w:spacing w:after="0"/>
        <w:tabs>
          <w:tab w:leader="none" w:pos="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333" w:lineRule="auto"/>
        <w:rPr>
          <w:sz w:val="20"/>
          <w:szCs w:val="20"/>
          <w:color w:val="auto"/>
        </w:rPr>
      </w:pPr>
      <w:r>
        <w:rPr>
          <w:rFonts w:ascii="Arial" w:cs="Arial" w:eastAsia="Arial" w:hAnsi="Arial"/>
          <w:sz w:val="20"/>
          <w:szCs w:val="20"/>
          <w:b w:val="1"/>
          <w:bCs w:val="1"/>
          <w:color w:val="auto"/>
        </w:rPr>
        <w:t xml:space="preserve">Cardiopulmonary </w:t>
      </w:r>
      <w:r>
        <w:rPr>
          <w:rFonts w:ascii="Arial" w:cs="Arial" w:eastAsia="Arial" w:hAnsi="Arial"/>
          <w:sz w:val="20"/>
          <w:szCs w:val="20"/>
          <w:color w:val="auto"/>
        </w:rPr>
        <w:t>revenue increased 17.5 percent</w:t>
      </w:r>
      <w:r>
        <w:rPr>
          <w:rFonts w:ascii="Arial" w:cs="Arial" w:eastAsia="Arial" w:hAnsi="Arial"/>
          <w:sz w:val="25"/>
          <w:szCs w:val="25"/>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versus the first quarter of 2022 driven by the Rest of World and Europe</w:t>
      </w:r>
      <w:r>
        <w:rPr>
          <w:rFonts w:ascii="Arial" w:cs="Arial" w:eastAsia="Arial" w:hAnsi="Arial"/>
          <w:sz w:val="20"/>
          <w:szCs w:val="20"/>
          <w:b w:val="1"/>
          <w:bCs w:val="1"/>
          <w:color w:val="auto"/>
        </w:rPr>
        <w:t xml:space="preserve"> </w:t>
      </w:r>
      <w:r>
        <w:rPr>
          <w:rFonts w:ascii="Arial" w:cs="Arial" w:eastAsia="Arial" w:hAnsi="Arial"/>
          <w:sz w:val="20"/>
          <w:szCs w:val="20"/>
          <w:color w:val="auto"/>
        </w:rPr>
        <w:t>regions. This growth was primarily driven by oxygenator revenue across all regions and strength in heart-lung machine placements in the Rest of World and Europe regions.</w:t>
      </w:r>
    </w:p>
    <w:p>
      <w:pPr>
        <w:spacing w:after="0" w:line="218" w:lineRule="exact"/>
        <w:rPr>
          <w:sz w:val="20"/>
          <w:szCs w:val="20"/>
          <w:color w:val="auto"/>
        </w:rPr>
      </w:pPr>
    </w:p>
    <w:p>
      <w:pPr>
        <w:jc w:val="both"/>
        <w:spacing w:after="0" w:line="324" w:lineRule="auto"/>
        <w:rPr>
          <w:sz w:val="20"/>
          <w:szCs w:val="20"/>
          <w:color w:val="auto"/>
        </w:rPr>
      </w:pPr>
      <w:r>
        <w:rPr>
          <w:rFonts w:ascii="Arial" w:cs="Arial" w:eastAsia="Arial" w:hAnsi="Arial"/>
          <w:sz w:val="20"/>
          <w:szCs w:val="20"/>
          <w:b w:val="1"/>
          <w:bCs w:val="1"/>
          <w:color w:val="auto"/>
        </w:rPr>
        <w:t xml:space="preserve">Neuromodulation </w:t>
      </w:r>
      <w:r>
        <w:rPr>
          <w:rFonts w:ascii="Arial" w:cs="Arial" w:eastAsia="Arial" w:hAnsi="Arial"/>
          <w:sz w:val="20"/>
          <w:szCs w:val="20"/>
          <w:color w:val="auto"/>
        </w:rPr>
        <w:t>revenue increased 11.1 percent</w:t>
      </w:r>
      <w:r>
        <w:rPr>
          <w:rFonts w:ascii="Arial" w:cs="Arial" w:eastAsia="Arial" w:hAnsi="Arial"/>
          <w:sz w:val="25"/>
          <w:szCs w:val="25"/>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versus the first quarter of 2022 with growth across all regions. This increase</w:t>
      </w:r>
      <w:r>
        <w:rPr>
          <w:rFonts w:ascii="Arial" w:cs="Arial" w:eastAsia="Arial" w:hAnsi="Arial"/>
          <w:sz w:val="20"/>
          <w:szCs w:val="20"/>
          <w:b w:val="1"/>
          <w:bCs w:val="1"/>
          <w:color w:val="auto"/>
        </w:rPr>
        <w:t xml:space="preserve"> </w:t>
      </w:r>
      <w:r>
        <w:rPr>
          <w:rFonts w:ascii="Arial" w:cs="Arial" w:eastAsia="Arial" w:hAnsi="Arial"/>
          <w:sz w:val="20"/>
          <w:szCs w:val="20"/>
          <w:color w:val="auto"/>
        </w:rPr>
        <w:t>was driven by growth in both new and replacement implants.</w:t>
      </w:r>
    </w:p>
    <w:p>
      <w:pPr>
        <w:spacing w:after="0" w:line="206" w:lineRule="exact"/>
        <w:rPr>
          <w:sz w:val="20"/>
          <w:szCs w:val="20"/>
          <w:color w:val="auto"/>
        </w:rPr>
      </w:pPr>
    </w:p>
    <w:p>
      <w:pPr>
        <w:jc w:val="both"/>
        <w:spacing w:after="0" w:line="333" w:lineRule="auto"/>
        <w:rPr>
          <w:sz w:val="20"/>
          <w:szCs w:val="20"/>
          <w:color w:val="auto"/>
        </w:rPr>
      </w:pPr>
      <w:r>
        <w:rPr>
          <w:rFonts w:ascii="Arial" w:cs="Arial" w:eastAsia="Arial" w:hAnsi="Arial"/>
          <w:sz w:val="20"/>
          <w:szCs w:val="20"/>
          <w:b w:val="1"/>
          <w:bCs w:val="1"/>
          <w:color w:val="auto"/>
        </w:rPr>
        <w:t xml:space="preserve">Advanced Circulatory Support (ACS) </w:t>
      </w:r>
      <w:r>
        <w:rPr>
          <w:rFonts w:ascii="Arial" w:cs="Arial" w:eastAsia="Arial" w:hAnsi="Arial"/>
          <w:sz w:val="20"/>
          <w:szCs w:val="20"/>
          <w:color w:val="auto"/>
        </w:rPr>
        <w:t>revenue decreased 15.7 percent</w:t>
      </w:r>
      <w:r>
        <w:rPr>
          <w:rFonts w:ascii="Arial" w:cs="Arial" w:eastAsia="Arial" w:hAnsi="Arial"/>
          <w:sz w:val="25"/>
          <w:szCs w:val="25"/>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the first quarter of 2022 primarily due to</w:t>
      </w:r>
      <w:r>
        <w:rPr>
          <w:rFonts w:ascii="Arial" w:cs="Arial" w:eastAsia="Arial" w:hAnsi="Arial"/>
          <w:sz w:val="20"/>
          <w:szCs w:val="20"/>
          <w:b w:val="1"/>
          <w:bCs w:val="1"/>
          <w:color w:val="auto"/>
        </w:rPr>
        <w:t xml:space="preserve"> </w:t>
      </w:r>
      <w:r>
        <w:rPr>
          <w:rFonts w:ascii="Arial" w:cs="Arial" w:eastAsia="Arial" w:hAnsi="Arial"/>
          <w:sz w:val="20"/>
          <w:szCs w:val="20"/>
          <w:color w:val="auto"/>
        </w:rPr>
        <w:t>a reduction in patients treated with extracorporeal membrane oxygenation (ECMO) as a result of fewer severe COVID cases and product mix, partially offset by growth in non-COVID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1845310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 w:hanging="72"/>
        <w:spacing w:after="0"/>
        <w:tabs>
          <w:tab w:leader="none" w:pos="80" w:val="left"/>
        </w:tabs>
        <w:numPr>
          <w:ilvl w:val="0"/>
          <w:numId w:val="6"/>
        </w:numPr>
        <w:rPr>
          <w:rFonts w:ascii="Arial" w:cs="Arial" w:eastAsia="Arial" w:hAnsi="Arial"/>
          <w:sz w:val="14"/>
          <w:szCs w:val="14"/>
          <w:color w:val="auto"/>
          <w:vertAlign w:val="superscript"/>
        </w:rPr>
      </w:pPr>
      <w:r>
        <w:rPr>
          <w:rFonts w:ascii="Arial" w:cs="Arial" w:eastAsia="Arial" w:hAnsi="Arial"/>
          <w:sz w:val="11"/>
          <w:szCs w:val="11"/>
          <w:color w:val="auto"/>
        </w:rPr>
        <w:t>Revenue growth rates reflect comparable, constant currency growth.</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i w:val="1"/>
          <w:iCs w:val="1"/>
          <w:color w:val="auto"/>
        </w:rPr>
        <w:t>Financial Performance</w:t>
      </w:r>
    </w:p>
    <w:p>
      <w:pPr>
        <w:spacing w:after="0" w:line="199" w:lineRule="exact"/>
        <w:rPr>
          <w:sz w:val="20"/>
          <w:szCs w:val="20"/>
          <w:color w:val="auto"/>
        </w:rPr>
      </w:pPr>
    </w:p>
    <w:p>
      <w:pPr>
        <w:jc w:val="both"/>
        <w:ind w:right="20"/>
        <w:spacing w:after="0" w:line="362" w:lineRule="auto"/>
        <w:rPr>
          <w:sz w:val="20"/>
          <w:szCs w:val="20"/>
          <w:color w:val="auto"/>
        </w:rPr>
      </w:pPr>
      <w:r>
        <w:rPr>
          <w:rFonts w:ascii="Arial" w:cs="Arial" w:eastAsia="Arial" w:hAnsi="Arial"/>
          <w:sz w:val="20"/>
          <w:szCs w:val="20"/>
          <w:color w:val="auto"/>
        </w:rPr>
        <w:t>On a U.S. GAAP basis, first-quarter 2023 operating loss was $2.3 million, as compared to operating income of $9.5 million for the first quarter of 2022. Adjusted operating income for the first quarter of 2023 was $26.8 million, as compared to $28.4 million for the first quarter of 2022.</w:t>
      </w:r>
    </w:p>
    <w:p>
      <w:pPr>
        <w:spacing w:after="0" w:line="201"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On a U.S. GAAP basis, first-quarter 2023 diluted earnings per share was $0.14, as compared to $0.06 in the first quarter of 2022. First-quarter 2023 adjusted diluted earnings per share was $0.43, as compared to $0.48 in the first quarter of 2022.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2023 Guidance</w:t>
      </w:r>
    </w:p>
    <w:p>
      <w:pPr>
        <w:spacing w:after="0" w:line="361"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LivaNova now expects revenue for full-year 2023 to grow between 4 and 6 percent on a constant-currency basis. Foreign currency is expected to be a 1 percent tailwind.</w:t>
      </w:r>
    </w:p>
    <w:p>
      <w:pPr>
        <w:spacing w:after="0" w:line="216"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Adjusted diluted earnings per share for 2023 are now expected to be in the range of $2.50 to $2.70, assuming a fully diluted share count of 54 million for full-year 2023. The Company continues to estimate that adjusted free cash flow will be in the range of $80 to $100 million.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361"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 xml:space="preserve">The Company will host a live audiocast at 1 p.m. London time (8 a.m. Eastern Time) on Wednesday, May 3, 2023 that will be accessible at </w:t>
      </w:r>
      <w:r>
        <w:rPr>
          <w:rFonts w:ascii="Arial" w:cs="Arial" w:eastAsia="Arial" w:hAnsi="Arial"/>
          <w:sz w:val="20"/>
          <w:szCs w:val="20"/>
          <w:u w:val="single" w:color="auto"/>
          <w:color w:val="0E32E1"/>
        </w:rPr>
        <w:t>www.livanova.com/events</w:t>
      </w:r>
      <w:r>
        <w:rPr>
          <w:rFonts w:ascii="Arial" w:cs="Arial" w:eastAsia="Arial" w:hAnsi="Arial"/>
          <w:sz w:val="20"/>
          <w:szCs w:val="20"/>
          <w:color w:val="auto"/>
        </w:rPr>
        <w:t xml:space="preserve">. Listeners should register in advance and log on approximately 10 minutes early to ensure proper setup. To listen to the conference call by telephone, dial +1 833 470 1428 (if dialing from within the U.S.) or +1 929 526 1599 (if dialing from outside the U.S.). The conference call access code is 464136. Within 24 hours of the audiocast, a replay will be available at </w:t>
      </w:r>
      <w:r>
        <w:rPr>
          <w:rFonts w:ascii="Arial" w:cs="Arial" w:eastAsia="Arial" w:hAnsi="Arial"/>
          <w:sz w:val="20"/>
          <w:szCs w:val="20"/>
          <w:u w:val="single" w:color="auto"/>
          <w:color w:val="0E32E1"/>
        </w:rPr>
        <w:t>www.livanova.com/events</w:t>
      </w:r>
      <w:r>
        <w:rPr>
          <w:rFonts w:ascii="Arial" w:cs="Arial" w:eastAsia="Arial" w:hAnsi="Arial"/>
          <w:sz w:val="20"/>
          <w:szCs w:val="20"/>
          <w:color w:val="auto"/>
        </w:rPr>
        <w:t>, where it will be archived and accessible for approximately 90 days.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337"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2,900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8" w:right="339" w:bottom="1440" w:gutter="0" w:footer="0" w:header="0"/>
        </w:sectPr>
      </w:pPr>
    </w:p>
    <w:bookmarkStart w:id="6" w:name="page7"/>
    <w:bookmarkEnd w:id="6"/>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6D2077"/>
        </w:rPr>
        <w:t>Use of Non-GAAP Financial Measures</w:t>
      </w:r>
    </w:p>
    <w:p>
      <w:pPr>
        <w:spacing w:after="0" w:line="337"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operating performance measures as prescribed by GAAP.</w:t>
      </w:r>
    </w:p>
    <w:p>
      <w:pPr>
        <w:spacing w:after="0" w:line="217"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Unless otherwise noted, all revenue growth rates in this release reflect comparable, constant-currency percent change. Management believes that referring to comparable, constant-currency percent change is the most useful way to evaluate the revenue performance of LivaNova and to compare the revenue performance of current periods to prior periods on a consistent basis. Constant-currency percent change, a non-GAAP financial measure, measures the change in revenue between current and prior-year periods using average exchange rates in effect during the applicable prior-year period.</w:t>
      </w:r>
    </w:p>
    <w:p>
      <w:pPr>
        <w:spacing w:after="0" w:line="201"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other items such as, but not limited to, changes in fair value of derivatives and contingent consideration arrangements and asset impairment charges that would be included in comparable GAAP financial measures. The most directly comparable GAAP measure for constant-currency net revenue, non-GAAP adjusted tax rate and adjusted diluted earnings per share are net revenue, the effective tax rate and earnings per share, respectively. The most directly comparable GAAP measure for adjusted free cash flow is net cash provided by operating activities.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forward-looking GAAP financial measures and reconciliations to the most directly comparable forward-looking GAAP financial measures are not available without unreasonable effort.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54"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The Company also believes adjusted financial measures such as adjusted gross profit percentage, adjusted selling, general and administrative expense, adjusted research and development expense, adjusted other operating expense, adjusted operating income, adjusted income tax expense, adjusted net income and adjusted diluted earnings per share, are measures by which LivaNova generally uses to facilitate management review of the operational performance of the company, to serve as a basis for strategic planning and to assist in the design of compensation incentive plans. Additionally, the Company also uses the non-GAAP liquidity measure adjusted free cash flow.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324" w:lineRule="exact"/>
        <w:rPr>
          <w:sz w:val="20"/>
          <w:szCs w:val="20"/>
          <w:color w:val="auto"/>
        </w:rPr>
      </w:pPr>
    </w:p>
    <w:p>
      <w:pPr>
        <w:jc w:val="both"/>
        <w:spacing w:after="0" w:line="379" w:lineRule="auto"/>
        <w:rPr>
          <w:sz w:val="20"/>
          <w:szCs w:val="20"/>
          <w:color w:val="auto"/>
        </w:rPr>
      </w:pPr>
      <w:r>
        <w:rPr>
          <w:rFonts w:ascii="Arial" w:cs="Arial" w:eastAsia="Arial" w:hAnsi="Arial"/>
          <w:sz w:val="19"/>
          <w:szCs w:val="19"/>
          <w:color w:val="auto"/>
        </w:rPr>
        <w:t>Certain statements in this press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press release, and include, but are not limited to, the following risks and uncertainties: risks related to reductions, interruptions or increasing costs related to the supply of raw materials and components and the distribution of finished products, including as a result of inflation and war; volatility in the global market and worldwide economic conditions, including as caused by the invasion of Ukraine, inflation, foreign exchange fluctuations, changes to existing trade agreements and relationships between the U.S. and other countries including the implementation of sanctions; changes in technology, including the development of superior or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54"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cyber-attacks or other disruptions to the Company’s information technology systems; costs of complying with privacy and security of personal information requirements and laws; failure to comply with anti-bribery laws; risks associated with environmental laws and regulations as well as environmental liabilities, violations, protest voting and litigation; losses or costs from pending or future lawsuits and governmental investigations, including in the case of the Company’s 3T and SNIA litigations;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impact of climate change and the risk of environmental, social and governance pressures from internal and external stakeholders; the risk of quality concerns and the impacts thereof; failure to protect the Company’s proprietary intellectual property; the potential loss of funds resulting from recent and potential future bank failures; COVID-19’s reverberating impacts on the economy, employment, patient behaviors and supply chain, among others; failure of new acquisitions to further the Company’s strategic objectives or strengthen the Company’s existing businesses; the potential for impairments of intangible assets and goodwill; risks relating to the Company’s indebtedness including under the exchangeable senior notes, the Company’s revolving credit facility and the Company’s 2022 Term Facilities, as defined herein;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229"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other documents filed from time to time with the United States Securities and Exchange Commission by LivaNova.</w:t>
      </w:r>
    </w:p>
    <w:p>
      <w:pPr>
        <w:spacing w:after="0" w:line="337"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Essenz is a trademark of LivaNova USA, Inc.</w:t>
      </w:r>
    </w:p>
    <w:p>
      <w:pPr>
        <w:spacing w:after="0" w:line="273" w:lineRule="exact"/>
        <w:rPr>
          <w:sz w:val="20"/>
          <w:szCs w:val="20"/>
          <w:color w:val="auto"/>
        </w:rPr>
      </w:pPr>
    </w:p>
    <w:p>
      <w:pPr>
        <w:ind w:left="80"/>
        <w:spacing w:after="0"/>
        <w:rPr>
          <w:sz w:val="20"/>
          <w:szCs w:val="20"/>
          <w:color w:val="auto"/>
        </w:rPr>
      </w:pPr>
      <w:r>
        <w:rPr>
          <w:rFonts w:ascii="Arial" w:cs="Arial" w:eastAsia="Arial" w:hAnsi="Arial"/>
          <w:sz w:val="22"/>
          <w:szCs w:val="22"/>
          <w:color w:val="auto"/>
        </w:rPr>
        <w:t>Briana Gotlin</w:t>
      </w:r>
    </w:p>
    <w:p>
      <w:pPr>
        <w:ind w:left="80"/>
        <w:spacing w:after="0"/>
        <w:rPr>
          <w:sz w:val="20"/>
          <w:szCs w:val="20"/>
          <w:color w:val="auto"/>
        </w:rPr>
      </w:pPr>
      <w:r>
        <w:rPr>
          <w:rFonts w:ascii="Arial" w:cs="Arial" w:eastAsia="Arial" w:hAnsi="Arial"/>
          <w:sz w:val="20"/>
          <w:szCs w:val="20"/>
          <w:color w:val="auto"/>
        </w:rPr>
        <w:t>Director, Investor Relations</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20"/>
          <w:szCs w:val="20"/>
          <w:color w:val="auto"/>
        </w:rPr>
        <w:t>Phone: +1 281 895 2382</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e-mail: InvestorRelations@livanova.com</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4"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450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0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Three Months Ended March 31,</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vMerge w:val="continue"/>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9"/>
              </w:rPr>
              <w:t>% Change at Actual</w:t>
            </w:r>
          </w:p>
        </w:tc>
        <w:tc>
          <w:tcPr>
            <w:tcW w:w="18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 Change at</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Constant-Currency</w:t>
            </w:r>
          </w:p>
        </w:tc>
        <w:tc>
          <w:tcPr>
            <w:tcW w:w="0" w:type="dxa"/>
            <w:vAlign w:val="bottom"/>
          </w:tcPr>
          <w:p>
            <w:pPr>
              <w:spacing w:after="0"/>
              <w:rPr>
                <w:sz w:val="1"/>
                <w:szCs w:val="1"/>
                <w:color w:val="auto"/>
              </w:rPr>
            </w:pPr>
          </w:p>
        </w:tc>
      </w:tr>
      <w:tr>
        <w:trPr>
          <w:trHeight w:val="243"/>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Currency Rates</w:t>
            </w:r>
          </w:p>
        </w:tc>
        <w:tc>
          <w:tcPr>
            <w:tcW w:w="186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3"/>
              </w:rPr>
              <w:t xml:space="preserve">Rates </w:t>
            </w:r>
            <w:r>
              <w:rPr>
                <w:rFonts w:ascii="Arial" w:cs="Arial" w:eastAsia="Arial" w:hAnsi="Arial"/>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2"/>
        </w:trPr>
        <w:tc>
          <w:tcPr>
            <w:tcW w:w="4500" w:type="dxa"/>
            <w:vAlign w:val="bottom"/>
          </w:tcPr>
          <w:p>
            <w:pPr>
              <w:ind w:left="100"/>
              <w:spacing w:after="0" w:line="24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17"/>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42"/>
        </w:trPr>
        <w:tc>
          <w:tcPr>
            <w:tcW w:w="4500" w:type="dxa"/>
            <w:vAlign w:val="bottom"/>
          </w:tcPr>
          <w:p>
            <w:pPr>
              <w:ind w:left="100"/>
              <w:spacing w:after="0" w:line="24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17"/>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22.7 %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20"/>
                <w:szCs w:val="20"/>
                <w:color w:val="auto"/>
              </w:rPr>
            </w:pPr>
            <w:r>
              <w:rPr>
                <w:rFonts w:ascii="Arial" w:cs="Arial" w:eastAsia="Arial" w:hAnsi="Arial"/>
                <w:sz w:val="18"/>
                <w:szCs w:val="18"/>
                <w:b w:val="1"/>
                <w:bCs w:val="1"/>
                <w:color w:val="auto"/>
              </w:rPr>
              <w:t>Advanced Circulatory Support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2"/>
        </w:trPr>
        <w:tc>
          <w:tcPr>
            <w:tcW w:w="4500" w:type="dxa"/>
            <w:vAlign w:val="bottom"/>
          </w:tcPr>
          <w:p>
            <w:pPr>
              <w:ind w:left="100"/>
              <w:spacing w:after="0" w:line="24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18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18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420" w:type="dxa"/>
            <w:vAlign w:val="bottom"/>
            <w:gridSpan w:val="2"/>
            <w:vMerge w:val="continue"/>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8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500" w:type="dxa"/>
            <w:vAlign w:val="bottom"/>
          </w:tcPr>
          <w:p>
            <w:pPr>
              <w:ind w:left="100"/>
              <w:spacing w:after="0" w:line="243"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8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2"/>
        </w:trPr>
        <w:tc>
          <w:tcPr>
            <w:tcW w:w="4500" w:type="dxa"/>
            <w:vAlign w:val="bottom"/>
          </w:tcPr>
          <w:p>
            <w:pPr>
              <w:ind w:left="100"/>
              <w:spacing w:after="0" w:line="24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17"/>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21" w:right="20" w:hanging="421"/>
        <w:spacing w:after="0" w:line="232" w:lineRule="auto"/>
        <w:tabs>
          <w:tab w:leader="none" w:pos="421"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revenue between current and prior-year periods using average exchange rates in effect during the applicable prior-year period.</w:t>
      </w:r>
    </w:p>
    <w:p>
      <w:pPr>
        <w:spacing w:after="0" w:line="22" w:lineRule="exact"/>
        <w:rPr>
          <w:rFonts w:ascii="Arial" w:cs="Arial" w:eastAsia="Arial" w:hAnsi="Arial"/>
          <w:sz w:val="16"/>
          <w:szCs w:val="16"/>
          <w:color w:val="auto"/>
        </w:rPr>
      </w:pPr>
    </w:p>
    <w:p>
      <w:pPr>
        <w:ind w:left="421" w:right="500" w:hanging="421"/>
        <w:spacing w:after="0" w:line="232" w:lineRule="auto"/>
        <w:tabs>
          <w:tab w:leader="none" w:pos="421"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countries in Europe where the Company has a direct sales presence. Countries where sales are made through distributors are included in “Rest of World.”</w:t>
      </w:r>
    </w:p>
    <w:p>
      <w:pPr>
        <w:spacing w:after="0" w:line="22" w:lineRule="exact"/>
        <w:rPr>
          <w:sz w:val="20"/>
          <w:szCs w:val="20"/>
          <w:color w:val="auto"/>
        </w:rPr>
      </w:pPr>
    </w:p>
    <w:p>
      <w:pPr>
        <w:ind w:left="1"/>
        <w:spacing w:after="0"/>
        <w:tabs>
          <w:tab w:leader="none" w:pos="400" w:val="left"/>
        </w:tabs>
        <w:rPr>
          <w:sz w:val="20"/>
          <w:szCs w:val="20"/>
          <w:color w:val="auto"/>
        </w:rPr>
      </w:pPr>
      <w:r>
        <w:rPr>
          <w:rFonts w:ascii="Arial" w:cs="Arial" w:eastAsia="Arial" w:hAnsi="Arial"/>
          <w:sz w:val="16"/>
          <w:szCs w:val="16"/>
          <w:color w:val="auto"/>
        </w:rPr>
        <w:t>NM</w:t>
        <w:tab/>
        <w:t>Indicates that variance as a percentage is not meaningful.</w:t>
      </w:r>
    </w:p>
    <w:p>
      <w:pPr>
        <w:spacing w:after="0" w:line="32" w:lineRule="exact"/>
        <w:rPr>
          <w:sz w:val="20"/>
          <w:szCs w:val="20"/>
          <w:color w:val="auto"/>
        </w:rPr>
      </w:pPr>
    </w:p>
    <w:p>
      <w:pPr>
        <w:ind w:left="421"/>
        <w:spacing w:after="0"/>
        <w:rPr>
          <w:sz w:val="20"/>
          <w:szCs w:val="20"/>
          <w:color w:val="auto"/>
        </w:rPr>
      </w:pPr>
      <w:r>
        <w:rPr>
          <w:rFonts w:ascii="Arial" w:cs="Arial" w:eastAsia="Arial" w:hAnsi="Arial"/>
          <w:sz w:val="16"/>
          <w:szCs w:val="16"/>
          <w:color w:val="auto"/>
        </w:rPr>
        <w:t>The revenue results presented are unaudited.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81"/>
          </w:cols>
          <w:pgMar w:left="359" w:top="1440" w:right="359" w:bottom="1440" w:gutter="0" w:footer="0" w:header="0"/>
        </w:sectPr>
      </w:pPr>
    </w:p>
    <w:bookmarkStart w:id="11" w:name="page12"/>
    <w:bookmarkEnd w:id="11"/>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2" w:lineRule="exact"/>
        <w:rPr>
          <w:sz w:val="20"/>
          <w:szCs w:val="20"/>
          <w:color w:val="auto"/>
        </w:rPr>
      </w:pPr>
    </w:p>
    <w:p>
      <w:pPr>
        <w:ind w:right="5060"/>
        <w:spacing w:after="0" w:line="292"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20" w:type="dxa"/>
            <w:vAlign w:val="bottom"/>
          </w:tcPr>
          <w:p>
            <w:pPr>
              <w:spacing w:after="0"/>
              <w:rPr>
                <w:sz w:val="20"/>
                <w:szCs w:val="20"/>
                <w:color w:val="auto"/>
              </w:rPr>
            </w:pPr>
          </w:p>
        </w:tc>
        <w:tc>
          <w:tcPr>
            <w:tcW w:w="3900" w:type="dxa"/>
            <w:vAlign w:val="bottom"/>
            <w:gridSpan w:val="6"/>
          </w:tcPr>
          <w:p>
            <w:pPr>
              <w:ind w:left="560"/>
              <w:spacing w:after="0"/>
              <w:rPr>
                <w:sz w:val="20"/>
                <w:szCs w:val="20"/>
                <w:color w:val="auto"/>
              </w:rPr>
            </w:pPr>
            <w:r>
              <w:rPr>
                <w:rFonts w:ascii="Arial" w:cs="Arial" w:eastAsia="Arial" w:hAnsi="Arial"/>
                <w:sz w:val="18"/>
                <w:szCs w:val="18"/>
                <w:b w:val="1"/>
                <w:bCs w:val="1"/>
                <w:color w:val="auto"/>
              </w:rPr>
              <w:t>Three Months Ended March 31,</w:t>
            </w:r>
          </w:p>
        </w:tc>
        <w:tc>
          <w:tcPr>
            <w:tcW w:w="1900" w:type="dxa"/>
            <w:vAlign w:val="bottom"/>
          </w:tcPr>
          <w:p>
            <w:pPr>
              <w:spacing w:after="0"/>
              <w:rPr>
                <w:sz w:val="20"/>
                <w:szCs w:val="20"/>
                <w:color w:val="auto"/>
              </w:rPr>
            </w:pPr>
          </w:p>
        </w:tc>
      </w:tr>
      <w:tr>
        <w:trPr>
          <w:trHeight w:val="223"/>
        </w:trPr>
        <w:tc>
          <w:tcPr>
            <w:tcW w:w="5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68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3"/>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r>
      <w:tr>
        <w:trPr>
          <w:trHeight w:val="229"/>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Other operating expense</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Operating (loss) income</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r>
      <w:tr>
        <w:trPr>
          <w:trHeight w:val="223"/>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Income before tax</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75.4 %</w:t>
            </w:r>
          </w:p>
        </w:tc>
      </w:tr>
      <w:tr>
        <w:trPr>
          <w:trHeight w:val="223"/>
        </w:trPr>
        <w:tc>
          <w:tcPr>
            <w:tcW w:w="54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146.2 %</w:t>
            </w:r>
          </w:p>
        </w:tc>
      </w:tr>
      <w:tr>
        <w:trPr>
          <w:trHeight w:val="20"/>
        </w:trPr>
        <w:tc>
          <w:tcPr>
            <w:tcW w:w="5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413"/>
        </w:trPr>
        <w:tc>
          <w:tcPr>
            <w:tcW w:w="658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45"/>
        </w:trPr>
        <w:tc>
          <w:tcPr>
            <w:tcW w:w="65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0"/>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40" w:top="1440" w:right="339" w:bottom="1440" w:gutter="0" w:footer="0" w:header="0"/>
        </w:sectPr>
      </w:pPr>
    </w:p>
    <w:bookmarkStart w:id="12" w:name="page13"/>
    <w:bookmarkEnd w:id="12"/>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Adjusted Financial Measures (U.S. dollars in millions, except per share amounts) </w:t>
            </w:r>
            <w:r>
              <w:rPr>
                <w:rFonts w:ascii="Arial" w:cs="Arial" w:eastAsia="Arial" w:hAnsi="Arial"/>
                <w:sz w:val="23"/>
                <w:szCs w:val="23"/>
                <w:b w:val="1"/>
                <w:bCs w:val="1"/>
                <w:color w:val="auto"/>
                <w:vertAlign w:val="superscript"/>
              </w:rPr>
              <w:t>(1)</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4"/>
        </w:trPr>
        <w:tc>
          <w:tcPr>
            <w:tcW w:w="6000" w:type="dxa"/>
            <w:vAlign w:val="bottom"/>
          </w:tcPr>
          <w:p>
            <w:pPr>
              <w:spacing w:after="0"/>
              <w:rPr>
                <w:sz w:val="24"/>
                <w:szCs w:val="24"/>
                <w:color w:val="auto"/>
              </w:rPr>
            </w:pPr>
          </w:p>
        </w:tc>
        <w:tc>
          <w:tcPr>
            <w:tcW w:w="36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 March 31,</w:t>
            </w:r>
          </w:p>
        </w:tc>
        <w:tc>
          <w:tcPr>
            <w:tcW w:w="1580" w:type="dxa"/>
            <w:vAlign w:val="bottom"/>
          </w:tcPr>
          <w:p>
            <w:pPr>
              <w:spacing w:after="0"/>
              <w:rPr>
                <w:sz w:val="24"/>
                <w:szCs w:val="24"/>
                <w:color w:val="auto"/>
              </w:rPr>
            </w:pPr>
          </w:p>
        </w:tc>
      </w:tr>
      <w:tr>
        <w:trPr>
          <w:trHeight w:val="223"/>
        </w:trPr>
        <w:tc>
          <w:tcPr>
            <w:tcW w:w="60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(1)</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Adjusted SG&amp;A</w:t>
            </w:r>
          </w:p>
        </w:tc>
        <w:tc>
          <w:tcPr>
            <w:tcW w:w="170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Adjusted R&amp;D</w:t>
            </w:r>
          </w:p>
        </w:tc>
        <w:tc>
          <w:tcPr>
            <w:tcW w:w="17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15.2 %</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70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Adjusted net income</w:t>
            </w:r>
          </w:p>
        </w:tc>
        <w:tc>
          <w:tcPr>
            <w:tcW w:w="17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Adjusted diluted earnings per share</w:t>
            </w:r>
          </w:p>
        </w:tc>
        <w:tc>
          <w:tcPr>
            <w:tcW w:w="170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123" w:lineRule="exact"/>
        <w:rPr>
          <w:sz w:val="20"/>
          <w:szCs w:val="20"/>
          <w:color w:val="auto"/>
        </w:rPr>
      </w:pPr>
    </w:p>
    <w:p>
      <w:pPr>
        <w:ind w:left="480" w:right="20" w:hanging="355"/>
        <w:spacing w:after="0" w:line="232"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revenue, except for income tax rate)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Arial" w:cs="Arial" w:eastAsia="Arial" w:hAnsi="Arial"/>
                <w:sz w:val="18"/>
                <w:szCs w:val="18"/>
                <w:b w:val="1"/>
                <w:bCs w:val="1"/>
                <w:color w:val="auto"/>
              </w:rPr>
              <w:t>GAAP Three Months Ended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8"/>
              </w:rPr>
              <w:t xml:space="preserve">Adjusted </w:t>
            </w:r>
            <w:r>
              <w:rPr>
                <w:rFonts w:ascii="Arial" w:cs="Arial" w:eastAsia="Arial" w:hAnsi="Arial"/>
                <w:sz w:val="23"/>
                <w:szCs w:val="23"/>
                <w:b w:val="1"/>
                <w:bCs w:val="1"/>
                <w:color w:val="auto"/>
                <w:w w:val="98"/>
                <w:vertAlign w:val="superscript"/>
              </w:rPr>
              <w:t>(1)</w:t>
            </w:r>
            <w:r>
              <w:rPr>
                <w:rFonts w:ascii="Arial" w:cs="Arial" w:eastAsia="Arial" w:hAnsi="Arial"/>
                <w:sz w:val="18"/>
                <w:szCs w:val="18"/>
                <w:b w:val="1"/>
                <w:bCs w:val="1"/>
                <w:color w:val="auto"/>
                <w:w w:val="98"/>
              </w:rPr>
              <w:t xml:space="preserve"> Three Months Ended March 31,</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March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640" w:type="dxa"/>
            <w:vAlign w:val="bottom"/>
          </w:tcPr>
          <w:p>
            <w:pPr>
              <w:jc w:val="right"/>
              <w:spacing w:after="0"/>
              <w:rPr>
                <w:sz w:val="20"/>
                <w:szCs w:val="20"/>
                <w:color w:val="auto"/>
              </w:rPr>
            </w:pPr>
            <w:r>
              <w:rPr>
                <w:rFonts w:ascii="Arial" w:cs="Arial" w:eastAsia="Arial" w:hAnsi="Arial"/>
                <w:sz w:val="18"/>
                <w:szCs w:val="18"/>
                <w:color w:val="auto"/>
              </w:rPr>
              <w:t>66.1 %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68.8 %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71.0 %</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SG&amp;A</w:t>
            </w:r>
          </w:p>
        </w:tc>
        <w:tc>
          <w:tcPr>
            <w:tcW w:w="640" w:type="dxa"/>
            <w:vAlign w:val="bottom"/>
          </w:tcPr>
          <w:p>
            <w:pPr>
              <w:jc w:val="right"/>
              <w:spacing w:after="0"/>
              <w:rPr>
                <w:sz w:val="20"/>
                <w:szCs w:val="20"/>
                <w:color w:val="auto"/>
              </w:rPr>
            </w:pPr>
            <w:r>
              <w:rPr>
                <w:rFonts w:ascii="Arial" w:cs="Arial" w:eastAsia="Arial" w:hAnsi="Arial"/>
                <w:sz w:val="18"/>
                <w:szCs w:val="18"/>
                <w:color w:val="auto"/>
              </w:rPr>
              <w:t>47.1 %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41.1 %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229"/>
        </w:trPr>
        <w:tc>
          <w:tcPr>
            <w:tcW w:w="4860" w:type="dxa"/>
            <w:vAlign w:val="bottom"/>
            <w:gridSpan w:val="2"/>
          </w:tcPr>
          <w:p>
            <w:pPr>
              <w:spacing w:after="0"/>
              <w:rPr>
                <w:sz w:val="20"/>
                <w:szCs w:val="20"/>
                <w:color w:val="auto"/>
              </w:rPr>
            </w:pPr>
            <w:r>
              <w:rPr>
                <w:rFonts w:ascii="Arial" w:cs="Arial" w:eastAsia="Arial" w:hAnsi="Arial"/>
                <w:sz w:val="18"/>
                <w:szCs w:val="18"/>
                <w:color w:val="auto"/>
              </w:rPr>
              <w:t>R&amp;D</w:t>
            </w:r>
          </w:p>
        </w:tc>
        <w:tc>
          <w:tcPr>
            <w:tcW w:w="64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9"/>
        </w:trPr>
        <w:tc>
          <w:tcPr>
            <w:tcW w:w="486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29"/>
        </w:trPr>
        <w:tc>
          <w:tcPr>
            <w:tcW w:w="486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640" w:type="dxa"/>
            <w:vAlign w:val="bottom"/>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460" w:right="20" w:hanging="348"/>
        <w:spacing w:after="0" w:line="2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40" w:top="1440" w:right="339" w:bottom="1440" w:gutter="0" w:footer="0" w:header="0"/>
          <w:type w:val="continuous"/>
        </w:sectPr>
      </w:pPr>
    </w:p>
    <w:bookmarkStart w:id="13" w:name="page14"/>
    <w:bookmarkEnd w:id="13"/>
    <w:p>
      <w:pPr>
        <w:ind w:left="20" w:right="558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4"/>
          <w:szCs w:val="14"/>
          <w:b w:val="1"/>
          <w:bCs w:val="1"/>
          <w:color w:val="auto"/>
        </w:rPr>
        <w:t>Specified Items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
              <w:spacing w:after="0" w:line="127" w:lineRule="exact"/>
              <w:rPr>
                <w:sz w:val="20"/>
                <w:szCs w:val="20"/>
                <w:color w:val="auto"/>
              </w:rPr>
            </w:pPr>
            <w:r>
              <w:rPr>
                <w:rFonts w:ascii="Arial" w:cs="Arial" w:eastAsia="Arial" w:hAnsi="Arial"/>
                <w:sz w:val="13"/>
                <w:szCs w:val="13"/>
                <w:b w:val="1"/>
                <w:bCs w:val="1"/>
                <w:color w:val="auto"/>
                <w:w w:val="96"/>
              </w:rPr>
              <w:t>Depreciation</w:t>
            </w:r>
          </w:p>
        </w:tc>
        <w:tc>
          <w:tcPr>
            <w:tcW w:w="9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Merger and</w:t>
            </w:r>
          </w:p>
        </w:tc>
        <w:tc>
          <w:tcPr>
            <w:tcW w:w="9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Restructuring</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Certain Legal</w:t>
            </w:r>
          </w:p>
        </w:tc>
        <w:tc>
          <w:tcPr>
            <w:tcW w:w="10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5"/>
              </w:rPr>
              <w:t>Stock-based</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Certain</w:t>
            </w:r>
          </w:p>
        </w:tc>
        <w:tc>
          <w:tcPr>
            <w:tcW w:w="7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1"/>
        </w:trPr>
        <w:tc>
          <w:tcPr>
            <w:tcW w:w="13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Integration</w:t>
            </w:r>
          </w:p>
        </w:tc>
        <w:tc>
          <w:tcPr>
            <w:tcW w:w="980" w:type="dxa"/>
            <w:vAlign w:val="bottom"/>
            <w:vMerge w:val="continue"/>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Amortization</w:t>
            </w: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&amp; Regulatory</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Compensation</w:t>
            </w:r>
          </w:p>
        </w:tc>
        <w:tc>
          <w:tcPr>
            <w:tcW w:w="920" w:type="dxa"/>
            <w:vAlign w:val="bottom"/>
            <w:vMerge w:val="continue"/>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Interest</w:t>
            </w: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Ended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Financial</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Expenses</w:t>
            </w:r>
          </w:p>
        </w:tc>
        <w:tc>
          <w:tcPr>
            <w:tcW w:w="9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8"/>
              </w:rPr>
              <w:t>Expenses</w:t>
            </w:r>
          </w:p>
        </w:tc>
        <w:tc>
          <w:tcPr>
            <w:tcW w:w="9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Expenses</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Transactions</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Consideration</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Costs</w:t>
            </w:r>
          </w:p>
        </w:tc>
        <w:tc>
          <w:tcPr>
            <w:tcW w:w="10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9"/>
              </w:rPr>
              <w:t>Costs</w:t>
            </w:r>
          </w:p>
        </w:tc>
        <w:tc>
          <w:tcPr>
            <w:tcW w:w="9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Adjustments</w:t>
            </w:r>
          </w:p>
        </w:tc>
        <w:tc>
          <w:tcPr>
            <w:tcW w:w="9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Adjustments</w:t>
            </w:r>
          </w:p>
        </w:tc>
        <w:tc>
          <w:tcPr>
            <w:tcW w:w="7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6"/>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2023</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w:t>
            </w: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9"/>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(D)</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5"/>
              </w:rPr>
              <w:t>(G)</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4"/>
        </w:trPr>
        <w:tc>
          <w:tcPr>
            <w:tcW w:w="13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$89.3</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w:t>
            </w:r>
          </w:p>
        </w:tc>
        <w:tc>
          <w:tcPr>
            <w:tcW w:w="940" w:type="dxa"/>
            <w:vAlign w:val="bottom"/>
          </w:tcPr>
          <w:p>
            <w:pPr>
              <w:ind w:left="54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$(3.1)</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$(0.4)</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$82.2</w:t>
            </w:r>
          </w:p>
        </w:tc>
        <w:tc>
          <w:tcPr>
            <w:tcW w:w="0" w:type="dxa"/>
            <w:vAlign w:val="bottom"/>
          </w:tcPr>
          <w:p>
            <w:pPr>
              <w:spacing w:after="0"/>
              <w:rPr>
                <w:sz w:val="1"/>
                <w:szCs w:val="1"/>
                <w:color w:val="auto"/>
              </w:rPr>
            </w:pPr>
          </w:p>
        </w:tc>
      </w:tr>
      <w:tr>
        <w:trPr>
          <w:trHeight w:val="203"/>
        </w:trPr>
        <w:tc>
          <w:tcPr>
            <w:tcW w:w="136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20" w:type="dxa"/>
            <w:vAlign w:val="bottom"/>
          </w:tcPr>
          <w:p>
            <w:pPr>
              <w:jc w:val="right"/>
              <w:spacing w:after="0"/>
              <w:rPr>
                <w:sz w:val="20"/>
                <w:szCs w:val="20"/>
                <w:color w:val="auto"/>
              </w:rPr>
            </w:pPr>
            <w:r>
              <w:rPr>
                <w:rFonts w:ascii="Arial" w:cs="Arial" w:eastAsia="Arial" w:hAnsi="Arial"/>
                <w:sz w:val="13"/>
                <w:szCs w:val="13"/>
                <w:color w:val="auto"/>
              </w:rPr>
              <w:t>66.1 %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1.4 %</w:t>
            </w:r>
          </w:p>
        </w:tc>
        <w:tc>
          <w:tcPr>
            <w:tcW w:w="940" w:type="dxa"/>
            <w:vAlign w:val="bottom"/>
          </w:tcPr>
          <w:p>
            <w:pPr>
              <w:ind w:left="6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1.2 %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spacing w:after="0"/>
              <w:rPr>
                <w:sz w:val="20"/>
                <w:szCs w:val="20"/>
                <w:color w:val="auto"/>
              </w:rPr>
            </w:pPr>
            <w:r>
              <w:rPr>
                <w:rFonts w:ascii="Arial" w:cs="Arial" w:eastAsia="Arial" w:hAnsi="Arial"/>
                <w:sz w:val="13"/>
                <w:szCs w:val="13"/>
                <w:color w:val="auto"/>
              </w:rPr>
              <w:t>0.2 %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68.8 %</w:t>
            </w:r>
          </w:p>
        </w:tc>
        <w:tc>
          <w:tcPr>
            <w:tcW w:w="0" w:type="dxa"/>
            <w:vAlign w:val="bottom"/>
          </w:tcPr>
          <w:p>
            <w:pPr>
              <w:spacing w:after="0"/>
              <w:rPr>
                <w:sz w:val="1"/>
                <w:szCs w:val="1"/>
                <w:color w:val="auto"/>
              </w:rPr>
            </w:pPr>
          </w:p>
        </w:tc>
      </w:tr>
      <w:tr>
        <w:trPr>
          <w:trHeight w:val="179"/>
        </w:trPr>
        <w:tc>
          <w:tcPr>
            <w:tcW w:w="136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124.1</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(2.9)</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(4.5)</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(8.5)</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165"/>
        </w:trPr>
        <w:tc>
          <w:tcPr>
            <w:tcW w:w="136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20"/>
              <w:spacing w:after="0" w:line="135" w:lineRule="exact"/>
              <w:rPr>
                <w:sz w:val="20"/>
                <w:szCs w:val="20"/>
                <w:color w:val="auto"/>
              </w:rPr>
            </w:pPr>
            <w:r>
              <w:rPr>
                <w:rFonts w:ascii="Arial" w:cs="Arial" w:eastAsia="Arial" w:hAnsi="Arial"/>
                <w:sz w:val="14"/>
                <w:szCs w:val="14"/>
                <w:color w:val="auto"/>
              </w:rPr>
              <w:t>administrative as a</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percent of net</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revenue</w:t>
            </w:r>
          </w:p>
        </w:tc>
        <w:tc>
          <w:tcPr>
            <w:tcW w:w="720" w:type="dxa"/>
            <w:vAlign w:val="bottom"/>
          </w:tcPr>
          <w:p>
            <w:pPr>
              <w:jc w:val="right"/>
              <w:spacing w:after="0"/>
              <w:rPr>
                <w:sz w:val="20"/>
                <w:szCs w:val="20"/>
                <w:color w:val="auto"/>
              </w:rPr>
            </w:pPr>
            <w:r>
              <w:rPr>
                <w:rFonts w:ascii="Arial" w:cs="Arial" w:eastAsia="Arial" w:hAnsi="Arial"/>
                <w:sz w:val="13"/>
                <w:szCs w:val="13"/>
                <w:color w:val="auto"/>
              </w:rPr>
              <w:t>47.1 %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c>
          <w:tcPr>
            <w:tcW w:w="940" w:type="dxa"/>
            <w:vAlign w:val="bottom"/>
          </w:tcPr>
          <w:p>
            <w:pPr>
              <w:ind w:left="6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(1.7)%</w:t>
            </w:r>
          </w:p>
        </w:tc>
        <w:tc>
          <w:tcPr>
            <w:tcW w:w="1020" w:type="dxa"/>
            <w:vAlign w:val="bottom"/>
          </w:tcPr>
          <w:p>
            <w:pPr>
              <w:jc w:val="right"/>
              <w:spacing w:after="0"/>
              <w:rPr>
                <w:sz w:val="20"/>
                <w:szCs w:val="20"/>
                <w:color w:val="auto"/>
              </w:rPr>
            </w:pPr>
            <w:r>
              <w:rPr>
                <w:rFonts w:ascii="Arial" w:cs="Arial" w:eastAsia="Arial" w:hAnsi="Arial"/>
                <w:sz w:val="13"/>
                <w:szCs w:val="13"/>
                <w:color w:val="auto"/>
              </w:rPr>
              <w:t>(3.2)%</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41.1 %</w:t>
            </w:r>
          </w:p>
        </w:tc>
        <w:tc>
          <w:tcPr>
            <w:tcW w:w="0" w:type="dxa"/>
            <w:vAlign w:val="bottom"/>
          </w:tcPr>
          <w:p>
            <w:pPr>
              <w:spacing w:after="0"/>
              <w:rPr>
                <w:sz w:val="1"/>
                <w:szCs w:val="1"/>
                <w:color w:val="auto"/>
              </w:rPr>
            </w:pPr>
          </w:p>
        </w:tc>
      </w:tr>
      <w:tr>
        <w:trPr>
          <w:trHeight w:val="179"/>
        </w:trPr>
        <w:tc>
          <w:tcPr>
            <w:tcW w:w="1360" w:type="dxa"/>
            <w:vAlign w:val="bottom"/>
          </w:tcPr>
          <w:p>
            <w:pPr>
              <w:ind w:left="2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50.0</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(0.5)</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65"/>
        </w:trPr>
        <w:tc>
          <w:tcPr>
            <w:tcW w:w="1360" w:type="dxa"/>
            <w:vAlign w:val="bottom"/>
          </w:tcPr>
          <w:p>
            <w:pPr>
              <w:ind w:left="2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20"/>
              <w:spacing w:after="0" w:line="135" w:lineRule="exact"/>
              <w:rPr>
                <w:sz w:val="20"/>
                <w:szCs w:val="20"/>
                <w:color w:val="auto"/>
              </w:rPr>
            </w:pPr>
            <w:r>
              <w:rPr>
                <w:rFonts w:ascii="Arial" w:cs="Arial" w:eastAsia="Arial" w:hAnsi="Arial"/>
                <w:sz w:val="14"/>
                <w:szCs w:val="14"/>
                <w:color w:val="auto"/>
              </w:rPr>
              <w:t>development as a</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percent of net</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revenue</w:t>
            </w:r>
          </w:p>
        </w:tc>
        <w:tc>
          <w:tcPr>
            <w:tcW w:w="720" w:type="dxa"/>
            <w:vAlign w:val="bottom"/>
          </w:tcPr>
          <w:p>
            <w:pPr>
              <w:jc w:val="right"/>
              <w:spacing w:after="0"/>
              <w:rPr>
                <w:sz w:val="20"/>
                <w:szCs w:val="20"/>
                <w:color w:val="auto"/>
              </w:rPr>
            </w:pPr>
            <w:r>
              <w:rPr>
                <w:rFonts w:ascii="Arial" w:cs="Arial" w:eastAsia="Arial" w:hAnsi="Arial"/>
                <w:sz w:val="13"/>
                <w:szCs w:val="13"/>
                <w:color w:val="auto"/>
              </w:rPr>
              <w:t>19.0 %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ind w:left="6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(0.7)%</w:t>
            </w:r>
          </w:p>
        </w:tc>
        <w:tc>
          <w:tcPr>
            <w:tcW w:w="880" w:type="dxa"/>
            <w:vAlign w:val="bottom"/>
          </w:tcPr>
          <w:p>
            <w:pPr>
              <w:jc w:val="right"/>
              <w:spacing w:after="0"/>
              <w:rPr>
                <w:sz w:val="20"/>
                <w:szCs w:val="20"/>
                <w:color w:val="auto"/>
              </w:rPr>
            </w:pPr>
            <w:r>
              <w:rPr>
                <w:rFonts w:ascii="Arial" w:cs="Arial" w:eastAsia="Arial" w:hAnsi="Arial"/>
                <w:sz w:val="13"/>
                <w:szCs w:val="13"/>
                <w:color w:val="auto"/>
              </w:rPr>
              <w:t>(0.2)%</w:t>
            </w:r>
          </w:p>
        </w:tc>
        <w:tc>
          <w:tcPr>
            <w:tcW w:w="1020" w:type="dxa"/>
            <w:vAlign w:val="bottom"/>
          </w:tcPr>
          <w:p>
            <w:pPr>
              <w:jc w:val="right"/>
              <w:spacing w:after="0"/>
              <w:rPr>
                <w:sz w:val="20"/>
                <w:szCs w:val="20"/>
                <w:color w:val="auto"/>
              </w:rPr>
            </w:pPr>
            <w:r>
              <w:rPr>
                <w:rFonts w:ascii="Arial" w:cs="Arial" w:eastAsia="Arial" w:hAnsi="Arial"/>
                <w:sz w:val="13"/>
                <w:szCs w:val="13"/>
                <w:color w:val="auto"/>
              </w:rPr>
              <w:t>(0.6)%</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17.5 %</w:t>
            </w:r>
          </w:p>
        </w:tc>
        <w:tc>
          <w:tcPr>
            <w:tcW w:w="0" w:type="dxa"/>
            <w:vAlign w:val="bottom"/>
          </w:tcPr>
          <w:p>
            <w:pPr>
              <w:spacing w:after="0"/>
              <w:rPr>
                <w:sz w:val="1"/>
                <w:szCs w:val="1"/>
                <w:color w:val="auto"/>
              </w:rPr>
            </w:pPr>
          </w:p>
        </w:tc>
      </w:tr>
      <w:tr>
        <w:trPr>
          <w:trHeight w:val="179"/>
        </w:trPr>
        <w:tc>
          <w:tcPr>
            <w:tcW w:w="1360" w:type="dxa"/>
            <w:vAlign w:val="bottom"/>
          </w:tcPr>
          <w:p>
            <w:pPr>
              <w:ind w:left="20"/>
              <w:spacing w:after="0"/>
              <w:rPr>
                <w:sz w:val="20"/>
                <w:szCs w:val="20"/>
                <w:color w:val="auto"/>
              </w:rPr>
            </w:pPr>
            <w:r>
              <w:rPr>
                <w:rFonts w:ascii="Arial" w:cs="Arial" w:eastAsia="Arial" w:hAnsi="Arial"/>
                <w:sz w:val="14"/>
                <w:szCs w:val="14"/>
                <w:color w:val="auto"/>
              </w:rPr>
              <w:t>Other operating</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expense</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2.3</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(0.3)</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(0.7)</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(1.3)</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36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income</w:t>
            </w:r>
          </w:p>
        </w:tc>
        <w:tc>
          <w:tcPr>
            <w:tcW w:w="720" w:type="dxa"/>
            <w:vAlign w:val="bottom"/>
          </w:tcPr>
          <w:p>
            <w:pPr>
              <w:ind w:left="340"/>
              <w:spacing w:after="0"/>
              <w:rPr>
                <w:sz w:val="20"/>
                <w:szCs w:val="20"/>
                <w:color w:val="auto"/>
              </w:rPr>
            </w:pPr>
            <w:r>
              <w:rPr>
                <w:rFonts w:ascii="Arial" w:cs="Arial" w:eastAsia="Arial" w:hAnsi="Arial"/>
                <w:sz w:val="13"/>
                <w:szCs w:val="13"/>
                <w:color w:val="auto"/>
              </w:rPr>
              <w:t>(2.3)</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0.3</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0.7</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6.4</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4.8</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6.3</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10.6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65"/>
        </w:trPr>
        <w:tc>
          <w:tcPr>
            <w:tcW w:w="1360" w:type="dxa"/>
            <w:vAlign w:val="bottom"/>
          </w:tcPr>
          <w:p>
            <w:pPr>
              <w:ind w:left="20"/>
              <w:spacing w:after="0"/>
              <w:rPr>
                <w:sz w:val="20"/>
                <w:szCs w:val="20"/>
                <w:color w:val="auto"/>
              </w:rPr>
            </w:pPr>
            <w:r>
              <w:rPr>
                <w:rFonts w:ascii="Arial" w:cs="Arial" w:eastAsia="Arial" w:hAnsi="Arial"/>
                <w:sz w:val="14"/>
                <w:szCs w:val="14"/>
                <w:color w:val="auto"/>
              </w:rPr>
              <w:t>Operating margin</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percent</w:t>
            </w:r>
          </w:p>
        </w:tc>
        <w:tc>
          <w:tcPr>
            <w:tcW w:w="720" w:type="dxa"/>
            <w:vAlign w:val="bottom"/>
          </w:tcPr>
          <w:p>
            <w:pPr>
              <w:ind w:left="340"/>
              <w:spacing w:after="0"/>
              <w:rPr>
                <w:sz w:val="20"/>
                <w:szCs w:val="20"/>
                <w:color w:val="auto"/>
              </w:rPr>
            </w:pPr>
            <w:r>
              <w:rPr>
                <w:rFonts w:ascii="Arial" w:cs="Arial" w:eastAsia="Arial" w:hAnsi="Arial"/>
                <w:sz w:val="13"/>
                <w:szCs w:val="13"/>
                <w:color w:val="auto"/>
                <w:w w:val="93"/>
              </w:rPr>
              <w:t>(0.9)%</w:t>
            </w:r>
          </w:p>
        </w:tc>
        <w:tc>
          <w:tcPr>
            <w:tcW w:w="860" w:type="dxa"/>
            <w:vAlign w:val="bottom"/>
          </w:tcPr>
          <w:p>
            <w:pPr>
              <w:jc w:val="right"/>
              <w:spacing w:after="0"/>
              <w:rPr>
                <w:sz w:val="20"/>
                <w:szCs w:val="20"/>
                <w:color w:val="auto"/>
              </w:rPr>
            </w:pPr>
            <w:r>
              <w:rPr>
                <w:rFonts w:ascii="Arial" w:cs="Arial" w:eastAsia="Arial" w:hAnsi="Arial"/>
                <w:sz w:val="13"/>
                <w:szCs w:val="13"/>
                <w:color w:val="auto"/>
              </w:rPr>
              <w:t>0.1 %</w:t>
            </w:r>
          </w:p>
        </w:tc>
        <w:tc>
          <w:tcPr>
            <w:tcW w:w="980" w:type="dxa"/>
            <w:vAlign w:val="bottom"/>
          </w:tcPr>
          <w:p>
            <w:pPr>
              <w:jc w:val="right"/>
              <w:spacing w:after="0"/>
              <w:rPr>
                <w:sz w:val="20"/>
                <w:szCs w:val="20"/>
                <w:color w:val="auto"/>
              </w:rPr>
            </w:pPr>
            <w:r>
              <w:rPr>
                <w:rFonts w:ascii="Arial" w:cs="Arial" w:eastAsia="Arial" w:hAnsi="Arial"/>
                <w:sz w:val="13"/>
                <w:szCs w:val="13"/>
                <w:color w:val="auto"/>
              </w:rPr>
              <w:t>0.3 %</w:t>
            </w:r>
          </w:p>
        </w:tc>
        <w:tc>
          <w:tcPr>
            <w:tcW w:w="920" w:type="dxa"/>
            <w:vAlign w:val="bottom"/>
          </w:tcPr>
          <w:p>
            <w:pPr>
              <w:jc w:val="right"/>
              <w:spacing w:after="0"/>
              <w:rPr>
                <w:sz w:val="20"/>
                <w:szCs w:val="20"/>
                <w:color w:val="auto"/>
              </w:rPr>
            </w:pPr>
            <w:r>
              <w:rPr>
                <w:rFonts w:ascii="Arial" w:cs="Arial" w:eastAsia="Arial" w:hAnsi="Arial"/>
                <w:sz w:val="13"/>
                <w:szCs w:val="13"/>
                <w:color w:val="auto"/>
              </w:rPr>
              <w:t>2.4 %</w:t>
            </w:r>
          </w:p>
        </w:tc>
        <w:tc>
          <w:tcPr>
            <w:tcW w:w="940" w:type="dxa"/>
            <w:vAlign w:val="bottom"/>
          </w:tcPr>
          <w:p>
            <w:pPr>
              <w:ind w:left="6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1.8 %</w:t>
            </w:r>
          </w:p>
        </w:tc>
        <w:tc>
          <w:tcPr>
            <w:tcW w:w="880" w:type="dxa"/>
            <w:vAlign w:val="bottom"/>
          </w:tcPr>
          <w:p>
            <w:pPr>
              <w:jc w:val="right"/>
              <w:spacing w:after="0"/>
              <w:rPr>
                <w:sz w:val="20"/>
                <w:szCs w:val="20"/>
                <w:color w:val="auto"/>
              </w:rPr>
            </w:pPr>
            <w:r>
              <w:rPr>
                <w:rFonts w:ascii="Arial" w:cs="Arial" w:eastAsia="Arial" w:hAnsi="Arial"/>
                <w:sz w:val="13"/>
                <w:szCs w:val="13"/>
                <w:color w:val="auto"/>
              </w:rPr>
              <w:t>2.4 %</w:t>
            </w:r>
          </w:p>
        </w:tc>
        <w:tc>
          <w:tcPr>
            <w:tcW w:w="1020" w:type="dxa"/>
            <w:vAlign w:val="bottom"/>
          </w:tcPr>
          <w:p>
            <w:pPr>
              <w:jc w:val="right"/>
              <w:spacing w:after="0"/>
              <w:rPr>
                <w:sz w:val="20"/>
                <w:szCs w:val="20"/>
                <w:color w:val="auto"/>
              </w:rPr>
            </w:pPr>
            <w:r>
              <w:rPr>
                <w:rFonts w:ascii="Arial" w:cs="Arial" w:eastAsia="Arial" w:hAnsi="Arial"/>
                <w:sz w:val="13"/>
                <w:szCs w:val="13"/>
                <w:color w:val="auto"/>
              </w:rPr>
              <w:t>4.0 %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10.2 %</w:t>
            </w:r>
          </w:p>
        </w:tc>
        <w:tc>
          <w:tcPr>
            <w:tcW w:w="0" w:type="dxa"/>
            <w:vAlign w:val="bottom"/>
          </w:tcPr>
          <w:p>
            <w:pPr>
              <w:spacing w:after="0"/>
              <w:rPr>
                <w:sz w:val="1"/>
                <w:szCs w:val="1"/>
                <w:color w:val="auto"/>
              </w:rPr>
            </w:pPr>
          </w:p>
        </w:tc>
      </w:tr>
      <w:tr>
        <w:trPr>
          <w:trHeight w:val="165"/>
        </w:trPr>
        <w:tc>
          <w:tcPr>
            <w:tcW w:w="1360" w:type="dxa"/>
            <w:vAlign w:val="bottom"/>
          </w:tcPr>
          <w:p>
            <w:pPr>
              <w:ind w:left="20"/>
              <w:spacing w:after="0"/>
              <w:rPr>
                <w:sz w:val="20"/>
                <w:szCs w:val="20"/>
                <w:color w:val="auto"/>
              </w:rPr>
            </w:pPr>
            <w:r>
              <w:rPr>
                <w:rFonts w:ascii="Arial" w:cs="Arial" w:eastAsia="Arial" w:hAnsi="Arial"/>
                <w:sz w:val="14"/>
                <w:szCs w:val="14"/>
                <w:color w:val="auto"/>
              </w:rPr>
              <w:t>Income tax</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expense</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2.4</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0.4</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0.4</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0.4</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(2.3)</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9"/>
        </w:trPr>
        <w:tc>
          <w:tcPr>
            <w:tcW w:w="136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720" w:type="dxa"/>
            <w:vAlign w:val="bottom"/>
          </w:tcPr>
          <w:p>
            <w:pPr>
              <w:jc w:val="right"/>
              <w:spacing w:after="0"/>
              <w:rPr>
                <w:sz w:val="20"/>
                <w:szCs w:val="20"/>
                <w:color w:val="auto"/>
              </w:rPr>
            </w:pPr>
            <w:r>
              <w:rPr>
                <w:rFonts w:ascii="Arial" w:cs="Arial" w:eastAsia="Arial" w:hAnsi="Arial"/>
                <w:sz w:val="13"/>
                <w:szCs w:val="13"/>
                <w:color w:val="auto"/>
              </w:rPr>
              <w:t>24.3 %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6.6 %</w:t>
            </w:r>
          </w:p>
        </w:tc>
        <w:tc>
          <w:tcPr>
            <w:tcW w:w="940" w:type="dxa"/>
            <w:vAlign w:val="bottom"/>
          </w:tcPr>
          <w:p>
            <w:pPr>
              <w:ind w:left="6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6.7 %</w:t>
            </w:r>
          </w:p>
        </w:tc>
        <w:tc>
          <w:tcPr>
            <w:tcW w:w="1020" w:type="dxa"/>
            <w:vAlign w:val="bottom"/>
          </w:tcPr>
          <w:p>
            <w:pPr>
              <w:jc w:val="right"/>
              <w:spacing w:after="0"/>
              <w:rPr>
                <w:sz w:val="20"/>
                <w:szCs w:val="20"/>
                <w:color w:val="auto"/>
              </w:rPr>
            </w:pPr>
            <w:r>
              <w:rPr>
                <w:rFonts w:ascii="Arial" w:cs="Arial" w:eastAsia="Arial" w:hAnsi="Arial"/>
                <w:sz w:val="13"/>
                <w:szCs w:val="13"/>
                <w:color w:val="auto"/>
              </w:rPr>
              <w:t>4.0 %</w:t>
            </w:r>
          </w:p>
        </w:tc>
        <w:tc>
          <w:tcPr>
            <w:tcW w:w="920" w:type="dxa"/>
            <w:vAlign w:val="bottom"/>
          </w:tcPr>
          <w:p>
            <w:pPr>
              <w:jc w:val="right"/>
              <w:spacing w:after="0"/>
              <w:rPr>
                <w:sz w:val="20"/>
                <w:szCs w:val="20"/>
                <w:color w:val="auto"/>
              </w:rPr>
            </w:pPr>
            <w:r>
              <w:rPr>
                <w:rFonts w:ascii="Arial" w:cs="Arial" w:eastAsia="Arial" w:hAnsi="Arial"/>
                <w:sz w:val="13"/>
                <w:szCs w:val="13"/>
                <w:color w:val="auto"/>
              </w:rPr>
              <w:t>N/A</w:t>
            </w:r>
          </w:p>
        </w:tc>
        <w:tc>
          <w:tcPr>
            <w:tcW w:w="920" w:type="dxa"/>
            <w:vAlign w:val="bottom"/>
          </w:tcPr>
          <w:p>
            <w:pPr>
              <w:jc w:val="right"/>
              <w:spacing w:after="0"/>
              <w:rPr>
                <w:sz w:val="20"/>
                <w:szCs w:val="20"/>
                <w:color w:val="auto"/>
              </w:rPr>
            </w:pPr>
            <w:r>
              <w:rPr>
                <w:rFonts w:ascii="Arial" w:cs="Arial" w:eastAsia="Arial" w:hAnsi="Arial"/>
                <w:sz w:val="13"/>
                <w:szCs w:val="13"/>
                <w:color w:val="auto"/>
              </w:rPr>
              <w:t>2.3 %</w:t>
            </w:r>
          </w:p>
        </w:tc>
        <w:tc>
          <w:tcPr>
            <w:tcW w:w="760" w:type="dxa"/>
            <w:vAlign w:val="bottom"/>
          </w:tcPr>
          <w:p>
            <w:pPr>
              <w:jc w:val="right"/>
              <w:spacing w:after="0"/>
              <w:rPr>
                <w:sz w:val="20"/>
                <w:szCs w:val="20"/>
                <w:color w:val="auto"/>
              </w:rPr>
            </w:pPr>
            <w:r>
              <w:rPr>
                <w:rFonts w:ascii="Arial" w:cs="Arial" w:eastAsia="Arial" w:hAnsi="Arial"/>
                <w:sz w:val="13"/>
                <w:szCs w:val="13"/>
                <w:color w:val="auto"/>
              </w:rPr>
              <w:t>6.2 %</w:t>
            </w:r>
          </w:p>
        </w:tc>
        <w:tc>
          <w:tcPr>
            <w:tcW w:w="0" w:type="dxa"/>
            <w:vAlign w:val="bottom"/>
          </w:tcPr>
          <w:p>
            <w:pPr>
              <w:spacing w:after="0"/>
              <w:rPr>
                <w:sz w:val="1"/>
                <w:szCs w:val="1"/>
                <w:color w:val="auto"/>
              </w:rPr>
            </w:pPr>
          </w:p>
        </w:tc>
      </w:tr>
      <w:tr>
        <w:trPr>
          <w:trHeight w:val="203"/>
        </w:trPr>
        <w:tc>
          <w:tcPr>
            <w:tcW w:w="13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7.4</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0.3</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0.7</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(21.0)</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4.8</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5.9</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10.2</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2.3</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6.9</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79"/>
        </w:trPr>
        <w:tc>
          <w:tcPr>
            <w:tcW w:w="1360" w:type="dxa"/>
            <w:vAlign w:val="bottom"/>
          </w:tcPr>
          <w:p>
            <w:pPr>
              <w:ind w:left="20"/>
              <w:spacing w:after="0"/>
              <w:rPr>
                <w:sz w:val="20"/>
                <w:szCs w:val="20"/>
                <w:color w:val="auto"/>
              </w:rPr>
            </w:pPr>
            <w:r>
              <w:rPr>
                <w:rFonts w:ascii="Arial" w:cs="Arial" w:eastAsia="Arial" w:hAnsi="Arial"/>
                <w:sz w:val="14"/>
                <w:szCs w:val="14"/>
                <w:color w:val="auto"/>
              </w:rPr>
              <w:t>Net income as a</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20"/>
              <w:spacing w:after="0" w:line="135" w:lineRule="exact"/>
              <w:rPr>
                <w:sz w:val="20"/>
                <w:szCs w:val="20"/>
                <w:color w:val="auto"/>
              </w:rPr>
            </w:pPr>
            <w:r>
              <w:rPr>
                <w:rFonts w:ascii="Arial" w:cs="Arial" w:eastAsia="Arial" w:hAnsi="Arial"/>
                <w:sz w:val="14"/>
                <w:szCs w:val="14"/>
                <w:color w:val="auto"/>
              </w:rPr>
              <w:t>percent of net</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4"/>
                <w:szCs w:val="14"/>
                <w:color w:val="auto"/>
              </w:rPr>
              <w:t>revenue</w:t>
            </w:r>
          </w:p>
        </w:tc>
        <w:tc>
          <w:tcPr>
            <w:tcW w:w="720" w:type="dxa"/>
            <w:vAlign w:val="bottom"/>
          </w:tcPr>
          <w:p>
            <w:pPr>
              <w:jc w:val="right"/>
              <w:spacing w:after="0"/>
              <w:rPr>
                <w:sz w:val="20"/>
                <w:szCs w:val="20"/>
                <w:color w:val="auto"/>
              </w:rPr>
            </w:pPr>
            <w:r>
              <w:rPr>
                <w:rFonts w:ascii="Arial" w:cs="Arial" w:eastAsia="Arial" w:hAnsi="Arial"/>
                <w:sz w:val="13"/>
                <w:szCs w:val="13"/>
                <w:color w:val="auto"/>
              </w:rPr>
              <w:t>2.8 %</w:t>
            </w:r>
          </w:p>
        </w:tc>
        <w:tc>
          <w:tcPr>
            <w:tcW w:w="860" w:type="dxa"/>
            <w:vAlign w:val="bottom"/>
          </w:tcPr>
          <w:p>
            <w:pPr>
              <w:jc w:val="right"/>
              <w:spacing w:after="0"/>
              <w:rPr>
                <w:sz w:val="20"/>
                <w:szCs w:val="20"/>
                <w:color w:val="auto"/>
              </w:rPr>
            </w:pPr>
            <w:r>
              <w:rPr>
                <w:rFonts w:ascii="Arial" w:cs="Arial" w:eastAsia="Arial" w:hAnsi="Arial"/>
                <w:sz w:val="13"/>
                <w:szCs w:val="13"/>
                <w:color w:val="auto"/>
              </w:rPr>
              <w:t>0.1 %</w:t>
            </w:r>
          </w:p>
        </w:tc>
        <w:tc>
          <w:tcPr>
            <w:tcW w:w="980" w:type="dxa"/>
            <w:vAlign w:val="bottom"/>
          </w:tcPr>
          <w:p>
            <w:pPr>
              <w:jc w:val="right"/>
              <w:spacing w:after="0"/>
              <w:rPr>
                <w:sz w:val="20"/>
                <w:szCs w:val="20"/>
                <w:color w:val="auto"/>
              </w:rPr>
            </w:pPr>
            <w:r>
              <w:rPr>
                <w:rFonts w:ascii="Arial" w:cs="Arial" w:eastAsia="Arial" w:hAnsi="Arial"/>
                <w:sz w:val="13"/>
                <w:szCs w:val="13"/>
                <w:color w:val="auto"/>
              </w:rPr>
              <w:t>0.3 %</w:t>
            </w:r>
          </w:p>
        </w:tc>
        <w:tc>
          <w:tcPr>
            <w:tcW w:w="920" w:type="dxa"/>
            <w:vAlign w:val="bottom"/>
          </w:tcPr>
          <w:p>
            <w:pPr>
              <w:jc w:val="right"/>
              <w:spacing w:after="0"/>
              <w:rPr>
                <w:sz w:val="20"/>
                <w:szCs w:val="20"/>
                <w:color w:val="auto"/>
              </w:rPr>
            </w:pPr>
            <w:r>
              <w:rPr>
                <w:rFonts w:ascii="Arial" w:cs="Arial" w:eastAsia="Arial" w:hAnsi="Arial"/>
                <w:sz w:val="13"/>
                <w:szCs w:val="13"/>
                <w:color w:val="auto"/>
              </w:rPr>
              <w:t>2.3 %</w:t>
            </w:r>
          </w:p>
        </w:tc>
        <w:tc>
          <w:tcPr>
            <w:tcW w:w="940" w:type="dxa"/>
            <w:vAlign w:val="bottom"/>
          </w:tcPr>
          <w:p>
            <w:pPr>
              <w:jc w:val="right"/>
              <w:spacing w:after="0"/>
              <w:rPr>
                <w:sz w:val="20"/>
                <w:szCs w:val="20"/>
                <w:color w:val="auto"/>
              </w:rPr>
            </w:pPr>
            <w:r>
              <w:rPr>
                <w:rFonts w:ascii="Arial" w:cs="Arial" w:eastAsia="Arial" w:hAnsi="Arial"/>
                <w:sz w:val="13"/>
                <w:szCs w:val="13"/>
                <w:color w:val="auto"/>
              </w:rPr>
              <w:t>(8.0)%</w:t>
            </w:r>
          </w:p>
        </w:tc>
        <w:tc>
          <w:tcPr>
            <w:tcW w:w="960" w:type="dxa"/>
            <w:vAlign w:val="bottom"/>
          </w:tcPr>
          <w:p>
            <w:pPr>
              <w:jc w:val="right"/>
              <w:spacing w:after="0"/>
              <w:rPr>
                <w:sz w:val="20"/>
                <w:szCs w:val="20"/>
                <w:color w:val="auto"/>
              </w:rPr>
            </w:pPr>
            <w:r>
              <w:rPr>
                <w:rFonts w:ascii="Arial" w:cs="Arial" w:eastAsia="Arial" w:hAnsi="Arial"/>
                <w:sz w:val="13"/>
                <w:szCs w:val="13"/>
                <w:color w:val="auto"/>
              </w:rPr>
              <w:t>1.8 %</w:t>
            </w:r>
          </w:p>
        </w:tc>
        <w:tc>
          <w:tcPr>
            <w:tcW w:w="880" w:type="dxa"/>
            <w:vAlign w:val="bottom"/>
          </w:tcPr>
          <w:p>
            <w:pPr>
              <w:jc w:val="right"/>
              <w:spacing w:after="0"/>
              <w:rPr>
                <w:sz w:val="20"/>
                <w:szCs w:val="20"/>
                <w:color w:val="auto"/>
              </w:rPr>
            </w:pPr>
            <w:r>
              <w:rPr>
                <w:rFonts w:ascii="Arial" w:cs="Arial" w:eastAsia="Arial" w:hAnsi="Arial"/>
                <w:sz w:val="13"/>
                <w:szCs w:val="13"/>
                <w:color w:val="auto"/>
              </w:rPr>
              <w:t>2.2 %</w:t>
            </w:r>
          </w:p>
        </w:tc>
        <w:tc>
          <w:tcPr>
            <w:tcW w:w="1020" w:type="dxa"/>
            <w:vAlign w:val="bottom"/>
          </w:tcPr>
          <w:p>
            <w:pPr>
              <w:jc w:val="right"/>
              <w:spacing w:after="0"/>
              <w:rPr>
                <w:sz w:val="20"/>
                <w:szCs w:val="20"/>
                <w:color w:val="auto"/>
              </w:rPr>
            </w:pPr>
            <w:r>
              <w:rPr>
                <w:rFonts w:ascii="Arial" w:cs="Arial" w:eastAsia="Arial" w:hAnsi="Arial"/>
                <w:sz w:val="13"/>
                <w:szCs w:val="13"/>
                <w:color w:val="auto"/>
              </w:rPr>
              <w:t>3.9 %</w:t>
            </w:r>
          </w:p>
        </w:tc>
        <w:tc>
          <w:tcPr>
            <w:tcW w:w="920" w:type="dxa"/>
            <w:vAlign w:val="bottom"/>
          </w:tcPr>
          <w:p>
            <w:pPr>
              <w:jc w:val="right"/>
              <w:spacing w:after="0"/>
              <w:rPr>
                <w:sz w:val="20"/>
                <w:szCs w:val="20"/>
                <w:color w:val="auto"/>
              </w:rPr>
            </w:pPr>
            <w:r>
              <w:rPr>
                <w:rFonts w:ascii="Arial" w:cs="Arial" w:eastAsia="Arial" w:hAnsi="Arial"/>
                <w:sz w:val="13"/>
                <w:szCs w:val="13"/>
                <w:color w:val="auto"/>
              </w:rPr>
              <w:t>0.9 %</w:t>
            </w:r>
          </w:p>
        </w:tc>
        <w:tc>
          <w:tcPr>
            <w:tcW w:w="920" w:type="dxa"/>
            <w:vAlign w:val="bottom"/>
          </w:tcPr>
          <w:p>
            <w:pPr>
              <w:jc w:val="right"/>
              <w:spacing w:after="0"/>
              <w:rPr>
                <w:sz w:val="20"/>
                <w:szCs w:val="20"/>
                <w:color w:val="auto"/>
              </w:rPr>
            </w:pPr>
            <w:r>
              <w:rPr>
                <w:rFonts w:ascii="Arial" w:cs="Arial" w:eastAsia="Arial" w:hAnsi="Arial"/>
                <w:sz w:val="13"/>
                <w:szCs w:val="13"/>
                <w:color w:val="auto"/>
              </w:rPr>
              <w:t>2.6 %</w:t>
            </w:r>
          </w:p>
        </w:tc>
        <w:tc>
          <w:tcPr>
            <w:tcW w:w="760" w:type="dxa"/>
            <w:vAlign w:val="bottom"/>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203"/>
        </w:trPr>
        <w:tc>
          <w:tcPr>
            <w:tcW w:w="136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$0.14</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$0.01</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$0.01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$0.11</w:t>
            </w:r>
          </w:p>
        </w:tc>
        <w:tc>
          <w:tcPr>
            <w:tcW w:w="940" w:type="dxa"/>
            <w:vAlign w:val="bottom"/>
          </w:tcPr>
          <w:p>
            <w:pPr>
              <w:ind w:left="480"/>
              <w:spacing w:after="0"/>
              <w:rPr>
                <w:sz w:val="20"/>
                <w:szCs w:val="20"/>
                <w:color w:val="auto"/>
              </w:rPr>
            </w:pPr>
            <w:r>
              <w:rPr>
                <w:rFonts w:ascii="Arial" w:cs="Arial" w:eastAsia="Arial" w:hAnsi="Arial"/>
                <w:sz w:val="13"/>
                <w:szCs w:val="13"/>
                <w:color w:val="auto"/>
              </w:rPr>
              <w:t>$(0.39)</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$0.09</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$0.11</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$0.19</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$0.04</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$0.13</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$0.43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March 31, 2023 include:</w:t>
      </w:r>
    </w:p>
    <w:p>
      <w:pPr>
        <w:spacing w:after="0" w:line="60"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Merger and integration expenses related to the acquisition of ALung Technologies, Inc.</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Restructuring expenses related to organizational changes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Includes depreciation and amortization associated with purchase price accounting</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Mark-to-market adjustments for the exchangeable option feature and capped call derivatives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Remeasurement of contingent consideration related to acquisitions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3T Heater-Cooler litigation provision, legal expenses primarily related to 3T Heater-Cooler defense, costs related to the SNIA matter and MDR costs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Non-cash expenses associated with stock-based compensation costs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Discrete tax items, R&amp;D tax credits and the tax impact of intercompany transactions</w:t>
      </w:r>
    </w:p>
    <w:p>
      <w:pPr>
        <w:spacing w:after="0" w:line="41" w:lineRule="exact"/>
        <w:rPr>
          <w:rFonts w:ascii="Arial" w:cs="Arial" w:eastAsia="Arial" w:hAnsi="Arial"/>
          <w:sz w:val="14"/>
          <w:szCs w:val="14"/>
          <w:b w:val="1"/>
          <w:bCs w:val="1"/>
          <w:color w:val="auto"/>
        </w:rPr>
      </w:pPr>
    </w:p>
    <w:p>
      <w:pPr>
        <w:ind w:left="360" w:right="60" w:hanging="334"/>
        <w:spacing w:after="0" w:line="229" w:lineRule="auto"/>
        <w:tabs>
          <w:tab w:leader="none" w:pos="3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Non-cash interest expense on the Cash Exchangeable Senior Notes and 2021 Revolving Credit Facility, interest expense on the Term Facilities and interest income on the collateral for the SNIA litigation guarantee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Numbers may not add precisely due to rounding.</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815" w:right="339" w:bottom="1440" w:gutter="0" w:footer="0" w:header="0"/>
        </w:sectPr>
      </w:pPr>
    </w:p>
    <w:bookmarkStart w:id="14" w:name="page15"/>
    <w:bookmarkEnd w:id="14"/>
    <w:p>
      <w:pPr>
        <w:ind w:left="20" w:right="558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4"/>
          <w:szCs w:val="14"/>
          <w:b w:val="1"/>
          <w:bCs w:val="1"/>
          <w:color w:val="auto"/>
        </w:rPr>
        <w:t>Specified Items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
              <w:spacing w:after="0" w:line="127" w:lineRule="exact"/>
              <w:rPr>
                <w:sz w:val="20"/>
                <w:szCs w:val="20"/>
                <w:color w:val="auto"/>
              </w:rPr>
            </w:pPr>
            <w:r>
              <w:rPr>
                <w:rFonts w:ascii="Arial" w:cs="Arial" w:eastAsia="Arial" w:hAnsi="Arial"/>
                <w:sz w:val="13"/>
                <w:szCs w:val="13"/>
                <w:b w:val="1"/>
                <w:bCs w:val="1"/>
                <w:color w:val="auto"/>
                <w:w w:val="96"/>
              </w:rPr>
              <w:t>Depreciation</w:t>
            </w:r>
          </w:p>
        </w:tc>
        <w:tc>
          <w:tcPr>
            <w:tcW w:w="9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Restructuring</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Certain Legal</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Stock-based</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Certain</w:t>
            </w:r>
          </w:p>
        </w:tc>
        <w:tc>
          <w:tcPr>
            <w:tcW w:w="8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1"/>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Amortization</w:t>
            </w: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&amp; Regulatory</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Compensation</w:t>
            </w:r>
          </w:p>
        </w:tc>
        <w:tc>
          <w:tcPr>
            <w:tcW w:w="940" w:type="dxa"/>
            <w:vAlign w:val="bottom"/>
            <w:vMerge w:val="continue"/>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Interest</w:t>
            </w: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Expenses</w:t>
            </w:r>
          </w:p>
        </w:tc>
        <w:tc>
          <w:tcPr>
            <w:tcW w:w="9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Expenses</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Transactions</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Consideration</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Costs</w:t>
            </w:r>
          </w:p>
        </w:tc>
        <w:tc>
          <w:tcPr>
            <w:tcW w:w="10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4"/>
              </w:rPr>
              <w:t>Costs</w:t>
            </w:r>
          </w:p>
        </w:tc>
        <w:tc>
          <w:tcPr>
            <w:tcW w:w="9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9"/>
              </w:rPr>
              <w:t>Adjustments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Adjustments</w:t>
            </w:r>
          </w:p>
        </w:tc>
        <w:tc>
          <w:tcPr>
            <w:tcW w:w="80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2022</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(H)</w:t>
            </w: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$71.7</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$(3.7)</w:t>
            </w:r>
          </w:p>
        </w:tc>
        <w:tc>
          <w:tcPr>
            <w:tcW w:w="940" w:type="dxa"/>
            <w:vAlign w:val="bottom"/>
          </w:tcPr>
          <w:p>
            <w:pPr>
              <w:ind w:left="54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$2.0</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$69.8</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80" w:type="dxa"/>
            <w:vAlign w:val="bottom"/>
          </w:tcPr>
          <w:p>
            <w:pPr>
              <w:jc w:val="right"/>
              <w:spacing w:after="0"/>
              <w:rPr>
                <w:sz w:val="20"/>
                <w:szCs w:val="20"/>
                <w:color w:val="auto"/>
              </w:rPr>
            </w:pPr>
            <w:r>
              <w:rPr>
                <w:rFonts w:ascii="Arial" w:cs="Arial" w:eastAsia="Arial" w:hAnsi="Arial"/>
                <w:sz w:val="13"/>
                <w:szCs w:val="13"/>
                <w:color w:val="auto"/>
              </w:rPr>
              <w:t>70.1 %</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1.5 %</w:t>
            </w:r>
          </w:p>
        </w:tc>
        <w:tc>
          <w:tcPr>
            <w:tcW w:w="940" w:type="dxa"/>
            <w:vAlign w:val="bottom"/>
          </w:tcPr>
          <w:p>
            <w:pPr>
              <w:ind w:left="6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(0.8)%</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ind w:left="600"/>
              <w:spacing w:after="0"/>
              <w:rPr>
                <w:sz w:val="20"/>
                <w:szCs w:val="20"/>
                <w:color w:val="auto"/>
              </w:rPr>
            </w:pPr>
            <w:r>
              <w:rPr>
                <w:rFonts w:ascii="Arial" w:cs="Arial" w:eastAsia="Arial" w:hAnsi="Arial"/>
                <w:sz w:val="13"/>
                <w:szCs w:val="13"/>
                <w:color w:val="auto"/>
                <w:w w:val="99"/>
              </w:rPr>
              <w:t>— %</w:t>
            </w:r>
          </w:p>
        </w:tc>
        <w:tc>
          <w:tcPr>
            <w:tcW w:w="800" w:type="dxa"/>
            <w:vAlign w:val="bottom"/>
          </w:tcPr>
          <w:p>
            <w:pPr>
              <w:jc w:val="right"/>
              <w:spacing w:after="0"/>
              <w:rPr>
                <w:sz w:val="20"/>
                <w:szCs w:val="20"/>
                <w:color w:val="auto"/>
              </w:rPr>
            </w:pPr>
            <w:r>
              <w:rPr>
                <w:rFonts w:ascii="Arial" w:cs="Arial" w:eastAsia="Arial" w:hAnsi="Arial"/>
                <w:sz w:val="13"/>
                <w:szCs w:val="13"/>
                <w:color w:val="auto"/>
              </w:rPr>
              <w:t>71.0 %</w:t>
            </w:r>
          </w:p>
        </w:tc>
        <w:tc>
          <w:tcPr>
            <w:tcW w:w="0" w:type="dxa"/>
            <w:vAlign w:val="bottom"/>
          </w:tcPr>
          <w:p>
            <w:pPr>
              <w:spacing w:after="0"/>
              <w:rPr>
                <w:sz w:val="1"/>
                <w:szCs w:val="1"/>
                <w:color w:val="auto"/>
              </w:rPr>
            </w:pPr>
          </w:p>
        </w:tc>
      </w:tr>
      <w:tr>
        <w:trPr>
          <w:trHeight w:val="179"/>
        </w:trPr>
        <w:tc>
          <w:tcPr>
            <w:tcW w:w="208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118.5</w:t>
            </w:r>
          </w:p>
        </w:tc>
        <w:tc>
          <w:tcPr>
            <w:tcW w:w="1020" w:type="dxa"/>
            <w:vAlign w:val="bottom"/>
          </w:tcPr>
          <w:p>
            <w:pPr>
              <w:ind w:left="6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(2.9)</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(5.7)</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(7.9)</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102.0</w:t>
            </w:r>
          </w:p>
        </w:tc>
        <w:tc>
          <w:tcPr>
            <w:tcW w:w="0" w:type="dxa"/>
            <w:vAlign w:val="bottom"/>
          </w:tcPr>
          <w:p>
            <w:pPr>
              <w:spacing w:after="0"/>
              <w:rPr>
                <w:sz w:val="1"/>
                <w:szCs w:val="1"/>
                <w:color w:val="auto"/>
              </w:rPr>
            </w:pPr>
          </w:p>
        </w:tc>
      </w:tr>
      <w:tr>
        <w:trPr>
          <w:trHeight w:val="165"/>
        </w:trPr>
        <w:tc>
          <w:tcPr>
            <w:tcW w:w="2080" w:type="dxa"/>
            <w:vAlign w:val="bottom"/>
          </w:tcPr>
          <w:p>
            <w:pPr>
              <w:ind w:left="20"/>
              <w:spacing w:after="0"/>
              <w:rPr>
                <w:sz w:val="20"/>
                <w:szCs w:val="20"/>
                <w:color w:val="auto"/>
              </w:rPr>
            </w:pPr>
            <w:r>
              <w:rPr>
                <w:rFonts w:ascii="Arial" w:cs="Arial" w:eastAsia="Arial" w:hAnsi="Arial"/>
                <w:sz w:val="14"/>
                <w:szCs w:val="14"/>
                <w:color w:val="auto"/>
              </w:rPr>
              <w:t>Selling, general and</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administrative as a percent of</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8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780" w:type="dxa"/>
            <w:vAlign w:val="bottom"/>
          </w:tcPr>
          <w:p>
            <w:pPr>
              <w:jc w:val="right"/>
              <w:spacing w:after="0"/>
              <w:rPr>
                <w:sz w:val="20"/>
                <w:szCs w:val="20"/>
                <w:color w:val="auto"/>
              </w:rPr>
            </w:pPr>
            <w:r>
              <w:rPr>
                <w:rFonts w:ascii="Arial" w:cs="Arial" w:eastAsia="Arial" w:hAnsi="Arial"/>
                <w:sz w:val="13"/>
                <w:szCs w:val="13"/>
                <w:color w:val="auto"/>
              </w:rPr>
              <w:t>49.3 %</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c>
          <w:tcPr>
            <w:tcW w:w="940" w:type="dxa"/>
            <w:vAlign w:val="bottom"/>
          </w:tcPr>
          <w:p>
            <w:pPr>
              <w:ind w:left="6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(2.4)%</w:t>
            </w:r>
          </w:p>
        </w:tc>
        <w:tc>
          <w:tcPr>
            <w:tcW w:w="1020" w:type="dxa"/>
            <w:vAlign w:val="bottom"/>
          </w:tcPr>
          <w:p>
            <w:pPr>
              <w:jc w:val="right"/>
              <w:spacing w:after="0"/>
              <w:rPr>
                <w:sz w:val="20"/>
                <w:szCs w:val="20"/>
                <w:color w:val="auto"/>
              </w:rPr>
            </w:pPr>
            <w:r>
              <w:rPr>
                <w:rFonts w:ascii="Arial" w:cs="Arial" w:eastAsia="Arial" w:hAnsi="Arial"/>
                <w:sz w:val="13"/>
                <w:szCs w:val="13"/>
                <w:color w:val="auto"/>
              </w:rPr>
              <w:t>(3.3)%</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ind w:left="600"/>
              <w:spacing w:after="0"/>
              <w:rPr>
                <w:sz w:val="20"/>
                <w:szCs w:val="20"/>
                <w:color w:val="auto"/>
              </w:rPr>
            </w:pPr>
            <w:r>
              <w:rPr>
                <w:rFonts w:ascii="Arial" w:cs="Arial" w:eastAsia="Arial" w:hAnsi="Arial"/>
                <w:sz w:val="13"/>
                <w:szCs w:val="13"/>
                <w:color w:val="auto"/>
                <w:w w:val="99"/>
              </w:rPr>
              <w:t>— %</w:t>
            </w:r>
          </w:p>
        </w:tc>
        <w:tc>
          <w:tcPr>
            <w:tcW w:w="800" w:type="dxa"/>
            <w:vAlign w:val="bottom"/>
          </w:tcPr>
          <w:p>
            <w:pPr>
              <w:jc w:val="right"/>
              <w:spacing w:after="0"/>
              <w:rPr>
                <w:sz w:val="20"/>
                <w:szCs w:val="20"/>
                <w:color w:val="auto"/>
              </w:rPr>
            </w:pPr>
            <w:r>
              <w:rPr>
                <w:rFonts w:ascii="Arial" w:cs="Arial" w:eastAsia="Arial" w:hAnsi="Arial"/>
                <w:sz w:val="13"/>
                <w:szCs w:val="13"/>
                <w:color w:val="auto"/>
              </w:rPr>
              <w:t>42.5 %</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40.9</w:t>
            </w:r>
          </w:p>
        </w:tc>
        <w:tc>
          <w:tcPr>
            <w:tcW w:w="1020" w:type="dxa"/>
            <w:vAlign w:val="bottom"/>
          </w:tcPr>
          <w:p>
            <w:pPr>
              <w:ind w:left="6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1.8</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(0.6)</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(2.1)</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40.1</w:t>
            </w:r>
          </w:p>
        </w:tc>
        <w:tc>
          <w:tcPr>
            <w:tcW w:w="0" w:type="dxa"/>
            <w:vAlign w:val="bottom"/>
          </w:tcPr>
          <w:p>
            <w:pPr>
              <w:spacing w:after="0"/>
              <w:rPr>
                <w:sz w:val="1"/>
                <w:szCs w:val="1"/>
                <w:color w:val="auto"/>
              </w:rPr>
            </w:pPr>
          </w:p>
        </w:tc>
      </w:tr>
      <w:tr>
        <w:trPr>
          <w:trHeight w:val="179"/>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 as</w:t>
            </w: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80" w:type="dxa"/>
            <w:vAlign w:val="bottom"/>
          </w:tcPr>
          <w:p>
            <w:pPr>
              <w:ind w:left="20"/>
              <w:spacing w:after="0"/>
              <w:rPr>
                <w:sz w:val="20"/>
                <w:szCs w:val="20"/>
                <w:color w:val="auto"/>
              </w:rPr>
            </w:pPr>
            <w:r>
              <w:rPr>
                <w:rFonts w:ascii="Arial" w:cs="Arial" w:eastAsia="Arial" w:hAnsi="Arial"/>
                <w:sz w:val="14"/>
                <w:szCs w:val="14"/>
                <w:color w:val="auto"/>
              </w:rPr>
              <w:t>a percent of net revenue</w:t>
            </w:r>
          </w:p>
        </w:tc>
        <w:tc>
          <w:tcPr>
            <w:tcW w:w="780" w:type="dxa"/>
            <w:vAlign w:val="bottom"/>
          </w:tcPr>
          <w:p>
            <w:pPr>
              <w:jc w:val="right"/>
              <w:spacing w:after="0"/>
              <w:rPr>
                <w:sz w:val="20"/>
                <w:szCs w:val="20"/>
                <w:color w:val="auto"/>
              </w:rPr>
            </w:pPr>
            <w:r>
              <w:rPr>
                <w:rFonts w:ascii="Arial" w:cs="Arial" w:eastAsia="Arial" w:hAnsi="Arial"/>
                <w:sz w:val="13"/>
                <w:szCs w:val="13"/>
                <w:color w:val="auto"/>
              </w:rPr>
              <w:t>17.0 %</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ind w:left="6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0.8 %</w:t>
            </w:r>
          </w:p>
        </w:tc>
        <w:tc>
          <w:tcPr>
            <w:tcW w:w="880" w:type="dxa"/>
            <w:vAlign w:val="bottom"/>
          </w:tcPr>
          <w:p>
            <w:pPr>
              <w:jc w:val="right"/>
              <w:spacing w:after="0"/>
              <w:rPr>
                <w:sz w:val="20"/>
                <w:szCs w:val="20"/>
                <w:color w:val="auto"/>
              </w:rPr>
            </w:pPr>
            <w:r>
              <w:rPr>
                <w:rFonts w:ascii="Arial" w:cs="Arial" w:eastAsia="Arial" w:hAnsi="Arial"/>
                <w:sz w:val="13"/>
                <w:szCs w:val="13"/>
                <w:color w:val="auto"/>
              </w:rPr>
              <w:t>(0.3)%</w:t>
            </w:r>
          </w:p>
        </w:tc>
        <w:tc>
          <w:tcPr>
            <w:tcW w:w="1020" w:type="dxa"/>
            <w:vAlign w:val="bottom"/>
          </w:tcPr>
          <w:p>
            <w:pPr>
              <w:jc w:val="right"/>
              <w:spacing w:after="0"/>
              <w:rPr>
                <w:sz w:val="20"/>
                <w:szCs w:val="20"/>
                <w:color w:val="auto"/>
              </w:rPr>
            </w:pPr>
            <w:r>
              <w:rPr>
                <w:rFonts w:ascii="Arial" w:cs="Arial" w:eastAsia="Arial" w:hAnsi="Arial"/>
                <w:sz w:val="13"/>
                <w:szCs w:val="13"/>
                <w:color w:val="auto"/>
              </w:rPr>
              <w:t>(0.9)%</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ind w:left="600"/>
              <w:spacing w:after="0"/>
              <w:rPr>
                <w:sz w:val="20"/>
                <w:szCs w:val="20"/>
                <w:color w:val="auto"/>
              </w:rPr>
            </w:pPr>
            <w:r>
              <w:rPr>
                <w:rFonts w:ascii="Arial" w:cs="Arial" w:eastAsia="Arial" w:hAnsi="Arial"/>
                <w:sz w:val="13"/>
                <w:szCs w:val="13"/>
                <w:color w:val="auto"/>
                <w:w w:val="99"/>
              </w:rPr>
              <w:t>— %</w:t>
            </w:r>
          </w:p>
        </w:tc>
        <w:tc>
          <w:tcPr>
            <w:tcW w:w="800" w:type="dxa"/>
            <w:vAlign w:val="bottom"/>
          </w:tcPr>
          <w:p>
            <w:pPr>
              <w:jc w:val="right"/>
              <w:spacing w:after="0"/>
              <w:rPr>
                <w:sz w:val="20"/>
                <w:szCs w:val="20"/>
                <w:color w:val="auto"/>
              </w:rPr>
            </w:pPr>
            <w:r>
              <w:rPr>
                <w:rFonts w:ascii="Arial" w:cs="Arial" w:eastAsia="Arial" w:hAnsi="Arial"/>
                <w:sz w:val="13"/>
                <w:szCs w:val="13"/>
                <w:color w:val="auto"/>
              </w:rPr>
              <w:t>16.7 %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Other operating expense</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(0.5)</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0.4</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9.5</w:t>
            </w:r>
          </w:p>
        </w:tc>
        <w:tc>
          <w:tcPr>
            <w:tcW w:w="1020" w:type="dxa"/>
            <w:vAlign w:val="bottom"/>
          </w:tcPr>
          <w:p>
            <w:pPr>
              <w:ind w:left="580"/>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6.5</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(3.8)</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6.0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10.3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780" w:type="dxa"/>
            <w:vAlign w:val="bottom"/>
          </w:tcPr>
          <w:p>
            <w:pPr>
              <w:jc w:val="right"/>
              <w:spacing w:after="0"/>
              <w:rPr>
                <w:sz w:val="20"/>
                <w:szCs w:val="20"/>
                <w:color w:val="auto"/>
              </w:rPr>
            </w:pPr>
            <w:r>
              <w:rPr>
                <w:rFonts w:ascii="Arial" w:cs="Arial" w:eastAsia="Arial" w:hAnsi="Arial"/>
                <w:sz w:val="13"/>
                <w:szCs w:val="13"/>
                <w:color w:val="auto"/>
              </w:rPr>
              <w:t>4.0 %</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2.7 %</w:t>
            </w:r>
          </w:p>
        </w:tc>
        <w:tc>
          <w:tcPr>
            <w:tcW w:w="940" w:type="dxa"/>
            <w:vAlign w:val="bottom"/>
          </w:tcPr>
          <w:p>
            <w:pPr>
              <w:ind w:left="6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(1.6)%</w:t>
            </w:r>
          </w:p>
        </w:tc>
        <w:tc>
          <w:tcPr>
            <w:tcW w:w="880" w:type="dxa"/>
            <w:vAlign w:val="bottom"/>
          </w:tcPr>
          <w:p>
            <w:pPr>
              <w:jc w:val="right"/>
              <w:spacing w:after="0"/>
              <w:rPr>
                <w:sz w:val="20"/>
                <w:szCs w:val="20"/>
                <w:color w:val="auto"/>
              </w:rPr>
            </w:pPr>
            <w:r>
              <w:rPr>
                <w:rFonts w:ascii="Arial" w:cs="Arial" w:eastAsia="Arial" w:hAnsi="Arial"/>
                <w:sz w:val="13"/>
                <w:szCs w:val="13"/>
                <w:color w:val="auto"/>
              </w:rPr>
              <w:t>2.5 %</w:t>
            </w:r>
          </w:p>
        </w:tc>
        <w:tc>
          <w:tcPr>
            <w:tcW w:w="1020" w:type="dxa"/>
            <w:vAlign w:val="bottom"/>
          </w:tcPr>
          <w:p>
            <w:pPr>
              <w:jc w:val="right"/>
              <w:spacing w:after="0"/>
              <w:rPr>
                <w:sz w:val="20"/>
                <w:szCs w:val="20"/>
                <w:color w:val="auto"/>
              </w:rPr>
            </w:pPr>
            <w:r>
              <w:rPr>
                <w:rFonts w:ascii="Arial" w:cs="Arial" w:eastAsia="Arial" w:hAnsi="Arial"/>
                <w:sz w:val="13"/>
                <w:szCs w:val="13"/>
                <w:color w:val="auto"/>
              </w:rPr>
              <w:t>4.3 %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ind w:left="600"/>
              <w:spacing w:after="0"/>
              <w:rPr>
                <w:sz w:val="20"/>
                <w:szCs w:val="20"/>
                <w:color w:val="auto"/>
              </w:rPr>
            </w:pPr>
            <w:r>
              <w:rPr>
                <w:rFonts w:ascii="Arial" w:cs="Arial" w:eastAsia="Arial" w:hAnsi="Arial"/>
                <w:sz w:val="13"/>
                <w:szCs w:val="13"/>
                <w:color w:val="auto"/>
                <w:w w:val="99"/>
              </w:rPr>
              <w:t>— %</w:t>
            </w:r>
          </w:p>
        </w:tc>
        <w:tc>
          <w:tcPr>
            <w:tcW w:w="800" w:type="dxa"/>
            <w:vAlign w:val="bottom"/>
          </w:tcPr>
          <w:p>
            <w:pPr>
              <w:jc w:val="right"/>
              <w:spacing w:after="0"/>
              <w:rPr>
                <w:sz w:val="20"/>
                <w:szCs w:val="20"/>
                <w:color w:val="auto"/>
              </w:rPr>
            </w:pPr>
            <w:r>
              <w:rPr>
                <w:rFonts w:ascii="Arial" w:cs="Arial" w:eastAsia="Arial" w:hAnsi="Arial"/>
                <w:sz w:val="13"/>
                <w:szCs w:val="13"/>
                <w:color w:val="auto"/>
              </w:rPr>
              <w:t>11.8 %</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2.5</w:t>
            </w:r>
          </w:p>
        </w:tc>
        <w:tc>
          <w:tcPr>
            <w:tcW w:w="1020" w:type="dxa"/>
            <w:vAlign w:val="bottom"/>
          </w:tcPr>
          <w:p>
            <w:pPr>
              <w:ind w:left="6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0.5</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0.3</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(1.4)</w:t>
            </w:r>
          </w:p>
        </w:tc>
        <w:tc>
          <w:tcPr>
            <w:tcW w:w="90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780" w:type="dxa"/>
            <w:vAlign w:val="bottom"/>
          </w:tcPr>
          <w:p>
            <w:pPr>
              <w:jc w:val="right"/>
              <w:spacing w:after="0"/>
              <w:rPr>
                <w:sz w:val="20"/>
                <w:szCs w:val="20"/>
                <w:color w:val="auto"/>
              </w:rPr>
            </w:pPr>
            <w:r>
              <w:rPr>
                <w:rFonts w:ascii="Arial" w:cs="Arial" w:eastAsia="Arial" w:hAnsi="Arial"/>
                <w:sz w:val="13"/>
                <w:szCs w:val="13"/>
                <w:color w:val="auto"/>
              </w:rPr>
              <w:t>45.6 %</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6.9 %</w:t>
            </w:r>
          </w:p>
        </w:tc>
        <w:tc>
          <w:tcPr>
            <w:tcW w:w="940" w:type="dxa"/>
            <w:vAlign w:val="bottom"/>
          </w:tcPr>
          <w:p>
            <w:pPr>
              <w:ind w:left="6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5.7 %</w:t>
            </w:r>
          </w:p>
        </w:tc>
        <w:tc>
          <w:tcPr>
            <w:tcW w:w="1020" w:type="dxa"/>
            <w:vAlign w:val="bottom"/>
          </w:tcPr>
          <w:p>
            <w:pPr>
              <w:jc w:val="right"/>
              <w:spacing w:after="0"/>
              <w:rPr>
                <w:sz w:val="20"/>
                <w:szCs w:val="20"/>
                <w:color w:val="auto"/>
              </w:rPr>
            </w:pPr>
            <w:r>
              <w:rPr>
                <w:rFonts w:ascii="Arial" w:cs="Arial" w:eastAsia="Arial" w:hAnsi="Arial"/>
                <w:sz w:val="13"/>
                <w:szCs w:val="13"/>
                <w:color w:val="auto"/>
              </w:rPr>
              <w:t>0.7 %</w:t>
            </w:r>
          </w:p>
        </w:tc>
        <w:tc>
          <w:tcPr>
            <w:tcW w:w="940" w:type="dxa"/>
            <w:vAlign w:val="bottom"/>
          </w:tcPr>
          <w:p>
            <w:pPr>
              <w:jc w:val="right"/>
              <w:spacing w:after="0"/>
              <w:rPr>
                <w:sz w:val="20"/>
                <w:szCs w:val="20"/>
                <w:color w:val="auto"/>
              </w:rPr>
            </w:pPr>
            <w:r>
              <w:rPr>
                <w:rFonts w:ascii="Arial" w:cs="Arial" w:eastAsia="Arial" w:hAnsi="Arial"/>
                <w:sz w:val="13"/>
                <w:szCs w:val="13"/>
                <w:color w:val="auto"/>
              </w:rPr>
              <w:t>N/A</w:t>
            </w:r>
          </w:p>
        </w:tc>
        <w:tc>
          <w:tcPr>
            <w:tcW w:w="900" w:type="dxa"/>
            <w:vAlign w:val="bottom"/>
          </w:tcPr>
          <w:p>
            <w:pPr>
              <w:ind w:left="600"/>
              <w:spacing w:after="0"/>
              <w:rPr>
                <w:sz w:val="20"/>
                <w:szCs w:val="20"/>
                <w:color w:val="auto"/>
              </w:rPr>
            </w:pPr>
            <w:r>
              <w:rPr>
                <w:rFonts w:ascii="Arial" w:cs="Arial" w:eastAsia="Arial" w:hAnsi="Arial"/>
                <w:sz w:val="13"/>
                <w:szCs w:val="13"/>
                <w:color w:val="auto"/>
                <w:w w:val="99"/>
              </w:rPr>
              <w:t>— %</w:t>
            </w:r>
          </w:p>
        </w:tc>
        <w:tc>
          <w:tcPr>
            <w:tcW w:w="800" w:type="dxa"/>
            <w:vAlign w:val="bottom"/>
          </w:tcPr>
          <w:p>
            <w:pPr>
              <w:jc w:val="right"/>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3.0</w:t>
            </w:r>
          </w:p>
        </w:tc>
        <w:tc>
          <w:tcPr>
            <w:tcW w:w="1020" w:type="dxa"/>
            <w:vAlign w:val="bottom"/>
          </w:tcPr>
          <w:p>
            <w:pPr>
              <w:ind w:left="580"/>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6.1</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(1.1)</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(3.8)</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5.6</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10.2</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1.4</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4.8</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79"/>
        </w:trPr>
        <w:tc>
          <w:tcPr>
            <w:tcW w:w="2080" w:type="dxa"/>
            <w:vAlign w:val="bottom"/>
          </w:tcPr>
          <w:p>
            <w:pPr>
              <w:ind w:left="20"/>
              <w:spacing w:after="0"/>
              <w:rPr>
                <w:sz w:val="20"/>
                <w:szCs w:val="20"/>
                <w:color w:val="auto"/>
              </w:rPr>
            </w:pPr>
            <w:r>
              <w:rPr>
                <w:rFonts w:ascii="Arial" w:cs="Arial" w:eastAsia="Arial" w:hAnsi="Arial"/>
                <w:sz w:val="14"/>
                <w:szCs w:val="14"/>
                <w:color w:val="auto"/>
              </w:rPr>
              <w:t>Net income as a percent of net</w:t>
            </w: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80" w:type="dxa"/>
            <w:vAlign w:val="bottom"/>
          </w:tcPr>
          <w:p>
            <w:pPr>
              <w:ind w:left="20"/>
              <w:spacing w:after="0"/>
              <w:rPr>
                <w:sz w:val="20"/>
                <w:szCs w:val="20"/>
                <w:color w:val="auto"/>
              </w:rPr>
            </w:pPr>
            <w:r>
              <w:rPr>
                <w:rFonts w:ascii="Arial" w:cs="Arial" w:eastAsia="Arial" w:hAnsi="Arial"/>
                <w:sz w:val="14"/>
                <w:szCs w:val="14"/>
                <w:color w:val="auto"/>
              </w:rPr>
              <w:t>revenue</w:t>
            </w:r>
          </w:p>
        </w:tc>
        <w:tc>
          <w:tcPr>
            <w:tcW w:w="780" w:type="dxa"/>
            <w:vAlign w:val="bottom"/>
          </w:tcPr>
          <w:p>
            <w:pPr>
              <w:jc w:val="right"/>
              <w:spacing w:after="0"/>
              <w:rPr>
                <w:sz w:val="20"/>
                <w:szCs w:val="20"/>
                <w:color w:val="auto"/>
              </w:rPr>
            </w:pPr>
            <w:r>
              <w:rPr>
                <w:rFonts w:ascii="Arial" w:cs="Arial" w:eastAsia="Arial" w:hAnsi="Arial"/>
                <w:sz w:val="13"/>
                <w:szCs w:val="13"/>
                <w:color w:val="auto"/>
              </w:rPr>
              <w:t>1.2 %</w:t>
            </w:r>
          </w:p>
        </w:tc>
        <w:tc>
          <w:tcPr>
            <w:tcW w:w="1020" w:type="dxa"/>
            <w:vAlign w:val="bottom"/>
          </w:tcPr>
          <w:p>
            <w:pPr>
              <w:ind w:left="680"/>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2.5 %</w:t>
            </w:r>
          </w:p>
        </w:tc>
        <w:tc>
          <w:tcPr>
            <w:tcW w:w="940" w:type="dxa"/>
            <w:vAlign w:val="bottom"/>
          </w:tcPr>
          <w:p>
            <w:pPr>
              <w:jc w:val="right"/>
              <w:spacing w:after="0"/>
              <w:rPr>
                <w:sz w:val="20"/>
                <w:szCs w:val="20"/>
                <w:color w:val="auto"/>
              </w:rPr>
            </w:pPr>
            <w:r>
              <w:rPr>
                <w:rFonts w:ascii="Arial" w:cs="Arial" w:eastAsia="Arial" w:hAnsi="Arial"/>
                <w:sz w:val="13"/>
                <w:szCs w:val="13"/>
                <w:color w:val="auto"/>
              </w:rPr>
              <w:t>(0.5)%</w:t>
            </w:r>
          </w:p>
        </w:tc>
        <w:tc>
          <w:tcPr>
            <w:tcW w:w="960" w:type="dxa"/>
            <w:vAlign w:val="bottom"/>
          </w:tcPr>
          <w:p>
            <w:pPr>
              <w:jc w:val="right"/>
              <w:spacing w:after="0"/>
              <w:rPr>
                <w:sz w:val="20"/>
                <w:szCs w:val="20"/>
                <w:color w:val="auto"/>
              </w:rPr>
            </w:pPr>
            <w:r>
              <w:rPr>
                <w:rFonts w:ascii="Arial" w:cs="Arial" w:eastAsia="Arial" w:hAnsi="Arial"/>
                <w:sz w:val="13"/>
                <w:szCs w:val="13"/>
                <w:color w:val="auto"/>
              </w:rPr>
              <w:t>(1.6)%</w:t>
            </w:r>
          </w:p>
        </w:tc>
        <w:tc>
          <w:tcPr>
            <w:tcW w:w="880" w:type="dxa"/>
            <w:vAlign w:val="bottom"/>
          </w:tcPr>
          <w:p>
            <w:pPr>
              <w:jc w:val="right"/>
              <w:spacing w:after="0"/>
              <w:rPr>
                <w:sz w:val="20"/>
                <w:szCs w:val="20"/>
                <w:color w:val="auto"/>
              </w:rPr>
            </w:pPr>
            <w:r>
              <w:rPr>
                <w:rFonts w:ascii="Arial" w:cs="Arial" w:eastAsia="Arial" w:hAnsi="Arial"/>
                <w:sz w:val="13"/>
                <w:szCs w:val="13"/>
                <w:color w:val="auto"/>
              </w:rPr>
              <w:t>2.3 %</w:t>
            </w:r>
          </w:p>
        </w:tc>
        <w:tc>
          <w:tcPr>
            <w:tcW w:w="1020" w:type="dxa"/>
            <w:vAlign w:val="bottom"/>
          </w:tcPr>
          <w:p>
            <w:pPr>
              <w:jc w:val="right"/>
              <w:spacing w:after="0"/>
              <w:rPr>
                <w:sz w:val="20"/>
                <w:szCs w:val="20"/>
                <w:color w:val="auto"/>
              </w:rPr>
            </w:pPr>
            <w:r>
              <w:rPr>
                <w:rFonts w:ascii="Arial" w:cs="Arial" w:eastAsia="Arial" w:hAnsi="Arial"/>
                <w:sz w:val="13"/>
                <w:szCs w:val="13"/>
                <w:color w:val="auto"/>
              </w:rPr>
              <w:t>4.2 %</w:t>
            </w:r>
          </w:p>
        </w:tc>
        <w:tc>
          <w:tcPr>
            <w:tcW w:w="940" w:type="dxa"/>
            <w:vAlign w:val="bottom"/>
          </w:tcPr>
          <w:p>
            <w:pPr>
              <w:jc w:val="right"/>
              <w:spacing w:after="0"/>
              <w:rPr>
                <w:sz w:val="20"/>
                <w:szCs w:val="20"/>
                <w:color w:val="auto"/>
              </w:rPr>
            </w:pPr>
            <w:r>
              <w:rPr>
                <w:rFonts w:ascii="Arial" w:cs="Arial" w:eastAsia="Arial" w:hAnsi="Arial"/>
                <w:sz w:val="13"/>
                <w:szCs w:val="13"/>
                <w:color w:val="auto"/>
              </w:rPr>
              <w:t>0.6 %</w:t>
            </w:r>
          </w:p>
        </w:tc>
        <w:tc>
          <w:tcPr>
            <w:tcW w:w="900" w:type="dxa"/>
            <w:vAlign w:val="bottom"/>
          </w:tcPr>
          <w:p>
            <w:pPr>
              <w:jc w:val="right"/>
              <w:spacing w:after="0"/>
              <w:rPr>
                <w:sz w:val="20"/>
                <w:szCs w:val="20"/>
                <w:color w:val="auto"/>
              </w:rPr>
            </w:pPr>
            <w:r>
              <w:rPr>
                <w:rFonts w:ascii="Arial" w:cs="Arial" w:eastAsia="Arial" w:hAnsi="Arial"/>
                <w:sz w:val="13"/>
                <w:szCs w:val="13"/>
                <w:color w:val="auto"/>
              </w:rPr>
              <w:t>2.0 %</w:t>
            </w:r>
          </w:p>
        </w:tc>
        <w:tc>
          <w:tcPr>
            <w:tcW w:w="800" w:type="dxa"/>
            <w:vAlign w:val="bottom"/>
          </w:tcPr>
          <w:p>
            <w:pPr>
              <w:jc w:val="right"/>
              <w:spacing w:after="0"/>
              <w:rPr>
                <w:sz w:val="20"/>
                <w:szCs w:val="20"/>
                <w:color w:val="auto"/>
              </w:rPr>
            </w:pPr>
            <w:r>
              <w:rPr>
                <w:rFonts w:ascii="Arial" w:cs="Arial" w:eastAsia="Arial" w:hAnsi="Arial"/>
                <w:sz w:val="13"/>
                <w:szCs w:val="13"/>
                <w:color w:val="auto"/>
              </w:rPr>
              <w:t>10.8 %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$0.06</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$0.11</w:t>
            </w:r>
          </w:p>
        </w:tc>
        <w:tc>
          <w:tcPr>
            <w:tcW w:w="940" w:type="dxa"/>
            <w:vAlign w:val="bottom"/>
          </w:tcPr>
          <w:p>
            <w:pPr>
              <w:jc w:val="right"/>
              <w:spacing w:after="0"/>
              <w:rPr>
                <w:sz w:val="20"/>
                <w:szCs w:val="20"/>
                <w:color w:val="auto"/>
              </w:rPr>
            </w:pPr>
            <w:r>
              <w:rPr>
                <w:rFonts w:ascii="Arial" w:cs="Arial" w:eastAsia="Arial" w:hAnsi="Arial"/>
                <w:sz w:val="13"/>
                <w:szCs w:val="13"/>
                <w:color w:val="auto"/>
              </w:rPr>
              <w:t>$(0.02)</w:t>
            </w:r>
          </w:p>
        </w:tc>
        <w:tc>
          <w:tcPr>
            <w:tcW w:w="960" w:type="dxa"/>
            <w:vAlign w:val="bottom"/>
          </w:tcPr>
          <w:p>
            <w:pPr>
              <w:jc w:val="right"/>
              <w:spacing w:after="0"/>
              <w:rPr>
                <w:sz w:val="20"/>
                <w:szCs w:val="20"/>
                <w:color w:val="auto"/>
              </w:rPr>
            </w:pPr>
            <w:r>
              <w:rPr>
                <w:rFonts w:ascii="Arial" w:cs="Arial" w:eastAsia="Arial" w:hAnsi="Arial"/>
                <w:sz w:val="13"/>
                <w:szCs w:val="13"/>
                <w:color w:val="auto"/>
              </w:rPr>
              <w:t>$(0.07)</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$0.10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$0.19</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$0.03</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$0.09</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$0.48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March 31, 2022 include:</w:t>
      </w:r>
    </w:p>
    <w:p>
      <w:pPr>
        <w:spacing w:after="0" w:line="60" w:lineRule="exact"/>
        <w:rPr>
          <w:sz w:val="20"/>
          <w:szCs w:val="20"/>
          <w:color w:val="auto"/>
        </w:rPr>
      </w:pPr>
    </w:p>
    <w:p>
      <w:pPr>
        <w:ind w:left="360" w:hanging="334"/>
        <w:spacing w:after="0"/>
        <w:tabs>
          <w:tab w:leader="none" w:pos="36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Restructuring expenses related to organizational changes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Includes depreciation and amortization associated with purchase price accounting</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Mark-to-market adjustment for the exchangeable option feature and capped call derivatives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Remeasurement of contingent consideration related to acquisitions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3T Heater-Cooler litigation provision, legal expenses primarily related to 3T Heater-Cooler defense, costs related to the SNIA matter and MDR costs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Non-cash expenses associated with stock-based compensation costs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Discrete tax items and the tax impact of intercompany transactions</w:t>
      </w:r>
    </w:p>
    <w:p>
      <w:pPr>
        <w:spacing w:after="0" w:line="41" w:lineRule="exact"/>
        <w:rPr>
          <w:rFonts w:ascii="Arial" w:cs="Arial" w:eastAsia="Arial" w:hAnsi="Arial"/>
          <w:sz w:val="14"/>
          <w:szCs w:val="14"/>
          <w:b w:val="1"/>
          <w:bCs w:val="1"/>
          <w:color w:val="auto"/>
        </w:rPr>
      </w:pPr>
    </w:p>
    <w:p>
      <w:pPr>
        <w:ind w:left="360" w:hanging="334"/>
        <w:spacing w:after="0"/>
        <w:tabs>
          <w:tab w:leader="none" w:pos="36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Non-cash interest expense on the Cash Exchangeable Senior Notes and interest on the 2022 Bridge Loan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815" w:right="339" w:bottom="1440" w:gutter="0" w:footer="0" w:header="0"/>
        </w:sectPr>
      </w:pPr>
    </w:p>
    <w:bookmarkStart w:id="15" w:name="page16"/>
    <w:bookmarkEnd w:id="1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b w:val="1"/>
                <w:bCs w:val="1"/>
                <w:color w:val="auto"/>
              </w:rPr>
              <w:t>LIVANOVA PLC AND SUBSIDIARIES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 - UNAUDITED</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8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22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March 31, 2023</w:t>
            </w:r>
          </w:p>
        </w:tc>
        <w:tc>
          <w:tcPr>
            <w:tcW w:w="21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30"/>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40" w:type="dxa"/>
            <w:vAlign w:val="bottom"/>
            <w:gridSpan w:val="2"/>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780" w:type="dxa"/>
            <w:vAlign w:val="bottom"/>
            <w:vMerge w:val="continue"/>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160" w:type="dxa"/>
            <w:vAlign w:val="bottom"/>
          </w:tcPr>
          <w:p>
            <w:pPr>
              <w:jc w:val="right"/>
              <w:spacing w:after="0"/>
              <w:rPr>
                <w:sz w:val="20"/>
                <w:szCs w:val="20"/>
                <w:color w:val="auto"/>
              </w:rPr>
            </w:pPr>
            <w:r>
              <w:rPr>
                <w:rFonts w:ascii="Arial" w:cs="Arial" w:eastAsia="Arial" w:hAnsi="Arial"/>
                <w:sz w:val="18"/>
                <w:szCs w:val="18"/>
                <w:color w:val="auto"/>
              </w:rPr>
              <w:t>$214.3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160" w:type="dxa"/>
            <w:vAlign w:val="bottom"/>
          </w:tcPr>
          <w:p>
            <w:pPr>
              <w:jc w:val="right"/>
              <w:spacing w:after="0"/>
              <w:rPr>
                <w:sz w:val="20"/>
                <w:szCs w:val="20"/>
                <w:color w:val="auto"/>
              </w:rPr>
            </w:pPr>
            <w:r>
              <w:rPr>
                <w:rFonts w:ascii="Arial" w:cs="Arial" w:eastAsia="Arial" w:hAnsi="Arial"/>
                <w:sz w:val="18"/>
                <w:szCs w:val="18"/>
                <w:color w:val="auto"/>
              </w:rPr>
              <w:t>308.6</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Accounts receivable, net of allowance</w:t>
            </w:r>
          </w:p>
        </w:tc>
        <w:tc>
          <w:tcPr>
            <w:tcW w:w="216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160" w:type="dxa"/>
            <w:vAlign w:val="bottom"/>
          </w:tcPr>
          <w:p>
            <w:pPr>
              <w:jc w:val="right"/>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Prepaid and refundable taxes</w:t>
            </w:r>
          </w:p>
        </w:tc>
        <w:tc>
          <w:tcPr>
            <w:tcW w:w="216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903.0</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886.1</w:t>
            </w:r>
          </w:p>
        </w:tc>
        <w:tc>
          <w:tcPr>
            <w:tcW w:w="0" w:type="dxa"/>
            <w:vAlign w:val="bottom"/>
          </w:tcPr>
          <w:p>
            <w:pPr>
              <w:spacing w:after="0"/>
              <w:rPr>
                <w:sz w:val="1"/>
                <w:szCs w:val="1"/>
                <w:color w:val="auto"/>
              </w:rPr>
            </w:pPr>
          </w:p>
        </w:tc>
      </w:tr>
      <w:tr>
        <w:trPr>
          <w:trHeight w:val="223"/>
        </w:trPr>
        <w:tc>
          <w:tcPr>
            <w:tcW w:w="678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tcPr>
          <w:p>
            <w:pPr>
              <w:jc w:val="right"/>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160" w:type="dxa"/>
            <w:vAlign w:val="bottom"/>
          </w:tcPr>
          <w:p>
            <w:pPr>
              <w:jc w:val="right"/>
              <w:spacing w:after="0"/>
              <w:rPr>
                <w:sz w:val="20"/>
                <w:szCs w:val="20"/>
                <w:color w:val="auto"/>
              </w:rPr>
            </w:pPr>
            <w:r>
              <w:rPr>
                <w:rFonts w:ascii="Arial" w:cs="Arial" w:eastAsia="Arial" w:hAnsi="Arial"/>
                <w:sz w:val="18"/>
                <w:szCs w:val="18"/>
                <w:color w:val="auto"/>
              </w:rPr>
              <w:t>774.4</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160" w:type="dxa"/>
            <w:vAlign w:val="bottom"/>
          </w:tcPr>
          <w:p>
            <w:pPr>
              <w:jc w:val="right"/>
              <w:spacing w:after="0"/>
              <w:rPr>
                <w:sz w:val="20"/>
                <w:szCs w:val="20"/>
                <w:color w:val="auto"/>
              </w:rPr>
            </w:pPr>
            <w:r>
              <w:rPr>
                <w:rFonts w:ascii="Arial" w:cs="Arial" w:eastAsia="Arial" w:hAnsi="Arial"/>
                <w:sz w:val="18"/>
                <w:szCs w:val="18"/>
                <w:color w:val="auto"/>
              </w:rPr>
              <w:t>364.1</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Long-term derivative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$2,294.9</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$2,294.8</w:t>
            </w:r>
          </w:p>
        </w:tc>
        <w:tc>
          <w:tcPr>
            <w:tcW w:w="0" w:type="dxa"/>
            <w:vAlign w:val="bottom"/>
          </w:tcPr>
          <w:p>
            <w:pPr>
              <w:spacing w:after="0"/>
              <w:rPr>
                <w:sz w:val="1"/>
                <w:szCs w:val="1"/>
                <w:color w:val="auto"/>
              </w:rPr>
            </w:pPr>
          </w:p>
        </w:tc>
      </w:tr>
      <w:tr>
        <w:trPr>
          <w:trHeight w:val="21"/>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78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Current debt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16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Accrued liabilities and other</w:t>
            </w:r>
          </w:p>
        </w:tc>
        <w:tc>
          <w:tcPr>
            <w:tcW w:w="2160" w:type="dxa"/>
            <w:vAlign w:val="bottom"/>
          </w:tcPr>
          <w:p>
            <w:pPr>
              <w:jc w:val="right"/>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Current litigation provision liability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216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Accrued employee compensation and related benefits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316.1</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297.4</w:t>
            </w:r>
          </w:p>
        </w:tc>
        <w:tc>
          <w:tcPr>
            <w:tcW w:w="0" w:type="dxa"/>
            <w:vAlign w:val="bottom"/>
          </w:tcPr>
          <w:p>
            <w:pPr>
              <w:spacing w:after="0"/>
              <w:rPr>
                <w:sz w:val="1"/>
                <w:szCs w:val="1"/>
                <w:color w:val="auto"/>
              </w:rPr>
            </w:pPr>
          </w:p>
        </w:tc>
      </w:tr>
      <w:tr>
        <w:trPr>
          <w:trHeight w:val="223"/>
        </w:trPr>
        <w:tc>
          <w:tcPr>
            <w:tcW w:w="6780" w:type="dxa"/>
            <w:vAlign w:val="bottom"/>
          </w:tcPr>
          <w:p>
            <w:pPr>
              <w:ind w:left="220"/>
              <w:spacing w:after="0"/>
              <w:rPr>
                <w:sz w:val="20"/>
                <w:szCs w:val="20"/>
                <w:color w:val="auto"/>
              </w:rPr>
            </w:pPr>
            <w:r>
              <w:rPr>
                <w:rFonts w:ascii="Arial" w:cs="Arial" w:eastAsia="Arial" w:hAnsi="Arial"/>
                <w:sz w:val="18"/>
                <w:szCs w:val="18"/>
                <w:color w:val="auto"/>
              </w:rPr>
              <w:t>Long-term debt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520.2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2160" w:type="dxa"/>
            <w:vAlign w:val="bottom"/>
          </w:tcPr>
          <w:p>
            <w:pPr>
              <w:jc w:val="right"/>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Long-term operating lease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Long-term employee compensation and related benefits</w:t>
            </w:r>
          </w:p>
        </w:tc>
        <w:tc>
          <w:tcPr>
            <w:tcW w:w="216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Long-term derivative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1,067.5</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1,207.6</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$2,294.9</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precisely due to rounding.</w:t>
      </w: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80"/>
          </w:cols>
          <w:pgMar w:left="360" w:top="144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2"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b w:val="1"/>
          <w:bCs w:val="1"/>
          <w:color w:val="auto"/>
        </w:rPr>
        <w:t>CONDENSED CONSOLIDATED STATEMENTS OF CASH FLOWS - UNAUDITED (U.S. dollars in millions)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Non-cash items included in net income: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Remeasurement of derivative instruments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of debt issuance costs</w:t>
      </w:r>
    </w:p>
    <w:p>
      <w:pPr>
        <w:spacing w:after="0" w:line="23" w:lineRule="exact"/>
        <w:rPr>
          <w:sz w:val="20"/>
          <w:szCs w:val="20"/>
          <w:color w:val="auto"/>
        </w:rPr>
      </w:pPr>
    </w:p>
    <w:p>
      <w:pPr>
        <w:ind w:left="220" w:right="2060"/>
        <w:spacing w:after="0" w:line="282" w:lineRule="auto"/>
        <w:rPr>
          <w:sz w:val="20"/>
          <w:szCs w:val="20"/>
          <w:color w:val="auto"/>
        </w:rPr>
      </w:pPr>
      <w:r>
        <w:rPr>
          <w:rFonts w:ascii="Arial" w:cs="Arial" w:eastAsia="Arial" w:hAnsi="Arial"/>
          <w:sz w:val="18"/>
          <w:szCs w:val="18"/>
          <w:color w:val="auto"/>
        </w:rPr>
        <w:t>Remeasurement of contingent consideration to fair value Amortization of operating lease assets Other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operating assets and liabilities: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current and non-current assets</w:t>
      </w:r>
    </w:p>
    <w:p>
      <w:pPr>
        <w:spacing w:after="0" w:line="23" w:lineRule="exact"/>
        <w:rPr>
          <w:sz w:val="20"/>
          <w:szCs w:val="20"/>
          <w:color w:val="auto"/>
        </w:rPr>
      </w:pPr>
    </w:p>
    <w:p>
      <w:pPr>
        <w:ind w:left="120" w:right="1560"/>
        <w:spacing w:after="0" w:line="266" w:lineRule="auto"/>
        <w:rPr>
          <w:sz w:val="20"/>
          <w:szCs w:val="20"/>
          <w:color w:val="auto"/>
        </w:rPr>
      </w:pPr>
      <w:r>
        <w:rPr>
          <w:rFonts w:ascii="Arial" w:cs="Arial" w:eastAsia="Arial" w:hAnsi="Arial"/>
          <w:sz w:val="18"/>
          <w:szCs w:val="18"/>
          <w:color w:val="auto"/>
        </w:rPr>
        <w:t>Accounts payable and accrued current and non-current liabilities Taxes payable</w:t>
      </w:r>
    </w:p>
    <w:p>
      <w:pPr>
        <w:ind w:left="120"/>
        <w:spacing w:after="0"/>
        <w:rPr>
          <w:sz w:val="20"/>
          <w:szCs w:val="20"/>
          <w:color w:val="auto"/>
        </w:rPr>
      </w:pPr>
      <w:r>
        <w:rPr>
          <w:rFonts w:ascii="Arial" w:cs="Arial" w:eastAsia="Arial" w:hAnsi="Arial"/>
          <w:sz w:val="18"/>
          <w:szCs w:val="18"/>
          <w:color w:val="auto"/>
        </w:rPr>
        <w:t>Litigation provision liability</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Purchases of property, plant and equipment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 of investments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Repayments of short-term borrowings (maturities greater than 90 days)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Repayment of long-term debt obligations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repurchased from employees for minimum tax withholding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from long-term debt obligations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 of debt issuance costs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Net cash (used in) provided by financing activities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 cash equivalents and restricted cash</w:t>
      </w:r>
    </w:p>
    <w:p>
      <w:pPr>
        <w:spacing w:after="0" w:line="14" w:lineRule="exact"/>
        <w:rPr>
          <w:sz w:val="20"/>
          <w:szCs w:val="20"/>
          <w:color w:val="auto"/>
        </w:rPr>
      </w:pPr>
    </w:p>
    <w:p>
      <w:pPr>
        <w:ind w:right="1480" w:firstLine="324"/>
        <w:spacing w:after="0" w:line="302" w:lineRule="auto"/>
        <w:rPr>
          <w:sz w:val="20"/>
          <w:szCs w:val="20"/>
          <w:color w:val="auto"/>
        </w:rPr>
      </w:pPr>
      <w:r>
        <w:rPr>
          <w:rFonts w:ascii="Arial" w:cs="Arial" w:eastAsia="Arial" w:hAnsi="Arial"/>
          <w:sz w:val="18"/>
          <w:szCs w:val="18"/>
          <w:b w:val="1"/>
          <w:bCs w:val="1"/>
          <w:color w:val="auto"/>
        </w:rPr>
        <w:t xml:space="preserve">Net increase in cash, cash equivalents and restricted cash </w:t>
      </w:r>
      <w:r>
        <w:rPr>
          <w:rFonts w:ascii="Arial" w:cs="Arial" w:eastAsia="Arial" w:hAnsi="Arial"/>
          <w:sz w:val="18"/>
          <w:szCs w:val="18"/>
          <w:color w:val="auto"/>
        </w:rPr>
        <w:t>Cash, cash equivalents and restricted cash at beginning of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439"/>
        </w:trPr>
        <w:tc>
          <w:tcPr>
            <w:tcW w:w="18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9"/>
        </w:trPr>
        <w:tc>
          <w:tcPr>
            <w:tcW w:w="18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18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18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8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18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18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1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59"/>
        </w:trPr>
        <w:tc>
          <w:tcPr>
            <w:tcW w:w="18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8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18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1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439"/>
        </w:trPr>
        <w:tc>
          <w:tcPr>
            <w:tcW w:w="18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8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439"/>
        </w:trPr>
        <w:tc>
          <w:tcPr>
            <w:tcW w:w="1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218.3</w:t>
            </w: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r>
      <w:tr>
        <w:trPr>
          <w:trHeight w:val="223"/>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18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234.4</w:t>
            </w:r>
          </w:p>
        </w:tc>
      </w:tr>
      <w:tr>
        <w:trPr>
          <w:trHeight w:val="229"/>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r>
      <w:tr>
        <w:trPr>
          <w:trHeight w:val="223"/>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w:t>
            </w: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ectPr>
          <w:pgSz w:w="11900" w:h="16838" w:orient="portrait"/>
          <w:cols w:equalWidth="0" w:num="2">
            <w:col w:w="6800" w:space="720"/>
            <w:col w:w="3700"/>
          </w:cols>
          <w:pgMar w:left="340" w:top="643"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Numbers may not add precisely due to rounding.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14</w:t>
      </w:r>
    </w:p>
    <w:sectPr>
      <w:pgSz w:w="11900" w:h="16838" w:orient="portrait"/>
      <w:cols w:equalWidth="0" w:num="2">
        <w:col w:w="4760" w:space="720"/>
        <w:col w:w="5740"/>
      </w:cols>
      <w:pgMar w:left="340" w:top="6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upperLetter"/>
      <w:start w:val="1"/>
    </w:lvl>
  </w:abstractNum>
  <w:abstractNum w:abstractNumId="10">
    <w:nsid w:val="1F16E9E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2023-05-03T05:42:14Z</dcterms:created>
  <dcterms:modified xsi:type="dcterms:W3CDTF">2023-05-03T05:42:14Z</dcterms:modified>
</cp:coreProperties>
</file>