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tabs>
          <w:tab w:leader="none" w:pos="4400" w:val="left"/>
          <w:tab w:leader="none" w:pos="79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13</w:t>
      </w:r>
    </w:p>
    <w:p>
      <w:pPr>
        <w:spacing w:after="0" w:line="200" w:lineRule="exact"/>
        <w:rPr>
          <w:sz w:val="24"/>
          <w:szCs w:val="24"/>
          <w:color w:val="auto"/>
        </w:rPr>
      </w:pPr>
    </w:p>
    <w:p>
      <w:pPr>
        <w:spacing w:after="0" w:line="312" w:lineRule="exact"/>
        <w:rPr>
          <w:sz w:val="24"/>
          <w:szCs w:val="24"/>
          <w:color w:val="auto"/>
        </w:rPr>
      </w:pPr>
    </w:p>
    <w:p>
      <w:pPr>
        <w:jc w:val="center"/>
        <w:ind w:right="65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53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61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40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5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639"/>
        <w:spacing w:after="0"/>
        <w:rPr>
          <w:sz w:val="20"/>
          <w:szCs w:val="20"/>
          <w:color w:val="auto"/>
        </w:rPr>
      </w:pPr>
      <w:r>
        <w:rPr>
          <w:rFonts w:ascii="Courier New" w:cs="Courier New" w:eastAsia="Courier New" w:hAnsi="Courier New"/>
          <w:sz w:val="18"/>
          <w:szCs w:val="18"/>
          <w:color w:val="auto"/>
        </w:rPr>
        <w:t>(Amendment No. 1)*</w:t>
      </w:r>
    </w:p>
    <w:p>
      <w:pPr>
        <w:spacing w:after="0" w:line="223" w:lineRule="exact"/>
        <w:rPr>
          <w:sz w:val="24"/>
          <w:szCs w:val="24"/>
          <w:color w:val="auto"/>
        </w:rPr>
      </w:pPr>
    </w:p>
    <w:p>
      <w:pPr>
        <w:jc w:val="center"/>
        <w:ind w:right="659"/>
        <w:spacing w:after="0"/>
        <w:rPr>
          <w:sz w:val="20"/>
          <w:szCs w:val="20"/>
          <w:color w:val="auto"/>
        </w:rPr>
      </w:pPr>
      <w:r>
        <w:rPr>
          <w:rFonts w:ascii="Courier New" w:cs="Courier New" w:eastAsia="Courier New" w:hAnsi="Courier New"/>
          <w:sz w:val="18"/>
          <w:szCs w:val="18"/>
          <w:color w:val="auto"/>
        </w:rPr>
        <w:t>LivaNova PLC</w:t>
      </w:r>
    </w:p>
    <w:p>
      <w:pPr>
        <w:spacing w:after="0" w:line="58" w:lineRule="exact"/>
        <w:rPr>
          <w:sz w:val="24"/>
          <w:szCs w:val="24"/>
          <w:color w:val="auto"/>
        </w:rPr>
      </w:pPr>
    </w:p>
    <w:p>
      <w:pPr>
        <w:jc w:val="center"/>
        <w:ind w:right="6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499"/>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71" w:lineRule="exact"/>
        <w:rPr>
          <w:sz w:val="24"/>
          <w:szCs w:val="24"/>
          <w:color w:val="auto"/>
        </w:rPr>
      </w:pPr>
    </w:p>
    <w:p>
      <w:pPr>
        <w:jc w:val="center"/>
        <w:ind w:right="5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679"/>
        <w:spacing w:after="0"/>
        <w:rPr>
          <w:sz w:val="20"/>
          <w:szCs w:val="20"/>
          <w:color w:val="auto"/>
        </w:rPr>
      </w:pPr>
      <w:r>
        <w:rPr>
          <w:rFonts w:ascii="Courier New" w:cs="Courier New" w:eastAsia="Courier New" w:hAnsi="Courier New"/>
          <w:sz w:val="18"/>
          <w:szCs w:val="18"/>
          <w:color w:val="auto"/>
        </w:rPr>
        <w:t>G5509L101</w:t>
      </w:r>
    </w:p>
    <w:p>
      <w:pPr>
        <w:spacing w:after="0" w:line="24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jc w:val="center"/>
        <w:ind w:right="639"/>
        <w:spacing w:after="0"/>
        <w:rPr>
          <w:sz w:val="20"/>
          <w:szCs w:val="20"/>
          <w:color w:val="auto"/>
        </w:rPr>
      </w:pPr>
      <w:r>
        <w:rPr>
          <w:rFonts w:ascii="Courier New" w:cs="Courier New" w:eastAsia="Courier New" w:hAnsi="Courier New"/>
          <w:sz w:val="18"/>
          <w:szCs w:val="18"/>
          <w:color w:val="auto"/>
        </w:rPr>
        <w:t>December 31, 2020</w:t>
      </w:r>
    </w:p>
    <w:p>
      <w:pPr>
        <w:spacing w:after="0" w:line="44"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0"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92" w:lineRule="exact"/>
        <w:rPr>
          <w:sz w:val="24"/>
          <w:szCs w:val="24"/>
          <w:color w:val="auto"/>
        </w:rPr>
      </w:pPr>
    </w:p>
    <w:p>
      <w:pPr>
        <w:jc w:val="both"/>
        <w:ind w:left="300" w:right="7879" w:firstLine="8"/>
        <w:spacing w:after="0" w:line="258" w:lineRule="exact"/>
        <w:tabs>
          <w:tab w:leader="none" w:pos="7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70" w:lineRule="exact"/>
        <w:rPr>
          <w:sz w:val="24"/>
          <w:szCs w:val="24"/>
          <w:color w:val="auto"/>
        </w:rPr>
      </w:pPr>
    </w:p>
    <w:p>
      <w:pPr>
        <w:ind w:right="55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jc w:val="both"/>
        <w:ind w:right="75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612775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714" w:right="1440" w:bottom="1440" w:gutter="0" w:footer="0" w:header="0"/>
        </w:sectPr>
      </w:pPr>
    </w:p>
    <w:bookmarkStart w:id="1" w:name="page2"/>
    <w:bookmarkEnd w:id="1"/>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13</w:t>
      </w:r>
    </w:p>
    <w:p>
      <w:pPr>
        <w:spacing w:after="0" w:line="200" w:lineRule="exact"/>
        <w:rPr>
          <w:sz w:val="20"/>
          <w:szCs w:val="20"/>
          <w:color w:val="auto"/>
        </w:rPr>
      </w:pPr>
    </w:p>
    <w:p>
      <w:pPr>
        <w:spacing w:after="0" w:line="312" w:lineRule="exact"/>
        <w:rPr>
          <w:sz w:val="20"/>
          <w:szCs w:val="20"/>
          <w:color w:val="auto"/>
        </w:rPr>
      </w:pPr>
    </w:p>
    <w:p>
      <w:pPr>
        <w:ind w:left="600" w:right="6159" w:hanging="592"/>
        <w:spacing w:after="0" w:line="563" w:lineRule="auto"/>
        <w:tabs>
          <w:tab w:leader="none" w:pos="6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32"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340" w:hanging="732"/>
        <w:spacing w:after="0"/>
        <w:tabs>
          <w:tab w:leader="none" w:pos="13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6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64"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77"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1340" w:hanging="732"/>
        <w:spacing w:after="0"/>
        <w:tabs>
          <w:tab w:leader="none" w:pos="13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77"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(See Item 4)</w:t>
      </w:r>
    </w:p>
    <w:p>
      <w:pPr>
        <w:spacing w:after="0" w:line="98"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6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701,035</w:t>
      </w:r>
    </w:p>
    <w:p>
      <w:pPr>
        <w:spacing w:after="0" w:line="242" w:lineRule="exact"/>
        <w:rPr>
          <w:sz w:val="20"/>
          <w:szCs w:val="20"/>
          <w:color w:val="auto"/>
        </w:rPr>
      </w:pPr>
    </w:p>
    <w:p>
      <w:pPr>
        <w:ind w:left="660" w:right="3839" w:hanging="652"/>
        <w:spacing w:after="0" w:line="387"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60" w:right="3839" w:hanging="652"/>
        <w:spacing w:after="0" w:line="532"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w:t>
      </w:r>
    </w:p>
    <w:p>
      <w:pPr>
        <w:ind w:left="660" w:right="6479" w:hanging="652"/>
        <w:spacing w:after="0" w:line="727" w:lineRule="auto"/>
        <w:tabs>
          <w:tab w:leader="none" w:pos="64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-60960</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849" w:right="1440" w:bottom="1440" w:gutter="0" w:footer="0" w:header="0"/>
        </w:sectPr>
      </w:pPr>
    </w:p>
    <w:bookmarkStart w:id="2" w:name="page3"/>
    <w:bookmarkEnd w:id="2"/>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13</w:t>
      </w:r>
    </w:p>
    <w:p>
      <w:pPr>
        <w:spacing w:after="0" w:line="200" w:lineRule="exact"/>
        <w:rPr>
          <w:sz w:val="20"/>
          <w:szCs w:val="20"/>
          <w:color w:val="auto"/>
        </w:rPr>
      </w:pPr>
    </w:p>
    <w:p>
      <w:pPr>
        <w:spacing w:after="0" w:line="339" w:lineRule="exact"/>
        <w:rPr>
          <w:sz w:val="20"/>
          <w:szCs w:val="20"/>
          <w:color w:val="auto"/>
        </w:rPr>
      </w:pPr>
    </w:p>
    <w:p>
      <w:pPr>
        <w:ind w:left="600" w:right="6159" w:hanging="592"/>
        <w:spacing w:after="0" w:line="588" w:lineRule="auto"/>
        <w:tabs>
          <w:tab w:leader="none" w:pos="6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63" w:lineRule="auto"/>
        <w:tabs>
          <w:tab w:leader="none" w:pos="1232"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5879" w:hanging="592"/>
        <w:spacing w:after="0" w:line="532" w:lineRule="auto"/>
        <w:tabs>
          <w:tab w:leader="none" w:pos="123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660" w:right="2679" w:hanging="652"/>
        <w:spacing w:after="0" w:line="532" w:lineRule="auto"/>
        <w:tabs>
          <w:tab w:leader="none" w:pos="63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701,035</w:t>
      </w: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298" w:lineRule="exact"/>
        <w:rPr>
          <w:sz w:val="20"/>
          <w:szCs w:val="20"/>
          <w:color w:val="auto"/>
        </w:rPr>
      </w:pPr>
    </w:p>
    <w:p>
      <w:pPr>
        <w:ind w:left="600" w:right="3839" w:hanging="592"/>
        <w:spacing w:after="0" w:line="532"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w:t>
      </w: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249555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889" w:right="1440" w:bottom="1440" w:gutter="0" w:footer="0" w:header="0"/>
        </w:sectPr>
      </w:pPr>
    </w:p>
    <w:bookmarkStart w:id="3" w:name="page4"/>
    <w:bookmarkEnd w:id="3"/>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13</w:t>
      </w:r>
    </w:p>
    <w:p>
      <w:pPr>
        <w:spacing w:after="0" w:line="200" w:lineRule="exact"/>
        <w:rPr>
          <w:sz w:val="20"/>
          <w:szCs w:val="20"/>
          <w:color w:val="auto"/>
        </w:rPr>
      </w:pPr>
    </w:p>
    <w:p>
      <w:pPr>
        <w:spacing w:after="0" w:line="352" w:lineRule="exact"/>
        <w:rPr>
          <w:sz w:val="20"/>
          <w:szCs w:val="20"/>
          <w:color w:val="auto"/>
        </w:rPr>
      </w:pPr>
    </w:p>
    <w:p>
      <w:pPr>
        <w:ind w:left="600" w:right="6159" w:hanging="592"/>
        <w:spacing w:after="0" w:line="588" w:lineRule="auto"/>
        <w:tabs>
          <w:tab w:leader="none" w:pos="6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20" w:hanging="412"/>
        <w:spacing w:after="0"/>
        <w:tabs>
          <w:tab w:leader="none" w:pos="10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600" w:right="5199" w:hanging="592"/>
        <w:spacing w:after="0" w:line="556"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69" w:lineRule="exact"/>
        <w:rPr>
          <w:sz w:val="20"/>
          <w:szCs w:val="20"/>
          <w:color w:val="auto"/>
        </w:rPr>
      </w:pPr>
    </w:p>
    <w:p>
      <w:pPr>
        <w:ind w:left="1200" w:right="6599" w:hanging="592"/>
        <w:spacing w:after="0" w:line="563" w:lineRule="auto"/>
        <w:tabs>
          <w:tab w:leader="none" w:pos="1232"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399" w:hanging="592"/>
        <w:spacing w:after="0" w:line="532"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079" w:hanging="592"/>
        <w:spacing w:after="0" w:line="532" w:lineRule="auto"/>
        <w:tabs>
          <w:tab w:leader="none" w:pos="12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40" w:hanging="632"/>
        <w:spacing w:after="0"/>
        <w:tabs>
          <w:tab w:leader="none" w:pos="12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98"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82"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701,035</w:t>
      </w:r>
    </w:p>
    <w:p>
      <w:pPr>
        <w:spacing w:after="0" w:line="242" w:lineRule="exact"/>
        <w:rPr>
          <w:sz w:val="20"/>
          <w:szCs w:val="20"/>
          <w:color w:val="auto"/>
        </w:rPr>
      </w:pPr>
    </w:p>
    <w:p>
      <w:pPr>
        <w:ind w:left="600" w:right="3839" w:hanging="592"/>
        <w:spacing w:after="0" w:line="38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44" w:lineRule="exact"/>
        <w:rPr>
          <w:rFonts w:ascii="Courier New" w:cs="Courier New" w:eastAsia="Courier New" w:hAnsi="Courier New"/>
          <w:sz w:val="18"/>
          <w:szCs w:val="18"/>
          <w:color w:val="auto"/>
        </w:rPr>
      </w:pPr>
    </w:p>
    <w:p>
      <w:pPr>
        <w:ind w:left="600" w:right="3839" w:hanging="592"/>
        <w:spacing w:after="0" w:line="532"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1.4%</w:t>
      </w: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249555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889" w:right="1440" w:bottom="1440" w:gutter="0" w:footer="0" w:header="0"/>
        </w:sectPr>
      </w:pPr>
    </w:p>
    <w:bookmarkStart w:id="4" w:name="page5"/>
    <w:bookmarkEnd w:id="4"/>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13</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600" w:right="7519" w:hanging="592"/>
        <w:spacing w:after="0" w:line="563" w:lineRule="auto"/>
        <w:tabs>
          <w:tab w:leader="none" w:pos="63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LivaNova PLC</w:t>
      </w: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20 Eastbourne Terrace</w:t>
      </w:r>
    </w:p>
    <w:p>
      <w:pPr>
        <w:spacing w:after="0" w:line="4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London, United Kingdom, W2 6LG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640" w:hanging="632"/>
        <w:spacing w:after="0"/>
        <w:tabs>
          <w:tab w:leader="none" w:pos="6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69" w:lineRule="exact"/>
        <w:rPr>
          <w:sz w:val="20"/>
          <w:szCs w:val="20"/>
          <w:color w:val="auto"/>
        </w:rPr>
      </w:pPr>
    </w:p>
    <w:p>
      <w:pPr>
        <w:ind w:left="600"/>
        <w:spacing w:after="0"/>
        <w:tabs>
          <w:tab w:leader="none" w:pos="13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312" w:lineRule="exact"/>
        <w:rPr>
          <w:sz w:val="20"/>
          <w:szCs w:val="20"/>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6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7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9"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86" w:lineRule="exact"/>
        <w:rPr>
          <w:sz w:val="20"/>
          <w:szCs w:val="20"/>
          <w:color w:val="auto"/>
        </w:rPr>
      </w:pPr>
    </w:p>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96"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85" w:lineRule="exact"/>
        <w:rPr>
          <w:sz w:val="20"/>
          <w:szCs w:val="20"/>
          <w:color w:val="auto"/>
        </w:rPr>
      </w:pPr>
    </w:p>
    <w:p>
      <w:pPr>
        <w:ind w:left="1140" w:hanging="532"/>
        <w:spacing w:after="0"/>
        <w:tabs>
          <w:tab w:leader="none" w:pos="11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50"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Ordinary Shares - £1.00 par value per share</w:t>
      </w:r>
    </w:p>
    <w:p>
      <w:pPr>
        <w:spacing w:after="0" w:line="242" w:lineRule="exact"/>
        <w:rPr>
          <w:sz w:val="20"/>
          <w:szCs w:val="20"/>
          <w:color w:val="auto"/>
        </w:rPr>
      </w:pPr>
    </w:p>
    <w:p>
      <w:pPr>
        <w:ind w:left="600" w:right="7739" w:hanging="592"/>
        <w:spacing w:after="0" w:line="710" w:lineRule="auto"/>
        <w:tabs>
          <w:tab w:leader="none" w:pos="63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84455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876" w:right="1440" w:bottom="1440" w:gutter="0" w:footer="0" w:header="0"/>
        </w:sectPr>
      </w:pPr>
    </w:p>
    <w:bookmarkStart w:id="5" w:name="page6"/>
    <w:bookmarkEnd w:id="5"/>
    <w:p>
      <w:pPr>
        <w:ind w:right="539"/>
        <w:spacing w:after="0" w:line="301" w:lineRule="exact"/>
        <w:rPr>
          <w:sz w:val="20"/>
          <w:szCs w:val="20"/>
          <w:color w:val="auto"/>
        </w:rPr>
      </w:pPr>
      <w:r>
        <w:rPr>
          <w:rFonts w:ascii="Courier New" w:cs="Courier New" w:eastAsia="Courier New" w:hAnsi="Courier New"/>
          <w:sz w:val="18"/>
          <w:szCs w:val="18"/>
          <w:color w:val="auto"/>
        </w:rPr>
        <w:t>CUSIP NO. G5509L101 13G Page 6 of 13 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330" w:lineRule="exact"/>
        <w:rPr>
          <w:sz w:val="20"/>
          <w:szCs w:val="20"/>
          <w:color w:val="auto"/>
        </w:rPr>
      </w:pPr>
    </w:p>
    <w:p>
      <w:pPr>
        <w:ind w:left="1120" w:hanging="412"/>
        <w:spacing w:after="0"/>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 3(a)(19) of the Act (15 U.S.C. 78c).</w:t>
      </w:r>
    </w:p>
    <w:p>
      <w:pPr>
        <w:spacing w:after="0" w:line="279" w:lineRule="exact"/>
        <w:rPr>
          <w:rFonts w:ascii="Courier New" w:cs="Courier New" w:eastAsia="Courier New" w:hAnsi="Courier New"/>
          <w:sz w:val="17"/>
          <w:szCs w:val="17"/>
          <w:color w:val="auto"/>
        </w:rPr>
      </w:pPr>
    </w:p>
    <w:p>
      <w:pPr>
        <w:ind w:left="1500" w:right="179" w:hanging="792"/>
        <w:spacing w:after="0" w:line="267" w:lineRule="exact"/>
        <w:tabs>
          <w:tab w:leader="none" w:pos="11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63" w:lineRule="exact"/>
        <w:rPr>
          <w:rFonts w:ascii="Courier New" w:cs="Courier New" w:eastAsia="Courier New" w:hAnsi="Courier New"/>
          <w:sz w:val="18"/>
          <w:szCs w:val="18"/>
          <w:color w:val="auto"/>
        </w:rPr>
      </w:pPr>
    </w:p>
    <w:p>
      <w:pPr>
        <w:ind w:left="1120" w:hanging="412"/>
        <w:spacing w:after="0" w:line="198" w:lineRule="exact"/>
        <w:tabs>
          <w:tab w:leader="none" w:pos="11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(1)(ii)(F);</w:t>
      </w:r>
    </w:p>
    <w:p>
      <w:pPr>
        <w:spacing w:after="0" w:line="209" w:lineRule="exact"/>
        <w:rPr>
          <w:rFonts w:ascii="Courier New" w:cs="Courier New" w:eastAsia="Courier New" w:hAnsi="Courier New"/>
          <w:sz w:val="17"/>
          <w:szCs w:val="17"/>
          <w:color w:val="auto"/>
        </w:rPr>
      </w:pPr>
    </w:p>
    <w:p>
      <w:pPr>
        <w:ind w:left="1120" w:hanging="412"/>
        <w:spacing w:after="0" w:line="198" w:lineRule="exact"/>
        <w:tabs>
          <w:tab w:leader="none" w:pos="11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 parent holding company or control person in accordance with §240.13d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w:t>
      </w:r>
    </w:p>
    <w:p>
      <w:pPr>
        <w:spacing w:after="0" w:line="91" w:lineRule="exact"/>
        <w:rPr>
          <w:rFonts w:ascii="Courier New" w:cs="Courier New" w:eastAsia="Courier New" w:hAnsi="Courier New"/>
          <w:sz w:val="17"/>
          <w:szCs w:val="17"/>
          <w:color w:val="auto"/>
        </w:rPr>
      </w:pPr>
    </w:p>
    <w:p>
      <w:pPr>
        <w:ind w:left="1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(1)(ii)(G);</w:t>
      </w:r>
    </w:p>
    <w:p>
      <w:pPr>
        <w:spacing w:after="0" w:line="236" w:lineRule="exact"/>
        <w:rPr>
          <w:rFonts w:ascii="Courier New" w:cs="Courier New" w:eastAsia="Courier New" w:hAnsi="Courier New"/>
          <w:sz w:val="17"/>
          <w:szCs w:val="17"/>
          <w:color w:val="auto"/>
        </w:rPr>
      </w:pPr>
    </w:p>
    <w:p>
      <w:pPr>
        <w:ind w:left="1500" w:right="499" w:hanging="792"/>
        <w:spacing w:after="0" w:line="387" w:lineRule="auto"/>
        <w:tabs>
          <w:tab w:leader="none" w:pos="11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500" w:right="179" w:hanging="792"/>
        <w:spacing w:after="0" w:line="240" w:lineRule="exact"/>
        <w:tabs>
          <w:tab w:leader="none" w:pos="11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04"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264" w:lineRule="exact"/>
        <w:rPr>
          <w:sz w:val="20"/>
          <w:szCs w:val="20"/>
          <w:color w:val="auto"/>
        </w:rPr>
      </w:pPr>
    </w:p>
    <w:p>
      <w:pPr>
        <w:ind w:left="700" w:right="679"/>
        <w:spacing w:after="0" w:line="281"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96" w:lineRule="exact"/>
        <w:rPr>
          <w:sz w:val="20"/>
          <w:szCs w:val="20"/>
          <w:color w:val="auto"/>
        </w:rPr>
      </w:pPr>
    </w:p>
    <w:p>
      <w:pPr>
        <w:ind w:left="40" w:right="219" w:hanging="26"/>
        <w:spacing w:after="0" w:line="262" w:lineRule="auto"/>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w:t>
      </w:r>
    </w:p>
    <w:p>
      <w:pPr>
        <w:spacing w:after="0" w:line="137" w:lineRule="exact"/>
        <w:rPr>
          <w:sz w:val="20"/>
          <w:szCs w:val="20"/>
          <w:color w:val="auto"/>
        </w:rPr>
      </w:pPr>
    </w:p>
    <w:p>
      <w:pPr>
        <w:ind w:left="40" w:right="219"/>
        <w:spacing w:after="0" w:line="279" w:lineRule="auto"/>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326390</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639"/>
          </w:cols>
          <w:pgMar w:left="820" w:top="606" w:right="1440" w:bottom="330" w:gutter="0" w:footer="0" w:header="0"/>
        </w:sectPr>
      </w:pPr>
    </w:p>
    <w:bookmarkStart w:id="6" w:name="page7"/>
    <w:bookmarkEnd w:id="6"/>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13</w:t>
      </w:r>
    </w:p>
    <w:p>
      <w:pPr>
        <w:spacing w:after="0" w:line="309" w:lineRule="exact"/>
        <w:rPr>
          <w:sz w:val="20"/>
          <w:szCs w:val="20"/>
          <w:color w:val="auto"/>
        </w:rPr>
      </w:pPr>
    </w:p>
    <w:p>
      <w:pPr>
        <w:ind w:left="40" w:right="259" w:hanging="26"/>
        <w:spacing w:after="0" w:line="37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w:t>
      </w:r>
    </w:p>
    <w:p>
      <w:pPr>
        <w:spacing w:after="0" w:line="45" w:lineRule="exact"/>
        <w:rPr>
          <w:sz w:val="20"/>
          <w:szCs w:val="20"/>
          <w:color w:val="auto"/>
        </w:rPr>
      </w:pPr>
    </w:p>
    <w:p>
      <w:pPr>
        <w:ind w:left="40" w:right="219"/>
        <w:spacing w:after="0" w:line="313" w:lineRule="auto"/>
        <w:rPr>
          <w:sz w:val="20"/>
          <w:szCs w:val="20"/>
          <w:color w:val="auto"/>
        </w:rPr>
      </w:pPr>
      <w:r>
        <w:rPr>
          <w:rFonts w:ascii="Courier New" w:cs="Courier New" w:eastAsia="Courier New" w:hAnsi="Courier New"/>
          <w:sz w:val="18"/>
          <w:szCs w:val="18"/>
          <w:color w:val="auto"/>
        </w:rPr>
        <w:t>Consequently, FRI Disaggregated Affiliates report the securities over which they hold investment and voting power separately from the FRI Aggregated Affiliates for purposes of Section 13 of the Act.</w:t>
      </w:r>
    </w:p>
    <w:p>
      <w:pPr>
        <w:spacing w:after="0" w:line="107" w:lineRule="exact"/>
        <w:rPr>
          <w:sz w:val="20"/>
          <w:szCs w:val="20"/>
          <w:color w:val="auto"/>
        </w:rPr>
      </w:pPr>
    </w:p>
    <w:p>
      <w:pPr>
        <w:jc w:val="both"/>
        <w:ind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right="219"/>
        <w:spacing w:after="0" w:line="231"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05" w:lineRule="exact"/>
        <w:rPr>
          <w:sz w:val="20"/>
          <w:szCs w:val="20"/>
          <w:color w:val="auto"/>
        </w:rPr>
      </w:pPr>
    </w:p>
    <w:p>
      <w:pPr>
        <w:ind w:right="259"/>
        <w:spacing w:after="0" w:line="250"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72" w:lineRule="exact"/>
        <w:rPr>
          <w:sz w:val="20"/>
          <w:szCs w:val="20"/>
          <w:color w:val="auto"/>
        </w:rPr>
      </w:pPr>
    </w:p>
    <w:p>
      <w:pPr>
        <w:ind w:left="1320" w:right="5559" w:hanging="712"/>
        <w:spacing w:after="0" w:line="540" w:lineRule="auto"/>
        <w:tabs>
          <w:tab w:leader="none" w:pos="135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701,035</w:t>
      </w:r>
    </w:p>
    <w:p>
      <w:pPr>
        <w:ind w:left="1340" w:hanging="732"/>
        <w:spacing w:after="0"/>
        <w:tabs>
          <w:tab w:leader="none" w:pos="13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tbl>
      <w:tblPr>
        <w:tblLayout w:type="fixed"/>
        <w:tblInd w:w="600" w:type="dxa"/>
        <w:tblCellMar>
          <w:top w:w="0" w:type="dxa"/>
          <w:left w:w="0" w:type="dxa"/>
          <w:bottom w:w="0" w:type="dxa"/>
          <w:right w:w="0" w:type="dxa"/>
        </w:tblCellMar>
      </w:tblPr>
      <w:tr>
        <w:trPr>
          <w:trHeight w:val="304"/>
        </w:trPr>
        <w:tc>
          <w:tcPr>
            <w:tcW w:w="360" w:type="dxa"/>
            <w:vAlign w:val="bottom"/>
          </w:tcPr>
          <w:p>
            <w:pPr>
              <w:spacing w:after="0"/>
              <w:rPr>
                <w:sz w:val="24"/>
                <w:szCs w:val="24"/>
                <w:color w:val="auto"/>
              </w:rPr>
            </w:pPr>
          </w:p>
        </w:tc>
        <w:tc>
          <w:tcPr>
            <w:tcW w:w="6380" w:type="dxa"/>
            <w:vAlign w:val="bottom"/>
          </w:tcPr>
          <w:p>
            <w:pPr>
              <w:ind w:left="340"/>
              <w:spacing w:after="0"/>
              <w:rPr>
                <w:sz w:val="20"/>
                <w:szCs w:val="20"/>
                <w:color w:val="auto"/>
              </w:rPr>
            </w:pPr>
            <w:r>
              <w:rPr>
                <w:rFonts w:ascii="Courier New" w:cs="Courier New" w:eastAsia="Courier New" w:hAnsi="Courier New"/>
                <w:sz w:val="18"/>
                <w:szCs w:val="18"/>
                <w:color w:val="auto"/>
              </w:rPr>
              <w:t>1.4%</w:t>
            </w:r>
          </w:p>
        </w:tc>
        <w:tc>
          <w:tcPr>
            <w:tcW w:w="1320" w:type="dxa"/>
            <w:vAlign w:val="bottom"/>
          </w:tcPr>
          <w:p>
            <w:pPr>
              <w:spacing w:after="0"/>
              <w:rPr>
                <w:sz w:val="24"/>
                <w:szCs w:val="24"/>
                <w:color w:val="auto"/>
              </w:rPr>
            </w:pPr>
          </w:p>
        </w:tc>
      </w:tr>
      <w:tr>
        <w:trPr>
          <w:trHeight w:val="459"/>
        </w:trPr>
        <w:tc>
          <w:tcPr>
            <w:tcW w:w="36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380" w:type="dxa"/>
            <w:vAlign w:val="bottom"/>
          </w:tcPr>
          <w:p>
            <w:pPr>
              <w:ind w:left="38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132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6380" w:type="dxa"/>
            <w:vAlign w:val="bottom"/>
          </w:tcPr>
          <w:p>
            <w:pPr>
              <w:ind w:left="4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1320" w:type="dxa"/>
            <w:vAlign w:val="bottom"/>
          </w:tcPr>
          <w:p>
            <w:pPr>
              <w:spacing w:after="0"/>
              <w:rPr>
                <w:sz w:val="24"/>
                <w:szCs w:val="24"/>
                <w:color w:val="auto"/>
              </w:rPr>
            </w:pP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Franklin Resources,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Charles B. Johnson: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Rupert H. Johnson, Jr.:</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Templeton Global Advisors Limited:</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297,300</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Templeton Investment Counsel, LLC: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258,985</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116,150</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Franklin Templeton Investments Corp.:</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24,600</w:t>
            </w:r>
          </w:p>
        </w:tc>
      </w:tr>
      <w:tr>
        <w:trPr>
          <w:trHeight w:val="459"/>
        </w:trPr>
        <w:tc>
          <w:tcPr>
            <w:tcW w:w="360" w:type="dxa"/>
            <w:vAlign w:val="bottom"/>
          </w:tcPr>
          <w:p>
            <w:pPr>
              <w:spacing w:after="0"/>
              <w:rPr>
                <w:sz w:val="24"/>
                <w:szCs w:val="24"/>
                <w:color w:val="auto"/>
              </w:rPr>
            </w:pPr>
          </w:p>
        </w:tc>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Fiduciary Trust Company International:</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4,000</w:t>
            </w:r>
          </w:p>
        </w:tc>
      </w:tr>
    </w:tbl>
    <w:p>
      <w:pPr>
        <w:spacing w:after="0" w:line="155" w:lineRule="exact"/>
        <w:rPr>
          <w:sz w:val="20"/>
          <w:szCs w:val="20"/>
          <w:color w:val="auto"/>
        </w:rPr>
      </w:pPr>
    </w:p>
    <w:p>
      <w:pPr>
        <w:ind w:left="1640" w:right="3559" w:hanging="804"/>
        <w:spacing w:after="0" w:line="657" w:lineRule="auto"/>
        <w:tabs>
          <w:tab w:leader="none" w:pos="1620" w:val="left"/>
        </w:tabs>
        <w:rPr>
          <w:sz w:val="20"/>
          <w:szCs w:val="20"/>
          <w:color w:val="auto"/>
        </w:rPr>
      </w:pPr>
      <w:r>
        <w:rPr>
          <w:rFonts w:ascii="Courier New" w:cs="Courier New" w:eastAsia="Courier New" w:hAnsi="Courier New"/>
          <w:sz w:val="18"/>
          <w:szCs w:val="18"/>
          <w:color w:val="auto"/>
        </w:rPr>
        <w:t>(ii)</w:t>
        <w:tab/>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236220</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646" w:right="1440" w:bottom="1132"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04"/>
        </w:trPr>
        <w:tc>
          <w:tcPr>
            <w:tcW w:w="408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Page 8 of 13</w:t>
            </w:r>
          </w:p>
        </w:tc>
      </w:tr>
      <w:tr>
        <w:trPr>
          <w:trHeight w:val="459"/>
        </w:trPr>
        <w:tc>
          <w:tcPr>
            <w:tcW w:w="7500" w:type="dxa"/>
            <w:vAlign w:val="bottom"/>
            <w:gridSpan w:val="2"/>
          </w:tcPr>
          <w:p>
            <w:pPr>
              <w:ind w:left="88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1460" w:type="dxa"/>
            <w:vAlign w:val="bottom"/>
          </w:tcPr>
          <w:p>
            <w:pPr>
              <w:spacing w:after="0"/>
              <w:rPr>
                <w:sz w:val="24"/>
                <w:szCs w:val="24"/>
                <w:color w:val="auto"/>
              </w:rPr>
            </w:pPr>
          </w:p>
        </w:tc>
      </w:tr>
      <w:tr>
        <w:trPr>
          <w:trHeight w:val="459"/>
        </w:trPr>
        <w:tc>
          <w:tcPr>
            <w:tcW w:w="750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Resources, Inc.:</w:t>
            </w: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0</w:t>
            </w:r>
          </w:p>
        </w:tc>
      </w:tr>
      <w:tr>
        <w:trPr>
          <w:trHeight w:val="459"/>
        </w:trPr>
        <w:tc>
          <w:tcPr>
            <w:tcW w:w="4080" w:type="dxa"/>
            <w:vAlign w:val="bottom"/>
          </w:tcPr>
          <w:p>
            <w:pPr>
              <w:ind w:left="1600"/>
              <w:spacing w:after="0"/>
              <w:rPr>
                <w:sz w:val="20"/>
                <w:szCs w:val="20"/>
                <w:color w:val="auto"/>
              </w:rPr>
            </w:pPr>
            <w:r>
              <w:rPr>
                <w:rFonts w:ascii="Courier New" w:cs="Courier New" w:eastAsia="Courier New" w:hAnsi="Courier New"/>
                <w:sz w:val="18"/>
                <w:szCs w:val="18"/>
                <w:color w:val="auto"/>
              </w:rPr>
              <w:t>Charles B. Johnson:</w:t>
            </w:r>
          </w:p>
        </w:tc>
        <w:tc>
          <w:tcPr>
            <w:tcW w:w="342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0</w:t>
            </w:r>
          </w:p>
        </w:tc>
      </w:tr>
      <w:tr>
        <w:trPr>
          <w:trHeight w:val="459"/>
        </w:trPr>
        <w:tc>
          <w:tcPr>
            <w:tcW w:w="4080" w:type="dxa"/>
            <w:vAlign w:val="bottom"/>
          </w:tcPr>
          <w:p>
            <w:pPr>
              <w:ind w:left="1600"/>
              <w:spacing w:after="0"/>
              <w:rPr>
                <w:sz w:val="20"/>
                <w:szCs w:val="20"/>
                <w:color w:val="auto"/>
              </w:rPr>
            </w:pPr>
            <w:r>
              <w:rPr>
                <w:rFonts w:ascii="Courier New" w:cs="Courier New" w:eastAsia="Courier New" w:hAnsi="Courier New"/>
                <w:sz w:val="18"/>
                <w:szCs w:val="18"/>
                <w:color w:val="auto"/>
                <w:w w:val="99"/>
              </w:rPr>
              <w:t>Rupert H. Johnson, Jr.:</w:t>
            </w:r>
          </w:p>
        </w:tc>
        <w:tc>
          <w:tcPr>
            <w:tcW w:w="3420" w:type="dxa"/>
            <w:vAlign w:val="bottom"/>
          </w:tcPr>
          <w:p>
            <w:pPr>
              <w:spacing w:after="0"/>
              <w:rPr>
                <w:sz w:val="24"/>
                <w:szCs w:val="24"/>
                <w:color w:val="auto"/>
              </w:rPr>
            </w:pP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0</w:t>
            </w:r>
          </w:p>
        </w:tc>
      </w:tr>
      <w:tr>
        <w:trPr>
          <w:trHeight w:val="459"/>
        </w:trPr>
        <w:tc>
          <w:tcPr>
            <w:tcW w:w="750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Global Advisors Limited:</w:t>
            </w: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297,300</w:t>
            </w:r>
          </w:p>
        </w:tc>
      </w:tr>
      <w:tr>
        <w:trPr>
          <w:trHeight w:val="459"/>
        </w:trPr>
        <w:tc>
          <w:tcPr>
            <w:tcW w:w="750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Templeton Investment Counsel, LLC:</w:t>
            </w: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258,985</w:t>
            </w:r>
          </w:p>
        </w:tc>
      </w:tr>
      <w:tr>
        <w:trPr>
          <w:trHeight w:val="459"/>
        </w:trPr>
        <w:tc>
          <w:tcPr>
            <w:tcW w:w="750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116,150</w:t>
            </w:r>
          </w:p>
        </w:tc>
      </w:tr>
      <w:tr>
        <w:trPr>
          <w:trHeight w:val="459"/>
        </w:trPr>
        <w:tc>
          <w:tcPr>
            <w:tcW w:w="750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Franklin Templeton Investments Corp.:</w:t>
            </w: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24,600</w:t>
            </w:r>
          </w:p>
        </w:tc>
      </w:tr>
      <w:tr>
        <w:trPr>
          <w:trHeight w:val="459"/>
        </w:trPr>
        <w:tc>
          <w:tcPr>
            <w:tcW w:w="7500" w:type="dxa"/>
            <w:vAlign w:val="bottom"/>
            <w:gridSpan w:val="2"/>
          </w:tcPr>
          <w:p>
            <w:pPr>
              <w:ind w:left="1600"/>
              <w:spacing w:after="0"/>
              <w:rPr>
                <w:sz w:val="20"/>
                <w:szCs w:val="20"/>
                <w:color w:val="auto"/>
              </w:rPr>
            </w:pPr>
            <w:r>
              <w:rPr>
                <w:rFonts w:ascii="Courier New" w:cs="Courier New" w:eastAsia="Courier New" w:hAnsi="Courier New"/>
                <w:sz w:val="18"/>
                <w:szCs w:val="18"/>
                <w:color w:val="auto"/>
              </w:rPr>
              <w:t>Fiduciary Trust Company International:</w:t>
            </w:r>
          </w:p>
        </w:tc>
        <w:tc>
          <w:tcPr>
            <w:tcW w:w="1460" w:type="dxa"/>
            <w:vAlign w:val="bottom"/>
          </w:tcPr>
          <w:p>
            <w:pPr>
              <w:jc w:val="right"/>
              <w:ind w:right="210"/>
              <w:spacing w:after="0"/>
              <w:rPr>
                <w:sz w:val="20"/>
                <w:szCs w:val="20"/>
                <w:color w:val="auto"/>
              </w:rPr>
            </w:pPr>
            <w:r>
              <w:rPr>
                <w:rFonts w:ascii="Courier New" w:cs="Courier New" w:eastAsia="Courier New" w:hAnsi="Courier New"/>
                <w:sz w:val="18"/>
                <w:szCs w:val="18"/>
                <w:color w:val="auto"/>
              </w:rPr>
              <w:t>4,000</w:t>
            </w:r>
          </w:p>
        </w:tc>
      </w:tr>
    </w:tbl>
    <w:p>
      <w:pPr>
        <w:spacing w:after="0" w:line="200" w:lineRule="exact"/>
        <w:rPr>
          <w:sz w:val="20"/>
          <w:szCs w:val="20"/>
          <w:color w:val="auto"/>
        </w:rPr>
      </w:pPr>
    </w:p>
    <w:p>
      <w:pPr>
        <w:spacing w:after="0" w:line="239" w:lineRule="exact"/>
        <w:rPr>
          <w:sz w:val="20"/>
          <w:szCs w:val="20"/>
          <w:color w:val="auto"/>
        </w:rPr>
      </w:pPr>
    </w:p>
    <w:p>
      <w:pPr>
        <w:ind w:left="1720" w:right="3819" w:hanging="2204"/>
        <w:spacing w:after="0" w:line="587" w:lineRule="auto"/>
        <w:rPr>
          <w:sz w:val="20"/>
          <w:szCs w:val="20"/>
          <w:color w:val="auto"/>
        </w:rPr>
      </w:pPr>
      <w:r>
        <w:rPr>
          <w:rFonts w:ascii="Courier New" w:cs="Courier New" w:eastAsia="Courier New" w:hAnsi="Courier New"/>
          <w:sz w:val="18"/>
          <w:szCs w:val="18"/>
          <w:color w:val="auto"/>
        </w:rPr>
        <w:t>(iv) Shared power to dispose or to direct the disposition of 0</w:t>
      </w: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69" w:lineRule="exact"/>
        <w:rPr>
          <w:sz w:val="20"/>
          <w:szCs w:val="20"/>
          <w:color w:val="auto"/>
        </w:rPr>
      </w:pPr>
    </w:p>
    <w:p>
      <w:pPr>
        <w:ind w:left="9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960" w:right="359"/>
        <w:spacing w:after="0" w:line="332" w:lineRule="auto"/>
        <w:rPr>
          <w:sz w:val="20"/>
          <w:szCs w:val="20"/>
          <w:color w:val="auto"/>
        </w:rPr>
      </w:pPr>
      <w:r>
        <w:rPr>
          <w:rFonts w:ascii="Courier New" w:cs="Courier New" w:eastAsia="Courier New" w:hAnsi="Courier New"/>
          <w:sz w:val="17"/>
          <w:szCs w:val="17"/>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338" w:lineRule="exact"/>
        <w:rPr>
          <w:sz w:val="20"/>
          <w:szCs w:val="20"/>
          <w:color w:val="auto"/>
        </w:rPr>
      </w:pPr>
    </w:p>
    <w:p>
      <w:pPr>
        <w:ind w:left="900" w:right="1299" w:hanging="899"/>
        <w:spacing w:after="0" w:line="387"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4"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403860</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849" w:right="1440" w:bottom="1440" w:gutter="0" w:footer="0" w:header="0"/>
        </w:sectPr>
      </w:pPr>
    </w:p>
    <w:bookmarkStart w:id="8" w:name="page9"/>
    <w:bookmarkEnd w:id="8"/>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69" w:lineRule="exact"/>
        <w:rPr>
          <w:sz w:val="20"/>
          <w:szCs w:val="20"/>
          <w:color w:val="auto"/>
        </w:rPr>
      </w:pPr>
    </w:p>
    <w:p>
      <w:pPr>
        <w:ind w:right="679"/>
        <w:spacing w:after="0" w:line="28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41"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Joint Filing Agreement</w:t>
      </w:r>
    </w:p>
    <w:p>
      <w:pPr>
        <w:spacing w:after="0" w:line="63" w:lineRule="exact"/>
        <w:rPr>
          <w:sz w:val="20"/>
          <w:szCs w:val="20"/>
          <w:color w:val="auto"/>
        </w:rPr>
      </w:pPr>
    </w:p>
    <w:p>
      <w:pPr>
        <w:ind w:left="40" w:right="1759" w:hanging="26"/>
        <w:spacing w:after="0" w:line="252" w:lineRule="exact"/>
        <w:rPr>
          <w:sz w:val="20"/>
          <w:szCs w:val="20"/>
          <w:color w:val="auto"/>
        </w:rPr>
      </w:pPr>
      <w:r>
        <w:rPr>
          <w:rFonts w:ascii="Courier New" w:cs="Courier New" w:eastAsia="Courier New" w:hAnsi="Courier New"/>
          <w:sz w:val="17"/>
          <w:szCs w:val="17"/>
          <w:color w:val="auto"/>
        </w:rPr>
        <w:t xml:space="preserve">Exhibit B </w:t>
      </w:r>
      <w:r>
        <w:rPr>
          <w:rFonts w:ascii="MS PGothic" w:cs="MS PGothic" w:eastAsia="MS PGothic" w:hAnsi="MS PGothic"/>
          <w:sz w:val="17"/>
          <w:szCs w:val="17"/>
          <w:color w:val="auto"/>
        </w:rPr>
        <w:t>‑</w:t>
      </w:r>
      <w:r>
        <w:rPr>
          <w:rFonts w:ascii="Courier New" w:cs="Courier New" w:eastAsia="Courier New" w:hAnsi="Courier New"/>
          <w:sz w:val="17"/>
          <w:szCs w:val="17"/>
          <w:color w:val="auto"/>
        </w:rPr>
        <w:t xml:space="preserve"> Limited Powers of Attorney for Section 13 Reporting Obligations Exhibit C - Item 7 Identification and Classification of Subsidiaries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tab/>
        <w:t>January 25, 2021</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7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Lori A. Weber</w:t>
      </w:r>
    </w:p>
    <w:p>
      <w:pPr>
        <w:spacing w:after="0" w:line="7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700" w:right="17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700" w:right="13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341630</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849" w:right="1440" w:bottom="1440" w:gutter="0" w:footer="0" w:header="0"/>
        </w:sectPr>
      </w:pPr>
    </w:p>
    <w:bookmarkStart w:id="9" w:name="page10"/>
    <w:bookmarkEnd w:id="9"/>
    <w:p>
      <w:pPr>
        <w:spacing w:after="0"/>
        <w:tabs>
          <w:tab w:leader="none" w:pos="4100" w:val="left"/>
          <w:tab w:leader="none" w:pos="76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13</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right="499"/>
        <w:spacing w:after="0" w:line="255" w:lineRule="exact"/>
        <w:rPr>
          <w:sz w:val="20"/>
          <w:szCs w:val="20"/>
          <w:color w:val="auto"/>
        </w:rPr>
      </w:pPr>
      <w:r>
        <w:rPr>
          <w:rFonts w:ascii="Courier New" w:cs="Courier New" w:eastAsia="Courier New" w:hAnsi="Courier New"/>
          <w:sz w:val="17"/>
          <w:szCs w:val="17"/>
          <w:color w:val="auto"/>
        </w:rPr>
        <w:t>In accordance with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IN WITNESS WHEREOF, the undersigned have executed this agreement on</w:t>
      </w:r>
      <w:r>
        <w:rPr>
          <w:sz w:val="20"/>
          <w:szCs w:val="20"/>
          <w:color w:val="auto"/>
        </w:rPr>
        <w:tab/>
      </w:r>
      <w:r>
        <w:rPr>
          <w:rFonts w:ascii="Courier New" w:cs="Courier New" w:eastAsia="Courier New" w:hAnsi="Courier New"/>
          <w:sz w:val="17"/>
          <w:szCs w:val="17"/>
          <w:color w:val="auto"/>
        </w:rPr>
        <w:t>January 25, 2021.</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40" w:lineRule="exact"/>
        <w:rPr>
          <w:sz w:val="20"/>
          <w:szCs w:val="20"/>
          <w:color w:val="auto"/>
        </w:rPr>
      </w:pPr>
    </w:p>
    <w:p>
      <w:pPr>
        <w:ind w:left="800"/>
        <w:spacing w:after="0" w:line="181" w:lineRule="exact"/>
        <w:rPr>
          <w:sz w:val="20"/>
          <w:szCs w:val="20"/>
          <w:color w:val="auto"/>
        </w:rPr>
      </w:pPr>
      <w:r>
        <w:rPr>
          <w:rFonts w:ascii="MS PGothic" w:cs="MS PGothic" w:eastAsia="MS PGothic" w:hAnsi="MS PGothic"/>
          <w:sz w:val="18"/>
          <w:szCs w:val="18"/>
          <w:color w:val="auto"/>
        </w:rPr>
        <w:t>‑‑‑‑‑‑‑‑‑‑‑‑‑‑‑‑‑‑‑‑‑‑‑‑‑‑‑‑‑</w:t>
      </w:r>
    </w:p>
    <w:p>
      <w:pPr>
        <w:spacing w:after="0" w:line="26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36" w:lineRule="exact"/>
        <w:rPr>
          <w:sz w:val="20"/>
          <w:szCs w:val="20"/>
          <w:color w:val="auto"/>
        </w:rPr>
      </w:pPr>
    </w:p>
    <w:p>
      <w:pPr>
        <w:ind w:left="800" w:right="163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3" w:lineRule="exact"/>
        <w:rPr>
          <w:sz w:val="20"/>
          <w:szCs w:val="20"/>
          <w:color w:val="auto"/>
        </w:rPr>
      </w:pPr>
    </w:p>
    <w:p>
      <w:pPr>
        <w:ind w:left="800" w:right="121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341630</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639"/>
          </w:cols>
          <w:pgMar w:left="820" w:top="849" w:right="1440" w:bottom="1440" w:gutter="0" w:footer="0" w:header="0"/>
        </w:sectPr>
      </w:pPr>
    </w:p>
    <w:bookmarkStart w:id="10" w:name="page11"/>
    <w:bookmarkEnd w:id="10"/>
    <w:p>
      <w:pPr>
        <w:ind w:left="500"/>
        <w:spacing w:after="0"/>
        <w:tabs>
          <w:tab w:leader="none" w:pos="4600" w:val="left"/>
          <w:tab w:leader="none" w:pos="8180" w:val="left"/>
        </w:tabs>
        <w:rPr>
          <w:sz w:val="20"/>
          <w:szCs w:val="20"/>
          <w:color w:val="auto"/>
        </w:rPr>
      </w:pPr>
      <w:r>
        <w:rPr>
          <w:rFonts w:ascii="Courier New" w:cs="Courier New" w:eastAsia="Courier New" w:hAnsi="Courier New"/>
          <w:sz w:val="18"/>
          <w:szCs w:val="18"/>
          <w:color w:val="auto"/>
        </w:rPr>
        <w:t>CUSIP NO. G5509L101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13</w:t>
      </w:r>
    </w:p>
    <w:p>
      <w:pPr>
        <w:spacing w:after="0" w:line="269"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23" w:lineRule="exact"/>
        <w:rPr>
          <w:sz w:val="20"/>
          <w:szCs w:val="20"/>
          <w:color w:val="auto"/>
        </w:rPr>
      </w:pPr>
    </w:p>
    <w:p>
      <w:pPr>
        <w:ind w:right="220" w:firstLine="500"/>
        <w:spacing w:after="0" w:line="28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Aliya S. Gordon,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121" w:lineRule="exact"/>
        <w:rPr>
          <w:sz w:val="20"/>
          <w:szCs w:val="20"/>
          <w:color w:val="auto"/>
        </w:rPr>
      </w:pPr>
    </w:p>
    <w:p>
      <w:pPr>
        <w:ind w:firstLine="535"/>
        <w:spacing w:after="0" w:line="273"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131" w:lineRule="exact"/>
        <w:rPr>
          <w:rFonts w:ascii="Courier New" w:cs="Courier New" w:eastAsia="Courier New" w:hAnsi="Courier New"/>
          <w:sz w:val="18"/>
          <w:szCs w:val="18"/>
          <w:color w:val="auto"/>
        </w:rPr>
      </w:pPr>
    </w:p>
    <w:p>
      <w:pPr>
        <w:ind w:firstLine="535"/>
        <w:spacing w:after="0" w:line="279" w:lineRule="auto"/>
        <w:tabs>
          <w:tab w:leader="none" w:pos="84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20" w:firstLine="535"/>
        <w:spacing w:after="0" w:line="334" w:lineRule="auto"/>
        <w:tabs>
          <w:tab w:leader="none" w:pos="84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44" w:lineRule="exact"/>
        <w:rPr>
          <w:sz w:val="20"/>
          <w:szCs w:val="20"/>
          <w:color w:val="auto"/>
        </w:rPr>
      </w:pPr>
    </w:p>
    <w:p>
      <w:pPr>
        <w:ind w:firstLine="535"/>
        <w:spacing w:after="0" w:line="254" w:lineRule="auto"/>
        <w:tabs>
          <w:tab w:leader="none" w:pos="84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ind w:right="220" w:firstLine="535"/>
        <w:spacing w:after="0" w:line="269" w:lineRule="auto"/>
        <w:tabs>
          <w:tab w:leader="none" w:pos="843"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ind w:right="120" w:firstLine="535"/>
        <w:spacing w:after="0" w:line="254" w:lineRule="auto"/>
        <w:tabs>
          <w:tab w:leader="none" w:pos="84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ind w:firstLine="535"/>
        <w:spacing w:after="0" w:line="294" w:lineRule="auto"/>
        <w:tabs>
          <w:tab w:leader="none" w:pos="84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10" w:lineRule="exact"/>
        <w:rPr>
          <w:sz w:val="20"/>
          <w:szCs w:val="20"/>
          <w:color w:val="auto"/>
        </w:rPr>
      </w:pPr>
    </w:p>
    <w:p>
      <w:pPr>
        <w:ind w:right="120" w:firstLine="527"/>
        <w:spacing w:after="0" w:line="259"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4" w:lineRule="exact"/>
        <w:rPr>
          <w:sz w:val="20"/>
          <w:szCs w:val="20"/>
          <w:color w:val="auto"/>
        </w:rPr>
      </w:pPr>
    </w:p>
    <w:p>
      <w:pPr>
        <w:ind w:firstLine="527"/>
        <w:spacing w:after="0" w:line="254"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ind w:right="320" w:firstLine="527"/>
        <w:spacing w:after="0" w:line="334"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8th day of April, 2020.</w:t>
      </w:r>
    </w:p>
    <w:p>
      <w:pPr>
        <w:spacing w:after="0" w:line="89"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u w:val="single" w:color="auto"/>
          <w:color w:val="auto"/>
        </w:rPr>
        <w:t>/s/ Charles B. Johnson</w:t>
      </w:r>
    </w:p>
    <w:p>
      <w:pPr>
        <w:spacing w:after="0" w:line="58"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Signature</w:t>
      </w:r>
    </w:p>
    <w:p>
      <w:pPr>
        <w:spacing w:after="0" w:line="237"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Charles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-5080</wp:posOffset>
            </wp:positionV>
            <wp:extent cx="15379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7970" cy="8890"/>
                    </a:xfrm>
                    <a:prstGeom prst="rect">
                      <a:avLst/>
                    </a:prstGeom>
                    <a:noFill/>
                  </pic:spPr>
                </pic:pic>
              </a:graphicData>
            </a:graphic>
          </wp:anchor>
        </w:drawing>
      </w:r>
    </w:p>
    <w:p>
      <w:pPr>
        <w:spacing w:after="0" w:line="38"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606" w:right="399" w:bottom="1440" w:gutter="0" w:footer="0" w:header="0"/>
        </w:sectPr>
      </w:pPr>
    </w:p>
    <w:bookmarkStart w:id="11" w:name="page12"/>
    <w:bookmarkEnd w:id="11"/>
    <w:p>
      <w:pPr>
        <w:ind w:left="500"/>
        <w:spacing w:after="0"/>
        <w:rPr>
          <w:sz w:val="20"/>
          <w:szCs w:val="20"/>
          <w:color w:val="auto"/>
        </w:rPr>
      </w:pPr>
      <w:r>
        <w:rPr>
          <w:rFonts w:ascii="Courier New" w:cs="Courier New" w:eastAsia="Courier New" w:hAnsi="Courier New"/>
          <w:sz w:val="17"/>
          <w:szCs w:val="17"/>
          <w:color w:val="auto"/>
        </w:rPr>
        <w:t>CUSIP NO. G5509L101</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Courier New" w:cs="Courier New" w:eastAsia="Courier New" w:hAnsi="Courier New"/>
          <w:sz w:val="18"/>
          <w:szCs w:val="18"/>
          <w:color w:val="auto"/>
        </w:rPr>
        <w:t>13G</w:t>
      </w:r>
    </w:p>
    <w:p>
      <w:pPr>
        <w:spacing w:after="0" w:line="58" w:lineRule="exact"/>
        <w:rPr>
          <w:sz w:val="20"/>
          <w:szCs w:val="20"/>
          <w:color w:val="auto"/>
        </w:rPr>
      </w:pPr>
    </w:p>
    <w:p>
      <w:pPr>
        <w:ind w:left="1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13 AND 16 REPORTING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13</w:t>
      </w:r>
    </w:p>
    <w:p>
      <w:pPr>
        <w:spacing w:after="0" w:line="677" w:lineRule="exact"/>
        <w:rPr>
          <w:sz w:val="20"/>
          <w:szCs w:val="20"/>
          <w:color w:val="auto"/>
        </w:rPr>
      </w:pPr>
    </w:p>
    <w:p>
      <w:pPr>
        <w:sectPr>
          <w:pgSz w:w="11900" w:h="16838" w:orient="portrait"/>
          <w:cols w:equalWidth="0" w:num="3">
            <w:col w:w="2640" w:space="720"/>
            <w:col w:w="4540" w:space="300"/>
            <w:col w:w="2980"/>
          </w:cols>
          <w:pgMar w:left="320" w:top="606" w:right="399" w:bottom="1440" w:gutter="0" w:footer="0" w:header="0"/>
        </w:sectPr>
      </w:pPr>
    </w:p>
    <w:p>
      <w:pPr>
        <w:spacing w:after="0" w:line="34" w:lineRule="exact"/>
        <w:rPr>
          <w:sz w:val="20"/>
          <w:szCs w:val="20"/>
          <w:color w:val="auto"/>
        </w:rPr>
      </w:pPr>
    </w:p>
    <w:p>
      <w:pPr>
        <w:ind w:right="220" w:firstLine="527"/>
        <w:spacing w:after="0" w:line="28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Aliya S. Gordon,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121" w:lineRule="exact"/>
        <w:rPr>
          <w:sz w:val="20"/>
          <w:szCs w:val="20"/>
          <w:color w:val="auto"/>
        </w:rPr>
      </w:pPr>
    </w:p>
    <w:p>
      <w:pPr>
        <w:ind w:firstLine="535"/>
        <w:spacing w:after="0" w:line="259"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firstLine="535"/>
        <w:spacing w:after="0" w:line="269" w:lineRule="auto"/>
        <w:tabs>
          <w:tab w:leader="none" w:pos="84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20" w:firstLine="535"/>
        <w:spacing w:after="0" w:line="334" w:lineRule="auto"/>
        <w:tabs>
          <w:tab w:leader="none" w:pos="84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5" w:lineRule="exact"/>
        <w:rPr>
          <w:sz w:val="20"/>
          <w:szCs w:val="20"/>
          <w:color w:val="auto"/>
        </w:rPr>
      </w:pPr>
    </w:p>
    <w:p>
      <w:pPr>
        <w:ind w:firstLine="535"/>
        <w:spacing w:after="0" w:line="266"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2" w:lineRule="exact"/>
        <w:rPr>
          <w:rFonts w:ascii="Courier New" w:cs="Courier New" w:eastAsia="Courier New" w:hAnsi="Courier New"/>
          <w:sz w:val="18"/>
          <w:szCs w:val="18"/>
          <w:color w:val="auto"/>
        </w:rPr>
      </w:pPr>
    </w:p>
    <w:p>
      <w:pPr>
        <w:ind w:right="220" w:firstLine="535"/>
        <w:spacing w:after="0" w:line="269" w:lineRule="auto"/>
        <w:tabs>
          <w:tab w:leader="none" w:pos="84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ind w:right="120" w:firstLine="535"/>
        <w:spacing w:after="0" w:line="254"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ind w:firstLine="535"/>
        <w:spacing w:after="0" w:line="294" w:lineRule="auto"/>
        <w:tabs>
          <w:tab w:leader="none" w:pos="84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10" w:lineRule="exact"/>
        <w:rPr>
          <w:sz w:val="20"/>
          <w:szCs w:val="20"/>
          <w:color w:val="auto"/>
        </w:rPr>
      </w:pPr>
    </w:p>
    <w:p>
      <w:pPr>
        <w:ind w:right="120" w:firstLine="527"/>
        <w:spacing w:after="0" w:line="259"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4" w:lineRule="exact"/>
        <w:rPr>
          <w:sz w:val="20"/>
          <w:szCs w:val="20"/>
          <w:color w:val="auto"/>
        </w:rPr>
      </w:pPr>
    </w:p>
    <w:p>
      <w:pPr>
        <w:ind w:firstLine="527"/>
        <w:spacing w:after="0" w:line="254"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ind w:right="320" w:firstLine="527"/>
        <w:spacing w:after="0" w:line="334"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8th day of April, 2020.</w:t>
      </w:r>
    </w:p>
    <w:p>
      <w:pPr>
        <w:spacing w:after="0" w:line="89"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58"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3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Rupert H.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-5080</wp:posOffset>
            </wp:positionV>
            <wp:extent cx="1671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38"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537845</wp:posOffset>
            </wp:positionV>
            <wp:extent cx="71532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606" w:right="3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3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G5509L101</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1000" w:type="dxa"/>
            <w:vAlign w:val="bottom"/>
          </w:tcPr>
          <w:p>
            <w:pPr>
              <w:spacing w:after="0"/>
              <w:rPr>
                <w:sz w:val="24"/>
                <w:szCs w:val="24"/>
                <w:color w:val="auto"/>
              </w:rPr>
            </w:pPr>
          </w:p>
        </w:tc>
        <w:tc>
          <w:tcPr>
            <w:tcW w:w="2680" w:type="dxa"/>
            <w:vAlign w:val="bottom"/>
          </w:tcPr>
          <w:p>
            <w:pPr>
              <w:ind w:left="1320"/>
              <w:spacing w:after="0"/>
              <w:rPr>
                <w:sz w:val="20"/>
                <w:szCs w:val="20"/>
                <w:color w:val="auto"/>
              </w:rPr>
            </w:pPr>
            <w:r>
              <w:rPr>
                <w:rFonts w:ascii="Courier New" w:cs="Courier New" w:eastAsia="Courier New" w:hAnsi="Courier New"/>
                <w:sz w:val="18"/>
                <w:szCs w:val="18"/>
                <w:color w:val="auto"/>
                <w:w w:val="95"/>
              </w:rPr>
              <w:t>Page 13 of 13</w:t>
            </w:r>
          </w:p>
        </w:tc>
      </w:tr>
      <w:tr>
        <w:trPr>
          <w:trHeight w:val="473"/>
        </w:trPr>
        <w:tc>
          <w:tcPr>
            <w:tcW w:w="4020" w:type="dxa"/>
            <w:vAlign w:val="bottom"/>
          </w:tcPr>
          <w:p>
            <w:pPr>
              <w:spacing w:after="0"/>
              <w:rPr>
                <w:sz w:val="20"/>
                <w:szCs w:val="20"/>
                <w:color w:val="auto"/>
              </w:rPr>
            </w:pPr>
            <w:r>
              <w:rPr>
                <w:rFonts w:ascii="Courier New" w:cs="Courier New" w:eastAsia="Courier New" w:hAnsi="Courier New"/>
                <w:sz w:val="18"/>
                <w:szCs w:val="18"/>
                <w:color w:val="auto"/>
              </w:rPr>
              <w:t>EXHIBIT C</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91"/>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Franklin Templeton Investment Management Limited</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46"/>
        </w:trPr>
        <w:tc>
          <w:tcPr>
            <w:tcW w:w="4020" w:type="dxa"/>
            <w:vAlign w:val="bottom"/>
          </w:tcPr>
          <w:p>
            <w:pPr>
              <w:spacing w:after="0"/>
              <w:rPr>
                <w:sz w:val="20"/>
                <w:szCs w:val="20"/>
                <w:color w:val="auto"/>
              </w:rPr>
            </w:pPr>
            <w:r>
              <w:rPr>
                <w:rFonts w:ascii="Courier New" w:cs="Courier New" w:eastAsia="Courier New" w:hAnsi="Courier New"/>
                <w:sz w:val="18"/>
                <w:szCs w:val="18"/>
                <w:color w:val="auto"/>
              </w:rPr>
              <w:t>Franklin Templeton Investments Corp.</w:t>
            </w:r>
          </w:p>
        </w:tc>
        <w:tc>
          <w:tcPr>
            <w:tcW w:w="13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18"/>
        </w:trPr>
        <w:tc>
          <w:tcPr>
            <w:tcW w:w="4020" w:type="dxa"/>
            <w:vAlign w:val="bottom"/>
          </w:tcPr>
          <w:p>
            <w:pPr>
              <w:spacing w:after="0"/>
              <w:rPr>
                <w:sz w:val="20"/>
                <w:szCs w:val="20"/>
                <w:color w:val="auto"/>
              </w:rPr>
            </w:pPr>
            <w:r>
              <w:rPr>
                <w:rFonts w:ascii="Courier New" w:cs="Courier New" w:eastAsia="Courier New" w:hAnsi="Courier New"/>
                <w:sz w:val="18"/>
                <w:szCs w:val="18"/>
                <w:color w:val="auto"/>
              </w:rPr>
              <w:t>Templeton Global Advisors Limited</w:t>
            </w:r>
          </w:p>
        </w:tc>
        <w:tc>
          <w:tcPr>
            <w:tcW w:w="13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18"/>
        </w:trPr>
        <w:tc>
          <w:tcPr>
            <w:tcW w:w="4020" w:type="dxa"/>
            <w:vAlign w:val="bottom"/>
          </w:tcPr>
          <w:p>
            <w:pPr>
              <w:spacing w:after="0"/>
              <w:rPr>
                <w:sz w:val="20"/>
                <w:szCs w:val="20"/>
                <w:color w:val="auto"/>
              </w:rPr>
            </w:pPr>
            <w:r>
              <w:rPr>
                <w:rFonts w:ascii="Courier New" w:cs="Courier New" w:eastAsia="Courier New" w:hAnsi="Courier New"/>
                <w:sz w:val="18"/>
                <w:szCs w:val="18"/>
                <w:color w:val="auto"/>
              </w:rPr>
              <w:t>Templeton Investment Counsel, LLC</w:t>
            </w:r>
          </w:p>
        </w:tc>
        <w:tc>
          <w:tcPr>
            <w:tcW w:w="13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Item 3</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Classification: 3(e)</w:t>
            </w:r>
          </w:p>
        </w:tc>
      </w:tr>
      <w:tr>
        <w:trPr>
          <w:trHeight w:val="432"/>
        </w:trPr>
        <w:tc>
          <w:tcPr>
            <w:tcW w:w="4020" w:type="dxa"/>
            <w:vAlign w:val="bottom"/>
          </w:tcPr>
          <w:p>
            <w:pPr>
              <w:ind w:left="40"/>
              <w:spacing w:after="0"/>
              <w:rPr>
                <w:sz w:val="20"/>
                <w:szCs w:val="20"/>
                <w:color w:val="auto"/>
              </w:rPr>
            </w:pPr>
            <w:r>
              <w:rPr>
                <w:rFonts w:ascii="Courier New" w:cs="Courier New" w:eastAsia="Courier New" w:hAnsi="Courier New"/>
                <w:sz w:val="18"/>
                <w:szCs w:val="18"/>
                <w:color w:val="auto"/>
                <w:w w:val="99"/>
              </w:rPr>
              <w:t>Fiduciary Trust Company International</w:t>
            </w:r>
          </w:p>
        </w:tc>
        <w:tc>
          <w:tcPr>
            <w:tcW w:w="1360" w:type="dxa"/>
            <w:vAlign w:val="bottom"/>
          </w:tcPr>
          <w:p>
            <w:pPr>
              <w:spacing w:after="0"/>
              <w:rPr>
                <w:sz w:val="24"/>
                <w:szCs w:val="24"/>
                <w:color w:val="auto"/>
              </w:rPr>
            </w:pPr>
          </w:p>
        </w:tc>
        <w:tc>
          <w:tcPr>
            <w:tcW w:w="3680" w:type="dxa"/>
            <w:vAlign w:val="bottom"/>
            <w:gridSpan w:val="2"/>
          </w:tcPr>
          <w:p>
            <w:pPr>
              <w:ind w:left="34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1" w:lineRule="exact"/>
        <w:rPr>
          <w:sz w:val="20"/>
          <w:szCs w:val="20"/>
          <w:color w:val="auto"/>
        </w:rPr>
      </w:pPr>
    </w:p>
    <w:sectPr>
      <w:pgSz w:w="11900" w:h="16838" w:orient="portrait"/>
      <w:cols w:equalWidth="0" w:num="1">
        <w:col w:w="9639"/>
      </w:cols>
      <w:pgMar w:left="820" w:top="7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upperLetter"/>
      <w:start w:val="24"/>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decimal"/>
      <w:start w:val="1"/>
    </w:lvl>
    <w:lvl w:ilvl="1">
      <w:lvlJc w:val="left"/>
      <w:lvlText w:val="(%2)"/>
      <w:numFmt w:val="lowerLetter"/>
      <w:start w:val="2"/>
    </w:lvl>
  </w:abstractNum>
  <w:abstractNum w:abstractNumId="3">
    <w:nsid w:val="257130A3"/>
    <w:multiLevelType w:val="hybridMultilevel"/>
    <w:lvl w:ilvl="0">
      <w:lvlJc w:val="left"/>
      <w:lvlText w:val="%1."/>
      <w:numFmt w:val="decimal"/>
      <w:start w:val="3"/>
    </w:lvl>
    <w:lvl w:ilvl="1">
      <w:lvlJc w:val="left"/>
      <w:lvlText w:val="%2"/>
      <w:numFmt w:val="lowerLetter"/>
      <w:start w:val="1"/>
    </w:lvl>
  </w:abstractNum>
  <w:abstractNum w:abstractNumId="4">
    <w:nsid w:val="62BBD95A"/>
    <w:multiLevelType w:val="hybridMultilevel"/>
    <w:lvl w:ilvl="0">
      <w:lvlJc w:val="left"/>
      <w:lvlText w:val="%1."/>
      <w:numFmt w:val="decimal"/>
      <w:start w:val="5"/>
    </w:lvl>
  </w:abstractNum>
  <w:abstractNum w:abstractNumId="5">
    <w:nsid w:val="436C6125"/>
    <w:multiLevelType w:val="hybridMultilevel"/>
    <w:lvl w:ilvl="0">
      <w:lvlJc w:val="left"/>
      <w:lvlText w:val="%1."/>
      <w:numFmt w:val="decimal"/>
      <w:start w:val="6"/>
    </w:lvl>
  </w:abstractNum>
  <w:abstractNum w:abstractNumId="6">
    <w:nsid w:val="628C895D"/>
    <w:multiLevelType w:val="hybridMultilevel"/>
    <w:lvl w:ilvl="0">
      <w:lvlJc w:val="left"/>
      <w:lvlText w:val="%1."/>
      <w:numFmt w:val="decimal"/>
      <w:start w:val="7"/>
    </w:lvl>
  </w:abstractNum>
  <w:abstractNum w:abstractNumId="7">
    <w:nsid w:val="333AB105"/>
    <w:multiLevelType w:val="hybridMultilevel"/>
    <w:lvl w:ilvl="0">
      <w:lvlJc w:val="left"/>
      <w:lvlText w:val="%1."/>
      <w:numFmt w:val="decimal"/>
      <w:start w:val="8"/>
    </w:lvl>
  </w:abstractNum>
  <w:abstractNum w:abstractNumId="8">
    <w:nsid w:val="721DA317"/>
    <w:multiLevelType w:val="hybridMultilevel"/>
    <w:lvl w:ilvl="0">
      <w:lvlJc w:val="left"/>
      <w:lvlText w:val="%1."/>
      <w:numFmt w:val="decimal"/>
      <w:start w:val="9"/>
    </w:lvl>
  </w:abstractNum>
  <w:abstractNum w:abstractNumId="9">
    <w:nsid w:val="2443A858"/>
    <w:multiLevelType w:val="hybridMultilevel"/>
    <w:lvl w:ilvl="0">
      <w:lvlJc w:val="left"/>
      <w:lvlText w:val="%1."/>
      <w:numFmt w:val="decimal"/>
      <w:start w:val="10"/>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lvl w:ilvl="1">
      <w:lvlJc w:val="left"/>
      <w:lvlText w:val="(%2)"/>
      <w:numFmt w:val="lowerLetter"/>
      <w:start w:val="2"/>
    </w:lvl>
  </w:abstractNum>
  <w:abstractNum w:abstractNumId="12">
    <w:nsid w:val="75A2A8D4"/>
    <w:multiLevelType w:val="hybridMultilevel"/>
    <w:lvl w:ilvl="0">
      <w:lvlJc w:val="left"/>
      <w:lvlText w:val="%1."/>
      <w:numFmt w:val="decimal"/>
      <w:start w:val="3"/>
    </w:lvl>
    <w:lvl w:ilvl="1">
      <w:lvlJc w:val="left"/>
      <w:lvlText w:val="%2"/>
      <w:numFmt w:val="lowerLetter"/>
      <w:start w:val="1"/>
    </w:lvl>
  </w:abstractNum>
  <w:abstractNum w:abstractNumId="13">
    <w:nsid w:val="8EDBDAB"/>
    <w:multiLevelType w:val="hybridMultilevel"/>
    <w:lvl w:ilvl="0">
      <w:lvlJc w:val="left"/>
      <w:lvlText w:val="%1"/>
      <w:numFmt w:val="decimal"/>
      <w:start w:val="1"/>
    </w:lvl>
    <w:lvl w:ilvl="1">
      <w:lvlJc w:val="left"/>
      <w:lvlText w:val="%2."/>
      <w:numFmt w:val="decimal"/>
      <w:start w:val="5"/>
    </w:lvl>
  </w:abstractNum>
  <w:abstractNum w:abstractNumId="14">
    <w:nsid w:val="79838CB2"/>
    <w:multiLevelType w:val="hybridMultilevel"/>
    <w:lvl w:ilvl="0">
      <w:lvlJc w:val="left"/>
      <w:lvlText w:val="%1."/>
      <w:numFmt w:val="decimal"/>
      <w:start w:val="9"/>
    </w:lvl>
    <w:lvl w:ilvl="1">
      <w:lvlJc w:val="left"/>
      <w:lvlText w:val="%2"/>
      <w:numFmt w:val="decimal"/>
      <w:start w:val="1"/>
    </w:lvl>
  </w:abstractNum>
  <w:abstractNum w:abstractNumId="15">
    <w:nsid w:val="4353D0CD"/>
    <w:multiLevelType w:val="hybridMultilevel"/>
    <w:lvl w:ilvl="0">
      <w:lvlJc w:val="left"/>
      <w:lvlText w:val="%1."/>
      <w:numFmt w:val="decimal"/>
      <w:start w:val="1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lvl w:ilvl="1">
      <w:lvlJc w:val="left"/>
      <w:lvlText w:val="(%2)"/>
      <w:numFmt w:val="lowerLetter"/>
      <w:start w:val="2"/>
    </w:lvl>
  </w:abstractNum>
  <w:abstractNum w:abstractNumId="18">
    <w:nsid w:val="54E49EB4"/>
    <w:multiLevelType w:val="hybridMultilevel"/>
    <w:lvl w:ilvl="0">
      <w:lvlJc w:val="left"/>
      <w:lvlText w:val="%1."/>
      <w:numFmt w:val="decimal"/>
      <w:start w:val="3"/>
    </w:lvl>
    <w:lvl w:ilvl="1">
      <w:lvlJc w:val="left"/>
      <w:lvlText w:val="%2"/>
      <w:numFmt w:val="lowerLetter"/>
      <w:start w:val="1"/>
    </w:lvl>
  </w:abstractNum>
  <w:abstractNum w:abstractNumId="19">
    <w:nsid w:val="71F32454"/>
    <w:multiLevelType w:val="hybridMultilevel"/>
    <w:lvl w:ilvl="0">
      <w:lvlJc w:val="left"/>
      <w:lvlText w:val="%1."/>
      <w:numFmt w:val="decimal"/>
      <w:start w:val="5"/>
    </w:lvl>
  </w:abstractNum>
  <w:abstractNum w:abstractNumId="20">
    <w:nsid w:val="2CA88611"/>
    <w:multiLevelType w:val="hybridMultilevel"/>
    <w:lvl w:ilvl="0">
      <w:lvlJc w:val="left"/>
      <w:lvlText w:val="%1."/>
      <w:numFmt w:val="decimal"/>
      <w:start w:val="9"/>
    </w:lvl>
  </w:abstractNum>
  <w:abstractNum w:abstractNumId="21">
    <w:nsid w:val="836C40E"/>
    <w:multiLevelType w:val="hybridMultilevel"/>
    <w:lvl w:ilvl="0">
      <w:lvlJc w:val="left"/>
      <w:lvlText w:val="%1."/>
      <w:numFmt w:val="decimal"/>
      <w:start w:val="10"/>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1"/>
      <w:numFmt w:val="lowerLetter"/>
      <w:start w:val="1"/>
    </w:lvl>
    <w:lvl w:ilvl="1">
      <w:lvlJc w:val="left"/>
      <w:lvlText w:val="(%2)"/>
      <w:numFmt w:val="lowerLetter"/>
      <w:start w:val="35"/>
    </w:lvl>
  </w:abstractNum>
  <w:abstractNum w:abstractNumId="27">
    <w:nsid w:val="737B8DDC"/>
    <w:multiLevelType w:val="hybridMultilevel"/>
    <w:lvl w:ilvl="0">
      <w:lvlJc w:val="left"/>
      <w:lvlText w:val="(%1)"/>
      <w:numFmt w:val="lowerLetter"/>
      <w:start w:val="4"/>
    </w:lvl>
    <w:lvl w:ilvl="1">
      <w:lvlJc w:val="left"/>
      <w:lvlText w:val="%2"/>
      <w:numFmt w:val="lowerLetter"/>
      <w:start w:val="1"/>
    </w:lvl>
  </w:abstractNum>
  <w:abstractNum w:abstractNumId="28">
    <w:nsid w:val="6CEAF087"/>
    <w:multiLevelType w:val="hybridMultilevel"/>
    <w:lvl w:ilvl="0">
      <w:lvlJc w:val="left"/>
      <w:lvlText w:val="(%1)"/>
      <w:numFmt w:val="lowerLetter"/>
      <w:start w:val="5"/>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2021-02-01T16:18:24Z</dcterms:created>
  <dcterms:modified xsi:type="dcterms:W3CDTF">2021-02-01T16:18:24Z</dcterms:modified>
</cp:coreProperties>
</file>