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SEC Form 3</w:t>
            </w:r>
          </w:p>
        </w:tc>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760"/>
              <w:spacing w:after="0" w:line="209" w:lineRule="exact"/>
              <w:rPr>
                <w:sz w:val="20"/>
                <w:szCs w:val="20"/>
                <w:color w:val="auto"/>
              </w:rPr>
            </w:pPr>
            <w:r>
              <w:rPr>
                <w:rFonts w:ascii="Arial" w:cs="Arial" w:eastAsia="Arial" w:hAnsi="Arial"/>
                <w:sz w:val="19"/>
                <w:szCs w:val="19"/>
                <w:b w:val="1"/>
                <w:bCs w:val="1"/>
                <w:color w:val="auto"/>
              </w:rPr>
              <w:t>FORM 3</w:t>
            </w:r>
          </w:p>
        </w:tc>
        <w:tc>
          <w:tcPr>
            <w:tcW w:w="6700" w:type="dxa"/>
            <w:vAlign w:val="bottom"/>
          </w:tcPr>
          <w:p>
            <w:pPr>
              <w:jc w:val="center"/>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6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8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21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46" w:lineRule="exact"/>
              <w:rPr>
                <w:sz w:val="20"/>
                <w:szCs w:val="20"/>
                <w:color w:val="auto"/>
              </w:rPr>
            </w:pPr>
            <w:r>
              <w:rPr>
                <w:rFonts w:ascii="Arial" w:cs="Arial" w:eastAsia="Arial" w:hAnsi="Arial"/>
                <w:sz w:val="16"/>
                <w:szCs w:val="16"/>
                <w:b w:val="1"/>
                <w:bCs w:val="1"/>
                <w:color w:val="auto"/>
              </w:rPr>
              <w:t>INITIAL STATEMENT OF BENEFICIAL OWNERSHIP OF SECURITIES</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160" w:type="dxa"/>
            <w:vAlign w:val="bottom"/>
          </w:tcPr>
          <w:p>
            <w:pPr>
              <w:spacing w:after="0"/>
              <w:rPr>
                <w:sz w:val="9"/>
                <w:szCs w:val="9"/>
                <w:color w:val="auto"/>
              </w:rPr>
            </w:pPr>
          </w:p>
        </w:tc>
        <w:tc>
          <w:tcPr>
            <w:tcW w:w="6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160" w:type="dxa"/>
            <w:vAlign w:val="bottom"/>
          </w:tcPr>
          <w:p>
            <w:pPr>
              <w:spacing w:after="0"/>
              <w:rPr>
                <w:sz w:val="2"/>
                <w:szCs w:val="2"/>
                <w:color w:val="auto"/>
              </w:rPr>
            </w:pPr>
          </w:p>
        </w:tc>
        <w:tc>
          <w:tcPr>
            <w:tcW w:w="6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6930390</wp:posOffset>
            </wp:positionH>
            <wp:positionV relativeFrom="paragraph">
              <wp:posOffset>-505460</wp:posOffset>
            </wp:positionV>
            <wp:extent cx="51435" cy="518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7019290" cy="5808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9290" cy="5808980"/>
                    </a:xfrm>
                    <a:prstGeom prst="rect">
                      <a:avLst/>
                    </a:prstGeom>
                    <a:noFill/>
                  </pic:spPr>
                </pic:pic>
              </a:graphicData>
            </a:graphic>
          </wp:anchor>
        </w:drawing>
      </w:r>
    </w:p>
    <w:p>
      <w:pPr>
        <w:sectPr>
          <w:pgSz w:w="11900" w:h="16838" w:orient="portrait"/>
          <w:cols w:equalWidth="0" w:num="1">
            <w:col w:w="11020"/>
          </w:cols>
          <w:pgMar w:left="440" w:top="202" w:right="439" w:bottom="0" w:gutter="0" w:footer="0" w:header="0"/>
        </w:sectPr>
      </w:pPr>
    </w:p>
    <w:p>
      <w:pPr>
        <w:spacing w:after="0" w:line="42" w:lineRule="exact"/>
        <w:rPr>
          <w:sz w:val="24"/>
          <w:szCs w:val="24"/>
          <w:color w:val="auto"/>
        </w:rPr>
      </w:pPr>
    </w:p>
    <w:tbl>
      <w:tblPr>
        <w:tblLayout w:type="fixed"/>
        <w:tblInd w:w="60" w:type="dxa"/>
        <w:tblCellMar>
          <w:top w:w="0" w:type="dxa"/>
          <w:left w:w="0" w:type="dxa"/>
          <w:bottom w:w="0" w:type="dxa"/>
          <w:right w:w="0" w:type="dxa"/>
        </w:tblCellMar>
      </w:tblPr>
      <w:tr>
        <w:trPr>
          <w:trHeight w:val="195"/>
        </w:trPr>
        <w:tc>
          <w:tcPr>
            <w:tcW w:w="208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10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tcPr>
          <w:p>
            <w:pPr>
              <w:spacing w:after="0" w:line="187" w:lineRule="exact"/>
              <w:rPr>
                <w:rFonts w:ascii="Times New Roman" w:cs="Times New Roman" w:eastAsia="Times New Roman" w:hAnsi="Times New Roman"/>
                <w:sz w:val="17"/>
                <w:szCs w:val="17"/>
                <w:color w:val="0000EE"/>
                <w:w w:val="95"/>
              </w:rPr>
            </w:pPr>
            <w:hyperlink r:id="rId11">
              <w:r>
                <w:rPr>
                  <w:rFonts w:ascii="Times New Roman" w:cs="Times New Roman" w:eastAsia="Times New Roman" w:hAnsi="Times New Roman"/>
                  <w:sz w:val="17"/>
                  <w:szCs w:val="17"/>
                  <w:color w:val="0000EE"/>
                  <w:w w:val="95"/>
                </w:rPr>
                <w:t>Poletti Franco</w:t>
              </w:r>
            </w:hyperlink>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20" w:type="dxa"/>
            <w:vAlign w:val="bottom"/>
          </w:tcPr>
          <w:p>
            <w:pPr>
              <w:ind w:left="120"/>
              <w:spacing w:after="0" w:line="94" w:lineRule="exact"/>
              <w:rPr>
                <w:sz w:val="20"/>
                <w:szCs w:val="20"/>
                <w:color w:val="auto"/>
              </w:rPr>
            </w:pPr>
            <w:r>
              <w:rPr>
                <w:rFonts w:ascii="Arial" w:cs="Arial" w:eastAsia="Arial" w:hAnsi="Arial"/>
                <w:sz w:val="10"/>
                <w:szCs w:val="10"/>
                <w:color w:val="auto"/>
              </w:rPr>
              <w:t>Statement (Month/Day/Year)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bottom w:val="single" w:sz="8" w:color="0000EE"/>
            </w:tcBorders>
            <w:vMerge w:val="continue"/>
          </w:tcPr>
          <w:p>
            <w:pPr>
              <w:spacing w:after="0"/>
              <w:rPr>
                <w:sz w:val="9"/>
                <w:szCs w:val="9"/>
                <w:color w:val="auto"/>
              </w:rPr>
            </w:pPr>
          </w:p>
        </w:tc>
        <w:tc>
          <w:tcPr>
            <w:tcW w:w="6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252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3"/>
                <w:szCs w:val="13"/>
                <w:color w:val="0000FF"/>
              </w:rPr>
              <w:t>08/01/2024</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Arial" w:cs="Arial" w:eastAsia="Arial" w:hAnsi="Arial"/>
                <w:sz w:val="10"/>
                <w:szCs w:val="10"/>
                <w:color w:val="auto"/>
              </w:rPr>
              <w:t>(Last)</w:t>
            </w:r>
          </w:p>
        </w:tc>
        <w:tc>
          <w:tcPr>
            <w:tcW w:w="1040" w:type="dxa"/>
            <w:vAlign w:val="bottom"/>
          </w:tcPr>
          <w:p>
            <w:pPr>
              <w:ind w:left="6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6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C/O LIVANOVA PLC</w:t>
            </w: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20 EASTBOURNE TERRACE</w:t>
            </w: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040" w:type="dxa"/>
            <w:vAlign w:val="bottom"/>
            <w:gridSpan w:val="4"/>
          </w:tcPr>
          <w:p>
            <w:pPr>
              <w:spacing w:after="0"/>
              <w:rPr>
                <w:sz w:val="20"/>
                <w:szCs w:val="20"/>
                <w:color w:val="auto"/>
              </w:rPr>
            </w:pPr>
            <w:r>
              <w:rPr>
                <w:rFonts w:ascii="Arial" w:cs="Arial" w:eastAsia="Arial" w:hAnsi="Arial"/>
                <w:sz w:val="10"/>
                <w:szCs w:val="10"/>
                <w:color w:val="auto"/>
              </w:rPr>
              <w:t>(Street)</w:t>
            </w: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LONDON</w:t>
            </w:r>
          </w:p>
        </w:tc>
        <w:tc>
          <w:tcPr>
            <w:tcW w:w="10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X0</w:t>
            </w:r>
          </w:p>
        </w:tc>
        <w:tc>
          <w:tcPr>
            <w:tcW w:w="25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W2 6LA</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7"/>
          <w:szCs w:val="17"/>
          <w:color w:val="0000EE"/>
        </w:rPr>
      </w:pPr>
      <w:hyperlink r:id="rId12">
        <w:r>
          <w:rPr>
            <w:rFonts w:ascii="Times New Roman" w:cs="Times New Roman" w:eastAsia="Times New Roman" w:hAnsi="Times New Roman"/>
            <w:sz w:val="17"/>
            <w:szCs w:val="17"/>
            <w:u w:val="single" w:color="auto"/>
            <w:color w:val="0000EE"/>
          </w:rPr>
          <w:t>LivaNova PLC</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3"/>
          <w:szCs w:val="13"/>
          <w:color w:val="0000FF"/>
        </w:rPr>
        <w:t>LIVN</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p>
      <w:pPr>
        <w:spacing w:after="0" w:line="314"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260" w:type="dxa"/>
            <w:vAlign w:val="bottom"/>
            <w:gridSpan w:val="2"/>
          </w:tcPr>
          <w:p>
            <w:pPr>
              <w:spacing w:after="0"/>
              <w:rPr>
                <w:sz w:val="20"/>
                <w:szCs w:val="20"/>
                <w:color w:val="auto"/>
              </w:rPr>
            </w:pPr>
            <w:r>
              <w:rPr>
                <w:rFonts w:ascii="Arial" w:cs="Arial" w:eastAsia="Arial" w:hAnsi="Arial"/>
                <w:sz w:val="10"/>
                <w:szCs w:val="10"/>
                <w:color w:val="auto"/>
              </w:rPr>
              <w:t>4. 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0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36"/>
        </w:trPr>
        <w:tc>
          <w:tcPr>
            <w:tcW w:w="1700" w:type="dxa"/>
            <w:vAlign w:val="bottom"/>
          </w:tcPr>
          <w:p>
            <w:pPr>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700" w:type="dxa"/>
            <w:vAlign w:val="bottom"/>
          </w:tcPr>
          <w:p>
            <w:pPr>
              <w:ind w:left="520"/>
              <w:spacing w:after="0" w:line="93" w:lineRule="exact"/>
              <w:rPr>
                <w:sz w:val="20"/>
                <w:szCs w:val="20"/>
                <w:color w:val="auto"/>
              </w:rPr>
            </w:pPr>
            <w:r>
              <w:rPr>
                <w:rFonts w:ascii="Arial" w:cs="Arial" w:eastAsia="Arial" w:hAnsi="Arial"/>
                <w:sz w:val="10"/>
                <w:szCs w:val="10"/>
                <w:color w:val="auto"/>
              </w:rPr>
              <w:t>Director</w:t>
            </w:r>
          </w:p>
        </w:tc>
        <w:tc>
          <w:tcPr>
            <w:tcW w:w="1560" w:type="dxa"/>
            <w:vAlign w:val="bottom"/>
          </w:tcPr>
          <w:p>
            <w:pPr>
              <w:ind w:left="420"/>
              <w:spacing w:after="0" w:line="93" w:lineRule="exact"/>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700" w:type="dxa"/>
            <w:vAlign w:val="bottom"/>
          </w:tcPr>
          <w:p>
            <w:pPr>
              <w:ind w:left="52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140" w:type="dxa"/>
            <w:vAlign w:val="bottom"/>
          </w:tcPr>
          <w:p>
            <w:pPr>
              <w:jc w:val="right"/>
              <w:spacing w:after="0"/>
              <w:rPr>
                <w:sz w:val="20"/>
                <w:szCs w:val="20"/>
                <w:color w:val="auto"/>
              </w:rPr>
            </w:pPr>
            <w:r>
              <w:rPr>
                <w:rFonts w:ascii="Arial" w:cs="Arial" w:eastAsia="Arial" w:hAnsi="Arial"/>
                <w:sz w:val="10"/>
                <w:szCs w:val="10"/>
                <w:color w:val="auto"/>
              </w:rPr>
              <w:t>6.</w:t>
            </w:r>
          </w:p>
        </w:tc>
        <w:tc>
          <w:tcPr>
            <w:tcW w:w="2600" w:type="dxa"/>
            <w:vAlign w:val="bottom"/>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74"/>
        </w:trPr>
        <w:tc>
          <w:tcPr>
            <w:tcW w:w="1700" w:type="dxa"/>
            <w:vAlign w:val="bottom"/>
            <w:vMerge w:val="restart"/>
          </w:tcPr>
          <w:p>
            <w:pPr>
              <w:ind w:left="520"/>
              <w:spacing w:after="0"/>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600" w:type="dxa"/>
            <w:vAlign w:val="bottom"/>
            <w:vMerge w:val="restart"/>
          </w:tcPr>
          <w:p>
            <w:pPr>
              <w:ind w:left="34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62"/>
        </w:trPr>
        <w:tc>
          <w:tcPr>
            <w:tcW w:w="170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3260" w:type="dxa"/>
            <w:vAlign w:val="bottom"/>
            <w:gridSpan w:val="2"/>
            <w:vMerge w:val="restart"/>
          </w:tcPr>
          <w:p>
            <w:pPr>
              <w:ind w:left="840"/>
              <w:spacing w:after="0"/>
              <w:rPr>
                <w:sz w:val="20"/>
                <w:szCs w:val="20"/>
                <w:color w:val="auto"/>
              </w:rPr>
            </w:pPr>
            <w:r>
              <w:rPr>
                <w:rFonts w:ascii="Times New Roman" w:cs="Times New Roman" w:eastAsia="Times New Roman" w:hAnsi="Times New Roman"/>
                <w:sz w:val="13"/>
                <w:szCs w:val="13"/>
                <w:color w:val="0000FF"/>
              </w:rPr>
              <w:t>President, Cardiopulmonary</w:t>
            </w:r>
          </w:p>
        </w:tc>
        <w:tc>
          <w:tcPr>
            <w:tcW w:w="140" w:type="dxa"/>
            <w:vAlign w:val="bottom"/>
          </w:tcPr>
          <w:p>
            <w:pPr>
              <w:spacing w:after="0"/>
              <w:rPr>
                <w:sz w:val="3"/>
                <w:szCs w:val="3"/>
                <w:color w:val="auto"/>
              </w:rPr>
            </w:pPr>
          </w:p>
        </w:tc>
        <w:tc>
          <w:tcPr>
            <w:tcW w:w="2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tcPr>
          <w:p>
            <w:pPr>
              <w:ind w:left="3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384" w:lineRule="exact"/>
        <w:rPr>
          <w:sz w:val="24"/>
          <w:szCs w:val="24"/>
          <w:color w:val="auto"/>
        </w:rPr>
      </w:pPr>
    </w:p>
    <w:p>
      <w:pPr>
        <w:sectPr>
          <w:pgSz w:w="11900" w:h="16838" w:orient="portrait"/>
          <w:cols w:equalWidth="0" w:num="2">
            <w:col w:w="4660" w:space="340"/>
            <w:col w:w="6020"/>
          </w:cols>
          <w:pgMar w:left="440" w:top="202" w:right="439" w:bottom="0" w:gutter="0" w:footer="0" w:header="0"/>
          <w:type w:val="continuous"/>
        </w:sectPr>
      </w:pPr>
    </w:p>
    <w:p>
      <w:pPr>
        <w:spacing w:after="0" w:line="40"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10"/>
          <w:szCs w:val="10"/>
          <w:color w:val="auto"/>
        </w:rPr>
        <w:t>(Zip)</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700" w:type="dxa"/>
            <w:vAlign w:val="bottom"/>
          </w:tcPr>
          <w:p>
            <w:pPr>
              <w:ind w:left="1760"/>
              <w:spacing w:after="0"/>
              <w:rPr>
                <w:sz w:val="20"/>
                <w:szCs w:val="20"/>
                <w:color w:val="auto"/>
              </w:rPr>
            </w:pPr>
            <w:r>
              <w:rPr>
                <w:rFonts w:ascii="Arial" w:cs="Arial" w:eastAsia="Arial" w:hAnsi="Arial"/>
                <w:sz w:val="10"/>
                <w:szCs w:val="10"/>
                <w:b w:val="1"/>
                <w:bCs w:val="1"/>
                <w:color w:val="auto"/>
              </w:rPr>
              <w:t>2. Amount of Securities Beneficially</w:t>
            </w: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3. Ownership Form:</w:t>
            </w:r>
          </w:p>
        </w:tc>
        <w:tc>
          <w:tcPr>
            <w:tcW w:w="2900" w:type="dxa"/>
            <w:vAlign w:val="bottom"/>
          </w:tcPr>
          <w:p>
            <w:pPr>
              <w:ind w:left="10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4"/>
        </w:trPr>
        <w:tc>
          <w:tcPr>
            <w:tcW w:w="3120" w:type="dxa"/>
            <w:vAlign w:val="bottom"/>
          </w:tcPr>
          <w:p>
            <w:pPr>
              <w:spacing w:after="0"/>
              <w:rPr>
                <w:sz w:val="9"/>
                <w:szCs w:val="9"/>
                <w:color w:val="auto"/>
              </w:rPr>
            </w:pPr>
          </w:p>
        </w:tc>
        <w:tc>
          <w:tcPr>
            <w:tcW w:w="3700" w:type="dxa"/>
            <w:vAlign w:val="bottom"/>
          </w:tcPr>
          <w:p>
            <w:pPr>
              <w:ind w:left="1760"/>
              <w:spacing w:after="0" w:line="114" w:lineRule="exact"/>
              <w:rPr>
                <w:sz w:val="20"/>
                <w:szCs w:val="20"/>
                <w:color w:val="auto"/>
              </w:rPr>
            </w:pPr>
            <w:r>
              <w:rPr>
                <w:rFonts w:ascii="Arial" w:cs="Arial" w:eastAsia="Arial" w:hAnsi="Arial"/>
                <w:sz w:val="10"/>
                <w:szCs w:val="10"/>
                <w:b w:val="1"/>
                <w:bCs w:val="1"/>
                <w:color w:val="auto"/>
              </w:rPr>
              <w:t>Owned (Instr. 4)</w:t>
            </w:r>
          </w:p>
        </w:tc>
        <w:tc>
          <w:tcPr>
            <w:tcW w:w="126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Direct (D) or Indirect</w:t>
            </w:r>
          </w:p>
        </w:tc>
        <w:tc>
          <w:tcPr>
            <w:tcW w:w="2900" w:type="dxa"/>
            <w:vAlign w:val="bottom"/>
          </w:tcPr>
          <w:p>
            <w:pPr>
              <w:spacing w:after="0"/>
              <w:rPr>
                <w:sz w:val="9"/>
                <w:szCs w:val="9"/>
                <w:color w:val="auto"/>
              </w:rPr>
            </w:pPr>
          </w:p>
        </w:tc>
      </w:tr>
      <w:tr>
        <w:trPr>
          <w:trHeight w:val="142"/>
        </w:trPr>
        <w:tc>
          <w:tcPr>
            <w:tcW w:w="3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(I) (Instr. 5)</w:t>
            </w:r>
          </w:p>
        </w:tc>
        <w:tc>
          <w:tcPr>
            <w:tcW w:w="2900" w:type="dxa"/>
            <w:vAlign w:val="bottom"/>
          </w:tcPr>
          <w:p>
            <w:pPr>
              <w:spacing w:after="0"/>
              <w:rPr>
                <w:sz w:val="12"/>
                <w:szCs w:val="12"/>
                <w:color w:val="auto"/>
              </w:rPr>
            </w:pPr>
          </w:p>
        </w:tc>
      </w:tr>
      <w:tr>
        <w:trPr>
          <w:trHeight w:val="25"/>
        </w:trPr>
        <w:tc>
          <w:tcPr>
            <w:tcW w:w="3120" w:type="dxa"/>
            <w:vAlign w:val="bottom"/>
            <w:tcBorders>
              <w:bottom w:val="single" w:sz="8" w:color="2C2C2C"/>
            </w:tcBorders>
          </w:tcPr>
          <w:p>
            <w:pPr>
              <w:spacing w:after="0"/>
              <w:rPr>
                <w:sz w:val="2"/>
                <w:szCs w:val="2"/>
                <w:color w:val="auto"/>
              </w:rPr>
            </w:pPr>
          </w:p>
        </w:tc>
        <w:tc>
          <w:tcPr>
            <w:tcW w:w="37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tcPr>
          <w:p>
            <w:pPr>
              <w:spacing w:after="0"/>
              <w:rPr>
                <w:sz w:val="2"/>
                <w:szCs w:val="2"/>
                <w:color w:val="auto"/>
              </w:rPr>
            </w:pPr>
          </w:p>
        </w:tc>
      </w:tr>
    </w:tbl>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140" w:type="dxa"/>
            <w:vAlign w:val="bottom"/>
          </w:tcPr>
          <w:p>
            <w:pPr>
              <w:ind w:left="740"/>
              <w:spacing w:after="0"/>
              <w:rPr>
                <w:sz w:val="20"/>
                <w:szCs w:val="20"/>
                <w:color w:val="auto"/>
              </w:rPr>
            </w:pPr>
            <w:r>
              <w:rPr>
                <w:rFonts w:ascii="Times New Roman" w:cs="Times New Roman" w:eastAsia="Times New Roman" w:hAnsi="Times New Roman"/>
                <w:sz w:val="13"/>
                <w:szCs w:val="13"/>
                <w:color w:val="0000FF"/>
              </w:rPr>
              <w:t>6,667</w:t>
            </w:r>
          </w:p>
        </w:tc>
        <w:tc>
          <w:tcPr>
            <w:tcW w:w="64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3440" w:type="dxa"/>
            <w:vAlign w:val="bottom"/>
            <w:tcBorders>
              <w:bottom w:val="single" w:sz="8" w:color="2C2C2C"/>
            </w:tcBorders>
            <w:gridSpan w:val="3"/>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2760" w:type="dxa"/>
            <w:vAlign w:val="bottom"/>
            <w:tcBorders>
              <w:top w:val="single" w:sz="8" w:color="2C2C2C"/>
            </w:tcBorders>
          </w:tcPr>
          <w:p>
            <w:pPr>
              <w:spacing w:after="0"/>
              <w:rPr>
                <w:sz w:val="14"/>
                <w:szCs w:val="14"/>
                <w:color w:val="auto"/>
              </w:rPr>
            </w:pPr>
          </w:p>
        </w:tc>
        <w:tc>
          <w:tcPr>
            <w:tcW w:w="920" w:type="dxa"/>
            <w:vAlign w:val="bottom"/>
            <w:tcBorders>
              <w:top w:val="single" w:sz="8" w:color="2C2C2C"/>
            </w:tcBorders>
          </w:tcPr>
          <w:p>
            <w:pPr>
              <w:spacing w:after="0"/>
              <w:rPr>
                <w:sz w:val="14"/>
                <w:szCs w:val="14"/>
                <w:color w:val="auto"/>
              </w:rPr>
            </w:pPr>
          </w:p>
        </w:tc>
        <w:tc>
          <w:tcPr>
            <w:tcW w:w="3440" w:type="dxa"/>
            <w:vAlign w:val="bottom"/>
            <w:tcBorders>
              <w:top w:val="single" w:sz="8" w:color="2C2C2C"/>
            </w:tcBorders>
            <w:gridSpan w:val="3"/>
          </w:tcPr>
          <w:p>
            <w:pPr>
              <w:ind w:left="22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4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16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000" w:type="dxa"/>
            <w:vAlign w:val="bottom"/>
            <w:gridSpan w:val="5"/>
          </w:tcPr>
          <w:p>
            <w:pPr>
              <w:ind w:left="8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20" w:type="dxa"/>
            <w:vAlign w:val="bottom"/>
          </w:tcPr>
          <w:p>
            <w:pPr>
              <w:spacing w:after="0"/>
              <w:rPr>
                <w:sz w:val="12"/>
                <w:szCs w:val="12"/>
                <w:color w:val="auto"/>
              </w:rPr>
            </w:pPr>
          </w:p>
        </w:tc>
        <w:tc>
          <w:tcPr>
            <w:tcW w:w="130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w:t>
            </w:r>
          </w:p>
        </w:tc>
        <w:tc>
          <w:tcPr>
            <w:tcW w:w="720" w:type="dxa"/>
            <w:vAlign w:val="bottom"/>
          </w:tcPr>
          <w:p>
            <w:pPr>
              <w:ind w:left="40"/>
              <w:spacing w:after="0"/>
              <w:rPr>
                <w:sz w:val="20"/>
                <w:szCs w:val="20"/>
                <w:color w:val="auto"/>
              </w:rPr>
            </w:pPr>
            <w:r>
              <w:rPr>
                <w:rFonts w:ascii="Arial" w:cs="Arial" w:eastAsia="Arial" w:hAnsi="Arial"/>
                <w:sz w:val="10"/>
                <w:szCs w:val="10"/>
                <w:b w:val="1"/>
                <w:bCs w:val="1"/>
                <w:color w:val="auto"/>
              </w:rPr>
              <w:t>4.</w:t>
            </w:r>
          </w:p>
        </w:tc>
        <w:tc>
          <w:tcPr>
            <w:tcW w:w="86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60" w:type="dxa"/>
            <w:vAlign w:val="bottom"/>
            <w:gridSpan w:val="2"/>
          </w:tcPr>
          <w:p>
            <w:pPr>
              <w:ind w:left="10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Expiration Date</w:t>
            </w:r>
          </w:p>
        </w:tc>
        <w:tc>
          <w:tcPr>
            <w:tcW w:w="214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Derivative Security (Instr. 4)</w:t>
            </w:r>
          </w:p>
        </w:tc>
        <w:tc>
          <w:tcPr>
            <w:tcW w:w="640" w:type="dxa"/>
            <w:vAlign w:val="bottom"/>
          </w:tcPr>
          <w:p>
            <w:pPr>
              <w:spacing w:after="0"/>
              <w:rPr>
                <w:sz w:val="9"/>
                <w:szCs w:val="9"/>
                <w:color w:val="auto"/>
              </w:rPr>
            </w:pP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Conversion</w:t>
            </w:r>
          </w:p>
        </w:tc>
        <w:tc>
          <w:tcPr>
            <w:tcW w:w="86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Form: Direct</w:t>
            </w:r>
          </w:p>
        </w:tc>
        <w:tc>
          <w:tcPr>
            <w:tcW w:w="166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(Month/Day/Year)</w:t>
            </w:r>
          </w:p>
        </w:tc>
        <w:tc>
          <w:tcPr>
            <w:tcW w:w="2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or Exercise</w:t>
            </w:r>
          </w:p>
        </w:tc>
        <w:tc>
          <w:tcPr>
            <w:tcW w:w="86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(D) or Indirect</w:t>
            </w: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vMerge w:val="restart"/>
          </w:tcPr>
          <w:p>
            <w:pPr>
              <w:ind w:left="40"/>
              <w:spacing w:after="0" w:line="114" w:lineRule="exact"/>
              <w:rPr>
                <w:sz w:val="20"/>
                <w:szCs w:val="20"/>
                <w:color w:val="auto"/>
              </w:rPr>
            </w:pPr>
            <w:r>
              <w:rPr>
                <w:rFonts w:ascii="Arial" w:cs="Arial" w:eastAsia="Arial" w:hAnsi="Arial"/>
                <w:sz w:val="10"/>
                <w:szCs w:val="10"/>
                <w:b w:val="1"/>
                <w:bCs w:val="1"/>
                <w:color w:val="auto"/>
              </w:rPr>
              <w:t>Price of</w:t>
            </w:r>
          </w:p>
        </w:tc>
        <w:tc>
          <w:tcPr>
            <w:tcW w:w="860" w:type="dxa"/>
            <w:vAlign w:val="bottom"/>
            <w:vMerge w:val="restart"/>
          </w:tcPr>
          <w:p>
            <w:pPr>
              <w:ind w:left="100"/>
              <w:spacing w:after="0" w:line="114" w:lineRule="exact"/>
              <w:rPr>
                <w:sz w:val="20"/>
                <w:szCs w:val="20"/>
                <w:color w:val="auto"/>
              </w:rPr>
            </w:pPr>
            <w:r>
              <w:rPr>
                <w:rFonts w:ascii="Arial" w:cs="Arial" w:eastAsia="Arial" w:hAnsi="Arial"/>
                <w:sz w:val="10"/>
                <w:szCs w:val="10"/>
                <w:b w:val="1"/>
                <w:bCs w:val="1"/>
                <w:color w:val="auto"/>
              </w:rPr>
              <w:t>(I) (Instr. 5)</w:t>
            </w: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6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tcPr>
          <w:p>
            <w:pPr>
              <w:ind w:left="40"/>
              <w:spacing w:after="0" w:line="104" w:lineRule="exact"/>
              <w:rPr>
                <w:sz w:val="20"/>
                <w:szCs w:val="20"/>
                <w:color w:val="auto"/>
              </w:rPr>
            </w:pPr>
            <w:r>
              <w:rPr>
                <w:rFonts w:ascii="Arial" w:cs="Arial" w:eastAsia="Arial" w:hAnsi="Arial"/>
                <w:sz w:val="10"/>
                <w:szCs w:val="10"/>
                <w:b w:val="1"/>
                <w:bCs w:val="1"/>
                <w:color w:val="auto"/>
              </w:rPr>
              <w:t>Derivative</w:t>
            </w: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Date</w:t>
            </w:r>
          </w:p>
        </w:tc>
        <w:tc>
          <w:tcPr>
            <w:tcW w:w="6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Expiration</w:t>
            </w:r>
          </w:p>
        </w:tc>
        <w:tc>
          <w:tcPr>
            <w:tcW w:w="21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4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Security</w:t>
            </w: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40" w:type="dxa"/>
            <w:vAlign w:val="bottom"/>
            <w:vMerge w:val="continue"/>
          </w:tcPr>
          <w:p>
            <w:pPr>
              <w:spacing w:after="0"/>
              <w:rPr>
                <w:sz w:val="12"/>
                <w:szCs w:val="12"/>
                <w:color w:val="auto"/>
              </w:rPr>
            </w:pP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Appreciation Rights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4"/>
              </w:rPr>
              <w:t>(1)</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03/30/2034</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4,706</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55.94</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Appreciation Rights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4"/>
              </w:rPr>
              <w:t>(2)</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03/30/2033</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2,841</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42.71</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Appreciation Rights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4"/>
              </w:rPr>
              <w:t>(3)</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03/30/2032</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1,658</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82.04</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Appreciation Rights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4"/>
              </w:rPr>
              <w:t>(4)</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03/30/2031</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2,021</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73.25</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Appreciation Rights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4"/>
              </w:rPr>
              <w:t>(5)</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03/30/2030</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3,357</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43.57</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Appreciation Rights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4"/>
              </w:rPr>
              <w:t>(6)</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03/30/2029</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1,674</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97.25</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Appreciation Rights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4"/>
              </w:rPr>
              <w:t>(7)</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03/15/2028</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2,036</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88.38</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Appreciation Rights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4"/>
              </w:rPr>
              <w:t>(8)</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05/05/2027</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2,910</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56.17</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Appreciation Rights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4"/>
              </w:rPr>
              <w:t>(9)</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03/11/2026</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2,140</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57.6</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Restricted Stock Units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3"/>
              </w:rPr>
              <w:t>(10)</w:t>
            </w:r>
          </w:p>
        </w:tc>
        <w:tc>
          <w:tcPr>
            <w:tcW w:w="62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3"/>
              </w:rPr>
              <w:t>(10)</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2,234</w:t>
            </w:r>
          </w:p>
        </w:tc>
        <w:tc>
          <w:tcPr>
            <w:tcW w:w="72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3"/>
              </w:rPr>
              <w:t>(10)</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Restricted Stock Units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3"/>
              </w:rPr>
              <w:t>(11)</w:t>
            </w:r>
          </w:p>
        </w:tc>
        <w:tc>
          <w:tcPr>
            <w:tcW w:w="62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3"/>
              </w:rPr>
              <w:t>(11)</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1,934</w:t>
            </w:r>
          </w:p>
        </w:tc>
        <w:tc>
          <w:tcPr>
            <w:tcW w:w="72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3"/>
              </w:rPr>
              <w:t>(11)</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Restricted Stock Units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3"/>
              </w:rPr>
              <w:t>(12)</w:t>
            </w:r>
          </w:p>
        </w:tc>
        <w:tc>
          <w:tcPr>
            <w:tcW w:w="62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3"/>
              </w:rPr>
              <w:t>(12)</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975</w:t>
            </w:r>
          </w:p>
        </w:tc>
        <w:tc>
          <w:tcPr>
            <w:tcW w:w="72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3"/>
              </w:rPr>
              <w:t>(12)</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Restricted Stock Units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3"/>
              </w:rPr>
              <w:t>(13)</w:t>
            </w:r>
          </w:p>
        </w:tc>
        <w:tc>
          <w:tcPr>
            <w:tcW w:w="62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3"/>
              </w:rPr>
              <w:t>(13)</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343</w:t>
            </w:r>
          </w:p>
        </w:tc>
        <w:tc>
          <w:tcPr>
            <w:tcW w:w="72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3"/>
              </w:rPr>
              <w:t>(13)</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Restricted Stock Units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3"/>
              </w:rPr>
              <w:t>(14)</w:t>
            </w:r>
          </w:p>
        </w:tc>
        <w:tc>
          <w:tcPr>
            <w:tcW w:w="62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3"/>
              </w:rPr>
              <w:t>(14)</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201</w:t>
            </w:r>
          </w:p>
        </w:tc>
        <w:tc>
          <w:tcPr>
            <w:tcW w:w="72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3"/>
              </w:rPr>
              <w:t>(14)</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Performance Stock Units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3"/>
              </w:rPr>
              <w:t>(15)</w:t>
            </w:r>
          </w:p>
        </w:tc>
        <w:tc>
          <w:tcPr>
            <w:tcW w:w="62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3"/>
              </w:rPr>
              <w:t>(15)</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1,117</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Performance Stock Units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3"/>
              </w:rPr>
              <w:t>(16)</w:t>
            </w:r>
          </w:p>
        </w:tc>
        <w:tc>
          <w:tcPr>
            <w:tcW w:w="62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3"/>
              </w:rPr>
              <w:t>(16)</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1,117</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Performance Stock Units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3"/>
              </w:rPr>
              <w:t>(17)</w:t>
            </w:r>
          </w:p>
        </w:tc>
        <w:tc>
          <w:tcPr>
            <w:tcW w:w="62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3"/>
              </w:rPr>
              <w:t>(17)</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2,234</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40" w:right="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Reporting person was granted an award of stock appreciation rights ("SARs"). Subject to the terms and conditions of the LivaNova PLC 2022 Incentive Award Plan (the "2022 Plan") and the award agreement, the SARs shall vest in equal installments of 25% on each of the first four anniversaries of the grant date, March 30, 2024.</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Reporting person was granted an award of SARs. Subject to the terms and conditions of the 2022 Plan and the award agreement, the SARs shall vest in equal installments of 25% on each of the first four anniversaries of the grant date, March 30, 2023.</w:t>
      </w:r>
    </w:p>
    <w:p>
      <w:pPr>
        <w:spacing w:after="0" w:line="40" w:lineRule="exact"/>
        <w:rPr>
          <w:rFonts w:ascii="Times New Roman" w:cs="Times New Roman" w:eastAsia="Times New Roman" w:hAnsi="Times New Roman"/>
          <w:sz w:val="10"/>
          <w:szCs w:val="10"/>
          <w:color w:val="008000"/>
        </w:rPr>
      </w:pPr>
    </w:p>
    <w:p>
      <w:pPr>
        <w:ind w:left="40" w:right="38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Reporting person was granted an award of SARs. Subject to the terms and conditions of the LivaNova PLC 2015 Incentive Award Plan (the "2015 Plan") and the award agreement, the SARs shall vest in equal installments of 25% on each of the first four anniversaries of the grant date, March 30, 2022.</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Reporting person was granted an award of SARs. Subject to the terms and conditions of the 2015 Plan and the award agreement, the SARs shall vest in equal installments of 25% on each of the first four anniversaries of the grant date, March 30, 2021.</w:t>
      </w:r>
    </w:p>
    <w:p>
      <w:pPr>
        <w:spacing w:after="0" w:line="40" w:lineRule="exact"/>
        <w:rPr>
          <w:rFonts w:ascii="Times New Roman" w:cs="Times New Roman" w:eastAsia="Times New Roman" w:hAnsi="Times New Roman"/>
          <w:sz w:val="10"/>
          <w:szCs w:val="10"/>
          <w:color w:val="008000"/>
        </w:rPr>
      </w:pPr>
    </w:p>
    <w:p>
      <w:pPr>
        <w:ind w:left="40" w:right="8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Reporting person was granted an award of SARs. Subject to the terms and conditions of the 2015 Plan and the award agreement, the SARs vested in equal installments of 25% on each of the first four anniversaries of the grant date, March 30, 2020. These SARs are fully vested.</w:t>
      </w:r>
    </w:p>
    <w:p>
      <w:pPr>
        <w:spacing w:after="0" w:line="3" w:lineRule="exact"/>
        <w:rPr>
          <w:rFonts w:ascii="Times New Roman" w:cs="Times New Roman" w:eastAsia="Times New Roman" w:hAnsi="Times New Roman"/>
          <w:sz w:val="10"/>
          <w:szCs w:val="10"/>
          <w:color w:val="008000"/>
        </w:rPr>
      </w:pPr>
    </w:p>
    <w:p>
      <w:pPr>
        <w:ind w:left="40" w:right="8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Reporting person was granted an award of SARs. Subject to the terms and conditions of the 2015 Plan and the award agreement, the SARs vested in equal installments of 25% on each of the first four anniversaries of the grant date, March 30, 2019. These SARs are fully vested.</w:t>
      </w:r>
    </w:p>
    <w:p>
      <w:pPr>
        <w:spacing w:after="0" w:line="3" w:lineRule="exact"/>
        <w:rPr>
          <w:rFonts w:ascii="Times New Roman" w:cs="Times New Roman" w:eastAsia="Times New Roman" w:hAnsi="Times New Roman"/>
          <w:sz w:val="10"/>
          <w:szCs w:val="10"/>
          <w:color w:val="008000"/>
        </w:rPr>
      </w:pPr>
    </w:p>
    <w:p>
      <w:pPr>
        <w:ind w:left="40" w:right="8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Reporting person was granted an award of SARs. Subject to the terms and conditions of the 2015 Plan and the award agreement, the SARs vested in equal installments of 25% on each of the first four anniversaries of the grant date, March 15, 2018. These SARs are fully vested.</w:t>
      </w:r>
    </w:p>
    <w:p>
      <w:pPr>
        <w:spacing w:after="0" w:line="3"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Reporting person was granted an award of SARs. Subject to the terms and conditions of the 2015 Plan and the award agreement, the SARs vested in equal installments of 25% on each of the first four anniversaries of the grant date, May 5, 2017. These SARs are fully vested.</w:t>
      </w:r>
    </w:p>
    <w:p>
      <w:pPr>
        <w:spacing w:after="0" w:line="3" w:lineRule="exact"/>
        <w:rPr>
          <w:rFonts w:ascii="Times New Roman" w:cs="Times New Roman" w:eastAsia="Times New Roman" w:hAnsi="Times New Roman"/>
          <w:sz w:val="10"/>
          <w:szCs w:val="10"/>
          <w:color w:val="008000"/>
        </w:rPr>
      </w:pPr>
    </w:p>
    <w:p>
      <w:pPr>
        <w:ind w:left="40" w:right="8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Reporting person was granted an award of SARs. Subject to the terms and conditions of the 2015 Plan and the award agreement, the SARs vested in equal installments of 25% on each of the first four anniversaries of the grant date, March 11, 2016. These SARs are fully vested.</w:t>
      </w:r>
    </w:p>
    <w:p>
      <w:pPr>
        <w:spacing w:after="0" w:line="3" w:lineRule="exact"/>
        <w:rPr>
          <w:rFonts w:ascii="Times New Roman" w:cs="Times New Roman" w:eastAsia="Times New Roman" w:hAnsi="Times New Roman"/>
          <w:sz w:val="10"/>
          <w:szCs w:val="10"/>
          <w:color w:val="008000"/>
        </w:rPr>
      </w:pPr>
    </w:p>
    <w:p>
      <w:pPr>
        <w:ind w:left="40" w:right="80" w:hanging="6"/>
        <w:spacing w:after="0" w:line="258" w:lineRule="auto"/>
        <w:tabs>
          <w:tab w:leader="none" w:pos="195"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 ("RSU") represents a contingent right to receive one ordinary share ("Ordinary Share") of LivaNova PLC (the "Company"), GBP 1.00 par value, in accordance with the terms of the 2022 Plan and the award agreement. The reporting person was granted 2,234 RSUs on March 30, 2024, subject to a four-year vesting schedule, which begins on March 30, 2025. The unvested RSUs reported herein vest 25% on March 30, 2025, March 30, 2026, March 30, 2027, and March 30, 2028. The RSUs are subject to forfeiture prior to vesting in accordance with the terms of the 2022 Plan and the award agreement.</w:t>
      </w:r>
    </w:p>
    <w:p>
      <w:pPr>
        <w:spacing w:after="0" w:line="12" w:lineRule="exact"/>
        <w:rPr>
          <w:rFonts w:ascii="Times New Roman" w:cs="Times New Roman" w:eastAsia="Times New Roman" w:hAnsi="Times New Roman"/>
          <w:sz w:val="10"/>
          <w:szCs w:val="10"/>
          <w:color w:val="008000"/>
        </w:rPr>
      </w:pPr>
    </w:p>
    <w:p>
      <w:pPr>
        <w:jc w:val="both"/>
        <w:ind w:left="40" w:right="60" w:hanging="6"/>
        <w:spacing w:after="0" w:line="278" w:lineRule="auto"/>
        <w:tabs>
          <w:tab w:leader="none" w:pos="192"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RSU represents a contingent right to receive one Ordinary Share of the Company in accordance with the terms of the 2022 Plan and the award agreement. The reporting person was granted 1,934 RSUs on December 15, 2023, subject to a two-year vesting schedule, which begins on December 15, 2024. The unvested RSUs reported here vest 50% on December 15, 2024 and December 15, 2025. The RSUs are subject to forfeiture prior to vesting in accordance with the terms of the 2022 Plan and the award agreement.</w:t>
      </w:r>
    </w:p>
    <w:p>
      <w:pPr>
        <w:spacing w:after="0" w:line="3" w:lineRule="exact"/>
        <w:rPr>
          <w:rFonts w:ascii="Times New Roman" w:cs="Times New Roman" w:eastAsia="Times New Roman" w:hAnsi="Times New Roman"/>
          <w:sz w:val="10"/>
          <w:szCs w:val="10"/>
          <w:color w:val="008000"/>
        </w:rPr>
      </w:pPr>
    </w:p>
    <w:p>
      <w:pPr>
        <w:jc w:val="both"/>
        <w:ind w:left="40" w:right="80" w:hanging="6"/>
        <w:spacing w:after="0" w:line="258" w:lineRule="auto"/>
        <w:tabs>
          <w:tab w:leader="none" w:pos="195"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RSU represents a contingent right to receive one Ordinary Share of the Company in accordance with the terms of the 2022 Plan and the award agreement. The reporting person was originally granted 1,300 RSUs on March 30, 2023, subject to a four-year vesting schedule, which began on March 30, 2024. The 975 unvested RSUs reported herein vest in equal installments on March 30, 2025, March 30, 2026, and March 30, 2027. The RSUs are subject to forfeiture prior to vesting in accordance with the terms of the 2022 Plan and the award agreement.</w:t>
      </w:r>
    </w:p>
    <w:p>
      <w:pPr>
        <w:spacing w:after="0" w:line="12" w:lineRule="exact"/>
        <w:rPr>
          <w:rFonts w:ascii="Times New Roman" w:cs="Times New Roman" w:eastAsia="Times New Roman" w:hAnsi="Times New Roman"/>
          <w:sz w:val="10"/>
          <w:szCs w:val="10"/>
          <w:color w:val="008000"/>
        </w:rPr>
      </w:pPr>
    </w:p>
    <w:p>
      <w:pPr>
        <w:ind w:left="40" w:right="60" w:hanging="6"/>
        <w:spacing w:after="0" w:line="258" w:lineRule="auto"/>
        <w:tabs>
          <w:tab w:leader="none" w:pos="195"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RSU represents a contingent right to receive one Ordinary Share of the Company in accordance with the terms of the 2015 Plan and the award agreement. The reporting person was originally granted 687 RSUs on March 30, 2022, subject to a four-year vesting schedule, which began on March 30, 2023. The 343 unvested RSUs reported herein vest in equal installments on March 30, 2025 and March 30, 2026. The RSUs are subject to forfeiture prior to vesting in accordance with the terms of the 2015 Plan and the award agreement.</w:t>
      </w:r>
    </w:p>
    <w:p>
      <w:pPr>
        <w:spacing w:after="0" w:line="12" w:lineRule="exact"/>
        <w:rPr>
          <w:rFonts w:ascii="Times New Roman" w:cs="Times New Roman" w:eastAsia="Times New Roman" w:hAnsi="Times New Roman"/>
          <w:sz w:val="10"/>
          <w:szCs w:val="10"/>
          <w:color w:val="008000"/>
        </w:rPr>
      </w:pPr>
    </w:p>
    <w:p>
      <w:pPr>
        <w:ind w:left="40" w:right="280" w:hanging="6"/>
        <w:spacing w:after="0" w:line="278" w:lineRule="auto"/>
        <w:tabs>
          <w:tab w:leader="none" w:pos="195"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RSU represents a contingent right to receive one Ordinary Share of the Company in accordance with the terms of the 2022 Plan and the award agreement. The reporting person was granted 804 RSUs on March 30, 2021, subject to a four-year vesting schedule, which began on March 30, 2022. The 201 unvested RSUs reported here vest on March 30, 2025. The RSUs are subject to forfeiture prior to vesting in accordance with the terms of the 2015 Plan and the award agreement.</w:t>
      </w:r>
    </w:p>
    <w:p>
      <w:pPr>
        <w:spacing w:after="0" w:line="3" w:lineRule="exact"/>
        <w:rPr>
          <w:rFonts w:ascii="Times New Roman" w:cs="Times New Roman" w:eastAsia="Times New Roman" w:hAnsi="Times New Roman"/>
          <w:sz w:val="10"/>
          <w:szCs w:val="10"/>
          <w:color w:val="008000"/>
        </w:rPr>
      </w:pPr>
    </w:p>
    <w:p>
      <w:pPr>
        <w:ind w:left="40" w:right="60" w:hanging="6"/>
        <w:spacing w:after="0" w:line="258" w:lineRule="auto"/>
        <w:tabs>
          <w:tab w:leader="none" w:pos="195"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performance stock unit ("PSU") represents a contingent right to receive one Ordinary Share of the Company in accordance with the terms and conditions of the 2022 Plan and the award agreement. On March 30, 2024, reporting person was granted PSUs to vest or lapse on March 30, 2027 based on how the Company's free cash flow ("FCF") for performance period 2024-2026 compared to a target determined by the 2022 Plan Administrator. The number included in column 3 of Table II reflects the target number of PSUs eligible for vesting subject to continued service during the vesting period and the award agreement.</w:t>
      </w:r>
    </w:p>
    <w:p>
      <w:pPr>
        <w:spacing w:after="0" w:line="12" w:lineRule="exact"/>
        <w:rPr>
          <w:rFonts w:ascii="Times New Roman" w:cs="Times New Roman" w:eastAsia="Times New Roman" w:hAnsi="Times New Roman"/>
          <w:sz w:val="10"/>
          <w:szCs w:val="10"/>
          <w:color w:val="008000"/>
        </w:rPr>
      </w:pPr>
    </w:p>
    <w:p>
      <w:pPr>
        <w:ind w:left="40" w:right="160" w:hanging="6"/>
        <w:spacing w:after="0" w:line="258" w:lineRule="auto"/>
        <w:tabs>
          <w:tab w:leader="none" w:pos="195"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PSU represents a contingent right to receive one Ordinary Share of the Company in accordance with the terms and conditions of the 2022 Plan and the award agreement. On March 30, 2024, reporting person was granted PSUs to vest or lapse on March 30, 2027 based on how the Company's Return on Investment Capital ("ROIC") calculated for the performance period 2024-2026 compares to a target determined by the 2022 Plan Administrator. The number included in column 3 of Table II reflects the target number of PSUs eligible for vesting subject to continued service during the vesting period and the award agreement.</w:t>
      </w:r>
    </w:p>
    <w:p>
      <w:pPr>
        <w:spacing w:after="0" w:line="12" w:lineRule="exact"/>
        <w:rPr>
          <w:rFonts w:ascii="Times New Roman" w:cs="Times New Roman" w:eastAsia="Times New Roman" w:hAnsi="Times New Roman"/>
          <w:sz w:val="10"/>
          <w:szCs w:val="10"/>
          <w:color w:val="008000"/>
        </w:rPr>
      </w:pPr>
    </w:p>
    <w:p>
      <w:pPr>
        <w:ind w:left="40" w:right="160" w:hanging="6"/>
        <w:spacing w:after="0" w:line="258" w:lineRule="auto"/>
        <w:tabs>
          <w:tab w:leader="none" w:pos="195"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PSU represents a contingent right to receive one Ordinary Share of the Company in accordance with the terms and conditions of the 2022 Plan and the award agreement. On March 30, 2024, reporting person was granted PSUs to vest or lapse on March 30, 2027 based on the Company's total shareholder return ("TSR") for the three-year period beginning on January 1, 2024 and ending December 31, 2026 relative to the total shareholder return of a peer group of companies, as determined by the 2022 Plan Administrator. The number included in column 3 of Table II reflects the target number of PSUs eligible for vesting subject to continued service during the vesting period and the award agreement.</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List: Ex 24 - Power of Attorney</w:t>
      </w:r>
    </w:p>
    <w:p>
      <w:pPr>
        <w:spacing w:after="0" w:line="57" w:lineRule="exact"/>
        <w:rPr>
          <w:sz w:val="24"/>
          <w:szCs w:val="24"/>
          <w:color w:val="auto"/>
        </w:rPr>
      </w:pPr>
    </w:p>
    <w:tbl>
      <w:tblPr>
        <w:tblLayout w:type="fixed"/>
        <w:tblInd w:w="6620" w:type="dxa"/>
        <w:tblCellMar>
          <w:top w:w="0" w:type="dxa"/>
          <w:left w:w="0" w:type="dxa"/>
          <w:bottom w:w="0" w:type="dxa"/>
          <w:right w:w="0" w:type="dxa"/>
        </w:tblCellMar>
      </w:tblPr>
      <w:tr>
        <w:trPr>
          <w:trHeight w:val="149"/>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/s/ Sarah K. Mohr, Attorney-in-Fact</w:t>
            </w:r>
          </w:p>
        </w:tc>
        <w:tc>
          <w:tcPr>
            <w:tcW w:w="280" w:type="dxa"/>
            <w:vAlign w:val="bottom"/>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0000FF"/>
              </w:rPr>
              <w:t>08/09/2024</w:t>
            </w:r>
          </w:p>
        </w:tc>
      </w:tr>
    </w:tbl>
    <w:p>
      <w:pPr>
        <w:spacing w:after="0" w:line="52" w:lineRule="exact"/>
        <w:rPr>
          <w:sz w:val="24"/>
          <w:szCs w:val="24"/>
          <w:color w:val="auto"/>
        </w:rPr>
      </w:pPr>
    </w:p>
    <w:p>
      <w:pPr>
        <w:sectPr>
          <w:pgSz w:w="11900" w:h="16838" w:orient="portrait"/>
          <w:cols w:equalWidth="0" w:num="1">
            <w:col w:w="11020"/>
          </w:cols>
          <w:pgMar w:left="440" w:top="202" w:right="439" w:bottom="0" w:gutter="0" w:footer="0" w:header="0"/>
          <w:type w:val="continuous"/>
        </w:sectPr>
      </w:pPr>
    </w:p>
    <w:p>
      <w:pPr>
        <w:ind w:left="6620"/>
        <w:spacing w:after="0"/>
        <w:tabs>
          <w:tab w:leader="none" w:pos="8800" w:val="left"/>
        </w:tabs>
        <w:rPr>
          <w:sz w:val="20"/>
          <w:szCs w:val="20"/>
          <w:color w:val="auto"/>
        </w:rPr>
      </w:pPr>
      <w:r>
        <w:rPr>
          <w:rFonts w:ascii="Arial" w:cs="Arial" w:eastAsia="Arial" w:hAnsi="Arial"/>
          <w:sz w:val="10"/>
          <w:szCs w:val="10"/>
          <w:color w:val="auto"/>
        </w:rPr>
        <w:t>** Signature of Reporting Person</w:t>
      </w:r>
      <w:r>
        <w:rPr>
          <w:sz w:val="20"/>
          <w:szCs w:val="20"/>
          <w:color w:val="auto"/>
        </w:rPr>
        <w:tab/>
      </w:r>
      <w:r>
        <w:rPr>
          <w:rFonts w:ascii="Arial" w:cs="Arial" w:eastAsia="Arial" w:hAnsi="Arial"/>
          <w:sz w:val="10"/>
          <w:szCs w:val="10"/>
          <w:color w:val="auto"/>
        </w:rPr>
        <w:t>Date</w:t>
      </w:r>
    </w:p>
    <w:p>
      <w:pPr>
        <w:sectPr>
          <w:pgSz w:w="11900" w:h="16838" w:orient="portrait"/>
          <w:cols w:equalWidth="0" w:num="1">
            <w:col w:w="11020"/>
          </w:cols>
          <w:pgMar w:left="440" w:top="202" w:right="439" w:bottom="0" w:gutter="0" w:footer="0" w:header="0"/>
          <w:type w:val="continuous"/>
        </w:sectPr>
      </w:pPr>
    </w:p>
    <w:bookmarkStart w:id="1" w:name="page2"/>
    <w:bookmarkEnd w:id="1"/>
    <w:p>
      <w:pPr>
        <w:ind w:left="6"/>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0"/>
          <w:szCs w:val="20"/>
          <w:color w:val="auto"/>
        </w:rPr>
      </w:pPr>
    </w:p>
    <w:p>
      <w:pPr>
        <w:ind w:left="6"/>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40" w:lineRule="exact"/>
        <w:rPr>
          <w:sz w:val="20"/>
          <w:szCs w:val="20"/>
          <w:color w:val="auto"/>
        </w:rPr>
      </w:pPr>
    </w:p>
    <w:p>
      <w:pPr>
        <w:jc w:val="both"/>
        <w:ind w:left="6" w:right="3999" w:hanging="6"/>
        <w:spacing w:after="0" w:line="324" w:lineRule="auto"/>
        <w:tabs>
          <w:tab w:leader="none" w:pos="115"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6"/>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85"/>
          </w:cols>
          <w:pgMar w:left="474" w:top="130" w:right="1440"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2031281" TargetMode="External"/><Relationship Id="rId12"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2024-08-09T16:32:32Z</dcterms:created>
  <dcterms:modified xsi:type="dcterms:W3CDTF">2024-08-09T16:32:32Z</dcterms:modified>
</cp:coreProperties>
</file>