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136525</wp:posOffset>
            </wp:positionH>
            <wp:positionV relativeFrom="page">
              <wp:posOffset>332740</wp:posOffset>
            </wp:positionV>
            <wp:extent cx="7288530"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8530" cy="40640"/>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8-K</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October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2978785</wp:posOffset>
            </wp:positionH>
            <wp:positionV relativeFrom="paragraph">
              <wp:posOffset>253365</wp:posOffset>
            </wp:positionV>
            <wp:extent cx="1298575" cy="407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98575" cy="407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LivaNova PLC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24" w:lineRule="exact"/>
        <w:rPr>
          <w:sz w:val="24"/>
          <w:szCs w:val="24"/>
          <w:color w:val="auto"/>
        </w:rPr>
      </w:pPr>
    </w:p>
    <w:tbl>
      <w:tblPr>
        <w:tblLayout w:type="fixed"/>
        <w:tblInd w:w="960" w:type="dxa"/>
        <w:tblCellMar>
          <w:top w:w="0" w:type="dxa"/>
          <w:left w:w="0" w:type="dxa"/>
          <w:bottom w:w="0" w:type="dxa"/>
          <w:right w:w="0" w:type="dxa"/>
        </w:tblCellMar>
      </w:tblPr>
      <w:tr>
        <w:trPr>
          <w:trHeight w:val="194"/>
        </w:trPr>
        <w:tc>
          <w:tcPr>
            <w:tcW w:w="2200" w:type="dxa"/>
            <w:vAlign w:val="bottom"/>
          </w:tcPr>
          <w:p>
            <w:pPr>
              <w:jc w:val="center"/>
              <w:ind w:right="381"/>
              <w:spacing w:after="0"/>
              <w:rPr>
                <w:sz w:val="20"/>
                <w:szCs w:val="20"/>
                <w:color w:val="auto"/>
              </w:rPr>
            </w:pPr>
            <w:r>
              <w:rPr>
                <w:rFonts w:ascii="Arial" w:cs="Arial" w:eastAsia="Arial" w:hAnsi="Arial"/>
                <w:sz w:val="16"/>
                <w:szCs w:val="16"/>
                <w:b w:val="1"/>
                <w:bCs w:val="1"/>
                <w:color w:val="auto"/>
                <w:w w:val="88"/>
              </w:rPr>
              <w:t>England and Wales</w:t>
            </w:r>
          </w:p>
        </w:tc>
        <w:tc>
          <w:tcPr>
            <w:tcW w:w="5260" w:type="dxa"/>
            <w:vAlign w:val="bottom"/>
          </w:tcPr>
          <w:p>
            <w:pPr>
              <w:jc w:val="center"/>
              <w:ind w:right="61"/>
              <w:spacing w:after="0"/>
              <w:rPr>
                <w:sz w:val="20"/>
                <w:szCs w:val="20"/>
                <w:color w:val="auto"/>
              </w:rPr>
            </w:pPr>
            <w:r>
              <w:rPr>
                <w:rFonts w:ascii="Arial" w:cs="Arial" w:eastAsia="Arial" w:hAnsi="Arial"/>
                <w:sz w:val="16"/>
                <w:szCs w:val="16"/>
                <w:b w:val="1"/>
                <w:bCs w:val="1"/>
                <w:color w:val="auto"/>
                <w:w w:val="88"/>
              </w:rPr>
              <w:t>001-37599</w:t>
            </w:r>
          </w:p>
        </w:tc>
        <w:tc>
          <w:tcPr>
            <w:tcW w:w="1780" w:type="dxa"/>
            <w:vAlign w:val="bottom"/>
          </w:tcPr>
          <w:p>
            <w:pPr>
              <w:jc w:val="center"/>
              <w:ind w:left="521"/>
              <w:spacing w:after="0"/>
              <w:rPr>
                <w:sz w:val="20"/>
                <w:szCs w:val="20"/>
                <w:color w:val="auto"/>
              </w:rPr>
            </w:pPr>
            <w:r>
              <w:rPr>
                <w:rFonts w:ascii="Arial" w:cs="Arial" w:eastAsia="Arial" w:hAnsi="Arial"/>
                <w:sz w:val="16"/>
                <w:szCs w:val="16"/>
                <w:b w:val="1"/>
                <w:bCs w:val="1"/>
                <w:color w:val="auto"/>
                <w:w w:val="91"/>
              </w:rPr>
              <w:t>98-1268150</w:t>
            </w:r>
          </w:p>
        </w:tc>
      </w:tr>
      <w:tr>
        <w:trPr>
          <w:trHeight w:val="190"/>
        </w:trPr>
        <w:tc>
          <w:tcPr>
            <w:tcW w:w="2200" w:type="dxa"/>
            <w:vAlign w:val="bottom"/>
          </w:tcPr>
          <w:p>
            <w:pPr>
              <w:jc w:val="center"/>
              <w:ind w:right="401"/>
              <w:spacing w:after="0"/>
              <w:rPr>
                <w:sz w:val="20"/>
                <w:szCs w:val="20"/>
                <w:color w:val="auto"/>
              </w:rPr>
            </w:pPr>
            <w:r>
              <w:rPr>
                <w:rFonts w:ascii="Arial" w:cs="Arial" w:eastAsia="Arial" w:hAnsi="Arial"/>
                <w:sz w:val="16"/>
                <w:szCs w:val="16"/>
                <w:color w:val="auto"/>
                <w:w w:val="90"/>
              </w:rPr>
              <w:t>(State or Other Jurisdiction</w:t>
            </w:r>
          </w:p>
        </w:tc>
        <w:tc>
          <w:tcPr>
            <w:tcW w:w="5260" w:type="dxa"/>
            <w:vAlign w:val="bottom"/>
          </w:tcPr>
          <w:p>
            <w:pPr>
              <w:jc w:val="center"/>
              <w:ind w:right="41"/>
              <w:spacing w:after="0"/>
              <w:rPr>
                <w:sz w:val="20"/>
                <w:szCs w:val="20"/>
                <w:color w:val="auto"/>
              </w:rPr>
            </w:pPr>
            <w:r>
              <w:rPr>
                <w:rFonts w:ascii="Arial" w:cs="Arial" w:eastAsia="Arial" w:hAnsi="Arial"/>
                <w:sz w:val="16"/>
                <w:szCs w:val="16"/>
                <w:color w:val="auto"/>
                <w:w w:val="92"/>
              </w:rPr>
              <w:t>(Commission</w:t>
            </w:r>
          </w:p>
        </w:tc>
        <w:tc>
          <w:tcPr>
            <w:tcW w:w="1780" w:type="dxa"/>
            <w:vAlign w:val="bottom"/>
          </w:tcPr>
          <w:p>
            <w:pPr>
              <w:jc w:val="center"/>
              <w:ind w:left="501"/>
              <w:spacing w:after="0"/>
              <w:rPr>
                <w:sz w:val="20"/>
                <w:szCs w:val="20"/>
                <w:color w:val="auto"/>
              </w:rPr>
            </w:pPr>
            <w:r>
              <w:rPr>
                <w:rFonts w:ascii="Arial" w:cs="Arial" w:eastAsia="Arial" w:hAnsi="Arial"/>
                <w:sz w:val="16"/>
                <w:szCs w:val="16"/>
                <w:color w:val="auto"/>
                <w:w w:val="92"/>
              </w:rPr>
              <w:t>(IRS Employer</w:t>
            </w:r>
          </w:p>
        </w:tc>
      </w:tr>
      <w:tr>
        <w:trPr>
          <w:trHeight w:val="201"/>
        </w:trPr>
        <w:tc>
          <w:tcPr>
            <w:tcW w:w="2200" w:type="dxa"/>
            <w:vAlign w:val="bottom"/>
          </w:tcPr>
          <w:p>
            <w:pPr>
              <w:jc w:val="center"/>
              <w:ind w:right="361"/>
              <w:spacing w:after="0"/>
              <w:rPr>
                <w:sz w:val="20"/>
                <w:szCs w:val="20"/>
                <w:color w:val="auto"/>
              </w:rPr>
            </w:pPr>
            <w:r>
              <w:rPr>
                <w:rFonts w:ascii="Arial" w:cs="Arial" w:eastAsia="Arial" w:hAnsi="Arial"/>
                <w:sz w:val="16"/>
                <w:szCs w:val="16"/>
                <w:color w:val="auto"/>
                <w:w w:val="92"/>
              </w:rPr>
              <w:t>of Incorporation)</w:t>
            </w:r>
          </w:p>
        </w:tc>
        <w:tc>
          <w:tcPr>
            <w:tcW w:w="5260" w:type="dxa"/>
            <w:vAlign w:val="bottom"/>
          </w:tcPr>
          <w:p>
            <w:pPr>
              <w:jc w:val="center"/>
              <w:ind w:right="41"/>
              <w:spacing w:after="0"/>
              <w:rPr>
                <w:sz w:val="20"/>
                <w:szCs w:val="20"/>
                <w:color w:val="auto"/>
              </w:rPr>
            </w:pPr>
            <w:r>
              <w:rPr>
                <w:rFonts w:ascii="Arial" w:cs="Arial" w:eastAsia="Arial" w:hAnsi="Arial"/>
                <w:sz w:val="16"/>
                <w:szCs w:val="16"/>
                <w:color w:val="auto"/>
                <w:w w:val="92"/>
              </w:rPr>
              <w:t>File Number)</w:t>
            </w:r>
          </w:p>
        </w:tc>
        <w:tc>
          <w:tcPr>
            <w:tcW w:w="1780" w:type="dxa"/>
            <w:vAlign w:val="bottom"/>
          </w:tcPr>
          <w:p>
            <w:pPr>
              <w:jc w:val="center"/>
              <w:ind w:left="521"/>
              <w:spacing w:after="0"/>
              <w:rPr>
                <w:sz w:val="20"/>
                <w:szCs w:val="20"/>
                <w:color w:val="auto"/>
              </w:rPr>
            </w:pPr>
            <w:r>
              <w:rPr>
                <w:rFonts w:ascii="Arial" w:cs="Arial" w:eastAsia="Arial" w:hAnsi="Arial"/>
                <w:sz w:val="16"/>
                <w:szCs w:val="16"/>
                <w:color w:val="auto"/>
                <w:w w:val="94"/>
              </w:rPr>
              <w:t>Identification No.)</w:t>
            </w:r>
          </w:p>
        </w:tc>
      </w:tr>
      <w:tr>
        <w:trPr>
          <w:trHeight w:val="389"/>
        </w:trPr>
        <w:tc>
          <w:tcPr>
            <w:tcW w:w="2200" w:type="dxa"/>
            <w:vAlign w:val="bottom"/>
          </w:tcPr>
          <w:p>
            <w:pPr>
              <w:spacing w:after="0"/>
              <w:rPr>
                <w:sz w:val="24"/>
                <w:szCs w:val="24"/>
                <w:color w:val="auto"/>
              </w:rPr>
            </w:pPr>
          </w:p>
        </w:tc>
        <w:tc>
          <w:tcPr>
            <w:tcW w:w="5260" w:type="dxa"/>
            <w:vAlign w:val="bottom"/>
          </w:tcPr>
          <w:p>
            <w:pPr>
              <w:jc w:val="center"/>
              <w:ind w:right="81"/>
              <w:spacing w:after="0"/>
              <w:rPr>
                <w:sz w:val="20"/>
                <w:szCs w:val="20"/>
                <w:color w:val="auto"/>
              </w:rPr>
            </w:pPr>
            <w:r>
              <w:rPr>
                <w:rFonts w:ascii="Arial" w:cs="Arial" w:eastAsia="Arial" w:hAnsi="Arial"/>
                <w:sz w:val="16"/>
                <w:szCs w:val="16"/>
                <w:b w:val="1"/>
                <w:bCs w:val="1"/>
                <w:color w:val="auto"/>
                <w:w w:val="89"/>
              </w:rPr>
              <w:t>20 Eastbourne Terrace</w:t>
            </w:r>
          </w:p>
        </w:tc>
        <w:tc>
          <w:tcPr>
            <w:tcW w:w="1780" w:type="dxa"/>
            <w:vAlign w:val="bottom"/>
          </w:tcPr>
          <w:p>
            <w:pPr>
              <w:spacing w:after="0"/>
              <w:rPr>
                <w:sz w:val="24"/>
                <w:szCs w:val="24"/>
                <w:color w:val="auto"/>
              </w:rPr>
            </w:pPr>
          </w:p>
        </w:tc>
      </w:tr>
      <w:tr>
        <w:trPr>
          <w:trHeight w:val="190"/>
        </w:trPr>
        <w:tc>
          <w:tcPr>
            <w:tcW w:w="2200" w:type="dxa"/>
            <w:vAlign w:val="bottom"/>
          </w:tcPr>
          <w:p>
            <w:pPr>
              <w:spacing w:after="0"/>
              <w:rPr>
                <w:sz w:val="16"/>
                <w:szCs w:val="16"/>
                <w:color w:val="auto"/>
              </w:rPr>
            </w:pPr>
          </w:p>
        </w:tc>
        <w:tc>
          <w:tcPr>
            <w:tcW w:w="5260" w:type="dxa"/>
            <w:vAlign w:val="bottom"/>
          </w:tcPr>
          <w:p>
            <w:pPr>
              <w:jc w:val="center"/>
              <w:ind w:right="61"/>
              <w:spacing w:after="0"/>
              <w:rPr>
                <w:sz w:val="20"/>
                <w:szCs w:val="20"/>
                <w:color w:val="auto"/>
              </w:rPr>
            </w:pPr>
            <w:r>
              <w:rPr>
                <w:rFonts w:ascii="Arial" w:cs="Arial" w:eastAsia="Arial" w:hAnsi="Arial"/>
                <w:sz w:val="16"/>
                <w:szCs w:val="16"/>
                <w:b w:val="1"/>
                <w:bCs w:val="1"/>
                <w:color w:val="auto"/>
                <w:w w:val="94"/>
              </w:rPr>
              <w:t>London, W2 6LG</w:t>
            </w:r>
          </w:p>
        </w:tc>
        <w:tc>
          <w:tcPr>
            <w:tcW w:w="1780" w:type="dxa"/>
            <w:vAlign w:val="bottom"/>
          </w:tcPr>
          <w:p>
            <w:pPr>
              <w:spacing w:after="0"/>
              <w:rPr>
                <w:sz w:val="16"/>
                <w:szCs w:val="16"/>
                <w:color w:val="auto"/>
              </w:rPr>
            </w:pPr>
          </w:p>
        </w:tc>
      </w:tr>
      <w:tr>
        <w:trPr>
          <w:trHeight w:val="194"/>
        </w:trPr>
        <w:tc>
          <w:tcPr>
            <w:tcW w:w="2200" w:type="dxa"/>
            <w:vAlign w:val="bottom"/>
          </w:tcPr>
          <w:p>
            <w:pPr>
              <w:spacing w:after="0"/>
              <w:rPr>
                <w:sz w:val="16"/>
                <w:szCs w:val="16"/>
                <w:color w:val="auto"/>
              </w:rPr>
            </w:pPr>
          </w:p>
        </w:tc>
        <w:tc>
          <w:tcPr>
            <w:tcW w:w="5260" w:type="dxa"/>
            <w:vAlign w:val="bottom"/>
          </w:tcPr>
          <w:p>
            <w:pPr>
              <w:jc w:val="center"/>
              <w:ind w:right="81"/>
              <w:spacing w:after="0"/>
              <w:rPr>
                <w:sz w:val="20"/>
                <w:szCs w:val="20"/>
                <w:color w:val="auto"/>
              </w:rPr>
            </w:pPr>
            <w:r>
              <w:rPr>
                <w:rFonts w:ascii="Arial" w:cs="Arial" w:eastAsia="Arial" w:hAnsi="Arial"/>
                <w:sz w:val="16"/>
                <w:szCs w:val="16"/>
                <w:b w:val="1"/>
                <w:bCs w:val="1"/>
                <w:color w:val="auto"/>
                <w:w w:val="92"/>
              </w:rPr>
              <w:t>United Kingdom</w:t>
            </w:r>
          </w:p>
        </w:tc>
        <w:tc>
          <w:tcPr>
            <w:tcW w:w="1780" w:type="dxa"/>
            <w:vAlign w:val="bottom"/>
          </w:tcPr>
          <w:p>
            <w:pPr>
              <w:spacing w:after="0"/>
              <w:rPr>
                <w:sz w:val="16"/>
                <w:szCs w:val="16"/>
                <w:color w:val="auto"/>
              </w:rPr>
            </w:pPr>
          </w:p>
        </w:tc>
      </w:tr>
      <w:tr>
        <w:trPr>
          <w:trHeight w:val="201"/>
        </w:trPr>
        <w:tc>
          <w:tcPr>
            <w:tcW w:w="2200" w:type="dxa"/>
            <w:vAlign w:val="bottom"/>
          </w:tcPr>
          <w:p>
            <w:pPr>
              <w:spacing w:after="0"/>
              <w:rPr>
                <w:sz w:val="17"/>
                <w:szCs w:val="17"/>
                <w:color w:val="auto"/>
              </w:rPr>
            </w:pPr>
          </w:p>
        </w:tc>
        <w:tc>
          <w:tcPr>
            <w:tcW w:w="5260" w:type="dxa"/>
            <w:vAlign w:val="bottom"/>
          </w:tcPr>
          <w:p>
            <w:pPr>
              <w:jc w:val="center"/>
              <w:ind w:right="81"/>
              <w:spacing w:after="0"/>
              <w:rPr>
                <w:sz w:val="20"/>
                <w:szCs w:val="20"/>
                <w:color w:val="auto"/>
              </w:rPr>
            </w:pPr>
            <w:r>
              <w:rPr>
                <w:rFonts w:ascii="Arial" w:cs="Arial" w:eastAsia="Arial" w:hAnsi="Arial"/>
                <w:sz w:val="16"/>
                <w:szCs w:val="16"/>
                <w:color w:val="auto"/>
                <w:w w:val="91"/>
              </w:rPr>
              <w:t>(Address of Principal Executive Offices)</w:t>
            </w:r>
          </w:p>
        </w:tc>
        <w:tc>
          <w:tcPr>
            <w:tcW w:w="1780" w:type="dxa"/>
            <w:vAlign w:val="bottom"/>
          </w:tcPr>
          <w:p>
            <w:pPr>
              <w:spacing w:after="0"/>
              <w:rPr>
                <w:sz w:val="17"/>
                <w:szCs w:val="17"/>
                <w:color w:val="auto"/>
              </w:rPr>
            </w:pPr>
          </w:p>
        </w:tc>
      </w:tr>
      <w:tr>
        <w:trPr>
          <w:trHeight w:val="369"/>
        </w:trPr>
        <w:tc>
          <w:tcPr>
            <w:tcW w:w="2200" w:type="dxa"/>
            <w:vAlign w:val="bottom"/>
          </w:tcPr>
          <w:p>
            <w:pPr>
              <w:spacing w:after="0"/>
              <w:rPr>
                <w:sz w:val="24"/>
                <w:szCs w:val="24"/>
                <w:color w:val="auto"/>
              </w:rPr>
            </w:pPr>
          </w:p>
        </w:tc>
        <w:tc>
          <w:tcPr>
            <w:tcW w:w="5260" w:type="dxa"/>
            <w:vAlign w:val="bottom"/>
          </w:tcPr>
          <w:p>
            <w:pPr>
              <w:jc w:val="center"/>
              <w:ind w:right="61"/>
              <w:spacing w:after="0"/>
              <w:rPr>
                <w:sz w:val="20"/>
                <w:szCs w:val="20"/>
                <w:color w:val="auto"/>
              </w:rPr>
            </w:pPr>
            <w:r>
              <w:rPr>
                <w:rFonts w:ascii="Arial" w:cs="Arial" w:eastAsia="Arial" w:hAnsi="Arial"/>
                <w:sz w:val="16"/>
                <w:szCs w:val="16"/>
                <w:b w:val="1"/>
                <w:bCs w:val="1"/>
                <w:color w:val="auto"/>
                <w:w w:val="89"/>
              </w:rPr>
              <w:t>+44 20 33250660</w:t>
            </w:r>
          </w:p>
        </w:tc>
        <w:tc>
          <w:tcPr>
            <w:tcW w:w="1780" w:type="dxa"/>
            <w:vAlign w:val="bottom"/>
          </w:tcPr>
          <w:p>
            <w:pPr>
              <w:spacing w:after="0"/>
              <w:rPr>
                <w:sz w:val="24"/>
                <w:szCs w:val="24"/>
                <w:color w:val="auto"/>
              </w:rPr>
            </w:pPr>
          </w:p>
        </w:tc>
      </w:tr>
      <w:tr>
        <w:trPr>
          <w:trHeight w:val="201"/>
        </w:trPr>
        <w:tc>
          <w:tcPr>
            <w:tcW w:w="2200" w:type="dxa"/>
            <w:vAlign w:val="bottom"/>
          </w:tcPr>
          <w:p>
            <w:pPr>
              <w:spacing w:after="0"/>
              <w:rPr>
                <w:sz w:val="17"/>
                <w:szCs w:val="17"/>
                <w:color w:val="auto"/>
              </w:rPr>
            </w:pPr>
          </w:p>
        </w:tc>
        <w:tc>
          <w:tcPr>
            <w:tcW w:w="5260" w:type="dxa"/>
            <w:vAlign w:val="bottom"/>
          </w:tcPr>
          <w:p>
            <w:pPr>
              <w:jc w:val="center"/>
              <w:ind w:right="61"/>
              <w:spacing w:after="0"/>
              <w:rPr>
                <w:sz w:val="20"/>
                <w:szCs w:val="20"/>
                <w:color w:val="auto"/>
              </w:rPr>
            </w:pPr>
            <w:r>
              <w:rPr>
                <w:rFonts w:ascii="Arial" w:cs="Arial" w:eastAsia="Arial" w:hAnsi="Arial"/>
                <w:sz w:val="16"/>
                <w:szCs w:val="16"/>
                <w:color w:val="auto"/>
                <w:w w:val="90"/>
              </w:rPr>
              <w:t>(Registrant’s Telephone Number, Including Area Code)</w:t>
            </w:r>
          </w:p>
        </w:tc>
        <w:tc>
          <w:tcPr>
            <w:tcW w:w="1780" w:type="dxa"/>
            <w:vAlign w:val="bottom"/>
          </w:tcPr>
          <w:p>
            <w:pPr>
              <w:spacing w:after="0"/>
              <w:rPr>
                <w:sz w:val="17"/>
                <w:szCs w:val="17"/>
                <w:color w:val="auto"/>
              </w:rPr>
            </w:pPr>
          </w:p>
        </w:tc>
      </w:tr>
      <w:tr>
        <w:trPr>
          <w:trHeight w:val="369"/>
        </w:trPr>
        <w:tc>
          <w:tcPr>
            <w:tcW w:w="2200" w:type="dxa"/>
            <w:vAlign w:val="bottom"/>
          </w:tcPr>
          <w:p>
            <w:pPr>
              <w:spacing w:after="0"/>
              <w:rPr>
                <w:sz w:val="24"/>
                <w:szCs w:val="24"/>
                <w:color w:val="auto"/>
              </w:rPr>
            </w:pPr>
          </w:p>
        </w:tc>
        <w:tc>
          <w:tcPr>
            <w:tcW w:w="5260" w:type="dxa"/>
            <w:vAlign w:val="bottom"/>
          </w:tcPr>
          <w:p>
            <w:pPr>
              <w:jc w:val="center"/>
              <w:ind w:right="61"/>
              <w:spacing w:after="0"/>
              <w:rPr>
                <w:sz w:val="20"/>
                <w:szCs w:val="20"/>
                <w:color w:val="auto"/>
              </w:rPr>
            </w:pPr>
            <w:r>
              <w:rPr>
                <w:rFonts w:ascii="Arial" w:cs="Arial" w:eastAsia="Arial" w:hAnsi="Arial"/>
                <w:sz w:val="16"/>
                <w:szCs w:val="16"/>
                <w:b w:val="1"/>
                <w:bCs w:val="1"/>
                <w:color w:val="auto"/>
              </w:rPr>
              <w:t>N/A</w:t>
            </w:r>
          </w:p>
        </w:tc>
        <w:tc>
          <w:tcPr>
            <w:tcW w:w="1780" w:type="dxa"/>
            <w:vAlign w:val="bottom"/>
          </w:tcPr>
          <w:p>
            <w:pPr>
              <w:spacing w:after="0"/>
              <w:rPr>
                <w:sz w:val="24"/>
                <w:szCs w:val="24"/>
                <w:color w:val="auto"/>
              </w:rPr>
            </w:pPr>
          </w:p>
        </w:tc>
      </w:tr>
      <w:tr>
        <w:trPr>
          <w:trHeight w:val="201"/>
        </w:trPr>
        <w:tc>
          <w:tcPr>
            <w:tcW w:w="2200" w:type="dxa"/>
            <w:vAlign w:val="bottom"/>
          </w:tcPr>
          <w:p>
            <w:pPr>
              <w:spacing w:after="0"/>
              <w:rPr>
                <w:sz w:val="17"/>
                <w:szCs w:val="17"/>
                <w:color w:val="auto"/>
              </w:rPr>
            </w:pPr>
          </w:p>
        </w:tc>
        <w:tc>
          <w:tcPr>
            <w:tcW w:w="5260" w:type="dxa"/>
            <w:vAlign w:val="bottom"/>
          </w:tcPr>
          <w:p>
            <w:pPr>
              <w:jc w:val="center"/>
              <w:ind w:right="81"/>
              <w:spacing w:after="0"/>
              <w:rPr>
                <w:sz w:val="20"/>
                <w:szCs w:val="20"/>
                <w:color w:val="auto"/>
              </w:rPr>
            </w:pPr>
            <w:r>
              <w:rPr>
                <w:rFonts w:ascii="Arial" w:cs="Arial" w:eastAsia="Arial" w:hAnsi="Arial"/>
                <w:sz w:val="16"/>
                <w:szCs w:val="16"/>
                <w:color w:val="auto"/>
                <w:w w:val="89"/>
              </w:rPr>
              <w:t>(Former Name or Former Address, if Changed Since Last Report)</w:t>
            </w:r>
          </w:p>
        </w:tc>
        <w:tc>
          <w:tcPr>
            <w:tcW w:w="1780" w:type="dxa"/>
            <w:vAlign w:val="bottom"/>
          </w:tcPr>
          <w:p>
            <w:pPr>
              <w:spacing w:after="0"/>
              <w:rPr>
                <w:sz w:val="17"/>
                <w:szCs w:val="17"/>
                <w:color w:val="auto"/>
              </w:rPr>
            </w:pPr>
          </w:p>
        </w:tc>
      </w:tr>
    </w:tbl>
    <w:p>
      <w:pPr>
        <w:spacing w:after="0" w:line="179" w:lineRule="exact"/>
        <w:rPr>
          <w:sz w:val="24"/>
          <w:szCs w:val="24"/>
          <w:color w:val="auto"/>
        </w:rPr>
      </w:pPr>
    </w:p>
    <w:p>
      <w:pPr>
        <w:ind w:right="360"/>
        <w:spacing w:after="0" w:line="270" w:lineRule="auto"/>
        <w:rPr>
          <w:sz w:val="20"/>
          <w:szCs w:val="20"/>
          <w:color w:val="auto"/>
        </w:rPr>
      </w:pPr>
      <w:r>
        <w:rPr>
          <w:rFonts w:ascii="Arial" w:cs="Arial" w:eastAsia="Arial" w:hAnsi="Arial"/>
          <w:sz w:val="16"/>
          <w:szCs w:val="16"/>
          <w:color w:val="auto"/>
        </w:rPr>
        <w:t>Check the appropriate box below if the Form 8-K is intended to simultaneously satisfy the filing obligation of the registrant under any of the following provisions (see General Instructions A.2. below):</w:t>
      </w:r>
    </w:p>
    <w:p>
      <w:pPr>
        <w:spacing w:after="0" w:line="157" w:lineRule="exact"/>
        <w:rPr>
          <w:sz w:val="24"/>
          <w:szCs w:val="24"/>
          <w:color w:val="auto"/>
        </w:rPr>
      </w:pPr>
    </w:p>
    <w:p>
      <w:pPr>
        <w:spacing w:after="0"/>
        <w:rPr>
          <w:sz w:val="20"/>
          <w:szCs w:val="20"/>
          <w:color w:val="auto"/>
        </w:rPr>
      </w:pPr>
      <w:r>
        <w:rPr>
          <w:rFonts w:ascii="Arial" w:cs="Arial" w:eastAsia="Arial" w:hAnsi="Arial"/>
          <w:sz w:val="16"/>
          <w:szCs w:val="16"/>
          <w:color w:val="auto"/>
        </w:rPr>
        <w:t>o Written communications pursuant to Rule 425 under the Securities Act (17 CFR 230.425)</w:t>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color w:val="auto"/>
        </w:rPr>
        <w:t>o Soliciting material pursuant to Rule 14a-12 under the Exchange Act (17 CFR 240.14a-12)</w:t>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color w:val="auto"/>
        </w:rPr>
        <w:t>o Pre-commencement communications pursuant to Rule 14d-2(b) under the Exchange Act (17 CFR 240.14d-2(b))</w:t>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color w:val="auto"/>
        </w:rPr>
        <w:t>o Pre-commencement communications pursuant to Rule 13e-4(c) under the Exchange Act (17 CFR 240.13e-4(c))</w:t>
      </w:r>
    </w:p>
    <w:p>
      <w:pPr>
        <w:spacing w:after="0" w:line="196" w:lineRule="exact"/>
        <w:rPr>
          <w:sz w:val="24"/>
          <w:szCs w:val="24"/>
          <w:color w:val="auto"/>
        </w:rPr>
      </w:pPr>
    </w:p>
    <w:p>
      <w:pPr>
        <w:ind w:right="20"/>
        <w:spacing w:after="0" w:line="27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7" w:lineRule="exact"/>
        <w:rPr>
          <w:sz w:val="24"/>
          <w:szCs w:val="24"/>
          <w:color w:val="auto"/>
        </w:rPr>
      </w:pPr>
    </w:p>
    <w:p>
      <w:pPr>
        <w:ind w:left="7660"/>
        <w:spacing w:after="0"/>
        <w:tabs>
          <w:tab w:leader="none" w:pos="112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Arial" w:cs="Arial" w:eastAsia="Arial" w:hAnsi="Arial"/>
          <w:sz w:val="17"/>
          <w:szCs w:val="17"/>
          <w:color w:val="auto"/>
        </w:rPr>
        <w:t>o</w:t>
      </w:r>
    </w:p>
    <w:p>
      <w:pPr>
        <w:spacing w:after="0" w:line="223" w:lineRule="exact"/>
        <w:rPr>
          <w:sz w:val="24"/>
          <w:szCs w:val="24"/>
          <w:color w:val="auto"/>
        </w:rPr>
      </w:pPr>
    </w:p>
    <w:p>
      <w:pPr>
        <w:spacing w:after="0" w:line="27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07" w:lineRule="exact"/>
        <w:rPr>
          <w:sz w:val="24"/>
          <w:szCs w:val="24"/>
          <w:color w:val="auto"/>
        </w:rPr>
      </w:pPr>
    </w:p>
    <w:p>
      <w:pPr>
        <w:ind w:left="11280"/>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76200</wp:posOffset>
            </wp:positionV>
            <wp:extent cx="728853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8530" cy="40640"/>
                    </a:xfrm>
                    <a:prstGeom prst="rect">
                      <a:avLst/>
                    </a:prstGeom>
                    <a:noFill/>
                  </pic:spPr>
                </pic:pic>
              </a:graphicData>
            </a:graphic>
          </wp:anchor>
        </w:drawing>
      </w:r>
    </w:p>
    <w:p>
      <w:pPr>
        <w:sectPr>
          <w:pgSz w:w="11900" w:h="16838" w:orient="portrait"/>
          <w:cols w:equalWidth="0" w:num="1">
            <w:col w:w="11440"/>
          </w:cols>
          <w:pgMar w:left="240" w:top="836" w:right="219" w:bottom="1440" w:gutter="0" w:footer="0" w:header="0"/>
        </w:sectPr>
      </w:pPr>
    </w:p>
    <w:bookmarkStart w:id="1" w:name="page2"/>
    <w:bookmarkEnd w:id="1"/>
    <w:p>
      <w:pPr>
        <w:ind w:left="5"/>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00" w:lineRule="exact"/>
        <w:rPr>
          <w:sz w:val="20"/>
          <w:szCs w:val="20"/>
          <w:color w:val="auto"/>
        </w:rPr>
      </w:pPr>
    </w:p>
    <w:p>
      <w:pPr>
        <w:ind w:left="5" w:right="20" w:firstLine="571"/>
        <w:spacing w:after="0" w:line="255" w:lineRule="auto"/>
        <w:rPr>
          <w:sz w:val="20"/>
          <w:szCs w:val="20"/>
          <w:color w:val="auto"/>
        </w:rPr>
      </w:pPr>
      <w:r>
        <w:rPr>
          <w:rFonts w:ascii="Arial" w:cs="Arial" w:eastAsia="Arial" w:hAnsi="Arial"/>
          <w:sz w:val="16"/>
          <w:szCs w:val="16"/>
          <w:color w:val="auto"/>
        </w:rPr>
        <w:t xml:space="preserve">On October 31, 2018, LivaNova PLC (the “Company”) issued a press release announcing financial results for the third quarter 2018. The Company will host a business update conference call and webcast today, 12:00 p.m. London time (8:00 a.m. Eastern Daylight Time), during which the Company will discuss the financial results. The audio webcast is accessible through the Investor Relations section of the LivaNova corporate website at </w:t>
      </w:r>
      <w:r>
        <w:rPr>
          <w:rFonts w:ascii="Arial" w:cs="Arial" w:eastAsia="Arial" w:hAnsi="Arial"/>
          <w:sz w:val="16"/>
          <w:szCs w:val="16"/>
          <w:u w:val="single" w:color="auto"/>
          <w:color w:val="auto"/>
        </w:rPr>
        <w:t>www.livanova.com</w:t>
      </w:r>
      <w:r>
        <w:rPr>
          <w:rFonts w:ascii="Arial" w:cs="Arial" w:eastAsia="Arial" w:hAnsi="Arial"/>
          <w:sz w:val="16"/>
          <w:szCs w:val="16"/>
          <w:color w:val="auto"/>
        </w:rPr>
        <w:t>. A copy of the Company’s press release is furnished as Exhibit 99.1 on this Current Report on Form 8-K.</w:t>
      </w:r>
    </w:p>
    <w:p>
      <w:pPr>
        <w:spacing w:after="0" w:line="169" w:lineRule="exact"/>
        <w:rPr>
          <w:sz w:val="20"/>
          <w:szCs w:val="20"/>
          <w:color w:val="auto"/>
        </w:rPr>
      </w:pPr>
    </w:p>
    <w:p>
      <w:pPr>
        <w:ind w:left="5" w:firstLine="571"/>
        <w:spacing w:after="0" w:line="343" w:lineRule="auto"/>
        <w:rPr>
          <w:sz w:val="20"/>
          <w:szCs w:val="20"/>
          <w:color w:val="auto"/>
        </w:rPr>
      </w:pPr>
      <w:r>
        <w:rPr>
          <w:rFonts w:ascii="Arial" w:cs="Arial" w:eastAsia="Arial" w:hAnsi="Arial"/>
          <w:sz w:val="14"/>
          <w:szCs w:val="14"/>
          <w:color w:val="auto"/>
        </w:rPr>
        <w:t>The information in Item 2.02 of this report is being furnished, not filed, for purposes of Section 18 of the Securities Exchange Act of 1934, as amended, and pursuant to General Instruction B.2 of Form 8-K, will not be incorporated by reference into any filing under the Securities Act of 1933, as amended, unless specifically identified therein.</w:t>
      </w:r>
    </w:p>
    <w:p>
      <w:pPr>
        <w:spacing w:after="0" w:line="107"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0" w:lineRule="exact"/>
        <w:rPr>
          <w:sz w:val="20"/>
          <w:szCs w:val="20"/>
          <w:color w:val="auto"/>
        </w:rPr>
      </w:pPr>
    </w:p>
    <w:p>
      <w:pPr>
        <w:ind w:left="345" w:hanging="345"/>
        <w:spacing w:after="0"/>
        <w:tabs>
          <w:tab w:leader="none" w:pos="345" w:val="left"/>
        </w:tabs>
        <w:numPr>
          <w:ilvl w:val="0"/>
          <w:numId w:val="1"/>
        </w:numPr>
        <w:rPr>
          <w:rFonts w:ascii="Arial" w:cs="Arial" w:eastAsia="Arial" w:hAnsi="Arial"/>
          <w:sz w:val="16"/>
          <w:szCs w:val="16"/>
          <w:color w:val="auto"/>
        </w:rPr>
      </w:pPr>
      <w:r>
        <w:rPr>
          <w:rFonts w:ascii="Arial" w:cs="Arial" w:eastAsia="Arial" w:hAnsi="Arial"/>
          <w:sz w:val="16"/>
          <w:szCs w:val="16"/>
          <w:color w:val="auto"/>
        </w:rPr>
        <w:t>Exhibits.</w:t>
      </w:r>
    </w:p>
    <w:p>
      <w:pPr>
        <w:spacing w:after="0" w:line="322" w:lineRule="exact"/>
        <w:rPr>
          <w:sz w:val="20"/>
          <w:szCs w:val="20"/>
          <w:color w:val="auto"/>
        </w:rPr>
      </w:pPr>
    </w:p>
    <w:tbl>
      <w:tblPr>
        <w:tblLayout w:type="fixed"/>
        <w:tblInd w:w="25" w:type="dxa"/>
        <w:tblCellMar>
          <w:top w:w="0" w:type="dxa"/>
          <w:left w:w="0" w:type="dxa"/>
          <w:bottom w:w="0" w:type="dxa"/>
          <w:right w:w="0" w:type="dxa"/>
        </w:tblCellMar>
      </w:tblPr>
      <w:tr>
        <w:trPr>
          <w:trHeight w:val="184"/>
        </w:trPr>
        <w:tc>
          <w:tcPr>
            <w:tcW w:w="7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0"/>
              </w:rPr>
              <w:t>Exhibit No.</w:t>
            </w:r>
          </w:p>
        </w:tc>
        <w:tc>
          <w:tcPr>
            <w:tcW w:w="70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6"/>
              </w:rPr>
              <w:t>Description</w:t>
            </w:r>
          </w:p>
        </w:tc>
        <w:tc>
          <w:tcPr>
            <w:tcW w:w="3240" w:type="dxa"/>
            <w:vAlign w:val="bottom"/>
          </w:tcPr>
          <w:p>
            <w:pPr>
              <w:spacing w:after="0"/>
              <w:rPr>
                <w:sz w:val="16"/>
                <w:szCs w:val="16"/>
                <w:color w:val="auto"/>
              </w:rPr>
            </w:pPr>
          </w:p>
        </w:tc>
      </w:tr>
      <w:tr>
        <w:trPr>
          <w:trHeight w:val="479"/>
        </w:trPr>
        <w:tc>
          <w:tcPr>
            <w:tcW w:w="780" w:type="dxa"/>
            <w:vAlign w:val="bottom"/>
          </w:tcPr>
          <w:p>
            <w:pPr>
              <w:spacing w:after="0"/>
              <w:rPr>
                <w:sz w:val="20"/>
                <w:szCs w:val="20"/>
                <w:color w:val="auto"/>
              </w:rPr>
            </w:pPr>
            <w:r>
              <w:rPr>
                <w:rFonts w:ascii="Arial" w:cs="Arial" w:eastAsia="Arial" w:hAnsi="Arial"/>
                <w:sz w:val="16"/>
                <w:szCs w:val="16"/>
                <w:color w:val="auto"/>
              </w:rPr>
              <w:t>99.1</w:t>
            </w:r>
          </w:p>
        </w:tc>
        <w:tc>
          <w:tcPr>
            <w:tcW w:w="700" w:type="dxa"/>
            <w:vAlign w:val="bottom"/>
          </w:tcPr>
          <w:p>
            <w:pPr>
              <w:spacing w:after="0"/>
              <w:rPr>
                <w:sz w:val="24"/>
                <w:szCs w:val="24"/>
                <w:color w:val="auto"/>
              </w:rPr>
            </w:pPr>
          </w:p>
        </w:tc>
        <w:tc>
          <w:tcPr>
            <w:tcW w:w="4020" w:type="dxa"/>
            <w:vAlign w:val="bottom"/>
            <w:tcBorders>
              <w:bottom w:val="single" w:sz="8" w:color="0000EE"/>
            </w:tcBorders>
            <w:gridSpan w:val="2"/>
          </w:tcPr>
          <w:p>
            <w:pPr>
              <w:spacing w:after="0"/>
              <w:rPr>
                <w:rFonts w:ascii="Arial" w:cs="Arial" w:eastAsia="Arial" w:hAnsi="Arial"/>
                <w:sz w:val="16"/>
                <w:szCs w:val="16"/>
                <w:color w:val="0000EE"/>
                <w:w w:val="87"/>
              </w:rPr>
            </w:pPr>
            <w:hyperlink w:anchor="page2">
              <w:r>
                <w:rPr>
                  <w:rFonts w:ascii="Arial" w:cs="Arial" w:eastAsia="Arial" w:hAnsi="Arial"/>
                  <w:sz w:val="16"/>
                  <w:szCs w:val="16"/>
                  <w:color w:val="0000EE"/>
                  <w:w w:val="87"/>
                </w:rPr>
                <w:t>Press Release issued by LivaNova PLC dated October 31, 2018</w:t>
              </w:r>
            </w:hyperlink>
          </w:p>
        </w:tc>
      </w:tr>
    </w:tbl>
    <w:p>
      <w:pPr>
        <w:spacing w:after="0" w:line="200" w:lineRule="exact"/>
        <w:rPr>
          <w:sz w:val="20"/>
          <w:szCs w:val="20"/>
          <w:color w:val="auto"/>
        </w:rPr>
      </w:pPr>
    </w:p>
    <w:p>
      <w:pPr>
        <w:spacing w:after="0" w:line="261" w:lineRule="exact"/>
        <w:rPr>
          <w:sz w:val="20"/>
          <w:szCs w:val="20"/>
          <w:color w:val="auto"/>
        </w:rPr>
      </w:pPr>
    </w:p>
    <w:p>
      <w:pPr>
        <w:jc w:val="center"/>
        <w:ind w:right="-224"/>
        <w:spacing w:after="0"/>
        <w:rPr>
          <w:sz w:val="20"/>
          <w:szCs w:val="20"/>
          <w:color w:val="auto"/>
        </w:rPr>
      </w:pPr>
      <w:r>
        <w:rPr>
          <w:rFonts w:ascii="Arial" w:cs="Arial" w:eastAsia="Arial" w:hAnsi="Arial"/>
          <w:sz w:val="17"/>
          <w:szCs w:val="17"/>
          <w:color w:val="auto"/>
        </w:rPr>
        <w:t>- 2 -</w:t>
      </w:r>
    </w:p>
    <w:p>
      <w:pPr>
        <w:sectPr>
          <w:pgSz w:w="11900" w:h="16838" w:orient="portrait"/>
          <w:cols w:equalWidth="0" w:num="1">
            <w:col w:w="11225"/>
          </w:cols>
          <w:pgMar w:left="235" w:top="337" w:right="4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6"/>
          <w:szCs w:val="16"/>
          <w:b w:val="1"/>
          <w:bCs w:val="1"/>
          <w:color w:val="auto"/>
        </w:rPr>
        <w:t>SIGNATURE</w:t>
      </w:r>
    </w:p>
    <w:p>
      <w:pPr>
        <w:spacing w:after="0" w:line="200" w:lineRule="exact"/>
        <w:rPr>
          <w:sz w:val="20"/>
          <w:szCs w:val="20"/>
          <w:color w:val="auto"/>
        </w:rPr>
      </w:pPr>
    </w:p>
    <w:p>
      <w:pPr>
        <w:ind w:firstLine="571"/>
        <w:spacing w:after="0" w:line="27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3600" w:type="dxa"/>
            <w:vAlign w:val="bottom"/>
          </w:tcPr>
          <w:p>
            <w:pPr>
              <w:spacing w:after="0"/>
              <w:rPr>
                <w:sz w:val="17"/>
                <w:szCs w:val="17"/>
                <w:color w:val="auto"/>
              </w:rPr>
            </w:pPr>
          </w:p>
        </w:tc>
        <w:tc>
          <w:tcPr>
            <w:tcW w:w="3940" w:type="dxa"/>
            <w:vAlign w:val="bottom"/>
            <w:gridSpan w:val="3"/>
          </w:tcPr>
          <w:p>
            <w:pPr>
              <w:ind w:left="2120"/>
              <w:spacing w:after="0"/>
              <w:rPr>
                <w:sz w:val="20"/>
                <w:szCs w:val="20"/>
                <w:color w:val="auto"/>
              </w:rPr>
            </w:pPr>
            <w:r>
              <w:rPr>
                <w:rFonts w:ascii="Arial" w:cs="Arial" w:eastAsia="Arial" w:hAnsi="Arial"/>
                <w:sz w:val="16"/>
                <w:szCs w:val="16"/>
                <w:color w:val="auto"/>
              </w:rPr>
              <w:t>LivaNova PLC</w:t>
            </w:r>
          </w:p>
        </w:tc>
      </w:tr>
      <w:tr>
        <w:trPr>
          <w:trHeight w:val="727"/>
        </w:trPr>
        <w:tc>
          <w:tcPr>
            <w:tcW w:w="3600" w:type="dxa"/>
            <w:vAlign w:val="bottom"/>
          </w:tcPr>
          <w:p>
            <w:pPr>
              <w:spacing w:after="0"/>
              <w:rPr>
                <w:sz w:val="20"/>
                <w:szCs w:val="20"/>
                <w:color w:val="auto"/>
              </w:rPr>
            </w:pPr>
            <w:r>
              <w:rPr>
                <w:rFonts w:ascii="Arial" w:cs="Arial" w:eastAsia="Arial" w:hAnsi="Arial"/>
                <w:sz w:val="16"/>
                <w:szCs w:val="16"/>
                <w:color w:val="auto"/>
              </w:rPr>
              <w:t>Date: October 31, 2018</w:t>
            </w:r>
          </w:p>
        </w:tc>
        <w:tc>
          <w:tcPr>
            <w:tcW w:w="3940" w:type="dxa"/>
            <w:vAlign w:val="bottom"/>
            <w:gridSpan w:val="3"/>
          </w:tcPr>
          <w:p>
            <w:pPr>
              <w:ind w:left="2120"/>
              <w:spacing w:after="0"/>
              <w:rPr>
                <w:sz w:val="20"/>
                <w:szCs w:val="20"/>
                <w:color w:val="auto"/>
              </w:rPr>
            </w:pPr>
            <w:r>
              <w:rPr>
                <w:rFonts w:ascii="Arial" w:cs="Arial" w:eastAsia="Arial" w:hAnsi="Arial"/>
                <w:sz w:val="16"/>
                <w:szCs w:val="16"/>
                <w:color w:val="auto"/>
              </w:rPr>
              <w:t>By:/s/ Catherine Moroz</w:t>
            </w:r>
          </w:p>
        </w:tc>
      </w:tr>
      <w:tr>
        <w:trPr>
          <w:trHeight w:val="20"/>
        </w:trPr>
        <w:tc>
          <w:tcPr>
            <w:tcW w:w="36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2"/>
        </w:trPr>
        <w:tc>
          <w:tcPr>
            <w:tcW w:w="3600" w:type="dxa"/>
            <w:vAlign w:val="bottom"/>
          </w:tcPr>
          <w:p>
            <w:pPr>
              <w:spacing w:after="0"/>
              <w:rPr>
                <w:sz w:val="21"/>
                <w:szCs w:val="21"/>
                <w:color w:val="auto"/>
              </w:rPr>
            </w:pPr>
          </w:p>
        </w:tc>
        <w:tc>
          <w:tcPr>
            <w:tcW w:w="3940" w:type="dxa"/>
            <w:vAlign w:val="bottom"/>
            <w:gridSpan w:val="3"/>
          </w:tcPr>
          <w:p>
            <w:pPr>
              <w:ind w:left="2300"/>
              <w:spacing w:after="0"/>
              <w:rPr>
                <w:sz w:val="20"/>
                <w:szCs w:val="20"/>
                <w:color w:val="auto"/>
              </w:rPr>
            </w:pPr>
            <w:r>
              <w:rPr>
                <w:rFonts w:ascii="Arial" w:cs="Arial" w:eastAsia="Arial" w:hAnsi="Arial"/>
                <w:sz w:val="16"/>
                <w:szCs w:val="16"/>
                <w:color w:val="auto"/>
                <w:w w:val="95"/>
              </w:rPr>
              <w:t>Name: Catherine Moroz</w:t>
            </w:r>
          </w:p>
        </w:tc>
      </w:tr>
      <w:tr>
        <w:trPr>
          <w:trHeight w:val="238"/>
        </w:trPr>
        <w:tc>
          <w:tcPr>
            <w:tcW w:w="3600" w:type="dxa"/>
            <w:vAlign w:val="bottom"/>
          </w:tcPr>
          <w:p>
            <w:pPr>
              <w:spacing w:after="0"/>
              <w:rPr>
                <w:sz w:val="20"/>
                <w:szCs w:val="20"/>
                <w:color w:val="auto"/>
              </w:rPr>
            </w:pPr>
          </w:p>
        </w:tc>
        <w:tc>
          <w:tcPr>
            <w:tcW w:w="3940" w:type="dxa"/>
            <w:vAlign w:val="bottom"/>
            <w:gridSpan w:val="3"/>
          </w:tcPr>
          <w:p>
            <w:pPr>
              <w:ind w:left="2300"/>
              <w:spacing w:after="0"/>
              <w:rPr>
                <w:sz w:val="20"/>
                <w:szCs w:val="20"/>
                <w:color w:val="auto"/>
              </w:rPr>
            </w:pPr>
            <w:r>
              <w:rPr>
                <w:rFonts w:ascii="Arial" w:cs="Arial" w:eastAsia="Arial" w:hAnsi="Arial"/>
                <w:sz w:val="16"/>
                <w:szCs w:val="16"/>
                <w:color w:val="auto"/>
                <w:w w:val="89"/>
              </w:rPr>
              <w:t>Title: Company Secretary</w:t>
            </w:r>
          </w:p>
        </w:tc>
      </w:tr>
    </w:tbl>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- 3 -</w:t>
      </w:r>
    </w:p>
    <w:p>
      <w:pPr>
        <w:sectPr>
          <w:pgSz w:w="11900" w:h="16838" w:orient="portrait"/>
          <w:cols w:equalWidth="0" w:num="1">
            <w:col w:w="11400"/>
          </w:cols>
          <w:pgMar w:left="240" w:top="337" w:right="259" w:bottom="1440" w:gutter="0" w:footer="0" w:header="0"/>
        </w:sectPr>
      </w:pPr>
    </w:p>
    <w:bookmarkStart w:id="3" w:name="page4"/>
    <w:bookmarkEnd w:id="3"/>
    <w:p>
      <w:pPr>
        <w:jc w:val="right"/>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EXHIBIT 99.1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1479550" cy="422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9550" cy="422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7"/>
          <w:szCs w:val="17"/>
          <w:color w:val="FF5C39"/>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53975</wp:posOffset>
            </wp:positionV>
            <wp:extent cx="728853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8530" cy="40640"/>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F5C39"/>
        </w:rPr>
        <w:t>LivaNova Reports Third Quarter 2018 Results</w:t>
      </w:r>
    </w:p>
    <w:p>
      <w:pPr>
        <w:spacing w:after="0" w:line="306" w:lineRule="exact"/>
        <w:rPr>
          <w:sz w:val="20"/>
          <w:szCs w:val="20"/>
          <w:color w:val="auto"/>
        </w:rPr>
      </w:pPr>
    </w:p>
    <w:p>
      <w:pPr>
        <w:jc w:val="both"/>
        <w:ind w:right="20"/>
        <w:spacing w:after="0" w:line="424" w:lineRule="auto"/>
        <w:rPr>
          <w:sz w:val="20"/>
          <w:szCs w:val="20"/>
          <w:color w:val="auto"/>
        </w:rPr>
      </w:pPr>
      <w:r>
        <w:rPr>
          <w:rFonts w:ascii="Arial" w:cs="Arial" w:eastAsia="Arial" w:hAnsi="Arial"/>
          <w:sz w:val="17"/>
          <w:szCs w:val="17"/>
          <w:b w:val="1"/>
          <w:bCs w:val="1"/>
          <w:color w:val="auto"/>
        </w:rPr>
        <w:t xml:space="preserve">London, October 31, 2018 – </w:t>
      </w:r>
      <w:r>
        <w:rPr>
          <w:rFonts w:ascii="Arial" w:cs="Arial" w:eastAsia="Arial" w:hAnsi="Arial"/>
          <w:sz w:val="17"/>
          <w:szCs w:val="17"/>
          <w:color w:val="auto"/>
        </w:rPr>
        <w:t>LivaNova PLC (NASDAQ:LIVN), a market-leading medical technology and innovation company, today reported results</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quarter ended September 30, 2018.</w:t>
      </w:r>
    </w:p>
    <w:p>
      <w:pPr>
        <w:spacing w:after="0" w:line="259" w:lineRule="exact"/>
        <w:rPr>
          <w:sz w:val="20"/>
          <w:szCs w:val="20"/>
          <w:color w:val="auto"/>
        </w:rPr>
      </w:pPr>
    </w:p>
    <w:p>
      <w:pPr>
        <w:jc w:val="both"/>
        <w:spacing w:after="0" w:line="383" w:lineRule="auto"/>
        <w:rPr>
          <w:sz w:val="20"/>
          <w:szCs w:val="20"/>
          <w:color w:val="auto"/>
        </w:rPr>
      </w:pPr>
      <w:r>
        <w:rPr>
          <w:rFonts w:ascii="Arial" w:cs="Arial" w:eastAsia="Arial" w:hAnsi="Arial"/>
          <w:sz w:val="17"/>
          <w:szCs w:val="17"/>
          <w:color w:val="auto"/>
        </w:rPr>
        <w:t>For the third quarter of 2018, worldwide sales from continuing operations were $272.1 million, an increase of 8.3 percent on a reported basis and an increase of 10.3 percent on a constant currency basis, as compared to the same quarter of the previous year. On the basis of U.S. Generally Accepted Accounting Principles (GAAP), third quarter 2018 diluted loss per share from continuing operations was $0.13. Third quarter 2018 adjusted diluted earnings per share from continuing operations were $0.78. Adjusted results include a non-recurring return reserve that reduced third quarter sales by approximately $3.4 million and adjusted diluted earnings per share by approximately $0.04.</w:t>
      </w:r>
    </w:p>
    <w:p>
      <w:pPr>
        <w:spacing w:after="0" w:line="295" w:lineRule="exact"/>
        <w:rPr>
          <w:sz w:val="20"/>
          <w:szCs w:val="20"/>
          <w:color w:val="auto"/>
        </w:rPr>
      </w:pPr>
    </w:p>
    <w:p>
      <w:pPr>
        <w:jc w:val="both"/>
        <w:ind w:right="20"/>
        <w:spacing w:after="0" w:line="383" w:lineRule="auto"/>
        <w:rPr>
          <w:sz w:val="20"/>
          <w:szCs w:val="20"/>
          <w:color w:val="auto"/>
        </w:rPr>
      </w:pPr>
      <w:r>
        <w:rPr>
          <w:rFonts w:ascii="Arial" w:cs="Arial" w:eastAsia="Arial" w:hAnsi="Arial"/>
          <w:sz w:val="17"/>
          <w:szCs w:val="17"/>
          <w:color w:val="auto"/>
        </w:rPr>
        <w:t>"The third quarter results reflect our continued momentum in accelerating our sales growth while making significant investments to deliver on our long-term strategy. Results for third quarter 2018 were strong across all regions," said Damien McDonald, Chief Executive Officer of LivaNova. "Neuromodulation had another exceptional quarter of double-digit growth in all regions. Cardiovascular also performed well, driven by our oxygenator and autotransfusion businesses. Profitability in the quarter was impacted by higher than expected site activation for our ANTHEM-HFrEF Heart Failure pivotal trial. We remain confident in our ability to deliver on our 2018 guidance while aggressively investing in future growth to deliver quality care to more patients around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440"/>
          </w:cols>
          <w:pgMar w:left="240" w:top="554" w:right="219" w:bottom="1440" w:gutter="0" w:footer="0" w:header="0"/>
        </w:sectPr>
      </w:pPr>
    </w:p>
    <w:bookmarkStart w:id="4" w:name="page5"/>
    <w:bookmarkEnd w:id="4"/>
    <w:p>
      <w:pPr>
        <w:ind w:left="20"/>
        <w:spacing w:after="0"/>
        <w:rPr>
          <w:sz w:val="20"/>
          <w:szCs w:val="20"/>
          <w:color w:val="auto"/>
        </w:rPr>
      </w:pPr>
      <w:r>
        <w:rPr>
          <w:rFonts w:ascii="Arial" w:cs="Arial" w:eastAsia="Arial" w:hAnsi="Arial"/>
          <w:sz w:val="17"/>
          <w:szCs w:val="17"/>
          <w:b w:val="1"/>
          <w:bCs w:val="1"/>
          <w:color w:val="auto"/>
        </w:rPr>
        <w:t>Third Quarter 2018 Results</w:t>
      </w:r>
    </w:p>
    <w:p>
      <w:pPr>
        <w:spacing w:after="0" w:line="290" w:lineRule="exact"/>
        <w:rPr>
          <w:sz w:val="20"/>
          <w:szCs w:val="20"/>
          <w:color w:val="auto"/>
        </w:rPr>
      </w:pPr>
    </w:p>
    <w:p>
      <w:pPr>
        <w:ind w:left="20"/>
        <w:spacing w:after="0" w:line="397" w:lineRule="auto"/>
        <w:rPr>
          <w:sz w:val="20"/>
          <w:szCs w:val="20"/>
          <w:color w:val="auto"/>
        </w:rPr>
      </w:pPr>
      <w:r>
        <w:rPr>
          <w:rFonts w:ascii="Arial" w:cs="Arial" w:eastAsia="Arial" w:hAnsi="Arial"/>
          <w:sz w:val="17"/>
          <w:szCs w:val="17"/>
          <w:color w:val="auto"/>
        </w:rPr>
        <w:t>Worldwide sales from continuing operations for the third quarter were $272.1 million, up 10.3 percent on a constant currency basis compared to the third quarter of 2017. The following table highlights worldwide sales for the third quarter of 2018 by business:</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44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4"/>
                <w:szCs w:val="14"/>
                <w:i w:val="1"/>
                <w:iCs w:val="1"/>
                <w:color w:val="auto"/>
              </w:rPr>
              <w:t>$ in millions</w:t>
            </w:r>
          </w:p>
        </w:tc>
        <w:tc>
          <w:tcPr>
            <w:tcW w:w="2580" w:type="dxa"/>
            <w:vAlign w:val="bottom"/>
            <w:tcBorders>
              <w:top w:val="single" w:sz="8" w:color="auto"/>
            </w:tcBorders>
            <w:gridSpan w:val="2"/>
          </w:tcPr>
          <w:p>
            <w:pPr>
              <w:jc w:val="center"/>
              <w:ind w:left="879"/>
              <w:spacing w:after="0"/>
              <w:rPr>
                <w:sz w:val="20"/>
                <w:szCs w:val="20"/>
                <w:color w:val="auto"/>
              </w:rPr>
            </w:pPr>
            <w:r>
              <w:rPr>
                <w:rFonts w:ascii="Arial" w:cs="Arial" w:eastAsia="Arial" w:hAnsi="Arial"/>
                <w:sz w:val="17"/>
                <w:szCs w:val="17"/>
                <w:color w:val="auto"/>
              </w:rPr>
              <w:t>Three months ended</w:t>
            </w:r>
          </w:p>
        </w:tc>
        <w:tc>
          <w:tcPr>
            <w:tcW w:w="960" w:type="dxa"/>
            <w:vAlign w:val="bottom"/>
            <w:tcBorders>
              <w:top w:val="single" w:sz="8" w:color="auto"/>
              <w:right w:val="single" w:sz="8" w:color="auto"/>
            </w:tcBorders>
          </w:tcPr>
          <w:p>
            <w:pPr>
              <w:spacing w:after="0"/>
              <w:rPr>
                <w:sz w:val="20"/>
                <w:szCs w:val="20"/>
                <w:color w:val="auto"/>
              </w:rPr>
            </w:pPr>
          </w:p>
        </w:tc>
        <w:tc>
          <w:tcPr>
            <w:tcW w:w="1820" w:type="dxa"/>
            <w:vAlign w:val="bottom"/>
            <w:tcBorders>
              <w:top w:val="single" w:sz="8" w:color="auto"/>
              <w:right w:val="single" w:sz="8" w:color="auto"/>
            </w:tcBorders>
          </w:tcPr>
          <w:p>
            <w:pPr>
              <w:spacing w:after="0"/>
              <w:rPr>
                <w:sz w:val="20"/>
                <w:szCs w:val="20"/>
                <w:color w:val="auto"/>
              </w:rPr>
            </w:pPr>
          </w:p>
        </w:tc>
        <w:tc>
          <w:tcPr>
            <w:tcW w:w="1700" w:type="dxa"/>
            <w:vAlign w:val="bottom"/>
            <w:tcBorders>
              <w:top w:val="single" w:sz="8" w:color="auto"/>
              <w:right w:val="single" w:sz="8" w:color="auto"/>
            </w:tcBorders>
            <w:vMerge w:val="restart"/>
          </w:tcPr>
          <w:p>
            <w:pPr>
              <w:jc w:val="right"/>
              <w:ind w:right="59"/>
              <w:spacing w:after="0"/>
              <w:rPr>
                <w:sz w:val="20"/>
                <w:szCs w:val="20"/>
                <w:color w:val="auto"/>
              </w:rPr>
            </w:pPr>
            <w:r>
              <w:rPr>
                <w:rFonts w:ascii="Arial" w:cs="Arial" w:eastAsia="Arial" w:hAnsi="Arial"/>
                <w:sz w:val="17"/>
                <w:szCs w:val="17"/>
                <w:color w:val="auto"/>
              </w:rPr>
              <w:t>Constant Currency</w:t>
            </w:r>
          </w:p>
        </w:tc>
        <w:tc>
          <w:tcPr>
            <w:tcW w:w="0" w:type="dxa"/>
            <w:vAlign w:val="bottom"/>
          </w:tcPr>
          <w:p>
            <w:pPr>
              <w:spacing w:after="0"/>
              <w:rPr>
                <w:sz w:val="1"/>
                <w:szCs w:val="1"/>
                <w:color w:val="auto"/>
              </w:rPr>
            </w:pPr>
          </w:p>
        </w:tc>
      </w:tr>
      <w:tr>
        <w:trPr>
          <w:trHeight w:val="119"/>
        </w:trPr>
        <w:tc>
          <w:tcPr>
            <w:tcW w:w="4400" w:type="dxa"/>
            <w:vAlign w:val="bottom"/>
            <w:tcBorders>
              <w:left w:val="single" w:sz="8" w:color="auto"/>
              <w:right w:val="single" w:sz="8" w:color="auto"/>
            </w:tcBorders>
          </w:tcPr>
          <w:p>
            <w:pPr>
              <w:spacing w:after="0"/>
              <w:rPr>
                <w:sz w:val="10"/>
                <w:szCs w:val="10"/>
                <w:color w:val="auto"/>
              </w:rPr>
            </w:pPr>
          </w:p>
        </w:tc>
        <w:tc>
          <w:tcPr>
            <w:tcW w:w="2580" w:type="dxa"/>
            <w:vAlign w:val="bottom"/>
            <w:gridSpan w:val="2"/>
            <w:vMerge w:val="restart"/>
          </w:tcPr>
          <w:p>
            <w:pPr>
              <w:jc w:val="center"/>
              <w:ind w:left="879"/>
              <w:spacing w:after="0"/>
              <w:rPr>
                <w:sz w:val="20"/>
                <w:szCs w:val="20"/>
                <w:color w:val="auto"/>
              </w:rPr>
            </w:pPr>
            <w:r>
              <w:rPr>
                <w:rFonts w:ascii="Arial" w:cs="Arial" w:eastAsia="Arial" w:hAnsi="Arial"/>
                <w:sz w:val="17"/>
                <w:szCs w:val="17"/>
                <w:color w:val="auto"/>
              </w:rPr>
              <w:t>September 30,</w:t>
            </w:r>
          </w:p>
        </w:tc>
        <w:tc>
          <w:tcPr>
            <w:tcW w:w="9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restart"/>
          </w:tcPr>
          <w:p>
            <w:pPr>
              <w:jc w:val="right"/>
              <w:ind w:right="440"/>
              <w:spacing w:after="0"/>
              <w:rPr>
                <w:sz w:val="20"/>
                <w:szCs w:val="20"/>
                <w:color w:val="auto"/>
              </w:rPr>
            </w:pPr>
            <w:r>
              <w:rPr>
                <w:rFonts w:ascii="Arial" w:cs="Arial" w:eastAsia="Arial" w:hAnsi="Arial"/>
                <w:sz w:val="17"/>
                <w:szCs w:val="17"/>
                <w:color w:val="auto"/>
              </w:rPr>
              <w:t>% Change</w:t>
            </w:r>
          </w:p>
        </w:tc>
        <w:tc>
          <w:tcPr>
            <w:tcW w:w="1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40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7"/>
                <w:szCs w:val="17"/>
                <w:b w:val="1"/>
                <w:bCs w:val="1"/>
                <w:color w:val="auto"/>
              </w:rPr>
              <w:t>Business / Product Line:</w:t>
            </w:r>
          </w:p>
        </w:tc>
        <w:tc>
          <w:tcPr>
            <w:tcW w:w="2580" w:type="dxa"/>
            <w:vAlign w:val="bottom"/>
            <w:tcBorders>
              <w:bottom w:val="single" w:sz="8" w:color="00000A"/>
            </w:tcBorders>
            <w:gridSpan w:val="2"/>
            <w:vMerge w:val="continue"/>
          </w:tcPr>
          <w:p>
            <w:pPr>
              <w:spacing w:after="0"/>
              <w:rPr>
                <w:sz w:val="8"/>
                <w:szCs w:val="8"/>
                <w:color w:val="auto"/>
              </w:rPr>
            </w:pPr>
          </w:p>
        </w:tc>
        <w:tc>
          <w:tcPr>
            <w:tcW w:w="960" w:type="dxa"/>
            <w:vAlign w:val="bottom"/>
            <w:tcBorders>
              <w:bottom w:val="single" w:sz="8" w:color="00000A"/>
              <w:right w:val="single" w:sz="8" w:color="auto"/>
            </w:tcBorders>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restart"/>
          </w:tcPr>
          <w:p>
            <w:pPr>
              <w:jc w:val="right"/>
              <w:ind w:right="379"/>
              <w:spacing w:after="0"/>
              <w:rPr>
                <w:sz w:val="20"/>
                <w:szCs w:val="20"/>
                <w:color w:val="auto"/>
              </w:rPr>
            </w:pPr>
            <w:r>
              <w:rPr>
                <w:rFonts w:ascii="Arial" w:cs="Arial" w:eastAsia="Arial" w:hAnsi="Arial"/>
                <w:sz w:val="17"/>
                <w:szCs w:val="17"/>
                <w:color w:val="auto"/>
              </w:rPr>
              <w:t>% Change</w:t>
            </w:r>
          </w:p>
        </w:tc>
        <w:tc>
          <w:tcPr>
            <w:tcW w:w="0" w:type="dxa"/>
            <w:vAlign w:val="bottom"/>
          </w:tcPr>
          <w:p>
            <w:pPr>
              <w:spacing w:after="0"/>
              <w:rPr>
                <w:sz w:val="1"/>
                <w:szCs w:val="1"/>
                <w:color w:val="auto"/>
              </w:rPr>
            </w:pPr>
          </w:p>
        </w:tc>
      </w:tr>
      <w:tr>
        <w:trPr>
          <w:trHeight w:val="91"/>
        </w:trPr>
        <w:tc>
          <w:tcPr>
            <w:tcW w:w="4400" w:type="dxa"/>
            <w:vAlign w:val="bottom"/>
            <w:tcBorders>
              <w:left w:val="single" w:sz="8" w:color="auto"/>
              <w:right w:val="single" w:sz="8" w:color="auto"/>
            </w:tcBorders>
            <w:vMerge w:val="continue"/>
          </w:tcPr>
          <w:p>
            <w:pPr>
              <w:spacing w:after="0"/>
              <w:rPr>
                <w:sz w:val="7"/>
                <w:szCs w:val="7"/>
                <w:color w:val="auto"/>
              </w:rPr>
            </w:pPr>
          </w:p>
        </w:tc>
        <w:tc>
          <w:tcPr>
            <w:tcW w:w="1980" w:type="dxa"/>
            <w:vAlign w:val="bottom"/>
            <w:tcBorders>
              <w:right w:val="single" w:sz="8" w:color="auto"/>
            </w:tcBorders>
            <w:vMerge w:val="restart"/>
          </w:tcPr>
          <w:p>
            <w:pPr>
              <w:jc w:val="right"/>
              <w:ind w:right="739"/>
              <w:spacing w:after="0"/>
              <w:rPr>
                <w:sz w:val="20"/>
                <w:szCs w:val="20"/>
                <w:color w:val="auto"/>
              </w:rPr>
            </w:pPr>
            <w:r>
              <w:rPr>
                <w:rFonts w:ascii="Arial" w:cs="Arial" w:eastAsia="Arial" w:hAnsi="Arial"/>
                <w:sz w:val="16"/>
                <w:szCs w:val="16"/>
                <w:color w:val="auto"/>
              </w:rPr>
              <w:t>2018</w:t>
            </w:r>
          </w:p>
        </w:tc>
        <w:tc>
          <w:tcPr>
            <w:tcW w:w="600" w:type="dxa"/>
            <w:vAlign w:val="bottom"/>
          </w:tcPr>
          <w:p>
            <w:pPr>
              <w:spacing w:after="0"/>
              <w:rPr>
                <w:sz w:val="7"/>
                <w:szCs w:val="7"/>
                <w:color w:val="auto"/>
              </w:rPr>
            </w:pPr>
          </w:p>
        </w:tc>
        <w:tc>
          <w:tcPr>
            <w:tcW w:w="960" w:type="dxa"/>
            <w:vAlign w:val="bottom"/>
            <w:tcBorders>
              <w:right w:val="single" w:sz="8" w:color="auto"/>
            </w:tcBorders>
            <w:vMerge w:val="restart"/>
          </w:tcPr>
          <w:p>
            <w:pPr>
              <w:jc w:val="right"/>
              <w:ind w:right="521"/>
              <w:spacing w:after="0"/>
              <w:rPr>
                <w:sz w:val="20"/>
                <w:szCs w:val="20"/>
                <w:color w:val="auto"/>
              </w:rPr>
            </w:pPr>
            <w:r>
              <w:rPr>
                <w:rFonts w:ascii="Arial" w:cs="Arial" w:eastAsia="Arial" w:hAnsi="Arial"/>
                <w:sz w:val="16"/>
                <w:szCs w:val="16"/>
                <w:color w:val="auto"/>
                <w:w w:val="95"/>
              </w:rPr>
              <w:t>2017</w:t>
            </w:r>
          </w:p>
        </w:tc>
        <w:tc>
          <w:tcPr>
            <w:tcW w:w="182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440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980" w:type="dxa"/>
            <w:vAlign w:val="bottom"/>
            <w:tcBorders>
              <w:bottom w:val="single" w:sz="8" w:color="auto"/>
              <w:right w:val="single" w:sz="8" w:color="auto"/>
            </w:tcBorders>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vMerge w:val="continue"/>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44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i w:val="1"/>
                <w:iCs w:val="1"/>
                <w:color w:val="auto"/>
              </w:rPr>
              <w:t>Cardiopulmonary</w:t>
            </w:r>
          </w:p>
        </w:tc>
        <w:tc>
          <w:tcPr>
            <w:tcW w:w="19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i w:val="1"/>
                <w:iCs w:val="1"/>
                <w:color w:val="auto"/>
              </w:rPr>
              <w:t>$127.9</w:t>
            </w: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i w:val="1"/>
                <w:iCs w:val="1"/>
                <w:color w:val="auto"/>
              </w:rPr>
              <w:t>$123.6</w:t>
            </w:r>
          </w:p>
        </w:tc>
        <w:tc>
          <w:tcPr>
            <w:tcW w:w="182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i w:val="1"/>
                <w:iCs w:val="1"/>
                <w:color w:val="auto"/>
              </w:rPr>
              <w:t>3.5%</w:t>
            </w:r>
          </w:p>
        </w:tc>
        <w:tc>
          <w:tcPr>
            <w:tcW w:w="17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i w:val="1"/>
                <w:iCs w:val="1"/>
                <w:color w:val="auto"/>
              </w:rPr>
              <w:t>5.9%</w:t>
            </w:r>
          </w:p>
        </w:tc>
        <w:tc>
          <w:tcPr>
            <w:tcW w:w="0" w:type="dxa"/>
            <w:vAlign w:val="bottom"/>
          </w:tcPr>
          <w:p>
            <w:pPr>
              <w:spacing w:after="0"/>
              <w:rPr>
                <w:sz w:val="1"/>
                <w:szCs w:val="1"/>
                <w:color w:val="auto"/>
              </w:rPr>
            </w:pPr>
          </w:p>
        </w:tc>
      </w:tr>
      <w:tr>
        <w:trPr>
          <w:trHeight w:val="218"/>
        </w:trPr>
        <w:tc>
          <w:tcPr>
            <w:tcW w:w="44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i w:val="1"/>
                <w:iCs w:val="1"/>
                <w:color w:val="auto"/>
              </w:rPr>
              <w:t>Heart Valves</w:t>
            </w:r>
          </w:p>
        </w:tc>
        <w:tc>
          <w:tcPr>
            <w:tcW w:w="19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i w:val="1"/>
                <w:iCs w:val="1"/>
                <w:color w:val="auto"/>
              </w:rPr>
              <w:t>32.5</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i w:val="1"/>
                <w:iCs w:val="1"/>
                <w:color w:val="auto"/>
              </w:rPr>
              <w:t>36.3</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i w:val="1"/>
                <w:iCs w:val="1"/>
                <w:color w:val="auto"/>
              </w:rPr>
              <w:t>(10.2%)</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i w:val="1"/>
                <w:iCs w:val="1"/>
                <w:color w:val="auto"/>
              </w:rPr>
              <w:t>(5.8%)</w:t>
            </w:r>
          </w:p>
        </w:tc>
        <w:tc>
          <w:tcPr>
            <w:tcW w:w="0" w:type="dxa"/>
            <w:vAlign w:val="bottom"/>
          </w:tcPr>
          <w:p>
            <w:pPr>
              <w:spacing w:after="0"/>
              <w:rPr>
                <w:sz w:val="1"/>
                <w:szCs w:val="1"/>
                <w:color w:val="auto"/>
              </w:rPr>
            </w:pPr>
          </w:p>
        </w:tc>
      </w:tr>
      <w:tr>
        <w:trPr>
          <w:trHeight w:val="218"/>
        </w:trPr>
        <w:tc>
          <w:tcPr>
            <w:tcW w:w="44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i w:val="1"/>
                <w:iCs w:val="1"/>
                <w:color w:val="auto"/>
              </w:rPr>
              <w:t>Advanced Circulatory Support</w:t>
            </w:r>
          </w:p>
        </w:tc>
        <w:tc>
          <w:tcPr>
            <w:tcW w:w="19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i w:val="1"/>
                <w:iCs w:val="1"/>
                <w:color w:val="auto"/>
              </w:rPr>
              <w:t>6.1</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i w:val="1"/>
                <w:iCs w:val="1"/>
                <w:color w:val="auto"/>
              </w:rPr>
              <w:t>—</w:t>
            </w:r>
          </w:p>
        </w:tc>
        <w:tc>
          <w:tcPr>
            <w:tcW w:w="1820" w:type="dxa"/>
            <w:vAlign w:val="bottom"/>
            <w:tcBorders>
              <w:bottom w:val="single" w:sz="8" w:color="auto"/>
              <w:right w:val="single" w:sz="8" w:color="auto"/>
            </w:tcBorders>
          </w:tcPr>
          <w:p>
            <w:pPr>
              <w:jc w:val="right"/>
              <w:ind w:right="180"/>
              <w:spacing w:after="0"/>
              <w:rPr>
                <w:sz w:val="20"/>
                <w:szCs w:val="20"/>
                <w:color w:val="auto"/>
              </w:rPr>
            </w:pPr>
            <w:r>
              <w:rPr>
                <w:rFonts w:ascii="Arial" w:cs="Arial" w:eastAsia="Arial" w:hAnsi="Arial"/>
                <w:sz w:val="16"/>
                <w:szCs w:val="16"/>
                <w:i w:val="1"/>
                <w:iCs w:val="1"/>
                <w:color w:val="auto"/>
              </w:rPr>
              <w:t>N/A</w:t>
            </w:r>
          </w:p>
        </w:tc>
        <w:tc>
          <w:tcPr>
            <w:tcW w:w="170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6"/>
                <w:szCs w:val="16"/>
                <w:i w:val="1"/>
                <w:iCs w:val="1"/>
                <w:color w:val="auto"/>
              </w:rPr>
              <w:t>N/A</w:t>
            </w:r>
          </w:p>
        </w:tc>
        <w:tc>
          <w:tcPr>
            <w:tcW w:w="0" w:type="dxa"/>
            <w:vAlign w:val="bottom"/>
          </w:tcPr>
          <w:p>
            <w:pPr>
              <w:spacing w:after="0"/>
              <w:rPr>
                <w:sz w:val="1"/>
                <w:szCs w:val="1"/>
                <w:color w:val="auto"/>
              </w:rPr>
            </w:pPr>
          </w:p>
        </w:tc>
      </w:tr>
      <w:tr>
        <w:trPr>
          <w:trHeight w:val="218"/>
        </w:trPr>
        <w:tc>
          <w:tcPr>
            <w:tcW w:w="4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Cardiovascular</w:t>
            </w:r>
          </w:p>
        </w:tc>
        <w:tc>
          <w:tcPr>
            <w:tcW w:w="19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166.6</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159.8</w:t>
            </w:r>
          </w:p>
        </w:tc>
        <w:tc>
          <w:tcPr>
            <w:tcW w:w="182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4.2%</w:t>
            </w:r>
          </w:p>
        </w:tc>
        <w:tc>
          <w:tcPr>
            <w:tcW w:w="17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8"/>
        </w:trPr>
        <w:tc>
          <w:tcPr>
            <w:tcW w:w="4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Neuromodulation</w:t>
            </w:r>
          </w:p>
        </w:tc>
        <w:tc>
          <w:tcPr>
            <w:tcW w:w="19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104.9</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91.0</w:t>
            </w:r>
          </w:p>
        </w:tc>
        <w:tc>
          <w:tcPr>
            <w:tcW w:w="182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15.3%</w:t>
            </w:r>
          </w:p>
        </w:tc>
        <w:tc>
          <w:tcPr>
            <w:tcW w:w="17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18"/>
        </w:trPr>
        <w:tc>
          <w:tcPr>
            <w:tcW w:w="4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Other</w:t>
            </w:r>
          </w:p>
        </w:tc>
        <w:tc>
          <w:tcPr>
            <w:tcW w:w="19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0.6</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0.4</w:t>
            </w:r>
          </w:p>
        </w:tc>
        <w:tc>
          <w:tcPr>
            <w:tcW w:w="182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Total Net Sales</w:t>
            </w:r>
          </w:p>
        </w:tc>
        <w:tc>
          <w:tcPr>
            <w:tcW w:w="19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$272.1</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$251.3</w:t>
            </w:r>
          </w:p>
        </w:tc>
        <w:tc>
          <w:tcPr>
            <w:tcW w:w="182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8.3%</w:t>
            </w:r>
          </w:p>
        </w:tc>
        <w:tc>
          <w:tcPr>
            <w:tcW w:w="17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220" w:hanging="205"/>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Note: Numbers may not add up precisely due to rounding. Constant currency % change is considered a non-GAAP metric.</w:t>
      </w:r>
    </w:p>
    <w:p>
      <w:pPr>
        <w:spacing w:after="0" w:line="227" w:lineRule="exact"/>
        <w:rPr>
          <w:sz w:val="20"/>
          <w:szCs w:val="20"/>
          <w:color w:val="auto"/>
        </w:rPr>
      </w:pPr>
    </w:p>
    <w:p>
      <w:pPr>
        <w:jc w:val="both"/>
        <w:ind w:left="20" w:right="20"/>
        <w:spacing w:after="0" w:line="397" w:lineRule="auto"/>
        <w:rPr>
          <w:sz w:val="20"/>
          <w:szCs w:val="20"/>
          <w:color w:val="auto"/>
        </w:rPr>
      </w:pPr>
      <w:r>
        <w:rPr>
          <w:rFonts w:ascii="Arial" w:cs="Arial" w:eastAsia="Arial" w:hAnsi="Arial"/>
          <w:sz w:val="17"/>
          <w:szCs w:val="17"/>
          <w:color w:val="auto"/>
        </w:rPr>
        <w:t>All sales growth rates below reflect comparable, constant currency growth. Constant currency growth accounts for the impact from fluctuations in the various currencies in which the Company operates as compared to reported growth.</w:t>
      </w:r>
    </w:p>
    <w:p>
      <w:pPr>
        <w:spacing w:after="0" w:line="354"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Cardiovascular</w:t>
      </w:r>
    </w:p>
    <w:p>
      <w:pPr>
        <w:spacing w:after="0" w:line="136" w:lineRule="exact"/>
        <w:rPr>
          <w:sz w:val="20"/>
          <w:szCs w:val="20"/>
          <w:color w:val="auto"/>
        </w:rPr>
      </w:pPr>
    </w:p>
    <w:p>
      <w:pPr>
        <w:jc w:val="both"/>
        <w:ind w:left="20" w:right="20"/>
        <w:spacing w:after="0" w:line="397" w:lineRule="auto"/>
        <w:rPr>
          <w:sz w:val="20"/>
          <w:szCs w:val="20"/>
          <w:color w:val="auto"/>
        </w:rPr>
      </w:pPr>
      <w:r>
        <w:rPr>
          <w:rFonts w:ascii="Arial" w:cs="Arial" w:eastAsia="Arial" w:hAnsi="Arial"/>
          <w:sz w:val="17"/>
          <w:szCs w:val="17"/>
          <w:color w:val="auto"/>
        </w:rPr>
        <w:t>Cardiovascular sales, which include Cardiopulmonary products, Heart Valves and Advanced Circulatory Support, were $166.6 million, representing a 7.1 percent increase versus the third quarter of 2017.</w:t>
      </w:r>
    </w:p>
    <w:p>
      <w:pPr>
        <w:spacing w:after="0" w:line="281" w:lineRule="exact"/>
        <w:rPr>
          <w:sz w:val="20"/>
          <w:szCs w:val="20"/>
          <w:color w:val="auto"/>
        </w:rPr>
      </w:pPr>
    </w:p>
    <w:p>
      <w:pPr>
        <w:jc w:val="both"/>
        <w:ind w:left="20"/>
        <w:spacing w:after="0" w:line="397" w:lineRule="auto"/>
        <w:rPr>
          <w:sz w:val="20"/>
          <w:szCs w:val="20"/>
          <w:color w:val="auto"/>
        </w:rPr>
      </w:pPr>
      <w:r>
        <w:rPr>
          <w:rFonts w:ascii="Arial" w:cs="Arial" w:eastAsia="Arial" w:hAnsi="Arial"/>
          <w:sz w:val="17"/>
          <w:szCs w:val="17"/>
          <w:color w:val="auto"/>
        </w:rPr>
        <w:t>Sales in Cardiopulmonary products were $127.9 million, representing a 5.9 percent increase versus the third quarter of 2017 primarily driven by growth in oxygenators and autotransfusion as well as continued heart-lung machine (HLM) momentum in both U.S. and Europe.</w:t>
      </w:r>
    </w:p>
    <w:p>
      <w:pPr>
        <w:spacing w:after="0" w:line="281" w:lineRule="exact"/>
        <w:rPr>
          <w:sz w:val="20"/>
          <w:szCs w:val="20"/>
          <w:color w:val="auto"/>
        </w:rPr>
      </w:pPr>
    </w:p>
    <w:p>
      <w:pPr>
        <w:jc w:val="both"/>
        <w:ind w:left="20"/>
        <w:spacing w:after="0" w:line="388" w:lineRule="auto"/>
        <w:rPr>
          <w:sz w:val="20"/>
          <w:szCs w:val="20"/>
          <w:color w:val="auto"/>
        </w:rPr>
      </w:pPr>
      <w:r>
        <w:rPr>
          <w:rFonts w:ascii="Arial" w:cs="Arial" w:eastAsia="Arial" w:hAnsi="Arial"/>
          <w:sz w:val="17"/>
          <w:szCs w:val="17"/>
          <w:color w:val="auto"/>
        </w:rPr>
        <w:t>Heart Valve sales for both tissue and mechanical heart valves, were $32.5 million, a decrease of 5.8 percent compared to the third quarter of 2017. Strong growth in Rest of World Perceval and traditional tissue heart valves was more than offset by a $3.4 million non-recurring return reserve and by continued declines in mechanical valves.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460"/>
          </w:cols>
          <w:pgMar w:left="220" w:top="744" w:right="21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Advanced Circulatory Support sales, which represent our recently acquired TandemLife business, were $6.1 million in the quarter.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Neuromodulation</w:t>
      </w:r>
    </w:p>
    <w:p>
      <w:pPr>
        <w:spacing w:after="0" w:line="136" w:lineRule="exact"/>
        <w:rPr>
          <w:sz w:val="20"/>
          <w:szCs w:val="20"/>
          <w:color w:val="auto"/>
        </w:rPr>
      </w:pPr>
    </w:p>
    <w:p>
      <w:pPr>
        <w:jc w:val="both"/>
        <w:ind w:right="20"/>
        <w:spacing w:after="0" w:line="317" w:lineRule="auto"/>
        <w:rPr>
          <w:sz w:val="20"/>
          <w:szCs w:val="20"/>
          <w:color w:val="auto"/>
        </w:rPr>
      </w:pPr>
      <w:r>
        <w:rPr>
          <w:rFonts w:ascii="Arial" w:cs="Arial" w:eastAsia="Arial" w:hAnsi="Arial"/>
          <w:sz w:val="17"/>
          <w:szCs w:val="17"/>
          <w:color w:val="auto"/>
        </w:rPr>
        <w:t>Neuromodulation sales were $104.9 million in the third quarter, representing a 15.8 percent increase versus the third quarter of 2017. The growth was driven by increasing demand for SenTiva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the U.S. and Europe coupled with commercial expansion efforts in several international markets.</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Performance</w:t>
      </w:r>
    </w:p>
    <w:p>
      <w:pPr>
        <w:spacing w:after="0" w:line="136" w:lineRule="exact"/>
        <w:rPr>
          <w:sz w:val="20"/>
          <w:szCs w:val="20"/>
          <w:color w:val="auto"/>
        </w:rPr>
      </w:pPr>
    </w:p>
    <w:p>
      <w:pPr>
        <w:jc w:val="both"/>
        <w:ind w:right="20"/>
        <w:spacing w:after="0" w:line="385" w:lineRule="auto"/>
        <w:rPr>
          <w:sz w:val="20"/>
          <w:szCs w:val="20"/>
          <w:color w:val="auto"/>
        </w:rPr>
      </w:pPr>
      <w:r>
        <w:rPr>
          <w:rFonts w:ascii="Arial" w:cs="Arial" w:eastAsia="Arial" w:hAnsi="Arial"/>
          <w:sz w:val="17"/>
          <w:szCs w:val="17"/>
          <w:color w:val="auto"/>
        </w:rPr>
        <w:t>On a U.S. GAAP basis, third quarter 2018 operating loss from continuing operations was $5.8 million. Adjusted operating income from continuing operations for the third quarter of 2018 was $47.0 million, a decrease of 12.1 percent as compared to the third quarter of 2017. This was primarily due to increased investments in sales and marketing activities, product innovation and clinical trials to support sales growth and gross margin expansion, along with a negative impact from foreign currency.</w:t>
      </w:r>
    </w:p>
    <w:p>
      <w:pPr>
        <w:spacing w:after="0" w:line="291" w:lineRule="exact"/>
        <w:rPr>
          <w:sz w:val="20"/>
          <w:szCs w:val="20"/>
          <w:color w:val="auto"/>
        </w:rPr>
      </w:pPr>
    </w:p>
    <w:p>
      <w:pPr>
        <w:jc w:val="both"/>
        <w:spacing w:after="0" w:line="397" w:lineRule="auto"/>
        <w:rPr>
          <w:sz w:val="20"/>
          <w:szCs w:val="20"/>
          <w:color w:val="auto"/>
        </w:rPr>
      </w:pPr>
      <w:r>
        <w:rPr>
          <w:rFonts w:ascii="Arial" w:cs="Arial" w:eastAsia="Arial" w:hAnsi="Arial"/>
          <w:sz w:val="17"/>
          <w:szCs w:val="17"/>
          <w:color w:val="auto"/>
        </w:rPr>
        <w:t>Our adjusted effective tax rate in the quarter was 12.6 percent, an improvement from 23.5 percent in the third quarter of 2017, as a result of ongoing tax efforts and the recent changes in U.S. and U.K. tax laws.</w:t>
      </w:r>
    </w:p>
    <w:p>
      <w:pPr>
        <w:spacing w:after="0" w:line="281" w:lineRule="exact"/>
        <w:rPr>
          <w:sz w:val="20"/>
          <w:szCs w:val="20"/>
          <w:color w:val="auto"/>
        </w:rPr>
      </w:pPr>
    </w:p>
    <w:p>
      <w:pPr>
        <w:jc w:val="both"/>
        <w:ind w:right="20"/>
        <w:spacing w:after="0" w:line="397" w:lineRule="auto"/>
        <w:rPr>
          <w:sz w:val="20"/>
          <w:szCs w:val="20"/>
          <w:color w:val="auto"/>
        </w:rPr>
      </w:pPr>
      <w:r>
        <w:rPr>
          <w:rFonts w:ascii="Arial" w:cs="Arial" w:eastAsia="Arial" w:hAnsi="Arial"/>
          <w:sz w:val="17"/>
          <w:szCs w:val="17"/>
          <w:color w:val="auto"/>
        </w:rPr>
        <w:t>On a U.S. GAAP basis, third quarter 2018 diluted loss per share from continuing operations was $0.13. Third quarter 2018 adjusted diluted earnings per share from continuing operations were $0.78, a decrease of 6.0 percent as compared to the third quarter of 2017.</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2018 Guidance</w:t>
      </w:r>
    </w:p>
    <w:p>
      <w:pPr>
        <w:spacing w:after="0" w:line="136" w:lineRule="exact"/>
        <w:rPr>
          <w:sz w:val="20"/>
          <w:szCs w:val="20"/>
          <w:color w:val="auto"/>
        </w:rPr>
      </w:pPr>
    </w:p>
    <w:p>
      <w:pPr>
        <w:jc w:val="both"/>
        <w:spacing w:after="0" w:line="388" w:lineRule="auto"/>
        <w:rPr>
          <w:sz w:val="20"/>
          <w:szCs w:val="20"/>
          <w:color w:val="auto"/>
        </w:rPr>
      </w:pPr>
      <w:r>
        <w:rPr>
          <w:rFonts w:ascii="Arial" w:cs="Arial" w:eastAsia="Arial" w:hAnsi="Arial"/>
          <w:sz w:val="17"/>
          <w:szCs w:val="17"/>
          <w:color w:val="auto"/>
        </w:rPr>
        <w:t>LivaNova worldwide net sales for full-year 2018 are now expected to grow between 7 and 9 percent on a constant currency basis. Full-year 2018 effective tax rate is now expected to be in the range of 16 to 18 percent. Adjusted diluted earnings per share for 2018 are still expected to be in the range of $3.50 to $3.70.</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Webcast and Conference Call Instructions</w:t>
      </w:r>
    </w:p>
    <w:p>
      <w:pPr>
        <w:spacing w:after="0" w:line="136" w:lineRule="exact"/>
        <w:rPr>
          <w:sz w:val="20"/>
          <w:szCs w:val="20"/>
          <w:color w:val="auto"/>
        </w:rPr>
      </w:pPr>
    </w:p>
    <w:p>
      <w:pPr>
        <w:jc w:val="both"/>
        <w:spacing w:after="0" w:line="385" w:lineRule="auto"/>
        <w:rPr>
          <w:sz w:val="20"/>
          <w:szCs w:val="20"/>
          <w:color w:val="auto"/>
        </w:rPr>
      </w:pPr>
      <w:r>
        <w:rPr>
          <w:rFonts w:ascii="Arial" w:cs="Arial" w:eastAsia="Arial" w:hAnsi="Arial"/>
          <w:sz w:val="17"/>
          <w:szCs w:val="17"/>
          <w:color w:val="auto"/>
        </w:rPr>
        <w:t xml:space="preserve">The Company will host a live audio webcast for interested parties commencing at 12 p.m. London time (8 a.m. Eastern Standard Time) on Wednesday, October 31, 2018 that will be accessible through the Investor Relations section of the LivaNova corporate website at </w:t>
      </w:r>
      <w:r>
        <w:rPr>
          <w:rFonts w:ascii="Arial" w:cs="Arial" w:eastAsia="Arial" w:hAnsi="Arial"/>
          <w:sz w:val="17"/>
          <w:szCs w:val="17"/>
          <w:u w:val="single" w:color="auto"/>
          <w:color w:val="auto"/>
        </w:rPr>
        <w:t>www.livanova.com</w:t>
      </w:r>
      <w:r>
        <w:rPr>
          <w:rFonts w:ascii="Arial" w:cs="Arial" w:eastAsia="Arial" w:hAnsi="Arial"/>
          <w:sz w:val="17"/>
          <w:szCs w:val="17"/>
          <w:b w:val="1"/>
          <w:bCs w:val="1"/>
          <w:color w:val="auto"/>
        </w:rPr>
        <w:t>.</w:t>
      </w:r>
      <w:r>
        <w:rPr>
          <w:rFonts w:ascii="Arial" w:cs="Arial" w:eastAsia="Arial" w:hAnsi="Arial"/>
          <w:sz w:val="17"/>
          <w:szCs w:val="17"/>
          <w:color w:val="auto"/>
        </w:rPr>
        <w:t xml:space="preserve"> To listen to the conference call live by telephone, dial (844) 601-5111 (if dialing from within the U.S.) or (647) 253-8650 (if dialing from outside the U.S.). The conference ID is 9194159.</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440"/>
          </w:cols>
          <w:pgMar w:left="240" w:top="636" w:right="219" w:bottom="1440" w:gutter="0" w:footer="0" w:header="0"/>
        </w:sectPr>
      </w:pPr>
    </w:p>
    <w:bookmarkStart w:id="6" w:name="page7"/>
    <w:bookmarkEnd w:id="6"/>
    <w:p>
      <w:pPr>
        <w:jc w:val="both"/>
        <w:ind w:right="20"/>
        <w:spacing w:after="0" w:line="397" w:lineRule="auto"/>
        <w:rPr>
          <w:sz w:val="20"/>
          <w:szCs w:val="20"/>
          <w:color w:val="auto"/>
        </w:rPr>
      </w:pPr>
      <w:r>
        <w:rPr>
          <w:rFonts w:ascii="Arial" w:cs="Arial" w:eastAsia="Arial" w:hAnsi="Arial"/>
          <w:sz w:val="17"/>
          <w:szCs w:val="17"/>
          <w:color w:val="auto"/>
        </w:rPr>
        <w:t>Within 24 hours of the webcast, a replay will be available under the "News &amp; Events / Presentations" section of the Investor Relations portion of the LivaNova website, where it will be archived and accessible for approximately 12 months.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FF5C39"/>
        </w:rPr>
        <w:t>About LivaNova</w:t>
      </w:r>
    </w:p>
    <w:p>
      <w:pPr>
        <w:spacing w:after="0" w:line="197" w:lineRule="exact"/>
        <w:rPr>
          <w:sz w:val="20"/>
          <w:szCs w:val="20"/>
          <w:color w:val="auto"/>
        </w:rPr>
      </w:pPr>
    </w:p>
    <w:p>
      <w:pPr>
        <w:jc w:val="both"/>
        <w:spacing w:after="0" w:line="369" w:lineRule="auto"/>
        <w:rPr>
          <w:sz w:val="20"/>
          <w:szCs w:val="20"/>
          <w:color w:val="auto"/>
        </w:rPr>
      </w:pPr>
      <w:r>
        <w:rPr>
          <w:rFonts w:ascii="Arial" w:cs="Arial" w:eastAsia="Arial" w:hAnsi="Arial"/>
          <w:sz w:val="17"/>
          <w:szCs w:val="17"/>
          <w:color w:val="auto"/>
        </w:rPr>
        <w:t>LivaNova PLC is a global medical technology company built on nearly five decades of experience and a relentless commitment to improve the lives of patients around the world. LivaNova’s advanced technologies and breakthrough treatments provide meaningful solutions for the benefit of patients, healthcare professionals and healthcare systems. Headquartered in London, LivaNova has a presence in more than 100 countries worldwide. The Company currently employs approximately 4,000 employees. LivaNova operates as two businesses: Cardiovascular and Neuromodulation, with operating headquarters in Mirandola (Italy) and Houston (U.S.),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For more information, please visit </w:t>
      </w:r>
      <w:r>
        <w:rPr>
          <w:rFonts w:ascii="Arial" w:cs="Arial" w:eastAsia="Arial" w:hAnsi="Arial"/>
          <w:sz w:val="17"/>
          <w:szCs w:val="17"/>
          <w:u w:val="single" w:color="auto"/>
          <w:color w:val="auto"/>
        </w:rPr>
        <w:t>www.livanova.com</w:t>
      </w:r>
      <w:r>
        <w:rPr>
          <w:rFonts w:ascii="Arial" w:cs="Arial" w:eastAsia="Arial" w:hAnsi="Arial"/>
          <w:sz w:val="17"/>
          <w:szCs w:val="17"/>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FF5C39"/>
        </w:rPr>
        <w:t>Use of Non-GAAP Financial Measures</w:t>
      </w:r>
    </w:p>
    <w:p>
      <w:pPr>
        <w:spacing w:after="0" w:line="102" w:lineRule="exact"/>
        <w:rPr>
          <w:sz w:val="20"/>
          <w:szCs w:val="20"/>
          <w:color w:val="auto"/>
        </w:rPr>
      </w:pPr>
    </w:p>
    <w:p>
      <w:pPr>
        <w:jc w:val="both"/>
        <w:spacing w:after="0" w:line="373" w:lineRule="auto"/>
        <w:rPr>
          <w:sz w:val="20"/>
          <w:szCs w:val="20"/>
          <w:color w:val="auto"/>
        </w:rPr>
      </w:pPr>
      <w:r>
        <w:rPr>
          <w:rFonts w:ascii="Arial" w:cs="Arial" w:eastAsia="Arial" w:hAnsi="Arial"/>
          <w:sz w:val="17"/>
          <w:szCs w:val="17"/>
          <w:color w:val="auto"/>
        </w:rPr>
        <w:t>In this press release, management has disclosed financial measurements that present financial information not necessarily in accordance with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the operating performance measure as prescribed by GAAP.</w:t>
      </w:r>
    </w:p>
    <w:p>
      <w:pPr>
        <w:spacing w:after="0" w:line="200" w:lineRule="exact"/>
        <w:rPr>
          <w:sz w:val="20"/>
          <w:szCs w:val="20"/>
          <w:color w:val="auto"/>
        </w:rPr>
      </w:pPr>
    </w:p>
    <w:p>
      <w:pPr>
        <w:spacing w:after="0" w:line="255" w:lineRule="exact"/>
        <w:rPr>
          <w:sz w:val="20"/>
          <w:szCs w:val="20"/>
          <w:color w:val="auto"/>
        </w:rPr>
      </w:pPr>
    </w:p>
    <w:p>
      <w:pPr>
        <w:jc w:val="both"/>
        <w:ind w:right="20"/>
        <w:spacing w:after="0" w:line="370" w:lineRule="auto"/>
        <w:rPr>
          <w:sz w:val="20"/>
          <w:szCs w:val="20"/>
          <w:color w:val="auto"/>
        </w:rPr>
      </w:pPr>
      <w:r>
        <w:rPr>
          <w:rFonts w:ascii="Arial" w:cs="Arial" w:eastAsia="Arial" w:hAnsi="Arial"/>
          <w:sz w:val="17"/>
          <w:szCs w:val="17"/>
          <w:color w:val="auto"/>
        </w:rPr>
        <w:t>Unless otherwise noted, all sales growth rates in this release reflect comparable, constant currency growth. Management believes that referring to comparable, constant currency growth is the most useful way to evaluate the sales performance of LivaNova and to compare the sales performance of current periods to prior periods on a consistent basis. Constant currency growth, a non-GAAP financial measure, measures the change in sales between current and prior-year periods using average exchange rates in effect during the applicable prior-year period.</w:t>
      </w:r>
    </w:p>
    <w:p>
      <w:pPr>
        <w:spacing w:after="0" w:line="174" w:lineRule="exact"/>
        <w:rPr>
          <w:sz w:val="20"/>
          <w:szCs w:val="20"/>
          <w:color w:val="auto"/>
        </w:rPr>
      </w:pPr>
    </w:p>
    <w:p>
      <w:pPr>
        <w:jc w:val="both"/>
        <w:ind w:right="20"/>
        <w:spacing w:after="0" w:line="373" w:lineRule="auto"/>
        <w:rPr>
          <w:sz w:val="20"/>
          <w:szCs w:val="20"/>
          <w:color w:val="auto"/>
        </w:rPr>
      </w:pPr>
      <w:r>
        <w:rPr>
          <w:rFonts w:ascii="Arial" w:cs="Arial" w:eastAsia="Arial" w:hAnsi="Arial"/>
          <w:sz w:val="17"/>
          <w:szCs w:val="17"/>
          <w:color w:val="auto"/>
        </w:rPr>
        <w:t>LivaNova calculates forward-looking non-GAAP financial measures based on internal forecasts that omit certain amounts that would be included in GAAP financial measures. For example, forward-looking net sales growth projections are estimated on a constant currency basis and exclude the impact of foreign currency fluctuations.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440"/>
          </w:cols>
          <w:pgMar w:left="240" w:top="945" w:right="219" w:bottom="1440" w:gutter="0" w:footer="0" w:header="0"/>
        </w:sectPr>
      </w:pPr>
    </w:p>
    <w:bookmarkStart w:id="7" w:name="page8"/>
    <w:bookmarkEnd w:id="7"/>
    <w:p>
      <w:pPr>
        <w:jc w:val="both"/>
        <w:spacing w:after="0" w:line="368" w:lineRule="auto"/>
        <w:rPr>
          <w:sz w:val="20"/>
          <w:szCs w:val="20"/>
          <w:color w:val="auto"/>
        </w:rPr>
      </w:pPr>
      <w:r>
        <w:rPr>
          <w:rFonts w:ascii="Arial" w:cs="Arial" w:eastAsia="Arial" w:hAnsi="Arial"/>
          <w:sz w:val="17"/>
          <w:szCs w:val="17"/>
          <w:color w:val="auto"/>
        </w:rPr>
        <w:t>Forward-looking non-GAAP adjusted tax rate and adjusted diluted earnings per share guidance exclude other items such as, but not limited to, changes in fair value of contingent consideration arrangements, asset impairment charges and product remediation costs that would be included in comparable GAAP financial measures. The most directly comparable GAAP measure for constant currency net sales, non-GAAP adjusted tax rate and adjusted diluted earnings per share are net sales, the effective tax rate, and earnings per share, respectively. However, non-GAAP financial adjustments on a forward-looking basis are subject to uncertainty and variability as they are dependent on many factors, including but not limited to, the effect of foreign currency exchange fluctuations, impacts from potential acquisitions or divestitures, gains or losses on the potential sale of businesses or other assets, restructuring costs, merger and integration activities, changes in fair value of contingent consideration arrangements, product remediation costs, asset impairment charges, and the tax impact of the items above and the tax impact of tax law changes or other tax matters. Accordingly, reconciliations to the most directly comparable forward-looking GAAP financial measures are not available without unreasonable effort.</w:t>
      </w:r>
    </w:p>
    <w:p>
      <w:pPr>
        <w:spacing w:after="0" w:line="200" w:lineRule="exact"/>
        <w:rPr>
          <w:sz w:val="20"/>
          <w:szCs w:val="20"/>
          <w:color w:val="auto"/>
        </w:rPr>
      </w:pPr>
    </w:p>
    <w:p>
      <w:pPr>
        <w:spacing w:after="0" w:line="372" w:lineRule="exact"/>
        <w:rPr>
          <w:sz w:val="20"/>
          <w:szCs w:val="20"/>
          <w:color w:val="auto"/>
        </w:rPr>
      </w:pPr>
    </w:p>
    <w:p>
      <w:pPr>
        <w:jc w:val="both"/>
        <w:spacing w:after="0" w:line="367" w:lineRule="auto"/>
        <w:rPr>
          <w:sz w:val="20"/>
          <w:szCs w:val="20"/>
          <w:color w:val="auto"/>
        </w:rPr>
      </w:pPr>
      <w:r>
        <w:rPr>
          <w:rFonts w:ascii="Arial" w:cs="Arial" w:eastAsia="Arial" w:hAnsi="Arial"/>
          <w:sz w:val="17"/>
          <w:szCs w:val="17"/>
          <w:color w:val="auto"/>
        </w:rPr>
        <w:t>The Company also believes adjusted financial measures such as adjusted gross profit; adjusted selling, general and administrative expense; adjusted research and development expense; adjusted other operating expenses; adjusted operating income from continued operations; adjusted income tax expense; adjusted net income from continuing operations; and adjusted diluted earnings per share, are measures by which LivaNova generally uses to facilitate management review of the operational performance of the company, to serve as a basis for strategic planning, and to assist in the design of compensation incentive plans. Furthermore, adjusted financial measures allow investors to evaluate the Company’s core performance for different periods on a more comparable and consistent basis, and with other entities in the medical technology industry by adjusting for items that are not related to the ongoing operations of the Company or incurred in the ordinary course of business.</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FF5C39"/>
        </w:rPr>
        <w:t>Safe Harbor Statement</w:t>
      </w:r>
    </w:p>
    <w:p>
      <w:pPr>
        <w:spacing w:after="0" w:line="114" w:lineRule="exact"/>
        <w:rPr>
          <w:sz w:val="20"/>
          <w:szCs w:val="20"/>
          <w:color w:val="auto"/>
        </w:rPr>
      </w:pPr>
    </w:p>
    <w:p>
      <w:pPr>
        <w:jc w:val="both"/>
        <w:spacing w:after="0" w:line="382" w:lineRule="auto"/>
        <w:rPr>
          <w:sz w:val="20"/>
          <w:szCs w:val="20"/>
          <w:color w:val="auto"/>
        </w:rPr>
      </w:pPr>
      <w:r>
        <w:rPr>
          <w:rFonts w:ascii="Arial" w:cs="Arial" w:eastAsia="Arial" w:hAnsi="Arial"/>
          <w:sz w:val="17"/>
          <w:szCs w:val="17"/>
          <w:color w:val="auto"/>
        </w:rPr>
        <w:t>Certain statements in this press release, other than purely historical information, are “forward-looking statements” within the meaning of the Private Securities Litigation Reform Act of 1995, Section 27A of the Securities Act of 1933 and Section 21E of the Securities Exchange Act of 1934, as amended.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440"/>
          </w:cols>
          <w:pgMar w:left="240" w:top="624" w:right="219" w:bottom="1440" w:gutter="0" w:footer="0" w:header="0"/>
        </w:sectPr>
      </w:pPr>
    </w:p>
    <w:bookmarkStart w:id="8" w:name="page9"/>
    <w:bookmarkEnd w:id="8"/>
    <w:p>
      <w:pPr>
        <w:jc w:val="both"/>
        <w:spacing w:after="0" w:line="380" w:lineRule="auto"/>
        <w:rPr>
          <w:sz w:val="20"/>
          <w:szCs w:val="20"/>
          <w:color w:val="auto"/>
        </w:rPr>
      </w:pPr>
      <w:r>
        <w:rPr>
          <w:rFonts w:ascii="Arial" w:cs="Arial" w:eastAsia="Arial" w:hAnsi="Arial"/>
          <w:sz w:val="17"/>
          <w:szCs w:val="17"/>
          <w:color w:val="auto"/>
        </w:rPr>
        <w:t>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Investors are cautioned that all such statements involve risks and uncertainties, including without limitation, statements concerning achieving a stronger future, driving sustainable growth and value to our shareholders, projected net sales, adjusted diluted earnings per share, cash flow from operations, capital expenditures, and depreciation and amortization for 2018, advancing our growth, driving product launches and funding our equity investments, executing on our synergy targets and retaining our focus, energy and discipline as a company, serving the needs of our customers and patients, and delivering strong value to our shareholders. Important factors that may cause actual results to differ include, but are not limited to: (i) the inability of LivaNova to meet expectations regarding the timing, completion and accounting of tax treatments; (ii) organizational and governance structure; (iii) reductions in customer spending, a slowdown in customer payments and changes in customer demand for products and services; (iv) unanticipated changes relating to competitive factors in the industries in which LivaNova operates; (v) the ability to hire and retain key personnel; (vi) the ability to attract new customers and retain existing customers in the manner anticipated; (vii) changes in legislation or governmental regulations affecting LivaNova; (viii) international, national or local economic, social or political conditions that could adversely affect LivaNova, its partners or its customers; (ix) conditions in the credit markets; (x) business and other financial risks inherent to the industries in which LivaNova operates; (xi) risks associated with assumptions made in connection with critical accounting estimates and legal proceedings; (xii) LivaNova’s international operations, which are subject to the risks of currency fluctuations and foreign exchange controls; (xiii) and the potential for international unrest, economic downturn or effects of currencies, tax assessments, tax adjustments, anticipated tax rates, raw material costs or availability, benefit or retirement plan costs, or other regulatory compliance costs. The foregoing list of factors is not exhaustive. You should carefully consider the foregoing factors and the other risks and uncertainties that affect the Company’s business, including those described in the “Risk Factors” section of Annual Reports on Form 10-K, Quarterly Reports on Form 10-Q, Current Reports on Form 8-K and other documents filed from time to time with the United States Securities and Exchange Commission by LivaNova.</w:t>
      </w:r>
    </w:p>
    <w:p>
      <w:pPr>
        <w:spacing w:after="0" w:line="200" w:lineRule="exact"/>
        <w:rPr>
          <w:sz w:val="20"/>
          <w:szCs w:val="20"/>
          <w:color w:val="auto"/>
        </w:rPr>
      </w:pPr>
    </w:p>
    <w:p>
      <w:pPr>
        <w:spacing w:after="0" w:line="292" w:lineRule="exact"/>
        <w:rPr>
          <w:sz w:val="20"/>
          <w:szCs w:val="20"/>
          <w:color w:val="auto"/>
        </w:rPr>
      </w:pPr>
    </w:p>
    <w:p>
      <w:pPr>
        <w:jc w:val="both"/>
        <w:spacing w:after="0" w:line="403" w:lineRule="auto"/>
        <w:rPr>
          <w:sz w:val="20"/>
          <w:szCs w:val="20"/>
          <w:color w:val="auto"/>
        </w:rPr>
      </w:pPr>
      <w:r>
        <w:rPr>
          <w:rFonts w:ascii="Arial" w:cs="Arial" w:eastAsia="Arial" w:hAnsi="Arial"/>
          <w:sz w:val="17"/>
          <w:szCs w:val="17"/>
          <w:color w:val="auto"/>
        </w:rPr>
        <w:t>We caution you not to place undue reliance on any forward-looking statements, which are made only as of the date of this press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440"/>
          </w:cols>
          <w:pgMar w:left="240" w:top="636" w:right="219" w:bottom="1440" w:gutter="0" w:footer="0" w:header="0"/>
        </w:sectPr>
      </w:pPr>
    </w:p>
    <w:bookmarkStart w:id="9" w:name="page10"/>
    <w:bookmarkEnd w:id="9"/>
    <w:p>
      <w:pPr>
        <w:spacing w:after="0" w:line="397" w:lineRule="auto"/>
        <w:rPr>
          <w:sz w:val="20"/>
          <w:szCs w:val="20"/>
          <w:color w:val="auto"/>
        </w:rPr>
      </w:pPr>
      <w:r>
        <w:rPr>
          <w:rFonts w:ascii="Arial" w:cs="Arial" w:eastAsia="Arial" w:hAnsi="Arial"/>
          <w:sz w:val="17"/>
          <w:szCs w:val="17"/>
          <w:color w:val="auto"/>
        </w:rPr>
        <w:t>required by applicable law. If we update one or more forward-looking statements, no inference should be drawn that we will make additional updates with respect to those or other forward-looking statements.</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Melissa Farina</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7"/>
          <w:szCs w:val="17"/>
          <w:color w:val="auto"/>
        </w:rPr>
        <w:t>Vice President, Investor Relations</w:t>
      </w:r>
    </w:p>
    <w:p>
      <w:pPr>
        <w:ind w:left="60"/>
        <w:spacing w:after="0" w:line="233" w:lineRule="auto"/>
        <w:rPr>
          <w:sz w:val="20"/>
          <w:szCs w:val="20"/>
          <w:color w:val="auto"/>
        </w:rPr>
      </w:pPr>
      <w:r>
        <w:rPr>
          <w:rFonts w:ascii="Arial" w:cs="Arial" w:eastAsia="Arial" w:hAnsi="Arial"/>
          <w:sz w:val="17"/>
          <w:szCs w:val="17"/>
          <w:color w:val="auto"/>
        </w:rPr>
        <w:t>Phone: +1 (281) 228 7262</w:t>
      </w:r>
    </w:p>
    <w:p>
      <w:pPr>
        <w:ind w:left="60"/>
        <w:spacing w:after="0"/>
        <w:rPr>
          <w:sz w:val="20"/>
          <w:szCs w:val="20"/>
          <w:color w:val="auto"/>
        </w:rPr>
      </w:pPr>
      <w:r>
        <w:rPr>
          <w:rFonts w:ascii="Arial" w:cs="Arial" w:eastAsia="Arial" w:hAnsi="Arial"/>
          <w:sz w:val="17"/>
          <w:szCs w:val="17"/>
          <w:color w:val="auto"/>
        </w:rPr>
        <w:t>e-mail: investorrelations@LivaNova.com</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440"/>
          </w:cols>
          <w:pgMar w:left="240" w:top="826" w:right="219" w:bottom="1440" w:gutter="0" w:footer="0" w:header="0"/>
        </w:sectPr>
      </w:pPr>
    </w:p>
    <w:bookmarkStart w:id="10" w:name="page11"/>
    <w:bookmarkEnd w:id="10"/>
    <w:p>
      <w:pPr>
        <w:ind w:left="1"/>
        <w:spacing w:after="0"/>
        <w:rPr>
          <w:sz w:val="20"/>
          <w:szCs w:val="20"/>
          <w:color w:val="auto"/>
        </w:rPr>
      </w:pPr>
      <w:r>
        <w:rPr>
          <w:rFonts w:ascii="Arial" w:cs="Arial" w:eastAsia="Arial" w:hAnsi="Arial"/>
          <w:sz w:val="16"/>
          <w:szCs w:val="16"/>
          <w:b w:val="1"/>
          <w:bCs w:val="1"/>
          <w:color w:val="auto"/>
        </w:rPr>
        <w:t>LIVANOVA PLC</w:t>
      </w:r>
    </w:p>
    <w:p>
      <w:pPr>
        <w:spacing w:after="0" w:line="4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QUARTERLY SALES</w:t>
      </w:r>
    </w:p>
    <w:p>
      <w:pPr>
        <w:spacing w:after="0" w:line="4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(U.S. dollars in millions)</w:t>
      </w:r>
    </w:p>
    <w:p>
      <w:pPr>
        <w:spacing w:after="0" w:line="149" w:lineRule="exact"/>
        <w:rPr>
          <w:sz w:val="20"/>
          <w:szCs w:val="20"/>
          <w:color w:val="auto"/>
        </w:rPr>
      </w:pPr>
    </w:p>
    <w:tbl>
      <w:tblPr>
        <w:tblLayout w:type="fixed"/>
        <w:tblInd w:w="1" w:type="dxa"/>
        <w:tblCellMar>
          <w:top w:w="0" w:type="dxa"/>
          <w:left w:w="0" w:type="dxa"/>
          <w:bottom w:w="0" w:type="dxa"/>
          <w:right w:w="0" w:type="dxa"/>
        </w:tblCellMar>
      </w:tblPr>
      <w:tr>
        <w:trPr>
          <w:trHeight w:val="227"/>
        </w:trPr>
        <w:tc>
          <w:tcPr>
            <w:tcW w:w="412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4"/>
          </w:tcPr>
          <w:p>
            <w:pPr>
              <w:ind w:left="760"/>
              <w:spacing w:after="0"/>
              <w:rPr>
                <w:sz w:val="20"/>
                <w:szCs w:val="20"/>
                <w:color w:val="auto"/>
              </w:rPr>
            </w:pPr>
            <w:r>
              <w:rPr>
                <w:rFonts w:ascii="Arial" w:cs="Arial" w:eastAsia="Arial" w:hAnsi="Arial"/>
                <w:sz w:val="16"/>
                <w:szCs w:val="16"/>
                <w:b w:val="1"/>
                <w:bCs w:val="1"/>
                <w:color w:val="auto"/>
              </w:rPr>
              <w:t>Three Months Ended September 30,</w:t>
            </w:r>
          </w:p>
        </w:tc>
        <w:tc>
          <w:tcPr>
            <w:tcW w:w="2040" w:type="dxa"/>
            <w:vAlign w:val="bottom"/>
            <w:tcBorders>
              <w:bottom w:val="single" w:sz="8" w:color="auto"/>
            </w:tcBorders>
          </w:tcPr>
          <w:p>
            <w:pPr>
              <w:spacing w:after="0"/>
              <w:rPr>
                <w:sz w:val="19"/>
                <w:szCs w:val="19"/>
                <w:color w:val="auto"/>
              </w:rPr>
            </w:pPr>
          </w:p>
        </w:tc>
      </w:tr>
      <w:tr>
        <w:trPr>
          <w:trHeight w:val="288"/>
        </w:trPr>
        <w:tc>
          <w:tcPr>
            <w:tcW w:w="4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2"/>
          </w:tcPr>
          <w:p>
            <w:pPr>
              <w:ind w:left="280"/>
              <w:spacing w:after="0"/>
              <w:rPr>
                <w:sz w:val="20"/>
                <w:szCs w:val="20"/>
                <w:color w:val="auto"/>
              </w:rPr>
            </w:pPr>
            <w:r>
              <w:rPr>
                <w:rFonts w:ascii="Arial" w:cs="Arial" w:eastAsia="Arial" w:hAnsi="Arial"/>
                <w:sz w:val="16"/>
                <w:szCs w:val="16"/>
                <w:b w:val="1"/>
                <w:bCs w:val="1"/>
                <w:color w:val="auto"/>
              </w:rPr>
              <w:t>% Change at Actual</w:t>
            </w:r>
          </w:p>
        </w:tc>
        <w:tc>
          <w:tcPr>
            <w:tcW w:w="2040" w:type="dxa"/>
            <w:vAlign w:val="bottom"/>
          </w:tcPr>
          <w:p>
            <w:pPr>
              <w:jc w:val="right"/>
              <w:ind w:right="101"/>
              <w:spacing w:after="0"/>
              <w:rPr>
                <w:sz w:val="20"/>
                <w:szCs w:val="20"/>
                <w:color w:val="auto"/>
              </w:rPr>
            </w:pPr>
            <w:r>
              <w:rPr>
                <w:rFonts w:ascii="Arial" w:cs="Arial" w:eastAsia="Arial" w:hAnsi="Arial"/>
                <w:sz w:val="16"/>
                <w:szCs w:val="16"/>
                <w:b w:val="1"/>
                <w:bCs w:val="1"/>
                <w:color w:val="auto"/>
              </w:rPr>
              <w:t>% Change at Constant</w:t>
            </w:r>
          </w:p>
        </w:tc>
      </w:tr>
      <w:tr>
        <w:trPr>
          <w:trHeight w:val="227"/>
        </w:trPr>
        <w:tc>
          <w:tcPr>
            <w:tcW w:w="4120" w:type="dxa"/>
            <w:vAlign w:val="bottom"/>
          </w:tcPr>
          <w:p>
            <w:pPr>
              <w:spacing w:after="0"/>
              <w:rPr>
                <w:sz w:val="19"/>
                <w:szCs w:val="19"/>
                <w:color w:val="auto"/>
              </w:rPr>
            </w:pPr>
          </w:p>
        </w:tc>
        <w:tc>
          <w:tcPr>
            <w:tcW w:w="1460" w:type="dxa"/>
            <w:vAlign w:val="bottom"/>
          </w:tcPr>
          <w:p>
            <w:pPr>
              <w:jc w:val="right"/>
              <w:ind w:right="48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1460" w:type="dxa"/>
            <w:vAlign w:val="bottom"/>
          </w:tcPr>
          <w:p>
            <w:pPr>
              <w:jc w:val="right"/>
              <w:ind w:right="48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2140" w:type="dxa"/>
            <w:vAlign w:val="bottom"/>
            <w:gridSpan w:val="2"/>
          </w:tcPr>
          <w:p>
            <w:pPr>
              <w:ind w:left="440"/>
              <w:spacing w:after="0"/>
              <w:rPr>
                <w:sz w:val="20"/>
                <w:szCs w:val="20"/>
                <w:color w:val="auto"/>
              </w:rPr>
            </w:pPr>
            <w:r>
              <w:rPr>
                <w:rFonts w:ascii="Arial" w:cs="Arial" w:eastAsia="Arial" w:hAnsi="Arial"/>
                <w:sz w:val="16"/>
                <w:szCs w:val="16"/>
                <w:b w:val="1"/>
                <w:bCs w:val="1"/>
                <w:color w:val="auto"/>
              </w:rPr>
              <w:t>Currency Rates</w:t>
            </w:r>
          </w:p>
        </w:tc>
        <w:tc>
          <w:tcPr>
            <w:tcW w:w="2040" w:type="dxa"/>
            <w:vAlign w:val="bottom"/>
          </w:tcPr>
          <w:p>
            <w:pPr>
              <w:jc w:val="right"/>
              <w:ind w:right="301"/>
              <w:spacing w:after="0"/>
              <w:rPr>
                <w:sz w:val="20"/>
                <w:szCs w:val="20"/>
                <w:color w:val="auto"/>
              </w:rPr>
            </w:pPr>
            <w:r>
              <w:rPr>
                <w:rFonts w:ascii="Arial" w:cs="Arial" w:eastAsia="Arial" w:hAnsi="Arial"/>
                <w:sz w:val="16"/>
                <w:szCs w:val="16"/>
                <w:b w:val="1"/>
                <w:bCs w:val="1"/>
                <w:color w:val="auto"/>
              </w:rPr>
              <w:t>Currency Rates</w:t>
            </w:r>
            <w:r>
              <w:rPr>
                <w:rFonts w:ascii="Arial" w:cs="Arial" w:eastAsia="Arial" w:hAnsi="Arial"/>
                <w:sz w:val="19"/>
                <w:szCs w:val="19"/>
                <w:color w:val="auto"/>
                <w:vertAlign w:val="superscript"/>
              </w:rPr>
              <w:t>(1)</w:t>
            </w:r>
          </w:p>
        </w:tc>
      </w:tr>
      <w:tr>
        <w:trPr>
          <w:trHeight w:val="224"/>
        </w:trPr>
        <w:tc>
          <w:tcPr>
            <w:tcW w:w="4120" w:type="dxa"/>
            <w:vAlign w:val="bottom"/>
          </w:tcPr>
          <w:p>
            <w:pPr>
              <w:spacing w:after="0"/>
              <w:rPr>
                <w:sz w:val="20"/>
                <w:szCs w:val="20"/>
                <w:color w:val="auto"/>
              </w:rPr>
            </w:pPr>
            <w:r>
              <w:rPr>
                <w:rFonts w:ascii="Arial" w:cs="Arial" w:eastAsia="Arial" w:hAnsi="Arial"/>
                <w:sz w:val="16"/>
                <w:szCs w:val="16"/>
                <w:b w:val="1"/>
                <w:bCs w:val="1"/>
                <w:color w:val="auto"/>
              </w:rPr>
              <w:t>Cardiopulmonary</w:t>
            </w: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r>
      <w:tr>
        <w:trPr>
          <w:trHeight w:val="238"/>
        </w:trPr>
        <w:tc>
          <w:tcPr>
            <w:tcW w:w="4120" w:type="dxa"/>
            <w:vAlign w:val="bottom"/>
          </w:tcPr>
          <w:p>
            <w:pPr>
              <w:spacing w:after="0"/>
              <w:rPr>
                <w:sz w:val="20"/>
                <w:szCs w:val="20"/>
                <w:color w:val="auto"/>
              </w:rPr>
            </w:pPr>
            <w:r>
              <w:rPr>
                <w:rFonts w:ascii="Arial" w:cs="Arial" w:eastAsia="Arial" w:hAnsi="Arial"/>
                <w:sz w:val="16"/>
                <w:szCs w:val="16"/>
                <w:color w:val="auto"/>
              </w:rPr>
              <w:t>US</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$38.4</w:t>
            </w:r>
          </w:p>
        </w:tc>
        <w:tc>
          <w:tcPr>
            <w:tcW w:w="2140" w:type="dxa"/>
            <w:vAlign w:val="bottom"/>
            <w:gridSpan w:val="2"/>
          </w:tcPr>
          <w:p>
            <w:pPr>
              <w:jc w:val="right"/>
              <w:ind w:right="21"/>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color w:val="auto"/>
              </w:rPr>
              <w:t>5.3%</w:t>
            </w:r>
          </w:p>
        </w:tc>
      </w:tr>
      <w:tr>
        <w:trPr>
          <w:trHeight w:val="238"/>
        </w:trPr>
        <w:tc>
          <w:tcPr>
            <w:tcW w:w="4120" w:type="dxa"/>
            <w:vAlign w:val="bottom"/>
          </w:tcPr>
          <w:p>
            <w:pPr>
              <w:spacing w:after="0"/>
              <w:rPr>
                <w:sz w:val="20"/>
                <w:szCs w:val="20"/>
                <w:color w:val="auto"/>
              </w:rPr>
            </w:pPr>
            <w:r>
              <w:rPr>
                <w:rFonts w:ascii="Arial" w:cs="Arial" w:eastAsia="Arial" w:hAnsi="Arial"/>
                <w:sz w:val="16"/>
                <w:szCs w:val="16"/>
                <w:color w:val="auto"/>
              </w:rPr>
              <w:t>Europe</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30.5</w:t>
            </w:r>
          </w:p>
        </w:tc>
        <w:tc>
          <w:tcPr>
            <w:tcW w:w="2140" w:type="dxa"/>
            <w:vAlign w:val="bottom"/>
            <w:gridSpan w:val="2"/>
          </w:tcPr>
          <w:p>
            <w:pPr>
              <w:jc w:val="right"/>
              <w:ind w:right="21"/>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color w:val="auto"/>
              </w:rPr>
              <w:t>6.7%</w:t>
            </w:r>
          </w:p>
        </w:tc>
      </w:tr>
      <w:tr>
        <w:trPr>
          <w:trHeight w:val="243"/>
        </w:trPr>
        <w:tc>
          <w:tcPr>
            <w:tcW w:w="4120" w:type="dxa"/>
            <w:vAlign w:val="bottom"/>
          </w:tcPr>
          <w:p>
            <w:pPr>
              <w:spacing w:after="0"/>
              <w:rPr>
                <w:sz w:val="20"/>
                <w:szCs w:val="20"/>
                <w:color w:val="auto"/>
              </w:rPr>
            </w:pPr>
            <w:r>
              <w:rPr>
                <w:rFonts w:ascii="Arial" w:cs="Arial" w:eastAsia="Arial" w:hAnsi="Arial"/>
                <w:sz w:val="16"/>
                <w:szCs w:val="16"/>
                <w:color w:val="auto"/>
              </w:rPr>
              <w:t>Rest of world</w:t>
            </w: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54.7</w:t>
            </w:r>
          </w:p>
        </w:tc>
        <w:tc>
          <w:tcPr>
            <w:tcW w:w="2140" w:type="dxa"/>
            <w:vAlign w:val="bottom"/>
            <w:gridSpan w:val="2"/>
          </w:tcPr>
          <w:p>
            <w:pPr>
              <w:jc w:val="right"/>
              <w:ind w:right="21"/>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1"/>
                <w:szCs w:val="21"/>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color w:val="auto"/>
              </w:rPr>
              <w:t>6.0%</w:t>
            </w:r>
          </w:p>
        </w:tc>
      </w:tr>
      <w:tr>
        <w:trPr>
          <w:trHeight w:val="218"/>
        </w:trPr>
        <w:tc>
          <w:tcPr>
            <w:tcW w:w="4120" w:type="dxa"/>
            <w:vAlign w:val="bottom"/>
          </w:tcPr>
          <w:p>
            <w:pPr>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127.9</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123.6</w:t>
            </w:r>
          </w:p>
        </w:tc>
        <w:tc>
          <w:tcPr>
            <w:tcW w:w="214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3.5%</w:t>
            </w:r>
          </w:p>
        </w:tc>
        <w:tc>
          <w:tcPr>
            <w:tcW w:w="100" w:type="dxa"/>
            <w:vAlign w:val="bottom"/>
          </w:tcPr>
          <w:p>
            <w:pPr>
              <w:spacing w:after="0"/>
              <w:rPr>
                <w:sz w:val="18"/>
                <w:szCs w:val="18"/>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b w:val="1"/>
                <w:bCs w:val="1"/>
                <w:color w:val="auto"/>
              </w:rPr>
              <w:t>5.9%</w:t>
            </w:r>
          </w:p>
        </w:tc>
      </w:tr>
      <w:tr>
        <w:trPr>
          <w:trHeight w:val="331"/>
        </w:trPr>
        <w:tc>
          <w:tcPr>
            <w:tcW w:w="4120" w:type="dxa"/>
            <w:vAlign w:val="bottom"/>
          </w:tcPr>
          <w:p>
            <w:pPr>
              <w:spacing w:after="0"/>
              <w:rPr>
                <w:sz w:val="20"/>
                <w:szCs w:val="20"/>
                <w:color w:val="auto"/>
              </w:rPr>
            </w:pPr>
            <w:r>
              <w:rPr>
                <w:rFonts w:ascii="Arial" w:cs="Arial" w:eastAsia="Arial" w:hAnsi="Arial"/>
                <w:sz w:val="16"/>
                <w:szCs w:val="16"/>
                <w:b w:val="1"/>
                <w:bCs w:val="1"/>
                <w:color w:val="auto"/>
              </w:rPr>
              <w:t>Heart Valves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8"/>
        </w:trPr>
        <w:tc>
          <w:tcPr>
            <w:tcW w:w="4120" w:type="dxa"/>
            <w:vAlign w:val="bottom"/>
          </w:tcPr>
          <w:p>
            <w:pPr>
              <w:spacing w:after="0"/>
              <w:rPr>
                <w:sz w:val="20"/>
                <w:szCs w:val="20"/>
                <w:color w:val="auto"/>
              </w:rPr>
            </w:pPr>
            <w:r>
              <w:rPr>
                <w:rFonts w:ascii="Arial" w:cs="Arial" w:eastAsia="Arial" w:hAnsi="Arial"/>
                <w:sz w:val="16"/>
                <w:szCs w:val="16"/>
                <w:color w:val="auto"/>
              </w:rPr>
              <w:t>US</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6.6</w:t>
            </w:r>
          </w:p>
        </w:tc>
        <w:tc>
          <w:tcPr>
            <w:tcW w:w="2140" w:type="dxa"/>
            <w:vAlign w:val="bottom"/>
            <w:gridSpan w:val="2"/>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38"/>
        </w:trPr>
        <w:tc>
          <w:tcPr>
            <w:tcW w:w="4120" w:type="dxa"/>
            <w:vAlign w:val="bottom"/>
          </w:tcPr>
          <w:p>
            <w:pPr>
              <w:spacing w:after="0"/>
              <w:rPr>
                <w:sz w:val="20"/>
                <w:szCs w:val="20"/>
                <w:color w:val="auto"/>
              </w:rPr>
            </w:pPr>
            <w:r>
              <w:rPr>
                <w:rFonts w:ascii="Arial" w:cs="Arial" w:eastAsia="Arial" w:hAnsi="Arial"/>
                <w:sz w:val="16"/>
                <w:szCs w:val="16"/>
                <w:color w:val="auto"/>
              </w:rPr>
              <w:t>Europe</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9.9</w:t>
            </w:r>
          </w:p>
        </w:tc>
        <w:tc>
          <w:tcPr>
            <w:tcW w:w="2140" w:type="dxa"/>
            <w:vAlign w:val="bottom"/>
            <w:gridSpan w:val="2"/>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43"/>
        </w:trPr>
        <w:tc>
          <w:tcPr>
            <w:tcW w:w="4120" w:type="dxa"/>
            <w:vAlign w:val="bottom"/>
          </w:tcPr>
          <w:p>
            <w:pPr>
              <w:spacing w:after="0"/>
              <w:rPr>
                <w:sz w:val="20"/>
                <w:szCs w:val="20"/>
                <w:color w:val="auto"/>
              </w:rPr>
            </w:pPr>
            <w:r>
              <w:rPr>
                <w:rFonts w:ascii="Arial" w:cs="Arial" w:eastAsia="Arial" w:hAnsi="Arial"/>
                <w:sz w:val="16"/>
                <w:szCs w:val="16"/>
                <w:color w:val="auto"/>
              </w:rPr>
              <w:t>Rest of world</w:t>
            </w: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19.7</w:t>
            </w:r>
          </w:p>
        </w:tc>
        <w:tc>
          <w:tcPr>
            <w:tcW w:w="2140" w:type="dxa"/>
            <w:vAlign w:val="bottom"/>
            <w:gridSpan w:val="2"/>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8"/>
        </w:trPr>
        <w:tc>
          <w:tcPr>
            <w:tcW w:w="4120" w:type="dxa"/>
            <w:vAlign w:val="bottom"/>
          </w:tcPr>
          <w:p>
            <w:pPr>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36.3</w:t>
            </w:r>
          </w:p>
        </w:tc>
        <w:tc>
          <w:tcPr>
            <w:tcW w:w="2140" w:type="dxa"/>
            <w:vAlign w:val="bottom"/>
            <w:gridSpan w:val="2"/>
          </w:tcPr>
          <w:p>
            <w:pPr>
              <w:jc w:val="right"/>
              <w:spacing w:after="0"/>
              <w:rPr>
                <w:sz w:val="20"/>
                <w:szCs w:val="20"/>
                <w:color w:val="auto"/>
              </w:rPr>
            </w:pPr>
            <w:r>
              <w:rPr>
                <w:rFonts w:ascii="Arial" w:cs="Arial" w:eastAsia="Arial" w:hAnsi="Arial"/>
                <w:sz w:val="16"/>
                <w:szCs w:val="16"/>
                <w:b w:val="1"/>
                <w:bCs w:val="1"/>
                <w:color w:val="auto"/>
              </w:rPr>
              <w:t>(10.2%)</w:t>
            </w:r>
          </w:p>
        </w:tc>
        <w:tc>
          <w:tcPr>
            <w:tcW w:w="10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b w:val="1"/>
                <w:bCs w:val="1"/>
                <w:color w:val="auto"/>
              </w:rPr>
              <w:t>(5.8%)</w:t>
            </w:r>
          </w:p>
        </w:tc>
      </w:tr>
      <w:tr>
        <w:trPr>
          <w:trHeight w:val="331"/>
        </w:trPr>
        <w:tc>
          <w:tcPr>
            <w:tcW w:w="4120" w:type="dxa"/>
            <w:vAlign w:val="bottom"/>
          </w:tcPr>
          <w:p>
            <w:pPr>
              <w:spacing w:after="0"/>
              <w:rPr>
                <w:sz w:val="20"/>
                <w:szCs w:val="20"/>
                <w:color w:val="auto"/>
              </w:rPr>
            </w:pPr>
            <w:r>
              <w:rPr>
                <w:rFonts w:ascii="Arial" w:cs="Arial" w:eastAsia="Arial" w:hAnsi="Arial"/>
                <w:sz w:val="16"/>
                <w:szCs w:val="16"/>
                <w:b w:val="1"/>
                <w:bCs w:val="1"/>
                <w:color w:val="auto"/>
              </w:rPr>
              <w:t>Advanced Circulatory Support</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8"/>
        </w:trPr>
        <w:tc>
          <w:tcPr>
            <w:tcW w:w="4120" w:type="dxa"/>
            <w:vAlign w:val="bottom"/>
          </w:tcPr>
          <w:p>
            <w:pPr>
              <w:spacing w:after="0"/>
              <w:rPr>
                <w:sz w:val="20"/>
                <w:szCs w:val="20"/>
                <w:color w:val="auto"/>
              </w:rPr>
            </w:pPr>
            <w:r>
              <w:rPr>
                <w:rFonts w:ascii="Arial" w:cs="Arial" w:eastAsia="Arial" w:hAnsi="Arial"/>
                <w:sz w:val="16"/>
                <w:szCs w:val="16"/>
                <w:color w:val="auto"/>
              </w:rPr>
              <w:t>US</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140" w:type="dxa"/>
            <w:vAlign w:val="bottom"/>
            <w:gridSpan w:val="2"/>
          </w:tcPr>
          <w:p>
            <w:pPr>
              <w:ind w:left="1540"/>
              <w:spacing w:after="0"/>
              <w:rPr>
                <w:sz w:val="20"/>
                <w:szCs w:val="20"/>
                <w:color w:val="auto"/>
              </w:rPr>
            </w:pPr>
            <w:r>
              <w:rPr>
                <w:rFonts w:ascii="Arial" w:cs="Arial" w:eastAsia="Arial" w:hAnsi="Arial"/>
                <w:sz w:val="16"/>
                <w:szCs w:val="16"/>
                <w:color w:val="auto"/>
              </w:rPr>
              <w:t>N/A</w:t>
            </w:r>
          </w:p>
        </w:tc>
        <w:tc>
          <w:tcPr>
            <w:tcW w:w="2040" w:type="dxa"/>
            <w:vAlign w:val="bottom"/>
          </w:tcPr>
          <w:p>
            <w:pPr>
              <w:jc w:val="right"/>
              <w:ind w:right="161"/>
              <w:spacing w:after="0"/>
              <w:rPr>
                <w:sz w:val="20"/>
                <w:szCs w:val="20"/>
                <w:color w:val="auto"/>
              </w:rPr>
            </w:pPr>
            <w:r>
              <w:rPr>
                <w:rFonts w:ascii="Arial" w:cs="Arial" w:eastAsia="Arial" w:hAnsi="Arial"/>
                <w:sz w:val="16"/>
                <w:szCs w:val="16"/>
                <w:color w:val="auto"/>
              </w:rPr>
              <w:t>N/A</w:t>
            </w:r>
          </w:p>
        </w:tc>
      </w:tr>
      <w:tr>
        <w:trPr>
          <w:trHeight w:val="238"/>
        </w:trPr>
        <w:tc>
          <w:tcPr>
            <w:tcW w:w="4120" w:type="dxa"/>
            <w:vAlign w:val="bottom"/>
          </w:tcPr>
          <w:p>
            <w:pPr>
              <w:spacing w:after="0"/>
              <w:rPr>
                <w:sz w:val="20"/>
                <w:szCs w:val="20"/>
                <w:color w:val="auto"/>
              </w:rPr>
            </w:pPr>
            <w:r>
              <w:rPr>
                <w:rFonts w:ascii="Arial" w:cs="Arial" w:eastAsia="Arial" w:hAnsi="Arial"/>
                <w:sz w:val="16"/>
                <w:szCs w:val="16"/>
                <w:color w:val="auto"/>
              </w:rPr>
              <w:t>Europe</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140" w:type="dxa"/>
            <w:vAlign w:val="bottom"/>
            <w:gridSpan w:val="2"/>
          </w:tcPr>
          <w:p>
            <w:pPr>
              <w:ind w:left="1540"/>
              <w:spacing w:after="0"/>
              <w:rPr>
                <w:sz w:val="20"/>
                <w:szCs w:val="20"/>
                <w:color w:val="auto"/>
              </w:rPr>
            </w:pPr>
            <w:r>
              <w:rPr>
                <w:rFonts w:ascii="Arial" w:cs="Arial" w:eastAsia="Arial" w:hAnsi="Arial"/>
                <w:sz w:val="16"/>
                <w:szCs w:val="16"/>
                <w:color w:val="auto"/>
              </w:rPr>
              <w:t>N/A</w:t>
            </w:r>
          </w:p>
        </w:tc>
        <w:tc>
          <w:tcPr>
            <w:tcW w:w="2040" w:type="dxa"/>
            <w:vAlign w:val="bottom"/>
          </w:tcPr>
          <w:p>
            <w:pPr>
              <w:jc w:val="right"/>
              <w:ind w:right="161"/>
              <w:spacing w:after="0"/>
              <w:rPr>
                <w:sz w:val="20"/>
                <w:szCs w:val="20"/>
                <w:color w:val="auto"/>
              </w:rPr>
            </w:pPr>
            <w:r>
              <w:rPr>
                <w:rFonts w:ascii="Arial" w:cs="Arial" w:eastAsia="Arial" w:hAnsi="Arial"/>
                <w:sz w:val="16"/>
                <w:szCs w:val="16"/>
                <w:color w:val="auto"/>
              </w:rPr>
              <w:t>N/A</w:t>
            </w:r>
          </w:p>
        </w:tc>
      </w:tr>
      <w:tr>
        <w:trPr>
          <w:trHeight w:val="243"/>
        </w:trPr>
        <w:tc>
          <w:tcPr>
            <w:tcW w:w="4120" w:type="dxa"/>
            <w:vAlign w:val="bottom"/>
          </w:tcPr>
          <w:p>
            <w:pPr>
              <w:spacing w:after="0"/>
              <w:rPr>
                <w:sz w:val="20"/>
                <w:szCs w:val="20"/>
                <w:color w:val="auto"/>
              </w:rPr>
            </w:pPr>
            <w:r>
              <w:rPr>
                <w:rFonts w:ascii="Arial" w:cs="Arial" w:eastAsia="Arial" w:hAnsi="Arial"/>
                <w:sz w:val="16"/>
                <w:szCs w:val="16"/>
                <w:color w:val="auto"/>
              </w:rPr>
              <w:t>Rest of world</w:t>
            </w: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140" w:type="dxa"/>
            <w:vAlign w:val="bottom"/>
            <w:gridSpan w:val="2"/>
          </w:tcPr>
          <w:p>
            <w:pPr>
              <w:ind w:left="1540"/>
              <w:spacing w:after="0"/>
              <w:rPr>
                <w:sz w:val="20"/>
                <w:szCs w:val="20"/>
                <w:color w:val="auto"/>
              </w:rPr>
            </w:pPr>
            <w:r>
              <w:rPr>
                <w:rFonts w:ascii="Arial" w:cs="Arial" w:eastAsia="Arial" w:hAnsi="Arial"/>
                <w:sz w:val="16"/>
                <w:szCs w:val="16"/>
                <w:color w:val="auto"/>
              </w:rPr>
              <w:t>N/A</w:t>
            </w:r>
          </w:p>
        </w:tc>
        <w:tc>
          <w:tcPr>
            <w:tcW w:w="2040" w:type="dxa"/>
            <w:vAlign w:val="bottom"/>
          </w:tcPr>
          <w:p>
            <w:pPr>
              <w:jc w:val="right"/>
              <w:ind w:right="161"/>
              <w:spacing w:after="0"/>
              <w:rPr>
                <w:sz w:val="20"/>
                <w:szCs w:val="20"/>
                <w:color w:val="auto"/>
              </w:rPr>
            </w:pPr>
            <w:r>
              <w:rPr>
                <w:rFonts w:ascii="Arial" w:cs="Arial" w:eastAsia="Arial" w:hAnsi="Arial"/>
                <w:sz w:val="16"/>
                <w:szCs w:val="16"/>
                <w:color w:val="auto"/>
              </w:rPr>
              <w:t>N/A</w:t>
            </w:r>
          </w:p>
        </w:tc>
      </w:tr>
      <w:tr>
        <w:trPr>
          <w:trHeight w:val="218"/>
        </w:trPr>
        <w:tc>
          <w:tcPr>
            <w:tcW w:w="4120" w:type="dxa"/>
            <w:vAlign w:val="bottom"/>
          </w:tcPr>
          <w:p>
            <w:pPr>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140" w:type="dxa"/>
            <w:vAlign w:val="bottom"/>
            <w:gridSpan w:val="2"/>
          </w:tcPr>
          <w:p>
            <w:pPr>
              <w:ind w:left="1540"/>
              <w:spacing w:after="0"/>
              <w:rPr>
                <w:sz w:val="20"/>
                <w:szCs w:val="20"/>
                <w:color w:val="auto"/>
              </w:rPr>
            </w:pPr>
            <w:r>
              <w:rPr>
                <w:rFonts w:ascii="Arial" w:cs="Arial" w:eastAsia="Arial" w:hAnsi="Arial"/>
                <w:sz w:val="16"/>
                <w:szCs w:val="16"/>
                <w:color w:val="auto"/>
              </w:rPr>
              <w:t>N/A</w:t>
            </w:r>
          </w:p>
        </w:tc>
        <w:tc>
          <w:tcPr>
            <w:tcW w:w="2040" w:type="dxa"/>
            <w:vAlign w:val="bottom"/>
          </w:tcPr>
          <w:p>
            <w:pPr>
              <w:jc w:val="right"/>
              <w:ind w:right="161"/>
              <w:spacing w:after="0"/>
              <w:rPr>
                <w:sz w:val="20"/>
                <w:szCs w:val="20"/>
                <w:color w:val="auto"/>
              </w:rPr>
            </w:pPr>
            <w:r>
              <w:rPr>
                <w:rFonts w:ascii="Arial" w:cs="Arial" w:eastAsia="Arial" w:hAnsi="Arial"/>
                <w:sz w:val="16"/>
                <w:szCs w:val="16"/>
                <w:b w:val="1"/>
                <w:bCs w:val="1"/>
                <w:color w:val="auto"/>
              </w:rPr>
              <w:t>N/A</w:t>
            </w:r>
          </w:p>
        </w:tc>
      </w:tr>
      <w:tr>
        <w:trPr>
          <w:trHeight w:val="331"/>
        </w:trPr>
        <w:tc>
          <w:tcPr>
            <w:tcW w:w="4120" w:type="dxa"/>
            <w:vAlign w:val="bottom"/>
          </w:tcPr>
          <w:p>
            <w:pPr>
              <w:spacing w:after="0"/>
              <w:rPr>
                <w:sz w:val="20"/>
                <w:szCs w:val="20"/>
                <w:color w:val="auto"/>
              </w:rPr>
            </w:pPr>
            <w:r>
              <w:rPr>
                <w:rFonts w:ascii="Arial" w:cs="Arial" w:eastAsia="Arial" w:hAnsi="Arial"/>
                <w:sz w:val="16"/>
                <w:szCs w:val="16"/>
                <w:b w:val="1"/>
                <w:bCs w:val="1"/>
                <w:color w:val="auto"/>
              </w:rPr>
              <w:t>Cardiovascular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8"/>
        </w:trPr>
        <w:tc>
          <w:tcPr>
            <w:tcW w:w="4120" w:type="dxa"/>
            <w:vAlign w:val="bottom"/>
          </w:tcPr>
          <w:p>
            <w:pPr>
              <w:spacing w:after="0"/>
              <w:rPr>
                <w:sz w:val="20"/>
                <w:szCs w:val="20"/>
                <w:color w:val="auto"/>
              </w:rPr>
            </w:pPr>
            <w:r>
              <w:rPr>
                <w:rFonts w:ascii="Arial" w:cs="Arial" w:eastAsia="Arial" w:hAnsi="Arial"/>
                <w:sz w:val="16"/>
                <w:szCs w:val="16"/>
                <w:color w:val="auto"/>
              </w:rPr>
              <w:t>US</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45.0</w:t>
            </w:r>
          </w:p>
        </w:tc>
        <w:tc>
          <w:tcPr>
            <w:tcW w:w="2140" w:type="dxa"/>
            <w:vAlign w:val="bottom"/>
            <w:gridSpan w:val="2"/>
          </w:tcPr>
          <w:p>
            <w:pPr>
              <w:jc w:val="right"/>
              <w:ind w:right="21"/>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0"/>
                <w:szCs w:val="20"/>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color w:val="auto"/>
              </w:rPr>
              <w:t>16.7%</w:t>
            </w:r>
          </w:p>
        </w:tc>
      </w:tr>
      <w:tr>
        <w:trPr>
          <w:trHeight w:val="238"/>
        </w:trPr>
        <w:tc>
          <w:tcPr>
            <w:tcW w:w="4120" w:type="dxa"/>
            <w:vAlign w:val="bottom"/>
          </w:tcPr>
          <w:p>
            <w:pPr>
              <w:spacing w:after="0"/>
              <w:rPr>
                <w:sz w:val="20"/>
                <w:szCs w:val="20"/>
                <w:color w:val="auto"/>
              </w:rPr>
            </w:pPr>
            <w:r>
              <w:rPr>
                <w:rFonts w:ascii="Arial" w:cs="Arial" w:eastAsia="Arial" w:hAnsi="Arial"/>
                <w:sz w:val="16"/>
                <w:szCs w:val="16"/>
                <w:color w:val="auto"/>
              </w:rPr>
              <w:t>Europe</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40.4</w:t>
            </w:r>
          </w:p>
        </w:tc>
        <w:tc>
          <w:tcPr>
            <w:tcW w:w="2140" w:type="dxa"/>
            <w:vAlign w:val="bottom"/>
            <w:gridSpan w:val="2"/>
          </w:tcPr>
          <w:p>
            <w:pPr>
              <w:jc w:val="right"/>
              <w:ind w:right="21"/>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color w:val="auto"/>
              </w:rPr>
              <w:t>4.1%</w:t>
            </w:r>
          </w:p>
        </w:tc>
      </w:tr>
      <w:tr>
        <w:trPr>
          <w:trHeight w:val="243"/>
        </w:trPr>
        <w:tc>
          <w:tcPr>
            <w:tcW w:w="4120" w:type="dxa"/>
            <w:vAlign w:val="bottom"/>
          </w:tcPr>
          <w:p>
            <w:pPr>
              <w:spacing w:after="0"/>
              <w:rPr>
                <w:sz w:val="20"/>
                <w:szCs w:val="20"/>
                <w:color w:val="auto"/>
              </w:rPr>
            </w:pPr>
            <w:r>
              <w:rPr>
                <w:rFonts w:ascii="Arial" w:cs="Arial" w:eastAsia="Arial" w:hAnsi="Arial"/>
                <w:sz w:val="16"/>
                <w:szCs w:val="16"/>
                <w:color w:val="auto"/>
              </w:rPr>
              <w:t>Rest of world</w:t>
            </w: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74.4</w:t>
            </w:r>
          </w:p>
        </w:tc>
        <w:tc>
          <w:tcPr>
            <w:tcW w:w="214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1"/>
                <w:szCs w:val="21"/>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color w:val="auto"/>
              </w:rPr>
              <w:t>2.9%</w:t>
            </w:r>
          </w:p>
        </w:tc>
      </w:tr>
      <w:tr>
        <w:trPr>
          <w:trHeight w:val="218"/>
        </w:trPr>
        <w:tc>
          <w:tcPr>
            <w:tcW w:w="4120" w:type="dxa"/>
            <w:vAlign w:val="bottom"/>
          </w:tcPr>
          <w:p>
            <w:pPr>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166.6</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159.8</w:t>
            </w:r>
          </w:p>
        </w:tc>
        <w:tc>
          <w:tcPr>
            <w:tcW w:w="214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4.2%</w:t>
            </w:r>
          </w:p>
        </w:tc>
        <w:tc>
          <w:tcPr>
            <w:tcW w:w="100" w:type="dxa"/>
            <w:vAlign w:val="bottom"/>
          </w:tcPr>
          <w:p>
            <w:pPr>
              <w:spacing w:after="0"/>
              <w:rPr>
                <w:sz w:val="18"/>
                <w:szCs w:val="18"/>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b w:val="1"/>
                <w:bCs w:val="1"/>
                <w:color w:val="auto"/>
              </w:rPr>
              <w:t>7.1%</w:t>
            </w:r>
          </w:p>
        </w:tc>
      </w:tr>
      <w:tr>
        <w:trPr>
          <w:trHeight w:val="331"/>
        </w:trPr>
        <w:tc>
          <w:tcPr>
            <w:tcW w:w="4120" w:type="dxa"/>
            <w:vAlign w:val="bottom"/>
          </w:tcPr>
          <w:p>
            <w:pPr>
              <w:spacing w:after="0"/>
              <w:rPr>
                <w:sz w:val="20"/>
                <w:szCs w:val="20"/>
                <w:color w:val="auto"/>
              </w:rPr>
            </w:pPr>
            <w:r>
              <w:rPr>
                <w:rFonts w:ascii="Arial" w:cs="Arial" w:eastAsia="Arial" w:hAnsi="Arial"/>
                <w:sz w:val="16"/>
                <w:szCs w:val="16"/>
                <w:b w:val="1"/>
                <w:bCs w:val="1"/>
                <w:color w:val="auto"/>
              </w:rPr>
              <w:t>Neuromodulation</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8"/>
        </w:trPr>
        <w:tc>
          <w:tcPr>
            <w:tcW w:w="4120" w:type="dxa"/>
            <w:vAlign w:val="bottom"/>
          </w:tcPr>
          <w:p>
            <w:pPr>
              <w:spacing w:after="0"/>
              <w:rPr>
                <w:sz w:val="20"/>
                <w:szCs w:val="20"/>
                <w:color w:val="auto"/>
              </w:rPr>
            </w:pPr>
            <w:r>
              <w:rPr>
                <w:rFonts w:ascii="Arial" w:cs="Arial" w:eastAsia="Arial" w:hAnsi="Arial"/>
                <w:sz w:val="16"/>
                <w:szCs w:val="16"/>
                <w:color w:val="auto"/>
              </w:rPr>
              <w:t>US</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76.3</w:t>
            </w:r>
          </w:p>
        </w:tc>
        <w:tc>
          <w:tcPr>
            <w:tcW w:w="2140" w:type="dxa"/>
            <w:vAlign w:val="bottom"/>
            <w:gridSpan w:val="2"/>
          </w:tcPr>
          <w:p>
            <w:pPr>
              <w:jc w:val="right"/>
              <w:ind w:right="21"/>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color w:val="auto"/>
              </w:rPr>
              <w:t>14.3%</w:t>
            </w:r>
          </w:p>
        </w:tc>
      </w:tr>
      <w:tr>
        <w:trPr>
          <w:trHeight w:val="238"/>
        </w:trPr>
        <w:tc>
          <w:tcPr>
            <w:tcW w:w="4120" w:type="dxa"/>
            <w:vAlign w:val="bottom"/>
          </w:tcPr>
          <w:p>
            <w:pPr>
              <w:spacing w:after="0"/>
              <w:rPr>
                <w:sz w:val="20"/>
                <w:szCs w:val="20"/>
                <w:color w:val="auto"/>
              </w:rPr>
            </w:pPr>
            <w:r>
              <w:rPr>
                <w:rFonts w:ascii="Arial" w:cs="Arial" w:eastAsia="Arial" w:hAnsi="Arial"/>
                <w:sz w:val="16"/>
                <w:szCs w:val="16"/>
                <w:color w:val="auto"/>
              </w:rPr>
              <w:t>Europe</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8.1</w:t>
            </w:r>
          </w:p>
        </w:tc>
        <w:tc>
          <w:tcPr>
            <w:tcW w:w="2140" w:type="dxa"/>
            <w:vAlign w:val="bottom"/>
            <w:gridSpan w:val="2"/>
          </w:tcPr>
          <w:p>
            <w:pPr>
              <w:jc w:val="right"/>
              <w:ind w:right="21"/>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0"/>
                <w:szCs w:val="20"/>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color w:val="auto"/>
              </w:rPr>
              <w:t>19.6%</w:t>
            </w:r>
          </w:p>
        </w:tc>
      </w:tr>
      <w:tr>
        <w:trPr>
          <w:trHeight w:val="243"/>
        </w:trPr>
        <w:tc>
          <w:tcPr>
            <w:tcW w:w="4120" w:type="dxa"/>
            <w:vAlign w:val="bottom"/>
          </w:tcPr>
          <w:p>
            <w:pPr>
              <w:spacing w:after="0"/>
              <w:rPr>
                <w:sz w:val="20"/>
                <w:szCs w:val="20"/>
                <w:color w:val="auto"/>
              </w:rPr>
            </w:pPr>
            <w:r>
              <w:rPr>
                <w:rFonts w:ascii="Arial" w:cs="Arial" w:eastAsia="Arial" w:hAnsi="Arial"/>
                <w:sz w:val="16"/>
                <w:szCs w:val="16"/>
                <w:color w:val="auto"/>
              </w:rPr>
              <w:t>Rest of world</w:t>
            </w: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6.7</w:t>
            </w:r>
          </w:p>
        </w:tc>
        <w:tc>
          <w:tcPr>
            <w:tcW w:w="2140" w:type="dxa"/>
            <w:vAlign w:val="bottom"/>
            <w:gridSpan w:val="2"/>
          </w:tcPr>
          <w:p>
            <w:pPr>
              <w:jc w:val="right"/>
              <w:ind w:right="21"/>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21"/>
                <w:szCs w:val="21"/>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color w:val="auto"/>
              </w:rPr>
              <w:t>28.5%</w:t>
            </w:r>
          </w:p>
        </w:tc>
      </w:tr>
      <w:tr>
        <w:trPr>
          <w:trHeight w:val="218"/>
        </w:trPr>
        <w:tc>
          <w:tcPr>
            <w:tcW w:w="4120" w:type="dxa"/>
            <w:vAlign w:val="bottom"/>
          </w:tcPr>
          <w:p>
            <w:pPr>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104.9</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91.0</w:t>
            </w:r>
          </w:p>
        </w:tc>
        <w:tc>
          <w:tcPr>
            <w:tcW w:w="214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15.3%</w:t>
            </w:r>
          </w:p>
        </w:tc>
        <w:tc>
          <w:tcPr>
            <w:tcW w:w="100" w:type="dxa"/>
            <w:vAlign w:val="bottom"/>
          </w:tcPr>
          <w:p>
            <w:pPr>
              <w:spacing w:after="0"/>
              <w:rPr>
                <w:sz w:val="18"/>
                <w:szCs w:val="18"/>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b w:val="1"/>
                <w:bCs w:val="1"/>
                <w:color w:val="auto"/>
              </w:rPr>
              <w:t>15.8%</w:t>
            </w:r>
          </w:p>
        </w:tc>
      </w:tr>
      <w:tr>
        <w:trPr>
          <w:trHeight w:val="331"/>
        </w:trPr>
        <w:tc>
          <w:tcPr>
            <w:tcW w:w="4120" w:type="dxa"/>
            <w:vAlign w:val="bottom"/>
          </w:tcPr>
          <w:p>
            <w:pPr>
              <w:spacing w:after="0"/>
              <w:rPr>
                <w:sz w:val="20"/>
                <w:szCs w:val="20"/>
                <w:color w:val="auto"/>
              </w:rPr>
            </w:pPr>
            <w:r>
              <w:rPr>
                <w:rFonts w:ascii="Arial" w:cs="Arial" w:eastAsia="Arial" w:hAnsi="Arial"/>
                <w:sz w:val="16"/>
                <w:szCs w:val="16"/>
                <w:b w:val="1"/>
                <w:bCs w:val="1"/>
                <w:color w:val="auto"/>
              </w:rPr>
              <w:t>Other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8"/>
        </w:trPr>
        <w:tc>
          <w:tcPr>
            <w:tcW w:w="4120" w:type="dxa"/>
            <w:vAlign w:val="bottom"/>
          </w:tcPr>
          <w:p>
            <w:pPr>
              <w:spacing w:after="0"/>
              <w:rPr>
                <w:sz w:val="20"/>
                <w:szCs w:val="20"/>
                <w:color w:val="auto"/>
              </w:rPr>
            </w:pPr>
            <w:r>
              <w:rPr>
                <w:rFonts w:ascii="Arial" w:cs="Arial" w:eastAsia="Arial" w:hAnsi="Arial"/>
                <w:sz w:val="16"/>
                <w:szCs w:val="16"/>
                <w:color w:val="auto"/>
              </w:rPr>
              <w:t>US</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140" w:type="dxa"/>
            <w:vAlign w:val="bottom"/>
            <w:gridSpan w:val="2"/>
          </w:tcPr>
          <w:p>
            <w:pPr>
              <w:ind w:left="1540"/>
              <w:spacing w:after="0"/>
              <w:rPr>
                <w:sz w:val="20"/>
                <w:szCs w:val="20"/>
                <w:color w:val="auto"/>
              </w:rPr>
            </w:pPr>
            <w:r>
              <w:rPr>
                <w:rFonts w:ascii="Arial" w:cs="Arial" w:eastAsia="Arial" w:hAnsi="Arial"/>
                <w:sz w:val="16"/>
                <w:szCs w:val="16"/>
                <w:color w:val="auto"/>
              </w:rPr>
              <w:t>N/A</w:t>
            </w:r>
          </w:p>
        </w:tc>
        <w:tc>
          <w:tcPr>
            <w:tcW w:w="2040" w:type="dxa"/>
            <w:vAlign w:val="bottom"/>
          </w:tcPr>
          <w:p>
            <w:pPr>
              <w:jc w:val="right"/>
              <w:ind w:right="161"/>
              <w:spacing w:after="0"/>
              <w:rPr>
                <w:sz w:val="20"/>
                <w:szCs w:val="20"/>
                <w:color w:val="auto"/>
              </w:rPr>
            </w:pPr>
            <w:r>
              <w:rPr>
                <w:rFonts w:ascii="Arial" w:cs="Arial" w:eastAsia="Arial" w:hAnsi="Arial"/>
                <w:sz w:val="16"/>
                <w:szCs w:val="16"/>
                <w:color w:val="auto"/>
              </w:rPr>
              <w:t>N/A</w:t>
            </w:r>
          </w:p>
        </w:tc>
      </w:tr>
      <w:tr>
        <w:trPr>
          <w:trHeight w:val="238"/>
        </w:trPr>
        <w:tc>
          <w:tcPr>
            <w:tcW w:w="4120" w:type="dxa"/>
            <w:vAlign w:val="bottom"/>
          </w:tcPr>
          <w:p>
            <w:pPr>
              <w:spacing w:after="0"/>
              <w:rPr>
                <w:sz w:val="20"/>
                <w:szCs w:val="20"/>
                <w:color w:val="auto"/>
              </w:rPr>
            </w:pPr>
            <w:r>
              <w:rPr>
                <w:rFonts w:ascii="Arial" w:cs="Arial" w:eastAsia="Arial" w:hAnsi="Arial"/>
                <w:sz w:val="16"/>
                <w:szCs w:val="16"/>
                <w:color w:val="auto"/>
              </w:rPr>
              <w:t>Europe</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140" w:type="dxa"/>
            <w:vAlign w:val="bottom"/>
            <w:gridSpan w:val="2"/>
          </w:tcPr>
          <w:p>
            <w:pPr>
              <w:ind w:left="1540"/>
              <w:spacing w:after="0"/>
              <w:rPr>
                <w:sz w:val="20"/>
                <w:szCs w:val="20"/>
                <w:color w:val="auto"/>
              </w:rPr>
            </w:pPr>
            <w:r>
              <w:rPr>
                <w:rFonts w:ascii="Arial" w:cs="Arial" w:eastAsia="Arial" w:hAnsi="Arial"/>
                <w:sz w:val="16"/>
                <w:szCs w:val="16"/>
                <w:color w:val="auto"/>
              </w:rPr>
              <w:t>N/A</w:t>
            </w:r>
          </w:p>
        </w:tc>
        <w:tc>
          <w:tcPr>
            <w:tcW w:w="2040" w:type="dxa"/>
            <w:vAlign w:val="bottom"/>
          </w:tcPr>
          <w:p>
            <w:pPr>
              <w:jc w:val="right"/>
              <w:ind w:right="161"/>
              <w:spacing w:after="0"/>
              <w:rPr>
                <w:sz w:val="20"/>
                <w:szCs w:val="20"/>
                <w:color w:val="auto"/>
              </w:rPr>
            </w:pPr>
            <w:r>
              <w:rPr>
                <w:rFonts w:ascii="Arial" w:cs="Arial" w:eastAsia="Arial" w:hAnsi="Arial"/>
                <w:sz w:val="16"/>
                <w:szCs w:val="16"/>
                <w:color w:val="auto"/>
              </w:rPr>
              <w:t>N/A</w:t>
            </w:r>
          </w:p>
        </w:tc>
      </w:tr>
      <w:tr>
        <w:trPr>
          <w:trHeight w:val="245"/>
        </w:trPr>
        <w:tc>
          <w:tcPr>
            <w:tcW w:w="4120" w:type="dxa"/>
            <w:vAlign w:val="bottom"/>
          </w:tcPr>
          <w:p>
            <w:pPr>
              <w:spacing w:after="0"/>
              <w:rPr>
                <w:sz w:val="20"/>
                <w:szCs w:val="20"/>
                <w:color w:val="auto"/>
              </w:rPr>
            </w:pPr>
            <w:r>
              <w:rPr>
                <w:rFonts w:ascii="Arial" w:cs="Arial" w:eastAsia="Arial" w:hAnsi="Arial"/>
                <w:sz w:val="16"/>
                <w:szCs w:val="16"/>
                <w:color w:val="auto"/>
              </w:rPr>
              <w:t>Rest of world</w:t>
            </w: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1"/>
                <w:szCs w:val="21"/>
                <w:color w:val="auto"/>
              </w:rPr>
            </w:pPr>
          </w:p>
        </w:tc>
        <w:tc>
          <w:tcPr>
            <w:tcW w:w="2140" w:type="dxa"/>
            <w:vAlign w:val="bottom"/>
            <w:gridSpan w:val="2"/>
          </w:tcPr>
          <w:p>
            <w:pPr>
              <w:ind w:left="1540"/>
              <w:spacing w:after="0"/>
              <w:rPr>
                <w:sz w:val="20"/>
                <w:szCs w:val="20"/>
                <w:color w:val="auto"/>
              </w:rPr>
            </w:pPr>
            <w:r>
              <w:rPr>
                <w:rFonts w:ascii="Arial" w:cs="Arial" w:eastAsia="Arial" w:hAnsi="Arial"/>
                <w:sz w:val="16"/>
                <w:szCs w:val="16"/>
                <w:color w:val="auto"/>
              </w:rPr>
              <w:t>N/A</w:t>
            </w:r>
          </w:p>
        </w:tc>
        <w:tc>
          <w:tcPr>
            <w:tcW w:w="2040" w:type="dxa"/>
            <w:vAlign w:val="bottom"/>
          </w:tcPr>
          <w:p>
            <w:pPr>
              <w:jc w:val="right"/>
              <w:ind w:right="161"/>
              <w:spacing w:after="0"/>
              <w:rPr>
                <w:sz w:val="20"/>
                <w:szCs w:val="20"/>
                <w:color w:val="auto"/>
              </w:rPr>
            </w:pPr>
            <w:r>
              <w:rPr>
                <w:rFonts w:ascii="Arial" w:cs="Arial" w:eastAsia="Arial" w:hAnsi="Arial"/>
                <w:sz w:val="16"/>
                <w:szCs w:val="16"/>
                <w:color w:val="auto"/>
              </w:rPr>
              <w:t>N/A</w:t>
            </w: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2140" w:type="dxa"/>
            <w:vAlign w:val="bottom"/>
            <w:gridSpan w:val="2"/>
          </w:tcPr>
          <w:p>
            <w:pPr>
              <w:ind w:left="1540"/>
              <w:spacing w:after="0"/>
              <w:rPr>
                <w:sz w:val="20"/>
                <w:szCs w:val="20"/>
                <w:color w:val="auto"/>
              </w:rPr>
            </w:pPr>
            <w:r>
              <w:rPr>
                <w:rFonts w:ascii="Arial" w:cs="Arial" w:eastAsia="Arial" w:hAnsi="Arial"/>
                <w:sz w:val="16"/>
                <w:szCs w:val="16"/>
                <w:color w:val="auto"/>
              </w:rPr>
              <w:t>N/A</w:t>
            </w:r>
          </w:p>
        </w:tc>
        <w:tc>
          <w:tcPr>
            <w:tcW w:w="2040" w:type="dxa"/>
            <w:vAlign w:val="bottom"/>
          </w:tcPr>
          <w:p>
            <w:pPr>
              <w:jc w:val="right"/>
              <w:ind w:right="161"/>
              <w:spacing w:after="0"/>
              <w:rPr>
                <w:sz w:val="20"/>
                <w:szCs w:val="20"/>
                <w:color w:val="auto"/>
              </w:rPr>
            </w:pPr>
            <w:r>
              <w:rPr>
                <w:rFonts w:ascii="Arial" w:cs="Arial" w:eastAsia="Arial" w:hAnsi="Arial"/>
                <w:sz w:val="16"/>
                <w:szCs w:val="16"/>
                <w:color w:val="auto"/>
              </w:rPr>
              <w:t>N/A</w:t>
            </w:r>
          </w:p>
        </w:tc>
      </w:tr>
      <w:tr>
        <w:trPr>
          <w:trHeight w:val="331"/>
        </w:trPr>
        <w:tc>
          <w:tcPr>
            <w:tcW w:w="4120" w:type="dxa"/>
            <w:vAlign w:val="bottom"/>
          </w:tcPr>
          <w:p>
            <w:pPr>
              <w:spacing w:after="0"/>
              <w:rPr>
                <w:sz w:val="20"/>
                <w:szCs w:val="20"/>
                <w:color w:val="auto"/>
              </w:rPr>
            </w:pPr>
            <w:r>
              <w:rPr>
                <w:rFonts w:ascii="Arial" w:cs="Arial" w:eastAsia="Arial" w:hAnsi="Arial"/>
                <w:sz w:val="16"/>
                <w:szCs w:val="16"/>
                <w:b w:val="1"/>
                <w:bCs w:val="1"/>
                <w:color w:val="auto"/>
              </w:rPr>
              <w:t>Totals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8"/>
        </w:trPr>
        <w:tc>
          <w:tcPr>
            <w:tcW w:w="4120" w:type="dxa"/>
            <w:vAlign w:val="bottom"/>
          </w:tcPr>
          <w:p>
            <w:pPr>
              <w:spacing w:after="0"/>
              <w:rPr>
                <w:sz w:val="20"/>
                <w:szCs w:val="20"/>
                <w:color w:val="auto"/>
              </w:rPr>
            </w:pPr>
            <w:r>
              <w:rPr>
                <w:rFonts w:ascii="Arial" w:cs="Arial" w:eastAsia="Arial" w:hAnsi="Arial"/>
                <w:sz w:val="16"/>
                <w:szCs w:val="16"/>
                <w:color w:val="auto"/>
              </w:rPr>
              <w:t>US</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139.7</w:t>
            </w:r>
          </w:p>
        </w:tc>
        <w:tc>
          <w:tcPr>
            <w:tcW w:w="10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121.3</w:t>
            </w:r>
          </w:p>
        </w:tc>
        <w:tc>
          <w:tcPr>
            <w:tcW w:w="2140" w:type="dxa"/>
            <w:vAlign w:val="bottom"/>
            <w:gridSpan w:val="2"/>
          </w:tcPr>
          <w:p>
            <w:pPr>
              <w:jc w:val="right"/>
              <w:ind w:right="21"/>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0"/>
                <w:szCs w:val="20"/>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color w:val="auto"/>
              </w:rPr>
              <w:t>15.2%</w:t>
            </w:r>
          </w:p>
        </w:tc>
      </w:tr>
      <w:tr>
        <w:trPr>
          <w:trHeight w:val="238"/>
        </w:trPr>
        <w:tc>
          <w:tcPr>
            <w:tcW w:w="4120" w:type="dxa"/>
            <w:vAlign w:val="bottom"/>
          </w:tcPr>
          <w:p>
            <w:pPr>
              <w:spacing w:after="0"/>
              <w:rPr>
                <w:sz w:val="20"/>
                <w:szCs w:val="20"/>
                <w:color w:val="auto"/>
              </w:rPr>
            </w:pPr>
            <w:r>
              <w:rPr>
                <w:rFonts w:ascii="Arial" w:cs="Arial" w:eastAsia="Arial" w:hAnsi="Arial"/>
                <w:sz w:val="16"/>
                <w:szCs w:val="16"/>
                <w:color w:val="auto"/>
              </w:rPr>
              <w:t>Europe</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48.5</w:t>
            </w:r>
          </w:p>
        </w:tc>
        <w:tc>
          <w:tcPr>
            <w:tcW w:w="2140" w:type="dxa"/>
            <w:vAlign w:val="bottom"/>
            <w:gridSpan w:val="2"/>
          </w:tcPr>
          <w:p>
            <w:pPr>
              <w:jc w:val="right"/>
              <w:ind w:right="21"/>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color w:val="auto"/>
              </w:rPr>
              <w:t>6.7%</w:t>
            </w:r>
          </w:p>
        </w:tc>
      </w:tr>
      <w:tr>
        <w:trPr>
          <w:trHeight w:val="245"/>
        </w:trPr>
        <w:tc>
          <w:tcPr>
            <w:tcW w:w="4120" w:type="dxa"/>
            <w:vAlign w:val="bottom"/>
          </w:tcPr>
          <w:p>
            <w:pPr>
              <w:spacing w:after="0"/>
              <w:rPr>
                <w:sz w:val="20"/>
                <w:szCs w:val="20"/>
                <w:color w:val="auto"/>
              </w:rPr>
            </w:pPr>
            <w:r>
              <w:rPr>
                <w:rFonts w:ascii="Arial" w:cs="Arial" w:eastAsia="Arial" w:hAnsi="Arial"/>
                <w:sz w:val="16"/>
                <w:szCs w:val="16"/>
                <w:color w:val="auto"/>
              </w:rPr>
              <w:t>Rest of world</w:t>
            </w: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81.3</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81.5</w:t>
            </w:r>
          </w:p>
        </w:tc>
        <w:tc>
          <w:tcPr>
            <w:tcW w:w="2140" w:type="dxa"/>
            <w:vAlign w:val="bottom"/>
            <w:gridSpan w:val="2"/>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1"/>
                <w:szCs w:val="21"/>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color w:val="auto"/>
              </w:rPr>
              <w:t>5.1%</w:t>
            </w:r>
          </w:p>
        </w:tc>
      </w:tr>
      <w:tr>
        <w:trPr>
          <w:trHeight w:val="236"/>
        </w:trPr>
        <w:tc>
          <w:tcPr>
            <w:tcW w:w="4120" w:type="dxa"/>
            <w:vAlign w:val="bottom"/>
          </w:tcPr>
          <w:p>
            <w:pPr>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$272.1</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$251.3</w:t>
            </w:r>
          </w:p>
        </w:tc>
        <w:tc>
          <w:tcPr>
            <w:tcW w:w="214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8.3%</w:t>
            </w:r>
          </w:p>
        </w:tc>
        <w:tc>
          <w:tcPr>
            <w:tcW w:w="100" w:type="dxa"/>
            <w:vAlign w:val="bottom"/>
          </w:tcPr>
          <w:p>
            <w:pPr>
              <w:spacing w:after="0"/>
              <w:rPr>
                <w:sz w:val="20"/>
                <w:szCs w:val="20"/>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b w:val="1"/>
                <w:bCs w:val="1"/>
                <w:color w:val="auto"/>
              </w:rPr>
              <w:t>10.3%</w:t>
            </w:r>
          </w:p>
        </w:tc>
      </w:tr>
      <w:tr>
        <w:trPr>
          <w:trHeight w:val="20"/>
        </w:trPr>
        <w:tc>
          <w:tcPr>
            <w:tcW w:w="4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135" w:lineRule="exact"/>
        <w:rPr>
          <w:sz w:val="20"/>
          <w:szCs w:val="20"/>
          <w:color w:val="auto"/>
        </w:rPr>
      </w:pPr>
    </w:p>
    <w:p>
      <w:pPr>
        <w:ind w:left="1"/>
        <w:spacing w:after="0"/>
        <w:rPr>
          <w:sz w:val="20"/>
          <w:szCs w:val="20"/>
          <w:color w:val="auto"/>
        </w:rPr>
      </w:pPr>
      <w:r>
        <w:rPr>
          <w:rFonts w:ascii="Arial" w:cs="Arial" w:eastAsia="Arial" w:hAnsi="Arial"/>
          <w:sz w:val="13"/>
          <w:szCs w:val="13"/>
          <w:color w:val="auto"/>
        </w:rPr>
        <w:t>* The sales results presented are unaudited. Numbers may not add up precisely due to rounding.</w:t>
      </w:r>
    </w:p>
    <w:p>
      <w:pPr>
        <w:spacing w:after="0" w:line="41" w:lineRule="exact"/>
        <w:rPr>
          <w:sz w:val="20"/>
          <w:szCs w:val="20"/>
          <w:color w:val="auto"/>
        </w:rPr>
      </w:pPr>
    </w:p>
    <w:p>
      <w:pPr>
        <w:ind w:left="1" w:right="40" w:hanging="1"/>
        <w:spacing w:after="0" w:line="237" w:lineRule="auto"/>
        <w:tabs>
          <w:tab w:leader="none" w:pos="2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Constant currency growth, a non-GAAP financial measure, measures the change in sales between current and prior-year periods using average exchange rates in effect during the applicable prior-year period.</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421"/>
          </w:cols>
          <w:pgMar w:left="259" w:top="701" w:right="219" w:bottom="1440" w:gutter="0" w:footer="0" w:header="0"/>
        </w:sectPr>
      </w:pPr>
    </w:p>
    <w:bookmarkStart w:id="11" w:name="page12"/>
    <w:bookmarkEnd w:id="11"/>
    <w:p>
      <w:pPr>
        <w:ind w:left="1"/>
        <w:spacing w:after="0"/>
        <w:rPr>
          <w:sz w:val="20"/>
          <w:szCs w:val="20"/>
          <w:color w:val="auto"/>
        </w:rPr>
      </w:pPr>
      <w:r>
        <w:rPr>
          <w:rFonts w:ascii="Arial" w:cs="Arial" w:eastAsia="Arial" w:hAnsi="Arial"/>
          <w:sz w:val="16"/>
          <w:szCs w:val="16"/>
          <w:b w:val="1"/>
          <w:bCs w:val="1"/>
          <w:color w:val="auto"/>
        </w:rPr>
        <w:t>LIVANOVA PLC</w:t>
      </w:r>
    </w:p>
    <w:p>
      <w:pPr>
        <w:spacing w:after="0" w:line="4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NINE MONTH SALES</w:t>
      </w:r>
    </w:p>
    <w:p>
      <w:pPr>
        <w:spacing w:after="0" w:line="4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(U.S. dollars in millions)</w:t>
      </w:r>
    </w:p>
    <w:p>
      <w:pPr>
        <w:spacing w:after="0" w:line="149" w:lineRule="exact"/>
        <w:rPr>
          <w:sz w:val="20"/>
          <w:szCs w:val="20"/>
          <w:color w:val="auto"/>
        </w:rPr>
      </w:pPr>
    </w:p>
    <w:tbl>
      <w:tblPr>
        <w:tblLayout w:type="fixed"/>
        <w:tblInd w:w="1" w:type="dxa"/>
        <w:tblCellMar>
          <w:top w:w="0" w:type="dxa"/>
          <w:left w:w="0" w:type="dxa"/>
          <w:bottom w:w="0" w:type="dxa"/>
          <w:right w:w="0" w:type="dxa"/>
        </w:tblCellMar>
      </w:tblPr>
      <w:tr>
        <w:trPr>
          <w:trHeight w:val="227"/>
        </w:trPr>
        <w:tc>
          <w:tcPr>
            <w:tcW w:w="412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4"/>
          </w:tcPr>
          <w:p>
            <w:pPr>
              <w:ind w:left="800"/>
              <w:spacing w:after="0"/>
              <w:rPr>
                <w:sz w:val="20"/>
                <w:szCs w:val="20"/>
                <w:color w:val="auto"/>
              </w:rPr>
            </w:pPr>
            <w:r>
              <w:rPr>
                <w:rFonts w:ascii="Arial" w:cs="Arial" w:eastAsia="Arial" w:hAnsi="Arial"/>
                <w:sz w:val="16"/>
                <w:szCs w:val="16"/>
                <w:b w:val="1"/>
                <w:bCs w:val="1"/>
                <w:color w:val="auto"/>
              </w:rPr>
              <w:t>Nine Months Ended September 30,</w:t>
            </w:r>
          </w:p>
        </w:tc>
        <w:tc>
          <w:tcPr>
            <w:tcW w:w="2040" w:type="dxa"/>
            <w:vAlign w:val="bottom"/>
            <w:tcBorders>
              <w:bottom w:val="single" w:sz="8" w:color="auto"/>
            </w:tcBorders>
          </w:tcPr>
          <w:p>
            <w:pPr>
              <w:spacing w:after="0"/>
              <w:rPr>
                <w:sz w:val="19"/>
                <w:szCs w:val="19"/>
                <w:color w:val="auto"/>
              </w:rPr>
            </w:pPr>
          </w:p>
        </w:tc>
      </w:tr>
      <w:tr>
        <w:trPr>
          <w:trHeight w:val="288"/>
        </w:trPr>
        <w:tc>
          <w:tcPr>
            <w:tcW w:w="4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2"/>
          </w:tcPr>
          <w:p>
            <w:pPr>
              <w:ind w:left="280"/>
              <w:spacing w:after="0"/>
              <w:rPr>
                <w:sz w:val="20"/>
                <w:szCs w:val="20"/>
                <w:color w:val="auto"/>
              </w:rPr>
            </w:pPr>
            <w:r>
              <w:rPr>
                <w:rFonts w:ascii="Arial" w:cs="Arial" w:eastAsia="Arial" w:hAnsi="Arial"/>
                <w:sz w:val="16"/>
                <w:szCs w:val="16"/>
                <w:b w:val="1"/>
                <w:bCs w:val="1"/>
                <w:color w:val="auto"/>
              </w:rPr>
              <w:t>% Change at Actual</w:t>
            </w:r>
          </w:p>
        </w:tc>
        <w:tc>
          <w:tcPr>
            <w:tcW w:w="2040" w:type="dxa"/>
            <w:vAlign w:val="bottom"/>
          </w:tcPr>
          <w:p>
            <w:pPr>
              <w:jc w:val="right"/>
              <w:ind w:right="101"/>
              <w:spacing w:after="0"/>
              <w:rPr>
                <w:sz w:val="20"/>
                <w:szCs w:val="20"/>
                <w:color w:val="auto"/>
              </w:rPr>
            </w:pPr>
            <w:r>
              <w:rPr>
                <w:rFonts w:ascii="Arial" w:cs="Arial" w:eastAsia="Arial" w:hAnsi="Arial"/>
                <w:sz w:val="16"/>
                <w:szCs w:val="16"/>
                <w:b w:val="1"/>
                <w:bCs w:val="1"/>
                <w:color w:val="auto"/>
              </w:rPr>
              <w:t>% Change at Constant</w:t>
            </w:r>
          </w:p>
        </w:tc>
      </w:tr>
      <w:tr>
        <w:trPr>
          <w:trHeight w:val="227"/>
        </w:trPr>
        <w:tc>
          <w:tcPr>
            <w:tcW w:w="4120" w:type="dxa"/>
            <w:vAlign w:val="bottom"/>
          </w:tcPr>
          <w:p>
            <w:pPr>
              <w:spacing w:after="0"/>
              <w:rPr>
                <w:sz w:val="19"/>
                <w:szCs w:val="19"/>
                <w:color w:val="auto"/>
              </w:rPr>
            </w:pPr>
          </w:p>
        </w:tc>
        <w:tc>
          <w:tcPr>
            <w:tcW w:w="1460" w:type="dxa"/>
            <w:vAlign w:val="bottom"/>
          </w:tcPr>
          <w:p>
            <w:pPr>
              <w:jc w:val="right"/>
              <w:ind w:right="48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1460" w:type="dxa"/>
            <w:vAlign w:val="bottom"/>
          </w:tcPr>
          <w:p>
            <w:pPr>
              <w:jc w:val="right"/>
              <w:ind w:right="48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2140" w:type="dxa"/>
            <w:vAlign w:val="bottom"/>
            <w:gridSpan w:val="2"/>
          </w:tcPr>
          <w:p>
            <w:pPr>
              <w:ind w:left="440"/>
              <w:spacing w:after="0"/>
              <w:rPr>
                <w:sz w:val="20"/>
                <w:szCs w:val="20"/>
                <w:color w:val="auto"/>
              </w:rPr>
            </w:pPr>
            <w:r>
              <w:rPr>
                <w:rFonts w:ascii="Arial" w:cs="Arial" w:eastAsia="Arial" w:hAnsi="Arial"/>
                <w:sz w:val="16"/>
                <w:szCs w:val="16"/>
                <w:b w:val="1"/>
                <w:bCs w:val="1"/>
                <w:color w:val="auto"/>
              </w:rPr>
              <w:t>Currency Rates</w:t>
            </w:r>
          </w:p>
        </w:tc>
        <w:tc>
          <w:tcPr>
            <w:tcW w:w="2040" w:type="dxa"/>
            <w:vAlign w:val="bottom"/>
          </w:tcPr>
          <w:p>
            <w:pPr>
              <w:jc w:val="right"/>
              <w:ind w:right="301"/>
              <w:spacing w:after="0"/>
              <w:rPr>
                <w:sz w:val="20"/>
                <w:szCs w:val="20"/>
                <w:color w:val="auto"/>
              </w:rPr>
            </w:pPr>
            <w:r>
              <w:rPr>
                <w:rFonts w:ascii="Arial" w:cs="Arial" w:eastAsia="Arial" w:hAnsi="Arial"/>
                <w:sz w:val="16"/>
                <w:szCs w:val="16"/>
                <w:b w:val="1"/>
                <w:bCs w:val="1"/>
                <w:color w:val="auto"/>
              </w:rPr>
              <w:t>Currency Rates</w:t>
            </w:r>
            <w:r>
              <w:rPr>
                <w:rFonts w:ascii="Arial" w:cs="Arial" w:eastAsia="Arial" w:hAnsi="Arial"/>
                <w:sz w:val="19"/>
                <w:szCs w:val="19"/>
                <w:color w:val="auto"/>
                <w:vertAlign w:val="superscript"/>
              </w:rPr>
              <w:t>(1)</w:t>
            </w:r>
          </w:p>
        </w:tc>
      </w:tr>
      <w:tr>
        <w:trPr>
          <w:trHeight w:val="224"/>
        </w:trPr>
        <w:tc>
          <w:tcPr>
            <w:tcW w:w="4120" w:type="dxa"/>
            <w:vAlign w:val="bottom"/>
          </w:tcPr>
          <w:p>
            <w:pPr>
              <w:spacing w:after="0"/>
              <w:rPr>
                <w:sz w:val="20"/>
                <w:szCs w:val="20"/>
                <w:color w:val="auto"/>
              </w:rPr>
            </w:pPr>
            <w:r>
              <w:rPr>
                <w:rFonts w:ascii="Arial" w:cs="Arial" w:eastAsia="Arial" w:hAnsi="Arial"/>
                <w:sz w:val="16"/>
                <w:szCs w:val="16"/>
                <w:b w:val="1"/>
                <w:bCs w:val="1"/>
                <w:color w:val="auto"/>
              </w:rPr>
              <w:t>Cardiopulmonary</w:t>
            </w: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r>
      <w:tr>
        <w:trPr>
          <w:trHeight w:val="238"/>
        </w:trPr>
        <w:tc>
          <w:tcPr>
            <w:tcW w:w="4120" w:type="dxa"/>
            <w:vAlign w:val="bottom"/>
          </w:tcPr>
          <w:p>
            <w:pPr>
              <w:spacing w:after="0"/>
              <w:rPr>
                <w:sz w:val="20"/>
                <w:szCs w:val="20"/>
                <w:color w:val="auto"/>
              </w:rPr>
            </w:pPr>
            <w:r>
              <w:rPr>
                <w:rFonts w:ascii="Arial" w:cs="Arial" w:eastAsia="Arial" w:hAnsi="Arial"/>
                <w:sz w:val="16"/>
                <w:szCs w:val="16"/>
                <w:color w:val="auto"/>
              </w:rPr>
              <w:t>US</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$121.0</w:t>
            </w:r>
          </w:p>
        </w:tc>
        <w:tc>
          <w:tcPr>
            <w:tcW w:w="10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$110.3</w:t>
            </w:r>
          </w:p>
        </w:tc>
        <w:tc>
          <w:tcPr>
            <w:tcW w:w="2140" w:type="dxa"/>
            <w:vAlign w:val="bottom"/>
            <w:gridSpan w:val="2"/>
          </w:tcPr>
          <w:p>
            <w:pPr>
              <w:jc w:val="right"/>
              <w:ind w:right="21"/>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color w:val="auto"/>
              </w:rPr>
              <w:t>9.7%</w:t>
            </w:r>
          </w:p>
        </w:tc>
      </w:tr>
      <w:tr>
        <w:trPr>
          <w:trHeight w:val="238"/>
        </w:trPr>
        <w:tc>
          <w:tcPr>
            <w:tcW w:w="4120" w:type="dxa"/>
            <w:vAlign w:val="bottom"/>
          </w:tcPr>
          <w:p>
            <w:pPr>
              <w:spacing w:after="0"/>
              <w:rPr>
                <w:sz w:val="20"/>
                <w:szCs w:val="20"/>
                <w:color w:val="auto"/>
              </w:rPr>
            </w:pPr>
            <w:r>
              <w:rPr>
                <w:rFonts w:ascii="Arial" w:cs="Arial" w:eastAsia="Arial" w:hAnsi="Arial"/>
                <w:sz w:val="16"/>
                <w:szCs w:val="16"/>
                <w:color w:val="auto"/>
              </w:rPr>
              <w:t>Europe</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105.0</w:t>
            </w:r>
          </w:p>
        </w:tc>
        <w:tc>
          <w:tcPr>
            <w:tcW w:w="10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95.1</w:t>
            </w:r>
          </w:p>
        </w:tc>
        <w:tc>
          <w:tcPr>
            <w:tcW w:w="2140" w:type="dxa"/>
            <w:vAlign w:val="bottom"/>
            <w:gridSpan w:val="2"/>
          </w:tcPr>
          <w:p>
            <w:pPr>
              <w:jc w:val="right"/>
              <w:ind w:right="21"/>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color w:val="auto"/>
              </w:rPr>
              <w:t>3.3%</w:t>
            </w:r>
          </w:p>
        </w:tc>
      </w:tr>
      <w:tr>
        <w:trPr>
          <w:trHeight w:val="243"/>
        </w:trPr>
        <w:tc>
          <w:tcPr>
            <w:tcW w:w="4120" w:type="dxa"/>
            <w:vAlign w:val="bottom"/>
          </w:tcPr>
          <w:p>
            <w:pPr>
              <w:spacing w:after="0"/>
              <w:rPr>
                <w:sz w:val="20"/>
                <w:szCs w:val="20"/>
                <w:color w:val="auto"/>
              </w:rPr>
            </w:pPr>
            <w:r>
              <w:rPr>
                <w:rFonts w:ascii="Arial" w:cs="Arial" w:eastAsia="Arial" w:hAnsi="Arial"/>
                <w:sz w:val="16"/>
                <w:szCs w:val="16"/>
                <w:color w:val="auto"/>
              </w:rPr>
              <w:t>Rest of world</w:t>
            </w: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163.8</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149.6</w:t>
            </w:r>
          </w:p>
        </w:tc>
        <w:tc>
          <w:tcPr>
            <w:tcW w:w="2140" w:type="dxa"/>
            <w:vAlign w:val="bottom"/>
            <w:gridSpan w:val="2"/>
          </w:tcPr>
          <w:p>
            <w:pPr>
              <w:jc w:val="right"/>
              <w:ind w:right="21"/>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1"/>
                <w:szCs w:val="21"/>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color w:val="auto"/>
              </w:rPr>
              <w:t>8.2%</w:t>
            </w:r>
          </w:p>
        </w:tc>
      </w:tr>
      <w:tr>
        <w:trPr>
          <w:trHeight w:val="218"/>
        </w:trPr>
        <w:tc>
          <w:tcPr>
            <w:tcW w:w="4120" w:type="dxa"/>
            <w:vAlign w:val="bottom"/>
          </w:tcPr>
          <w:p>
            <w:pPr>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389.7</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355.0</w:t>
            </w:r>
          </w:p>
        </w:tc>
        <w:tc>
          <w:tcPr>
            <w:tcW w:w="214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9.8%</w:t>
            </w:r>
          </w:p>
        </w:tc>
        <w:tc>
          <w:tcPr>
            <w:tcW w:w="100" w:type="dxa"/>
            <w:vAlign w:val="bottom"/>
          </w:tcPr>
          <w:p>
            <w:pPr>
              <w:spacing w:after="0"/>
              <w:rPr>
                <w:sz w:val="18"/>
                <w:szCs w:val="18"/>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b w:val="1"/>
                <w:bCs w:val="1"/>
                <w:color w:val="auto"/>
              </w:rPr>
              <w:t>7.3%</w:t>
            </w:r>
          </w:p>
        </w:tc>
      </w:tr>
      <w:tr>
        <w:trPr>
          <w:trHeight w:val="331"/>
        </w:trPr>
        <w:tc>
          <w:tcPr>
            <w:tcW w:w="4120" w:type="dxa"/>
            <w:vAlign w:val="bottom"/>
          </w:tcPr>
          <w:p>
            <w:pPr>
              <w:spacing w:after="0"/>
              <w:rPr>
                <w:sz w:val="20"/>
                <w:szCs w:val="20"/>
                <w:color w:val="auto"/>
              </w:rPr>
            </w:pPr>
            <w:r>
              <w:rPr>
                <w:rFonts w:ascii="Arial" w:cs="Arial" w:eastAsia="Arial" w:hAnsi="Arial"/>
                <w:sz w:val="16"/>
                <w:szCs w:val="16"/>
                <w:b w:val="1"/>
                <w:bCs w:val="1"/>
                <w:color w:val="auto"/>
              </w:rPr>
              <w:t>Heart Valves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8"/>
        </w:trPr>
        <w:tc>
          <w:tcPr>
            <w:tcW w:w="4120" w:type="dxa"/>
            <w:vAlign w:val="bottom"/>
          </w:tcPr>
          <w:p>
            <w:pPr>
              <w:spacing w:after="0"/>
              <w:rPr>
                <w:sz w:val="20"/>
                <w:szCs w:val="20"/>
                <w:color w:val="auto"/>
              </w:rPr>
            </w:pPr>
            <w:r>
              <w:rPr>
                <w:rFonts w:ascii="Arial" w:cs="Arial" w:eastAsia="Arial" w:hAnsi="Arial"/>
                <w:sz w:val="16"/>
                <w:szCs w:val="16"/>
                <w:color w:val="auto"/>
              </w:rPr>
              <w:t>US</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18.9</w:t>
            </w:r>
          </w:p>
        </w:tc>
        <w:tc>
          <w:tcPr>
            <w:tcW w:w="2140" w:type="dxa"/>
            <w:vAlign w:val="bottom"/>
            <w:gridSpan w:val="2"/>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38"/>
        </w:trPr>
        <w:tc>
          <w:tcPr>
            <w:tcW w:w="4120" w:type="dxa"/>
            <w:vAlign w:val="bottom"/>
          </w:tcPr>
          <w:p>
            <w:pPr>
              <w:spacing w:after="0"/>
              <w:rPr>
                <w:sz w:val="20"/>
                <w:szCs w:val="20"/>
                <w:color w:val="auto"/>
              </w:rPr>
            </w:pPr>
            <w:r>
              <w:rPr>
                <w:rFonts w:ascii="Arial" w:cs="Arial" w:eastAsia="Arial" w:hAnsi="Arial"/>
                <w:sz w:val="16"/>
                <w:szCs w:val="16"/>
                <w:color w:val="auto"/>
              </w:rPr>
              <w:t>Europe</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30.9</w:t>
            </w:r>
          </w:p>
        </w:tc>
        <w:tc>
          <w:tcPr>
            <w:tcW w:w="2140" w:type="dxa"/>
            <w:vAlign w:val="bottom"/>
            <w:gridSpan w:val="2"/>
          </w:tcPr>
          <w:p>
            <w:pPr>
              <w:jc w:val="right"/>
              <w:ind w:right="21"/>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color w:val="auto"/>
              </w:rPr>
              <w:t>0.5%</w:t>
            </w:r>
          </w:p>
        </w:tc>
      </w:tr>
      <w:tr>
        <w:trPr>
          <w:trHeight w:val="243"/>
        </w:trPr>
        <w:tc>
          <w:tcPr>
            <w:tcW w:w="4120" w:type="dxa"/>
            <w:vAlign w:val="bottom"/>
          </w:tcPr>
          <w:p>
            <w:pPr>
              <w:spacing w:after="0"/>
              <w:rPr>
                <w:sz w:val="20"/>
                <w:szCs w:val="20"/>
                <w:color w:val="auto"/>
              </w:rPr>
            </w:pPr>
            <w:r>
              <w:rPr>
                <w:rFonts w:ascii="Arial" w:cs="Arial" w:eastAsia="Arial" w:hAnsi="Arial"/>
                <w:sz w:val="16"/>
                <w:szCs w:val="16"/>
                <w:color w:val="auto"/>
              </w:rPr>
              <w:t>Rest of world</w:t>
            </w: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52.8</w:t>
            </w:r>
          </w:p>
        </w:tc>
        <w:tc>
          <w:tcPr>
            <w:tcW w:w="2140" w:type="dxa"/>
            <w:vAlign w:val="bottom"/>
            <w:gridSpan w:val="2"/>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18"/>
        </w:trPr>
        <w:tc>
          <w:tcPr>
            <w:tcW w:w="4120" w:type="dxa"/>
            <w:vAlign w:val="bottom"/>
          </w:tcPr>
          <w:p>
            <w:pPr>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97.4</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102.6</w:t>
            </w:r>
          </w:p>
        </w:tc>
        <w:tc>
          <w:tcPr>
            <w:tcW w:w="2140" w:type="dxa"/>
            <w:vAlign w:val="bottom"/>
            <w:gridSpan w:val="2"/>
          </w:tcPr>
          <w:p>
            <w:pPr>
              <w:jc w:val="right"/>
              <w:spacing w:after="0"/>
              <w:rPr>
                <w:sz w:val="20"/>
                <w:szCs w:val="20"/>
                <w:color w:val="auto"/>
              </w:rPr>
            </w:pPr>
            <w:r>
              <w:rPr>
                <w:rFonts w:ascii="Arial" w:cs="Arial" w:eastAsia="Arial" w:hAnsi="Arial"/>
                <w:sz w:val="16"/>
                <w:szCs w:val="16"/>
                <w:b w:val="1"/>
                <w:bCs w:val="1"/>
                <w:color w:val="auto"/>
              </w:rPr>
              <w:t>(5.1%)</w:t>
            </w:r>
          </w:p>
        </w:tc>
        <w:tc>
          <w:tcPr>
            <w:tcW w:w="10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b w:val="1"/>
                <w:bCs w:val="1"/>
                <w:color w:val="auto"/>
              </w:rPr>
              <w:t>(6.7%)</w:t>
            </w:r>
          </w:p>
        </w:tc>
      </w:tr>
      <w:tr>
        <w:trPr>
          <w:trHeight w:val="331"/>
        </w:trPr>
        <w:tc>
          <w:tcPr>
            <w:tcW w:w="4120" w:type="dxa"/>
            <w:vAlign w:val="bottom"/>
          </w:tcPr>
          <w:p>
            <w:pPr>
              <w:spacing w:after="0"/>
              <w:rPr>
                <w:sz w:val="20"/>
                <w:szCs w:val="20"/>
                <w:color w:val="auto"/>
              </w:rPr>
            </w:pPr>
            <w:r>
              <w:rPr>
                <w:rFonts w:ascii="Arial" w:cs="Arial" w:eastAsia="Arial" w:hAnsi="Arial"/>
                <w:sz w:val="16"/>
                <w:szCs w:val="16"/>
                <w:b w:val="1"/>
                <w:bCs w:val="1"/>
                <w:color w:val="auto"/>
              </w:rPr>
              <w:t>Advanced Circulatory Support</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8"/>
        </w:trPr>
        <w:tc>
          <w:tcPr>
            <w:tcW w:w="4120" w:type="dxa"/>
            <w:vAlign w:val="bottom"/>
          </w:tcPr>
          <w:p>
            <w:pPr>
              <w:spacing w:after="0"/>
              <w:rPr>
                <w:sz w:val="20"/>
                <w:szCs w:val="20"/>
                <w:color w:val="auto"/>
              </w:rPr>
            </w:pPr>
            <w:r>
              <w:rPr>
                <w:rFonts w:ascii="Arial" w:cs="Arial" w:eastAsia="Arial" w:hAnsi="Arial"/>
                <w:sz w:val="16"/>
                <w:szCs w:val="16"/>
                <w:color w:val="auto"/>
              </w:rPr>
              <w:t>US</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140" w:type="dxa"/>
            <w:vAlign w:val="bottom"/>
            <w:gridSpan w:val="2"/>
          </w:tcPr>
          <w:p>
            <w:pPr>
              <w:ind w:left="1540"/>
              <w:spacing w:after="0"/>
              <w:rPr>
                <w:sz w:val="20"/>
                <w:szCs w:val="20"/>
                <w:color w:val="auto"/>
              </w:rPr>
            </w:pPr>
            <w:r>
              <w:rPr>
                <w:rFonts w:ascii="Arial" w:cs="Arial" w:eastAsia="Arial" w:hAnsi="Arial"/>
                <w:sz w:val="16"/>
                <w:szCs w:val="16"/>
                <w:color w:val="auto"/>
              </w:rPr>
              <w:t>N/A</w:t>
            </w:r>
          </w:p>
        </w:tc>
        <w:tc>
          <w:tcPr>
            <w:tcW w:w="2040" w:type="dxa"/>
            <w:vAlign w:val="bottom"/>
          </w:tcPr>
          <w:p>
            <w:pPr>
              <w:jc w:val="right"/>
              <w:ind w:right="161"/>
              <w:spacing w:after="0"/>
              <w:rPr>
                <w:sz w:val="20"/>
                <w:szCs w:val="20"/>
                <w:color w:val="auto"/>
              </w:rPr>
            </w:pPr>
            <w:r>
              <w:rPr>
                <w:rFonts w:ascii="Arial" w:cs="Arial" w:eastAsia="Arial" w:hAnsi="Arial"/>
                <w:sz w:val="16"/>
                <w:szCs w:val="16"/>
                <w:color w:val="auto"/>
              </w:rPr>
              <w:t>N/A</w:t>
            </w:r>
          </w:p>
        </w:tc>
      </w:tr>
      <w:tr>
        <w:trPr>
          <w:trHeight w:val="238"/>
        </w:trPr>
        <w:tc>
          <w:tcPr>
            <w:tcW w:w="4120" w:type="dxa"/>
            <w:vAlign w:val="bottom"/>
          </w:tcPr>
          <w:p>
            <w:pPr>
              <w:spacing w:after="0"/>
              <w:rPr>
                <w:sz w:val="20"/>
                <w:szCs w:val="20"/>
                <w:color w:val="auto"/>
              </w:rPr>
            </w:pPr>
            <w:r>
              <w:rPr>
                <w:rFonts w:ascii="Arial" w:cs="Arial" w:eastAsia="Arial" w:hAnsi="Arial"/>
                <w:sz w:val="16"/>
                <w:szCs w:val="16"/>
                <w:color w:val="auto"/>
              </w:rPr>
              <w:t>Europe</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140" w:type="dxa"/>
            <w:vAlign w:val="bottom"/>
            <w:gridSpan w:val="2"/>
          </w:tcPr>
          <w:p>
            <w:pPr>
              <w:ind w:left="1540"/>
              <w:spacing w:after="0"/>
              <w:rPr>
                <w:sz w:val="20"/>
                <w:szCs w:val="20"/>
                <w:color w:val="auto"/>
              </w:rPr>
            </w:pPr>
            <w:r>
              <w:rPr>
                <w:rFonts w:ascii="Arial" w:cs="Arial" w:eastAsia="Arial" w:hAnsi="Arial"/>
                <w:sz w:val="16"/>
                <w:szCs w:val="16"/>
                <w:color w:val="auto"/>
              </w:rPr>
              <w:t>N/A</w:t>
            </w:r>
          </w:p>
        </w:tc>
        <w:tc>
          <w:tcPr>
            <w:tcW w:w="2040" w:type="dxa"/>
            <w:vAlign w:val="bottom"/>
          </w:tcPr>
          <w:p>
            <w:pPr>
              <w:jc w:val="right"/>
              <w:ind w:right="161"/>
              <w:spacing w:after="0"/>
              <w:rPr>
                <w:sz w:val="20"/>
                <w:szCs w:val="20"/>
                <w:color w:val="auto"/>
              </w:rPr>
            </w:pPr>
            <w:r>
              <w:rPr>
                <w:rFonts w:ascii="Arial" w:cs="Arial" w:eastAsia="Arial" w:hAnsi="Arial"/>
                <w:sz w:val="16"/>
                <w:szCs w:val="16"/>
                <w:color w:val="auto"/>
              </w:rPr>
              <w:t>N/A</w:t>
            </w:r>
          </w:p>
        </w:tc>
      </w:tr>
      <w:tr>
        <w:trPr>
          <w:trHeight w:val="245"/>
        </w:trPr>
        <w:tc>
          <w:tcPr>
            <w:tcW w:w="4120" w:type="dxa"/>
            <w:vAlign w:val="bottom"/>
          </w:tcPr>
          <w:p>
            <w:pPr>
              <w:spacing w:after="0"/>
              <w:rPr>
                <w:sz w:val="20"/>
                <w:szCs w:val="20"/>
                <w:color w:val="auto"/>
              </w:rPr>
            </w:pPr>
            <w:r>
              <w:rPr>
                <w:rFonts w:ascii="Arial" w:cs="Arial" w:eastAsia="Arial" w:hAnsi="Arial"/>
                <w:sz w:val="16"/>
                <w:szCs w:val="16"/>
                <w:color w:val="auto"/>
              </w:rPr>
              <w:t>Rest of world</w:t>
            </w: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140" w:type="dxa"/>
            <w:vAlign w:val="bottom"/>
            <w:gridSpan w:val="2"/>
          </w:tcPr>
          <w:p>
            <w:pPr>
              <w:ind w:left="1540"/>
              <w:spacing w:after="0"/>
              <w:rPr>
                <w:sz w:val="20"/>
                <w:szCs w:val="20"/>
                <w:color w:val="auto"/>
              </w:rPr>
            </w:pPr>
            <w:r>
              <w:rPr>
                <w:rFonts w:ascii="Arial" w:cs="Arial" w:eastAsia="Arial" w:hAnsi="Arial"/>
                <w:sz w:val="16"/>
                <w:szCs w:val="16"/>
                <w:color w:val="auto"/>
              </w:rPr>
              <w:t>N/A</w:t>
            </w:r>
          </w:p>
        </w:tc>
        <w:tc>
          <w:tcPr>
            <w:tcW w:w="2040" w:type="dxa"/>
            <w:vAlign w:val="bottom"/>
          </w:tcPr>
          <w:p>
            <w:pPr>
              <w:jc w:val="right"/>
              <w:ind w:right="161"/>
              <w:spacing w:after="0"/>
              <w:rPr>
                <w:sz w:val="20"/>
                <w:szCs w:val="20"/>
                <w:color w:val="auto"/>
              </w:rPr>
            </w:pPr>
            <w:r>
              <w:rPr>
                <w:rFonts w:ascii="Arial" w:cs="Arial" w:eastAsia="Arial" w:hAnsi="Arial"/>
                <w:sz w:val="16"/>
                <w:szCs w:val="16"/>
                <w:color w:val="auto"/>
              </w:rPr>
              <w:t>N/A</w:t>
            </w: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140" w:type="dxa"/>
            <w:vAlign w:val="bottom"/>
            <w:gridSpan w:val="2"/>
          </w:tcPr>
          <w:p>
            <w:pPr>
              <w:ind w:left="1540"/>
              <w:spacing w:after="0"/>
              <w:rPr>
                <w:sz w:val="20"/>
                <w:szCs w:val="20"/>
                <w:color w:val="auto"/>
              </w:rPr>
            </w:pPr>
            <w:r>
              <w:rPr>
                <w:rFonts w:ascii="Arial" w:cs="Arial" w:eastAsia="Arial" w:hAnsi="Arial"/>
                <w:sz w:val="16"/>
                <w:szCs w:val="16"/>
                <w:color w:val="auto"/>
              </w:rPr>
              <w:t>N/A</w:t>
            </w:r>
          </w:p>
        </w:tc>
        <w:tc>
          <w:tcPr>
            <w:tcW w:w="2040" w:type="dxa"/>
            <w:vAlign w:val="bottom"/>
          </w:tcPr>
          <w:p>
            <w:pPr>
              <w:jc w:val="right"/>
              <w:ind w:right="161"/>
              <w:spacing w:after="0"/>
              <w:rPr>
                <w:sz w:val="20"/>
                <w:szCs w:val="20"/>
                <w:color w:val="auto"/>
              </w:rPr>
            </w:pPr>
            <w:r>
              <w:rPr>
                <w:rFonts w:ascii="Arial" w:cs="Arial" w:eastAsia="Arial" w:hAnsi="Arial"/>
                <w:sz w:val="16"/>
                <w:szCs w:val="16"/>
                <w:color w:val="auto"/>
              </w:rPr>
              <w:t>N/A</w:t>
            </w:r>
          </w:p>
        </w:tc>
      </w:tr>
      <w:tr>
        <w:trPr>
          <w:trHeight w:val="331"/>
        </w:trPr>
        <w:tc>
          <w:tcPr>
            <w:tcW w:w="4120" w:type="dxa"/>
            <w:vAlign w:val="bottom"/>
          </w:tcPr>
          <w:p>
            <w:pPr>
              <w:spacing w:after="0"/>
              <w:rPr>
                <w:sz w:val="20"/>
                <w:szCs w:val="20"/>
                <w:color w:val="auto"/>
              </w:rPr>
            </w:pPr>
            <w:r>
              <w:rPr>
                <w:rFonts w:ascii="Arial" w:cs="Arial" w:eastAsia="Arial" w:hAnsi="Arial"/>
                <w:sz w:val="16"/>
                <w:szCs w:val="16"/>
                <w:b w:val="1"/>
                <w:bCs w:val="1"/>
                <w:color w:val="auto"/>
              </w:rPr>
              <w:t>Cardiovascular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8"/>
        </w:trPr>
        <w:tc>
          <w:tcPr>
            <w:tcW w:w="4120" w:type="dxa"/>
            <w:vAlign w:val="bottom"/>
          </w:tcPr>
          <w:p>
            <w:pPr>
              <w:spacing w:after="0"/>
              <w:rPr>
                <w:sz w:val="20"/>
                <w:szCs w:val="20"/>
                <w:color w:val="auto"/>
              </w:rPr>
            </w:pPr>
            <w:r>
              <w:rPr>
                <w:rFonts w:ascii="Arial" w:cs="Arial" w:eastAsia="Arial" w:hAnsi="Arial"/>
                <w:sz w:val="16"/>
                <w:szCs w:val="16"/>
                <w:color w:val="auto"/>
              </w:rPr>
              <w:t>US</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151.2</w:t>
            </w:r>
          </w:p>
        </w:tc>
        <w:tc>
          <w:tcPr>
            <w:tcW w:w="10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129.2</w:t>
            </w:r>
          </w:p>
        </w:tc>
        <w:tc>
          <w:tcPr>
            <w:tcW w:w="2140" w:type="dxa"/>
            <w:vAlign w:val="bottom"/>
            <w:gridSpan w:val="2"/>
          </w:tcPr>
          <w:p>
            <w:pPr>
              <w:jc w:val="right"/>
              <w:ind w:right="21"/>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20"/>
                <w:szCs w:val="20"/>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color w:val="auto"/>
              </w:rPr>
              <w:t>17.1%</w:t>
            </w:r>
          </w:p>
        </w:tc>
      </w:tr>
      <w:tr>
        <w:trPr>
          <w:trHeight w:val="238"/>
        </w:trPr>
        <w:tc>
          <w:tcPr>
            <w:tcW w:w="4120" w:type="dxa"/>
            <w:vAlign w:val="bottom"/>
          </w:tcPr>
          <w:p>
            <w:pPr>
              <w:spacing w:after="0"/>
              <w:rPr>
                <w:sz w:val="20"/>
                <w:szCs w:val="20"/>
                <w:color w:val="auto"/>
              </w:rPr>
            </w:pPr>
            <w:r>
              <w:rPr>
                <w:rFonts w:ascii="Arial" w:cs="Arial" w:eastAsia="Arial" w:hAnsi="Arial"/>
                <w:sz w:val="16"/>
                <w:szCs w:val="16"/>
                <w:color w:val="auto"/>
              </w:rPr>
              <w:t>Europe</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138.8</w:t>
            </w:r>
          </w:p>
        </w:tc>
        <w:tc>
          <w:tcPr>
            <w:tcW w:w="10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126.0</w:t>
            </w:r>
          </w:p>
        </w:tc>
        <w:tc>
          <w:tcPr>
            <w:tcW w:w="2140" w:type="dxa"/>
            <w:vAlign w:val="bottom"/>
            <w:gridSpan w:val="2"/>
          </w:tcPr>
          <w:p>
            <w:pPr>
              <w:jc w:val="right"/>
              <w:ind w:right="21"/>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color w:val="auto"/>
              </w:rPr>
              <w:t>2.9%</w:t>
            </w:r>
          </w:p>
        </w:tc>
      </w:tr>
      <w:tr>
        <w:trPr>
          <w:trHeight w:val="243"/>
        </w:trPr>
        <w:tc>
          <w:tcPr>
            <w:tcW w:w="4120" w:type="dxa"/>
            <w:vAlign w:val="bottom"/>
          </w:tcPr>
          <w:p>
            <w:pPr>
              <w:spacing w:after="0"/>
              <w:rPr>
                <w:sz w:val="20"/>
                <w:szCs w:val="20"/>
                <w:color w:val="auto"/>
              </w:rPr>
            </w:pPr>
            <w:r>
              <w:rPr>
                <w:rFonts w:ascii="Arial" w:cs="Arial" w:eastAsia="Arial" w:hAnsi="Arial"/>
                <w:sz w:val="16"/>
                <w:szCs w:val="16"/>
                <w:color w:val="auto"/>
              </w:rPr>
              <w:t>Rest of world</w:t>
            </w: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209.2</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202.4</w:t>
            </w:r>
          </w:p>
        </w:tc>
        <w:tc>
          <w:tcPr>
            <w:tcW w:w="2140" w:type="dxa"/>
            <w:vAlign w:val="bottom"/>
            <w:gridSpan w:val="2"/>
          </w:tcPr>
          <w:p>
            <w:pPr>
              <w:jc w:val="right"/>
              <w:ind w:right="21"/>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1"/>
                <w:szCs w:val="21"/>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color w:val="auto"/>
              </w:rPr>
              <w:t>2.7%</w:t>
            </w:r>
          </w:p>
        </w:tc>
      </w:tr>
      <w:tr>
        <w:trPr>
          <w:trHeight w:val="218"/>
        </w:trPr>
        <w:tc>
          <w:tcPr>
            <w:tcW w:w="4120" w:type="dxa"/>
            <w:vAlign w:val="bottom"/>
          </w:tcPr>
          <w:p>
            <w:pPr>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499.2</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457.6</w:t>
            </w:r>
          </w:p>
        </w:tc>
        <w:tc>
          <w:tcPr>
            <w:tcW w:w="214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9.1%</w:t>
            </w:r>
          </w:p>
        </w:tc>
        <w:tc>
          <w:tcPr>
            <w:tcW w:w="100" w:type="dxa"/>
            <w:vAlign w:val="bottom"/>
          </w:tcPr>
          <w:p>
            <w:pPr>
              <w:spacing w:after="0"/>
              <w:rPr>
                <w:sz w:val="18"/>
                <w:szCs w:val="18"/>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b w:val="1"/>
                <w:bCs w:val="1"/>
                <w:color w:val="auto"/>
              </w:rPr>
              <w:t>6.8%</w:t>
            </w:r>
          </w:p>
        </w:tc>
      </w:tr>
      <w:tr>
        <w:trPr>
          <w:trHeight w:val="331"/>
        </w:trPr>
        <w:tc>
          <w:tcPr>
            <w:tcW w:w="4120" w:type="dxa"/>
            <w:vAlign w:val="bottom"/>
          </w:tcPr>
          <w:p>
            <w:pPr>
              <w:spacing w:after="0"/>
              <w:rPr>
                <w:sz w:val="20"/>
                <w:szCs w:val="20"/>
                <w:color w:val="auto"/>
              </w:rPr>
            </w:pPr>
            <w:r>
              <w:rPr>
                <w:rFonts w:ascii="Arial" w:cs="Arial" w:eastAsia="Arial" w:hAnsi="Arial"/>
                <w:sz w:val="16"/>
                <w:szCs w:val="16"/>
                <w:b w:val="1"/>
                <w:bCs w:val="1"/>
                <w:color w:val="auto"/>
              </w:rPr>
              <w:t>Neuromodulation</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8"/>
        </w:trPr>
        <w:tc>
          <w:tcPr>
            <w:tcW w:w="4120" w:type="dxa"/>
            <w:vAlign w:val="bottom"/>
          </w:tcPr>
          <w:p>
            <w:pPr>
              <w:spacing w:after="0"/>
              <w:rPr>
                <w:sz w:val="20"/>
                <w:szCs w:val="20"/>
                <w:color w:val="auto"/>
              </w:rPr>
            </w:pPr>
            <w:r>
              <w:rPr>
                <w:rFonts w:ascii="Arial" w:cs="Arial" w:eastAsia="Arial" w:hAnsi="Arial"/>
                <w:sz w:val="16"/>
                <w:szCs w:val="16"/>
                <w:color w:val="auto"/>
              </w:rPr>
              <w:t>US</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254.6</w:t>
            </w:r>
          </w:p>
        </w:tc>
        <w:tc>
          <w:tcPr>
            <w:tcW w:w="10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231.4</w:t>
            </w:r>
          </w:p>
        </w:tc>
        <w:tc>
          <w:tcPr>
            <w:tcW w:w="2140" w:type="dxa"/>
            <w:vAlign w:val="bottom"/>
            <w:gridSpan w:val="2"/>
          </w:tcPr>
          <w:p>
            <w:pPr>
              <w:jc w:val="right"/>
              <w:ind w:right="21"/>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color w:val="auto"/>
              </w:rPr>
              <w:t>10.0%</w:t>
            </w:r>
          </w:p>
        </w:tc>
      </w:tr>
      <w:tr>
        <w:trPr>
          <w:trHeight w:val="238"/>
        </w:trPr>
        <w:tc>
          <w:tcPr>
            <w:tcW w:w="4120" w:type="dxa"/>
            <w:vAlign w:val="bottom"/>
          </w:tcPr>
          <w:p>
            <w:pPr>
              <w:spacing w:after="0"/>
              <w:rPr>
                <w:sz w:val="20"/>
                <w:szCs w:val="20"/>
                <w:color w:val="auto"/>
              </w:rPr>
            </w:pPr>
            <w:r>
              <w:rPr>
                <w:rFonts w:ascii="Arial" w:cs="Arial" w:eastAsia="Arial" w:hAnsi="Arial"/>
                <w:sz w:val="16"/>
                <w:szCs w:val="16"/>
                <w:color w:val="auto"/>
              </w:rPr>
              <w:t>Europe</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25.5</w:t>
            </w:r>
          </w:p>
        </w:tc>
        <w:tc>
          <w:tcPr>
            <w:tcW w:w="2140" w:type="dxa"/>
            <w:vAlign w:val="bottom"/>
            <w:gridSpan w:val="2"/>
          </w:tcPr>
          <w:p>
            <w:pPr>
              <w:jc w:val="right"/>
              <w:ind w:right="21"/>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20"/>
                <w:szCs w:val="20"/>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color w:val="auto"/>
              </w:rPr>
              <w:t>17.3%</w:t>
            </w:r>
          </w:p>
        </w:tc>
      </w:tr>
      <w:tr>
        <w:trPr>
          <w:trHeight w:val="243"/>
        </w:trPr>
        <w:tc>
          <w:tcPr>
            <w:tcW w:w="4120" w:type="dxa"/>
            <w:vAlign w:val="bottom"/>
          </w:tcPr>
          <w:p>
            <w:pPr>
              <w:spacing w:after="0"/>
              <w:rPr>
                <w:sz w:val="20"/>
                <w:szCs w:val="20"/>
                <w:color w:val="auto"/>
              </w:rPr>
            </w:pPr>
            <w:r>
              <w:rPr>
                <w:rFonts w:ascii="Arial" w:cs="Arial" w:eastAsia="Arial" w:hAnsi="Arial"/>
                <w:sz w:val="16"/>
                <w:szCs w:val="16"/>
                <w:color w:val="auto"/>
              </w:rPr>
              <w:t>Rest of world</w:t>
            </w: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18.3</w:t>
            </w:r>
          </w:p>
        </w:tc>
        <w:tc>
          <w:tcPr>
            <w:tcW w:w="2140" w:type="dxa"/>
            <w:vAlign w:val="bottom"/>
            <w:gridSpan w:val="2"/>
          </w:tcPr>
          <w:p>
            <w:pPr>
              <w:jc w:val="right"/>
              <w:ind w:right="21"/>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21"/>
                <w:szCs w:val="21"/>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color w:val="auto"/>
              </w:rPr>
              <w:t>26.9%</w:t>
            </w:r>
          </w:p>
        </w:tc>
      </w:tr>
      <w:tr>
        <w:trPr>
          <w:trHeight w:val="218"/>
        </w:trPr>
        <w:tc>
          <w:tcPr>
            <w:tcW w:w="4120" w:type="dxa"/>
            <w:vAlign w:val="bottom"/>
          </w:tcPr>
          <w:p>
            <w:pPr>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309.4</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275.2</w:t>
            </w:r>
          </w:p>
        </w:tc>
        <w:tc>
          <w:tcPr>
            <w:tcW w:w="214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12.4%</w:t>
            </w:r>
          </w:p>
        </w:tc>
        <w:tc>
          <w:tcPr>
            <w:tcW w:w="100" w:type="dxa"/>
            <w:vAlign w:val="bottom"/>
          </w:tcPr>
          <w:p>
            <w:pPr>
              <w:spacing w:after="0"/>
              <w:rPr>
                <w:sz w:val="18"/>
                <w:szCs w:val="18"/>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b w:val="1"/>
                <w:bCs w:val="1"/>
                <w:color w:val="auto"/>
              </w:rPr>
              <w:t>11.8%</w:t>
            </w:r>
          </w:p>
        </w:tc>
      </w:tr>
      <w:tr>
        <w:trPr>
          <w:trHeight w:val="331"/>
        </w:trPr>
        <w:tc>
          <w:tcPr>
            <w:tcW w:w="4120" w:type="dxa"/>
            <w:vAlign w:val="bottom"/>
          </w:tcPr>
          <w:p>
            <w:pPr>
              <w:spacing w:after="0"/>
              <w:rPr>
                <w:sz w:val="20"/>
                <w:szCs w:val="20"/>
                <w:color w:val="auto"/>
              </w:rPr>
            </w:pPr>
            <w:r>
              <w:rPr>
                <w:rFonts w:ascii="Arial" w:cs="Arial" w:eastAsia="Arial" w:hAnsi="Arial"/>
                <w:sz w:val="16"/>
                <w:szCs w:val="16"/>
                <w:b w:val="1"/>
                <w:bCs w:val="1"/>
                <w:color w:val="auto"/>
              </w:rPr>
              <w:t>Other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8"/>
        </w:trPr>
        <w:tc>
          <w:tcPr>
            <w:tcW w:w="4120" w:type="dxa"/>
            <w:vAlign w:val="bottom"/>
          </w:tcPr>
          <w:p>
            <w:pPr>
              <w:spacing w:after="0"/>
              <w:rPr>
                <w:sz w:val="20"/>
                <w:szCs w:val="20"/>
                <w:color w:val="auto"/>
              </w:rPr>
            </w:pPr>
            <w:r>
              <w:rPr>
                <w:rFonts w:ascii="Arial" w:cs="Arial" w:eastAsia="Arial" w:hAnsi="Arial"/>
                <w:sz w:val="16"/>
                <w:szCs w:val="16"/>
                <w:color w:val="auto"/>
              </w:rPr>
              <w:t>US</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140" w:type="dxa"/>
            <w:vAlign w:val="bottom"/>
            <w:gridSpan w:val="2"/>
          </w:tcPr>
          <w:p>
            <w:pPr>
              <w:ind w:left="1540"/>
              <w:spacing w:after="0"/>
              <w:rPr>
                <w:sz w:val="20"/>
                <w:szCs w:val="20"/>
                <w:color w:val="auto"/>
              </w:rPr>
            </w:pPr>
            <w:r>
              <w:rPr>
                <w:rFonts w:ascii="Arial" w:cs="Arial" w:eastAsia="Arial" w:hAnsi="Arial"/>
                <w:sz w:val="16"/>
                <w:szCs w:val="16"/>
                <w:color w:val="auto"/>
              </w:rPr>
              <w:t>N/A</w:t>
            </w:r>
          </w:p>
        </w:tc>
        <w:tc>
          <w:tcPr>
            <w:tcW w:w="2040" w:type="dxa"/>
            <w:vAlign w:val="bottom"/>
          </w:tcPr>
          <w:p>
            <w:pPr>
              <w:jc w:val="right"/>
              <w:ind w:right="161"/>
              <w:spacing w:after="0"/>
              <w:rPr>
                <w:sz w:val="20"/>
                <w:szCs w:val="20"/>
                <w:color w:val="auto"/>
              </w:rPr>
            </w:pPr>
            <w:r>
              <w:rPr>
                <w:rFonts w:ascii="Arial" w:cs="Arial" w:eastAsia="Arial" w:hAnsi="Arial"/>
                <w:sz w:val="16"/>
                <w:szCs w:val="16"/>
                <w:color w:val="auto"/>
              </w:rPr>
              <w:t>N/A</w:t>
            </w:r>
          </w:p>
        </w:tc>
      </w:tr>
      <w:tr>
        <w:trPr>
          <w:trHeight w:val="238"/>
        </w:trPr>
        <w:tc>
          <w:tcPr>
            <w:tcW w:w="4120" w:type="dxa"/>
            <w:vAlign w:val="bottom"/>
          </w:tcPr>
          <w:p>
            <w:pPr>
              <w:spacing w:after="0"/>
              <w:rPr>
                <w:sz w:val="20"/>
                <w:szCs w:val="20"/>
                <w:color w:val="auto"/>
              </w:rPr>
            </w:pPr>
            <w:r>
              <w:rPr>
                <w:rFonts w:ascii="Arial" w:cs="Arial" w:eastAsia="Arial" w:hAnsi="Arial"/>
                <w:sz w:val="16"/>
                <w:szCs w:val="16"/>
                <w:color w:val="auto"/>
              </w:rPr>
              <w:t>Europe</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140" w:type="dxa"/>
            <w:vAlign w:val="bottom"/>
            <w:gridSpan w:val="2"/>
          </w:tcPr>
          <w:p>
            <w:pPr>
              <w:ind w:left="1540"/>
              <w:spacing w:after="0"/>
              <w:rPr>
                <w:sz w:val="20"/>
                <w:szCs w:val="20"/>
                <w:color w:val="auto"/>
              </w:rPr>
            </w:pPr>
            <w:r>
              <w:rPr>
                <w:rFonts w:ascii="Arial" w:cs="Arial" w:eastAsia="Arial" w:hAnsi="Arial"/>
                <w:sz w:val="16"/>
                <w:szCs w:val="16"/>
                <w:color w:val="auto"/>
              </w:rPr>
              <w:t>N/A</w:t>
            </w:r>
          </w:p>
        </w:tc>
        <w:tc>
          <w:tcPr>
            <w:tcW w:w="2040" w:type="dxa"/>
            <w:vAlign w:val="bottom"/>
          </w:tcPr>
          <w:p>
            <w:pPr>
              <w:jc w:val="right"/>
              <w:ind w:right="161"/>
              <w:spacing w:after="0"/>
              <w:rPr>
                <w:sz w:val="20"/>
                <w:szCs w:val="20"/>
                <w:color w:val="auto"/>
              </w:rPr>
            </w:pPr>
            <w:r>
              <w:rPr>
                <w:rFonts w:ascii="Arial" w:cs="Arial" w:eastAsia="Arial" w:hAnsi="Arial"/>
                <w:sz w:val="16"/>
                <w:szCs w:val="16"/>
                <w:color w:val="auto"/>
              </w:rPr>
              <w:t>N/A</w:t>
            </w:r>
          </w:p>
        </w:tc>
      </w:tr>
      <w:tr>
        <w:trPr>
          <w:trHeight w:val="245"/>
        </w:trPr>
        <w:tc>
          <w:tcPr>
            <w:tcW w:w="4120" w:type="dxa"/>
            <w:vAlign w:val="bottom"/>
          </w:tcPr>
          <w:p>
            <w:pPr>
              <w:spacing w:after="0"/>
              <w:rPr>
                <w:sz w:val="20"/>
                <w:szCs w:val="20"/>
                <w:color w:val="auto"/>
              </w:rPr>
            </w:pPr>
            <w:r>
              <w:rPr>
                <w:rFonts w:ascii="Arial" w:cs="Arial" w:eastAsia="Arial" w:hAnsi="Arial"/>
                <w:sz w:val="16"/>
                <w:szCs w:val="16"/>
                <w:color w:val="auto"/>
              </w:rPr>
              <w:t>Rest of world</w:t>
            </w: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2140" w:type="dxa"/>
            <w:vAlign w:val="bottom"/>
            <w:gridSpan w:val="2"/>
          </w:tcPr>
          <w:p>
            <w:pPr>
              <w:ind w:left="1540"/>
              <w:spacing w:after="0"/>
              <w:rPr>
                <w:sz w:val="20"/>
                <w:szCs w:val="20"/>
                <w:color w:val="auto"/>
              </w:rPr>
            </w:pPr>
            <w:r>
              <w:rPr>
                <w:rFonts w:ascii="Arial" w:cs="Arial" w:eastAsia="Arial" w:hAnsi="Arial"/>
                <w:sz w:val="16"/>
                <w:szCs w:val="16"/>
                <w:color w:val="auto"/>
              </w:rPr>
              <w:t>N/A</w:t>
            </w:r>
          </w:p>
        </w:tc>
        <w:tc>
          <w:tcPr>
            <w:tcW w:w="2040" w:type="dxa"/>
            <w:vAlign w:val="bottom"/>
          </w:tcPr>
          <w:p>
            <w:pPr>
              <w:jc w:val="right"/>
              <w:ind w:right="161"/>
              <w:spacing w:after="0"/>
              <w:rPr>
                <w:sz w:val="20"/>
                <w:szCs w:val="20"/>
                <w:color w:val="auto"/>
              </w:rPr>
            </w:pPr>
            <w:r>
              <w:rPr>
                <w:rFonts w:ascii="Arial" w:cs="Arial" w:eastAsia="Arial" w:hAnsi="Arial"/>
                <w:sz w:val="16"/>
                <w:szCs w:val="16"/>
                <w:color w:val="auto"/>
              </w:rPr>
              <w:t>N/A</w:t>
            </w: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140" w:type="dxa"/>
            <w:vAlign w:val="bottom"/>
            <w:gridSpan w:val="2"/>
          </w:tcPr>
          <w:p>
            <w:pPr>
              <w:ind w:left="1540"/>
              <w:spacing w:after="0"/>
              <w:rPr>
                <w:sz w:val="20"/>
                <w:szCs w:val="20"/>
                <w:color w:val="auto"/>
              </w:rPr>
            </w:pPr>
            <w:r>
              <w:rPr>
                <w:rFonts w:ascii="Arial" w:cs="Arial" w:eastAsia="Arial" w:hAnsi="Arial"/>
                <w:sz w:val="16"/>
                <w:szCs w:val="16"/>
                <w:color w:val="auto"/>
              </w:rPr>
              <w:t>N/A</w:t>
            </w:r>
          </w:p>
        </w:tc>
        <w:tc>
          <w:tcPr>
            <w:tcW w:w="2040" w:type="dxa"/>
            <w:vAlign w:val="bottom"/>
          </w:tcPr>
          <w:p>
            <w:pPr>
              <w:jc w:val="right"/>
              <w:ind w:right="161"/>
              <w:spacing w:after="0"/>
              <w:rPr>
                <w:sz w:val="20"/>
                <w:szCs w:val="20"/>
                <w:color w:val="auto"/>
              </w:rPr>
            </w:pPr>
            <w:r>
              <w:rPr>
                <w:rFonts w:ascii="Arial" w:cs="Arial" w:eastAsia="Arial" w:hAnsi="Arial"/>
                <w:sz w:val="16"/>
                <w:szCs w:val="16"/>
                <w:color w:val="auto"/>
              </w:rPr>
              <w:t>N/A</w:t>
            </w:r>
          </w:p>
        </w:tc>
      </w:tr>
      <w:tr>
        <w:trPr>
          <w:trHeight w:val="331"/>
        </w:trPr>
        <w:tc>
          <w:tcPr>
            <w:tcW w:w="4120" w:type="dxa"/>
            <w:vAlign w:val="bottom"/>
          </w:tcPr>
          <w:p>
            <w:pPr>
              <w:spacing w:after="0"/>
              <w:rPr>
                <w:sz w:val="20"/>
                <w:szCs w:val="20"/>
                <w:color w:val="auto"/>
              </w:rPr>
            </w:pPr>
            <w:r>
              <w:rPr>
                <w:rFonts w:ascii="Arial" w:cs="Arial" w:eastAsia="Arial" w:hAnsi="Arial"/>
                <w:sz w:val="16"/>
                <w:szCs w:val="16"/>
                <w:b w:val="1"/>
                <w:bCs w:val="1"/>
                <w:color w:val="auto"/>
              </w:rPr>
              <w:t>Totals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8"/>
        </w:trPr>
        <w:tc>
          <w:tcPr>
            <w:tcW w:w="4120" w:type="dxa"/>
            <w:vAlign w:val="bottom"/>
          </w:tcPr>
          <w:p>
            <w:pPr>
              <w:spacing w:after="0"/>
              <w:rPr>
                <w:sz w:val="20"/>
                <w:szCs w:val="20"/>
                <w:color w:val="auto"/>
              </w:rPr>
            </w:pPr>
            <w:r>
              <w:rPr>
                <w:rFonts w:ascii="Arial" w:cs="Arial" w:eastAsia="Arial" w:hAnsi="Arial"/>
                <w:sz w:val="16"/>
                <w:szCs w:val="16"/>
                <w:color w:val="auto"/>
              </w:rPr>
              <w:t>US</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405.8</w:t>
            </w:r>
          </w:p>
        </w:tc>
        <w:tc>
          <w:tcPr>
            <w:tcW w:w="10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360.5</w:t>
            </w:r>
          </w:p>
        </w:tc>
        <w:tc>
          <w:tcPr>
            <w:tcW w:w="2140" w:type="dxa"/>
            <w:vAlign w:val="bottom"/>
            <w:gridSpan w:val="2"/>
          </w:tcPr>
          <w:p>
            <w:pPr>
              <w:jc w:val="right"/>
              <w:ind w:right="21"/>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0"/>
                <w:szCs w:val="20"/>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color w:val="auto"/>
              </w:rPr>
              <w:t>12.6%</w:t>
            </w:r>
          </w:p>
        </w:tc>
      </w:tr>
      <w:tr>
        <w:trPr>
          <w:trHeight w:val="238"/>
        </w:trPr>
        <w:tc>
          <w:tcPr>
            <w:tcW w:w="4120" w:type="dxa"/>
            <w:vAlign w:val="bottom"/>
          </w:tcPr>
          <w:p>
            <w:pPr>
              <w:spacing w:after="0"/>
              <w:rPr>
                <w:sz w:val="20"/>
                <w:szCs w:val="20"/>
                <w:color w:val="auto"/>
              </w:rPr>
            </w:pPr>
            <w:r>
              <w:rPr>
                <w:rFonts w:ascii="Arial" w:cs="Arial" w:eastAsia="Arial" w:hAnsi="Arial"/>
                <w:sz w:val="16"/>
                <w:szCs w:val="16"/>
                <w:color w:val="auto"/>
              </w:rPr>
              <w:t>Europe</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170.5</w:t>
            </w:r>
          </w:p>
        </w:tc>
        <w:tc>
          <w:tcPr>
            <w:tcW w:w="10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151.5</w:t>
            </w:r>
          </w:p>
        </w:tc>
        <w:tc>
          <w:tcPr>
            <w:tcW w:w="2140" w:type="dxa"/>
            <w:vAlign w:val="bottom"/>
            <w:gridSpan w:val="2"/>
          </w:tcPr>
          <w:p>
            <w:pPr>
              <w:jc w:val="right"/>
              <w:ind w:right="21"/>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0"/>
                <w:szCs w:val="20"/>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color w:val="auto"/>
              </w:rPr>
              <w:t>5.3%</w:t>
            </w:r>
          </w:p>
        </w:tc>
      </w:tr>
      <w:tr>
        <w:trPr>
          <w:trHeight w:val="245"/>
        </w:trPr>
        <w:tc>
          <w:tcPr>
            <w:tcW w:w="4120" w:type="dxa"/>
            <w:vAlign w:val="bottom"/>
          </w:tcPr>
          <w:p>
            <w:pPr>
              <w:spacing w:after="0"/>
              <w:rPr>
                <w:sz w:val="20"/>
                <w:szCs w:val="20"/>
                <w:color w:val="auto"/>
              </w:rPr>
            </w:pPr>
            <w:r>
              <w:rPr>
                <w:rFonts w:ascii="Arial" w:cs="Arial" w:eastAsia="Arial" w:hAnsi="Arial"/>
                <w:sz w:val="16"/>
                <w:szCs w:val="16"/>
                <w:color w:val="auto"/>
              </w:rPr>
              <w:t>Rest of world</w:t>
            </w: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233.7</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221.9</w:t>
            </w:r>
          </w:p>
        </w:tc>
        <w:tc>
          <w:tcPr>
            <w:tcW w:w="2140" w:type="dxa"/>
            <w:vAlign w:val="bottom"/>
            <w:gridSpan w:val="2"/>
          </w:tcPr>
          <w:p>
            <w:pPr>
              <w:jc w:val="right"/>
              <w:ind w:right="21"/>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1"/>
                <w:szCs w:val="21"/>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color w:val="auto"/>
              </w:rPr>
              <w:t>4.8%</w:t>
            </w:r>
          </w:p>
        </w:tc>
      </w:tr>
      <w:tr>
        <w:trPr>
          <w:trHeight w:val="236"/>
        </w:trPr>
        <w:tc>
          <w:tcPr>
            <w:tcW w:w="4120" w:type="dxa"/>
            <w:vAlign w:val="bottom"/>
          </w:tcPr>
          <w:p>
            <w:pPr>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$810.0</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$733.9</w:t>
            </w:r>
          </w:p>
        </w:tc>
        <w:tc>
          <w:tcPr>
            <w:tcW w:w="214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10.4%</w:t>
            </w:r>
          </w:p>
        </w:tc>
        <w:tc>
          <w:tcPr>
            <w:tcW w:w="100" w:type="dxa"/>
            <w:vAlign w:val="bottom"/>
          </w:tcPr>
          <w:p>
            <w:pPr>
              <w:spacing w:after="0"/>
              <w:rPr>
                <w:sz w:val="20"/>
                <w:szCs w:val="20"/>
                <w:color w:val="auto"/>
              </w:rPr>
            </w:pPr>
          </w:p>
        </w:tc>
        <w:tc>
          <w:tcPr>
            <w:tcW w:w="2040" w:type="dxa"/>
            <w:vAlign w:val="bottom"/>
          </w:tcPr>
          <w:p>
            <w:pPr>
              <w:jc w:val="right"/>
              <w:ind w:right="21"/>
              <w:spacing w:after="0"/>
              <w:rPr>
                <w:sz w:val="20"/>
                <w:szCs w:val="20"/>
                <w:color w:val="auto"/>
              </w:rPr>
            </w:pPr>
            <w:r>
              <w:rPr>
                <w:rFonts w:ascii="Arial" w:cs="Arial" w:eastAsia="Arial" w:hAnsi="Arial"/>
                <w:sz w:val="16"/>
                <w:szCs w:val="16"/>
                <w:b w:val="1"/>
                <w:bCs w:val="1"/>
                <w:color w:val="auto"/>
              </w:rPr>
              <w:t>8.7%</w:t>
            </w:r>
          </w:p>
        </w:tc>
      </w:tr>
      <w:tr>
        <w:trPr>
          <w:trHeight w:val="20"/>
        </w:trPr>
        <w:tc>
          <w:tcPr>
            <w:tcW w:w="4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135" w:lineRule="exact"/>
        <w:rPr>
          <w:sz w:val="20"/>
          <w:szCs w:val="20"/>
          <w:color w:val="auto"/>
        </w:rPr>
      </w:pPr>
    </w:p>
    <w:p>
      <w:pPr>
        <w:ind w:left="1"/>
        <w:spacing w:after="0"/>
        <w:rPr>
          <w:sz w:val="20"/>
          <w:szCs w:val="20"/>
          <w:color w:val="auto"/>
        </w:rPr>
      </w:pPr>
      <w:r>
        <w:rPr>
          <w:rFonts w:ascii="Arial" w:cs="Arial" w:eastAsia="Arial" w:hAnsi="Arial"/>
          <w:sz w:val="13"/>
          <w:szCs w:val="13"/>
          <w:color w:val="auto"/>
        </w:rPr>
        <w:t>* The sales results presented are unaudited. Numbers may not add up precisely due to rounding.</w:t>
      </w:r>
    </w:p>
    <w:p>
      <w:pPr>
        <w:spacing w:after="0" w:line="41" w:lineRule="exact"/>
        <w:rPr>
          <w:sz w:val="20"/>
          <w:szCs w:val="20"/>
          <w:color w:val="auto"/>
        </w:rPr>
      </w:pPr>
    </w:p>
    <w:p>
      <w:pPr>
        <w:ind w:left="1" w:right="40" w:hanging="1"/>
        <w:spacing w:after="0" w:line="237" w:lineRule="auto"/>
        <w:tabs>
          <w:tab w:leader="none" w:pos="20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Constant currency growth, a non-GAAP financial measure, measures the change in sales between current and prior-year periods using average exchange rates in effect during the applicable prior-year period.</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421"/>
          </w:cols>
          <w:pgMar w:left="259" w:top="701" w:right="21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LIVANOVA PLC AND SUBSIDIARIES</w:t>
      </w:r>
    </w:p>
    <w:p>
      <w:pPr>
        <w:spacing w:after="0" w:line="42" w:lineRule="exact"/>
        <w:rPr>
          <w:sz w:val="20"/>
          <w:szCs w:val="20"/>
          <w:color w:val="auto"/>
        </w:rPr>
      </w:pPr>
    </w:p>
    <w:p>
      <w:pPr>
        <w:ind w:right="5460"/>
        <w:spacing w:after="0" w:line="336" w:lineRule="auto"/>
        <w:rPr>
          <w:sz w:val="20"/>
          <w:szCs w:val="20"/>
          <w:color w:val="auto"/>
        </w:rPr>
      </w:pPr>
      <w:r>
        <w:rPr>
          <w:rFonts w:ascii="Arial" w:cs="Arial" w:eastAsia="Arial" w:hAnsi="Arial"/>
          <w:sz w:val="17"/>
          <w:szCs w:val="17"/>
          <w:b w:val="1"/>
          <w:bCs w:val="1"/>
          <w:color w:val="auto"/>
        </w:rPr>
        <w:t>CONDENSED CONSOLIDATED STATEMENTS OF INCOME - UNAUDITED (U.S. dollars in millions,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680" w:type="dxa"/>
            <w:vAlign w:val="bottom"/>
          </w:tcPr>
          <w:p>
            <w:pPr>
              <w:spacing w:after="0"/>
              <w:rPr>
                <w:sz w:val="17"/>
                <w:szCs w:val="17"/>
                <w:color w:val="auto"/>
              </w:rPr>
            </w:pPr>
          </w:p>
        </w:tc>
        <w:tc>
          <w:tcPr>
            <w:tcW w:w="31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 September 30,</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0"/>
        </w:trPr>
        <w:tc>
          <w:tcPr>
            <w:tcW w:w="5680" w:type="dxa"/>
            <w:vAlign w:val="bottom"/>
          </w:tcPr>
          <w:p>
            <w:pPr>
              <w:spacing w:after="0"/>
              <w:rPr>
                <w:sz w:val="19"/>
                <w:szCs w:val="19"/>
                <w:color w:val="auto"/>
              </w:rPr>
            </w:pPr>
          </w:p>
        </w:tc>
        <w:tc>
          <w:tcPr>
            <w:tcW w:w="11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2018</w:t>
            </w:r>
          </w:p>
        </w:tc>
        <w:tc>
          <w:tcPr>
            <w:tcW w:w="19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 Change</w:t>
            </w:r>
          </w:p>
        </w:tc>
      </w:tr>
      <w:tr>
        <w:trPr>
          <w:trHeight w:val="387"/>
        </w:trPr>
        <w:tc>
          <w:tcPr>
            <w:tcW w:w="684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$272.1</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$251.3</w:t>
            </w: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8"/>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Cost of sales</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94.3</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87.8</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47"/>
        </w:trPr>
        <w:tc>
          <w:tcPr>
            <w:tcW w:w="5680" w:type="dxa"/>
            <w:vAlign w:val="bottom"/>
          </w:tcPr>
          <w:p>
            <w:pPr>
              <w:ind w:left="220"/>
              <w:spacing w:after="0"/>
              <w:rPr>
                <w:sz w:val="20"/>
                <w:szCs w:val="20"/>
                <w:color w:val="auto"/>
              </w:rPr>
            </w:pPr>
            <w:r>
              <w:rPr>
                <w:rFonts w:ascii="Arial" w:cs="Arial" w:eastAsia="Arial" w:hAnsi="Arial"/>
                <w:sz w:val="14"/>
                <w:szCs w:val="14"/>
                <w:color w:val="auto"/>
              </w:rPr>
              <w:t>Product remediation</w:t>
            </w: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r>
      <w:tr>
        <w:trPr>
          <w:trHeight w:val="218"/>
        </w:trPr>
        <w:tc>
          <w:tcPr>
            <w:tcW w:w="5680" w:type="dxa"/>
            <w:vAlign w:val="bottom"/>
          </w:tcPr>
          <w:p>
            <w:pPr>
              <w:spacing w:after="0"/>
              <w:rPr>
                <w:sz w:val="20"/>
                <w:szCs w:val="20"/>
                <w:color w:val="auto"/>
              </w:rPr>
            </w:pPr>
            <w:r>
              <w:rPr>
                <w:rFonts w:ascii="Arial" w:cs="Arial" w:eastAsia="Arial" w:hAnsi="Arial"/>
                <w:sz w:val="14"/>
                <w:szCs w:val="14"/>
                <w:color w:val="auto"/>
              </w:rPr>
              <w:t>Gross profit</w:t>
            </w: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174.3</w:t>
            </w: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161.9</w:t>
            </w:r>
          </w:p>
        </w:tc>
        <w:tc>
          <w:tcPr>
            <w:tcW w:w="100" w:type="dxa"/>
            <w:vAlign w:val="bottom"/>
          </w:tcPr>
          <w:p>
            <w:pPr>
              <w:spacing w:after="0"/>
              <w:rPr>
                <w:sz w:val="18"/>
                <w:szCs w:val="18"/>
                <w:color w:val="auto"/>
              </w:rPr>
            </w:pPr>
          </w:p>
        </w:tc>
        <w:tc>
          <w:tcPr>
            <w:tcW w:w="1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7.7%</w:t>
            </w:r>
          </w:p>
        </w:tc>
      </w:tr>
      <w:tr>
        <w:trPr>
          <w:trHeight w:val="363"/>
        </w:trPr>
        <w:tc>
          <w:tcPr>
            <w:tcW w:w="684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8"/>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Selling, general and administrative</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115.1</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97.2</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8"/>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42.4</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8"/>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Merger and integration expenses</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8"/>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Restructuring expenses</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47"/>
        </w:trPr>
        <w:tc>
          <w:tcPr>
            <w:tcW w:w="5680" w:type="dxa"/>
            <w:vAlign w:val="bottom"/>
          </w:tcPr>
          <w:p>
            <w:pPr>
              <w:ind w:left="220"/>
              <w:spacing w:after="0"/>
              <w:rPr>
                <w:sz w:val="20"/>
                <w:szCs w:val="20"/>
                <w:color w:val="auto"/>
              </w:rPr>
            </w:pPr>
            <w:r>
              <w:rPr>
                <w:rFonts w:ascii="Arial" w:cs="Arial" w:eastAsia="Arial" w:hAnsi="Arial"/>
                <w:sz w:val="14"/>
                <w:szCs w:val="14"/>
                <w:color w:val="auto"/>
              </w:rPr>
              <w:t>Amortization of intangibles</w:t>
            </w: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r>
      <w:tr>
        <w:trPr>
          <w:trHeight w:val="218"/>
        </w:trPr>
        <w:tc>
          <w:tcPr>
            <w:tcW w:w="684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180.1</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131.8</w:t>
            </w:r>
          </w:p>
        </w:tc>
        <w:tc>
          <w:tcPr>
            <w:tcW w:w="2020" w:type="dxa"/>
            <w:vAlign w:val="bottom"/>
            <w:gridSpan w:val="2"/>
          </w:tcPr>
          <w:p>
            <w:pPr>
              <w:jc w:val="right"/>
              <w:ind w:right="9"/>
              <w:spacing w:after="0"/>
              <w:rPr>
                <w:sz w:val="20"/>
                <w:szCs w:val="20"/>
                <w:color w:val="auto"/>
              </w:rPr>
            </w:pPr>
            <w:r>
              <w:rPr>
                <w:rFonts w:ascii="Arial" w:cs="Arial" w:eastAsia="Arial" w:hAnsi="Arial"/>
                <w:sz w:val="14"/>
                <w:szCs w:val="14"/>
                <w:color w:val="auto"/>
              </w:rPr>
              <w:t>36.6%</w:t>
            </w:r>
          </w:p>
        </w:tc>
      </w:tr>
      <w:tr>
        <w:trPr>
          <w:trHeight w:val="166"/>
        </w:trPr>
        <w:tc>
          <w:tcPr>
            <w:tcW w:w="5680" w:type="dxa"/>
            <w:vAlign w:val="bottom"/>
          </w:tcPr>
          <w:p>
            <w:pPr>
              <w:spacing w:after="0"/>
              <w:rPr>
                <w:sz w:val="14"/>
                <w:szCs w:val="14"/>
                <w:color w:val="auto"/>
              </w:rPr>
            </w:pPr>
          </w:p>
        </w:tc>
        <w:tc>
          <w:tcPr>
            <w:tcW w:w="1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Borders>
              <w:top w:val="single" w:sz="8" w:color="auto"/>
              <w:bottom w:val="single" w:sz="8" w:color="auto"/>
            </w:tcBorders>
          </w:tcPr>
          <w:p>
            <w:pPr>
              <w:spacing w:after="0"/>
              <w:rPr>
                <w:sz w:val="14"/>
                <w:szCs w:val="14"/>
                <w:color w:val="auto"/>
              </w:rPr>
            </w:pPr>
          </w:p>
        </w:tc>
      </w:tr>
      <w:tr>
        <w:trPr>
          <w:trHeight w:val="210"/>
        </w:trPr>
        <w:tc>
          <w:tcPr>
            <w:tcW w:w="5680" w:type="dxa"/>
            <w:vAlign w:val="bottom"/>
          </w:tcPr>
          <w:p>
            <w:pPr>
              <w:spacing w:after="0"/>
              <w:rPr>
                <w:sz w:val="20"/>
                <w:szCs w:val="20"/>
                <w:color w:val="auto"/>
              </w:rPr>
            </w:pPr>
            <w:r>
              <w:rPr>
                <w:rFonts w:ascii="Arial" w:cs="Arial" w:eastAsia="Arial" w:hAnsi="Arial"/>
                <w:sz w:val="14"/>
                <w:szCs w:val="14"/>
                <w:color w:val="auto"/>
              </w:rPr>
              <w:t>Operating (loss) income from continuing operations</w:t>
            </w: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(119.3%)</w:t>
            </w:r>
          </w:p>
        </w:tc>
      </w:tr>
      <w:tr>
        <w:trPr>
          <w:trHeight w:val="3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Interest expense, net</w:t>
            </w:r>
          </w:p>
        </w:tc>
        <w:tc>
          <w:tcPr>
            <w:tcW w:w="64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8"/>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Gain on acquisitions</w:t>
            </w:r>
          </w:p>
        </w:tc>
        <w:tc>
          <w:tcPr>
            <w:tcW w:w="1960" w:type="dxa"/>
            <w:vAlign w:val="bottom"/>
            <w:gridSpan w:val="3"/>
          </w:tcPr>
          <w:p>
            <w:pPr>
              <w:jc w:val="right"/>
              <w:ind w:right="14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47"/>
        </w:trPr>
        <w:tc>
          <w:tcPr>
            <w:tcW w:w="5680" w:type="dxa"/>
            <w:vAlign w:val="bottom"/>
          </w:tcPr>
          <w:p>
            <w:pPr>
              <w:ind w:left="220"/>
              <w:spacing w:after="0"/>
              <w:rPr>
                <w:sz w:val="20"/>
                <w:szCs w:val="20"/>
                <w:color w:val="auto"/>
              </w:rPr>
            </w:pPr>
            <w:r>
              <w:rPr>
                <w:rFonts w:ascii="Arial" w:cs="Arial" w:eastAsia="Arial" w:hAnsi="Arial"/>
                <w:sz w:val="14"/>
                <w:szCs w:val="14"/>
                <w:color w:val="auto"/>
              </w:rPr>
              <w:t>Foreign exchange and other (losses) gains</w:t>
            </w: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r>
      <w:tr>
        <w:trPr>
          <w:trHeight w:val="218"/>
        </w:trPr>
        <w:tc>
          <w:tcPr>
            <w:tcW w:w="5680" w:type="dxa"/>
            <w:vAlign w:val="bottom"/>
          </w:tcPr>
          <w:p>
            <w:pPr>
              <w:spacing w:after="0"/>
              <w:rPr>
                <w:sz w:val="20"/>
                <w:szCs w:val="20"/>
                <w:color w:val="auto"/>
              </w:rPr>
            </w:pPr>
            <w:r>
              <w:rPr>
                <w:rFonts w:ascii="Arial" w:cs="Arial" w:eastAsia="Arial" w:hAnsi="Arial"/>
                <w:sz w:val="14"/>
                <w:szCs w:val="14"/>
                <w:color w:val="auto"/>
              </w:rPr>
              <w:t>(Loss) income from continuing operations before tax</w:t>
            </w: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(130.4%)</w:t>
            </w:r>
          </w:p>
        </w:tc>
      </w:tr>
      <w:tr>
        <w:trPr>
          <w:trHeight w:val="363"/>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Income tax (benefit) expense</w:t>
            </w:r>
          </w:p>
        </w:tc>
        <w:tc>
          <w:tcPr>
            <w:tcW w:w="64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47"/>
        </w:trPr>
        <w:tc>
          <w:tcPr>
            <w:tcW w:w="5680" w:type="dxa"/>
            <w:vAlign w:val="bottom"/>
          </w:tcPr>
          <w:p>
            <w:pPr>
              <w:ind w:left="220"/>
              <w:spacing w:after="0"/>
              <w:rPr>
                <w:sz w:val="20"/>
                <w:szCs w:val="20"/>
                <w:color w:val="auto"/>
              </w:rPr>
            </w:pPr>
            <w:r>
              <w:rPr>
                <w:rFonts w:ascii="Arial" w:cs="Arial" w:eastAsia="Arial" w:hAnsi="Arial"/>
                <w:sz w:val="14"/>
                <w:szCs w:val="14"/>
                <w:color w:val="auto"/>
              </w:rPr>
              <w:t>Losses from equity method investments</w:t>
            </w: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r>
      <w:tr>
        <w:trPr>
          <w:trHeight w:val="218"/>
        </w:trPr>
        <w:tc>
          <w:tcPr>
            <w:tcW w:w="6840" w:type="dxa"/>
            <w:vAlign w:val="bottom"/>
            <w:gridSpan w:val="2"/>
          </w:tcPr>
          <w:p>
            <w:pPr>
              <w:spacing w:after="0"/>
              <w:rPr>
                <w:sz w:val="20"/>
                <w:szCs w:val="20"/>
                <w:color w:val="auto"/>
              </w:rPr>
            </w:pPr>
            <w:r>
              <w:rPr>
                <w:rFonts w:ascii="Arial" w:cs="Arial" w:eastAsia="Arial" w:hAnsi="Arial"/>
                <w:sz w:val="14"/>
                <w:szCs w:val="14"/>
                <w:color w:val="auto"/>
              </w:rPr>
              <w:t>Net (loss) income from continuing operations</w:t>
            </w:r>
          </w:p>
        </w:tc>
        <w:tc>
          <w:tcPr>
            <w:tcW w:w="64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27.0</w:t>
            </w:r>
          </w:p>
        </w:tc>
        <w:tc>
          <w:tcPr>
            <w:tcW w:w="2020" w:type="dxa"/>
            <w:vAlign w:val="bottom"/>
            <w:gridSpan w:val="2"/>
          </w:tcPr>
          <w:p>
            <w:pPr>
              <w:jc w:val="right"/>
              <w:spacing w:after="0"/>
              <w:rPr>
                <w:sz w:val="20"/>
                <w:szCs w:val="20"/>
                <w:color w:val="auto"/>
              </w:rPr>
            </w:pPr>
            <w:r>
              <w:rPr>
                <w:rFonts w:ascii="Arial" w:cs="Arial" w:eastAsia="Arial" w:hAnsi="Arial"/>
                <w:sz w:val="14"/>
                <w:szCs w:val="14"/>
                <w:color w:val="auto"/>
              </w:rPr>
              <w:t>(123.3%)</w:t>
            </w:r>
          </w:p>
        </w:tc>
      </w:tr>
      <w:tr>
        <w:trPr>
          <w:trHeight w:val="238"/>
        </w:trPr>
        <w:tc>
          <w:tcPr>
            <w:tcW w:w="5680" w:type="dxa"/>
            <w:vAlign w:val="bottom"/>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Borders>
              <w:top w:val="single" w:sz="8" w:color="auto"/>
              <w:bottom w:val="single" w:sz="8" w:color="auto"/>
            </w:tcBorders>
          </w:tcPr>
          <w:p>
            <w:pPr>
              <w:spacing w:after="0"/>
              <w:rPr>
                <w:sz w:val="20"/>
                <w:szCs w:val="20"/>
                <w:color w:val="auto"/>
              </w:rPr>
            </w:pPr>
          </w:p>
        </w:tc>
      </w:tr>
      <w:tr>
        <w:trPr>
          <w:trHeight w:val="210"/>
        </w:trPr>
        <w:tc>
          <w:tcPr>
            <w:tcW w:w="6840" w:type="dxa"/>
            <w:vAlign w:val="bottom"/>
            <w:gridSpan w:val="2"/>
          </w:tcPr>
          <w:p>
            <w:pPr>
              <w:spacing w:after="0"/>
              <w:rPr>
                <w:sz w:val="20"/>
                <w:szCs w:val="20"/>
                <w:color w:val="auto"/>
              </w:rPr>
            </w:pPr>
            <w:r>
              <w:rPr>
                <w:rFonts w:ascii="Arial" w:cs="Arial" w:eastAsia="Arial" w:hAnsi="Arial"/>
                <w:sz w:val="14"/>
                <w:szCs w:val="14"/>
                <w:color w:val="auto"/>
              </w:rPr>
              <w:t>Net (loss) income from discontinued operations</w:t>
            </w:r>
          </w:p>
        </w:tc>
        <w:tc>
          <w:tcPr>
            <w:tcW w:w="64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8"/>
                <w:szCs w:val="18"/>
                <w:color w:val="auto"/>
              </w:rPr>
            </w:pPr>
          </w:p>
        </w:tc>
        <w:tc>
          <w:tcPr>
            <w:tcW w:w="1920" w:type="dxa"/>
            <w:vAlign w:val="bottom"/>
          </w:tcPr>
          <w:p>
            <w:pPr>
              <w:jc w:val="right"/>
              <w:ind w:right="129"/>
              <w:spacing w:after="0"/>
              <w:rPr>
                <w:sz w:val="20"/>
                <w:szCs w:val="20"/>
                <w:color w:val="auto"/>
              </w:rPr>
            </w:pPr>
            <w:r>
              <w:rPr>
                <w:rFonts w:ascii="Arial" w:cs="Arial" w:eastAsia="Arial" w:hAnsi="Arial"/>
                <w:sz w:val="14"/>
                <w:szCs w:val="14"/>
                <w:color w:val="auto"/>
              </w:rPr>
              <w:t>—</w:t>
            </w:r>
          </w:p>
        </w:tc>
      </w:tr>
      <w:tr>
        <w:trPr>
          <w:trHeight w:val="155"/>
        </w:trPr>
        <w:tc>
          <w:tcPr>
            <w:tcW w:w="5680" w:type="dxa"/>
            <w:vAlign w:val="bottom"/>
          </w:tcPr>
          <w:p>
            <w:pPr>
              <w:spacing w:after="0"/>
              <w:rPr>
                <w:sz w:val="13"/>
                <w:szCs w:val="13"/>
                <w:color w:val="auto"/>
              </w:rPr>
            </w:pPr>
          </w:p>
        </w:tc>
        <w:tc>
          <w:tcPr>
            <w:tcW w:w="1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Borders>
              <w:top w:val="single" w:sz="8" w:color="auto"/>
              <w:bottom w:val="single" w:sz="8" w:color="auto"/>
            </w:tcBorders>
          </w:tcPr>
          <w:p>
            <w:pPr>
              <w:spacing w:after="0"/>
              <w:rPr>
                <w:sz w:val="13"/>
                <w:szCs w:val="13"/>
                <w:color w:val="auto"/>
              </w:rPr>
            </w:pPr>
          </w:p>
        </w:tc>
      </w:tr>
      <w:tr>
        <w:trPr>
          <w:trHeight w:val="267"/>
        </w:trPr>
        <w:tc>
          <w:tcPr>
            <w:tcW w:w="5680" w:type="dxa"/>
            <w:vAlign w:val="bottom"/>
          </w:tcPr>
          <w:p>
            <w:pPr>
              <w:spacing w:after="0"/>
              <w:rPr>
                <w:sz w:val="20"/>
                <w:szCs w:val="20"/>
                <w:color w:val="auto"/>
              </w:rPr>
            </w:pPr>
            <w:r>
              <w:rPr>
                <w:rFonts w:ascii="Arial" w:cs="Arial" w:eastAsia="Arial" w:hAnsi="Arial"/>
                <w:sz w:val="14"/>
                <w:szCs w:val="14"/>
                <w:color w:val="auto"/>
              </w:rPr>
              <w:t>Net (loss) income</w:t>
            </w:r>
          </w:p>
        </w:tc>
        <w:tc>
          <w:tcPr>
            <w:tcW w:w="11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23"/>
                <w:szCs w:val="23"/>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(125.9%)</w:t>
            </w:r>
          </w:p>
        </w:tc>
      </w:tr>
      <w:tr>
        <w:trPr>
          <w:trHeight w:val="437"/>
        </w:trPr>
        <w:tc>
          <w:tcPr>
            <w:tcW w:w="6840" w:type="dxa"/>
            <w:vAlign w:val="bottom"/>
            <w:gridSpan w:val="2"/>
          </w:tcPr>
          <w:p>
            <w:pPr>
              <w:spacing w:after="0"/>
              <w:rPr>
                <w:sz w:val="20"/>
                <w:szCs w:val="20"/>
                <w:color w:val="auto"/>
              </w:rPr>
            </w:pPr>
            <w:r>
              <w:rPr>
                <w:rFonts w:ascii="Arial" w:cs="Arial" w:eastAsia="Arial" w:hAnsi="Arial"/>
                <w:sz w:val="14"/>
                <w:szCs w:val="14"/>
                <w:color w:val="auto"/>
              </w:rPr>
              <w:t>Basic (loss) income per common share: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8"/>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Continuing operations</w:t>
            </w:r>
          </w:p>
        </w:tc>
        <w:tc>
          <w:tcPr>
            <w:tcW w:w="640" w:type="dxa"/>
            <w:vAlign w:val="bottom"/>
          </w:tcPr>
          <w:p>
            <w:pPr>
              <w:jc w:val="right"/>
              <w:spacing w:after="0"/>
              <w:rPr>
                <w:sz w:val="20"/>
                <w:szCs w:val="20"/>
                <w:color w:val="auto"/>
              </w:rPr>
            </w:pPr>
            <w:r>
              <w:rPr>
                <w:rFonts w:ascii="Arial" w:cs="Arial" w:eastAsia="Arial" w:hAnsi="Arial"/>
                <w:sz w:val="14"/>
                <w:szCs w:val="14"/>
                <w:color w:val="auto"/>
              </w:rPr>
              <w:t>($0.13)</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$0.56</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47"/>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Discontinued operations</w:t>
            </w:r>
          </w:p>
        </w:tc>
        <w:tc>
          <w:tcPr>
            <w:tcW w:w="640" w:type="dxa"/>
            <w:vAlign w:val="bottom"/>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30"/>
        </w:trPr>
        <w:tc>
          <w:tcPr>
            <w:tcW w:w="568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$0.58</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59"/>
        </w:trPr>
        <w:tc>
          <w:tcPr>
            <w:tcW w:w="6840" w:type="dxa"/>
            <w:vAlign w:val="bottom"/>
            <w:gridSpan w:val="2"/>
          </w:tcPr>
          <w:p>
            <w:pPr>
              <w:spacing w:after="0"/>
              <w:rPr>
                <w:sz w:val="20"/>
                <w:szCs w:val="20"/>
                <w:color w:val="auto"/>
              </w:rPr>
            </w:pPr>
            <w:r>
              <w:rPr>
                <w:rFonts w:ascii="Arial" w:cs="Arial" w:eastAsia="Arial" w:hAnsi="Arial"/>
                <w:sz w:val="14"/>
                <w:szCs w:val="14"/>
                <w:color w:val="auto"/>
              </w:rPr>
              <w:t>Diluted (loss) income per common share: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8"/>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Continuing operations</w:t>
            </w:r>
          </w:p>
        </w:tc>
        <w:tc>
          <w:tcPr>
            <w:tcW w:w="640" w:type="dxa"/>
            <w:vAlign w:val="bottom"/>
          </w:tcPr>
          <w:p>
            <w:pPr>
              <w:jc w:val="right"/>
              <w:spacing w:after="0"/>
              <w:rPr>
                <w:sz w:val="20"/>
                <w:szCs w:val="20"/>
                <w:color w:val="auto"/>
              </w:rPr>
            </w:pPr>
            <w:r>
              <w:rPr>
                <w:rFonts w:ascii="Arial" w:cs="Arial" w:eastAsia="Arial" w:hAnsi="Arial"/>
                <w:sz w:val="14"/>
                <w:szCs w:val="14"/>
                <w:color w:val="auto"/>
              </w:rPr>
              <w:t>($0.13)</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$0.56</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47"/>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Discontinued operations</w:t>
            </w:r>
          </w:p>
        </w:tc>
        <w:tc>
          <w:tcPr>
            <w:tcW w:w="640" w:type="dxa"/>
            <w:vAlign w:val="bottom"/>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30"/>
        </w:trPr>
        <w:tc>
          <w:tcPr>
            <w:tcW w:w="568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$0.57</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47"/>
        </w:trPr>
        <w:tc>
          <w:tcPr>
            <w:tcW w:w="6840" w:type="dxa"/>
            <w:vAlign w:val="bottom"/>
            <w:gridSpan w:val="2"/>
          </w:tcPr>
          <w:p>
            <w:pPr>
              <w:spacing w:after="0"/>
              <w:rPr>
                <w:sz w:val="20"/>
                <w:szCs w:val="20"/>
                <w:color w:val="auto"/>
              </w:rPr>
            </w:pPr>
            <w:r>
              <w:rPr>
                <w:rFonts w:ascii="Arial" w:cs="Arial" w:eastAsia="Arial" w:hAnsi="Arial"/>
                <w:sz w:val="14"/>
                <w:szCs w:val="14"/>
                <w:color w:val="auto"/>
              </w:rPr>
              <w:t>Weighted average common shares outstanding</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8"/>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Basic</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48.2</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8"/>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Diluted</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48.5</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tabs>
          <w:tab w:leader="none" w:pos="20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Numbers may not add up precisely due to rounding.</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420"/>
          </w:cols>
          <w:pgMar w:left="260" w:top="697" w:right="21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Adjusted Financial Measures (U.S. dollars in millions, except per share amounts)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680" w:type="dxa"/>
            <w:vAlign w:val="bottom"/>
          </w:tcPr>
          <w:p>
            <w:pPr>
              <w:spacing w:after="0"/>
              <w:rPr>
                <w:sz w:val="17"/>
                <w:szCs w:val="17"/>
                <w:color w:val="auto"/>
              </w:rPr>
            </w:pPr>
          </w:p>
        </w:tc>
        <w:tc>
          <w:tcPr>
            <w:tcW w:w="3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8"/>
        </w:trPr>
        <w:tc>
          <w:tcPr>
            <w:tcW w:w="5680" w:type="dxa"/>
            <w:vAlign w:val="bottom"/>
          </w:tcPr>
          <w:p>
            <w:pPr>
              <w:spacing w:after="0"/>
              <w:rPr>
                <w:sz w:val="20"/>
                <w:szCs w:val="20"/>
                <w:color w:val="auto"/>
              </w:rPr>
            </w:pPr>
          </w:p>
        </w:tc>
        <w:tc>
          <w:tcPr>
            <w:tcW w:w="11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2018</w:t>
            </w:r>
          </w:p>
        </w:tc>
        <w:tc>
          <w:tcPr>
            <w:tcW w:w="1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9"/>
                <w:szCs w:val="19"/>
                <w:b w:val="1"/>
                <w:bCs w:val="1"/>
                <w:color w:val="auto"/>
                <w:vertAlign w:val="superscript"/>
              </w:rPr>
              <w:t>(1)</w:t>
            </w:r>
          </w:p>
        </w:tc>
      </w:tr>
      <w:tr>
        <w:trPr>
          <w:trHeight w:val="274"/>
        </w:trPr>
        <w:tc>
          <w:tcPr>
            <w:tcW w:w="6840" w:type="dxa"/>
            <w:vAlign w:val="bottom"/>
            <w:gridSpan w:val="2"/>
          </w:tcPr>
          <w:p>
            <w:pPr>
              <w:spacing w:after="0"/>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9"/>
                <w:szCs w:val="19"/>
                <w:color w:val="auto"/>
                <w:vertAlign w:val="superscript"/>
              </w:rPr>
              <w:t>(1)</w:t>
            </w:r>
          </w:p>
        </w:tc>
        <w:tc>
          <w:tcPr>
            <w:tcW w:w="1960" w:type="dxa"/>
            <w:vAlign w:val="bottom"/>
          </w:tcPr>
          <w:p>
            <w:pPr>
              <w:jc w:val="right"/>
              <w:ind w:right="1349"/>
              <w:spacing w:after="0"/>
              <w:rPr>
                <w:sz w:val="20"/>
                <w:szCs w:val="20"/>
                <w:color w:val="auto"/>
              </w:rPr>
            </w:pPr>
            <w:r>
              <w:rPr>
                <w:rFonts w:ascii="Arial" w:cs="Arial" w:eastAsia="Arial" w:hAnsi="Arial"/>
                <w:sz w:val="14"/>
                <w:szCs w:val="14"/>
                <w:color w:val="auto"/>
              </w:rPr>
              <w:t>$185.6</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$165.0</w:t>
            </w:r>
          </w:p>
        </w:tc>
        <w:tc>
          <w:tcPr>
            <w:tcW w:w="100" w:type="dxa"/>
            <w:vAlign w:val="bottom"/>
          </w:tcPr>
          <w:p>
            <w:pPr>
              <w:spacing w:after="0"/>
              <w:rPr>
                <w:sz w:val="23"/>
                <w:szCs w:val="23"/>
                <w:color w:val="auto"/>
              </w:rPr>
            </w:pPr>
          </w:p>
        </w:tc>
        <w:tc>
          <w:tcPr>
            <w:tcW w:w="1920" w:type="dxa"/>
            <w:vAlign w:val="bottom"/>
          </w:tcPr>
          <w:p>
            <w:pPr>
              <w:jc w:val="right"/>
              <w:ind w:right="9"/>
              <w:spacing w:after="0"/>
              <w:rPr>
                <w:sz w:val="20"/>
                <w:szCs w:val="20"/>
                <w:color w:val="auto"/>
              </w:rPr>
            </w:pPr>
            <w:r>
              <w:rPr>
                <w:rFonts w:ascii="Arial" w:cs="Arial" w:eastAsia="Arial" w:hAnsi="Arial"/>
                <w:sz w:val="14"/>
                <w:szCs w:val="14"/>
                <w:color w:val="auto"/>
              </w:rPr>
              <w:t>12.5%</w:t>
            </w:r>
          </w:p>
        </w:tc>
      </w:tr>
      <w:tr>
        <w:trPr>
          <w:trHeight w:val="238"/>
        </w:trPr>
        <w:tc>
          <w:tcPr>
            <w:tcW w:w="6840" w:type="dxa"/>
            <w:vAlign w:val="bottom"/>
            <w:gridSpan w:val="2"/>
          </w:tcPr>
          <w:p>
            <w:pPr>
              <w:spacing w:after="0"/>
              <w:rPr>
                <w:sz w:val="20"/>
                <w:szCs w:val="20"/>
                <w:color w:val="auto"/>
              </w:rPr>
            </w:pPr>
            <w:r>
              <w:rPr>
                <w:rFonts w:ascii="Arial" w:cs="Arial" w:eastAsia="Arial" w:hAnsi="Arial"/>
                <w:sz w:val="14"/>
                <w:szCs w:val="14"/>
                <w:color w:val="auto"/>
              </w:rPr>
              <w:t xml:space="preserve">Adjusted SG&amp;A </w:t>
            </w:r>
            <w:r>
              <w:rPr>
                <w:rFonts w:ascii="Arial" w:cs="Arial" w:eastAsia="Arial" w:hAnsi="Arial"/>
                <w:sz w:val="19"/>
                <w:szCs w:val="19"/>
                <w:color w:val="auto"/>
                <w:vertAlign w:val="superscript"/>
              </w:rPr>
              <w:t>(1)</w:t>
            </w:r>
          </w:p>
        </w:tc>
        <w:tc>
          <w:tcPr>
            <w:tcW w:w="1960" w:type="dxa"/>
            <w:vAlign w:val="bottom"/>
          </w:tcPr>
          <w:p>
            <w:pPr>
              <w:jc w:val="right"/>
              <w:ind w:right="1349"/>
              <w:spacing w:after="0"/>
              <w:rPr>
                <w:sz w:val="20"/>
                <w:szCs w:val="20"/>
                <w:color w:val="auto"/>
              </w:rPr>
            </w:pPr>
            <w:r>
              <w:rPr>
                <w:rFonts w:ascii="Arial" w:cs="Arial" w:eastAsia="Arial" w:hAnsi="Arial"/>
                <w:sz w:val="14"/>
                <w:szCs w:val="14"/>
                <w:color w:val="auto"/>
              </w:rPr>
              <w:t>100.9</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90.3</w:t>
            </w:r>
          </w:p>
        </w:tc>
        <w:tc>
          <w:tcPr>
            <w:tcW w:w="100" w:type="dxa"/>
            <w:vAlign w:val="bottom"/>
          </w:tcPr>
          <w:p>
            <w:pPr>
              <w:spacing w:after="0"/>
              <w:rPr>
                <w:sz w:val="20"/>
                <w:szCs w:val="20"/>
                <w:color w:val="auto"/>
              </w:rPr>
            </w:pPr>
          </w:p>
        </w:tc>
        <w:tc>
          <w:tcPr>
            <w:tcW w:w="1920" w:type="dxa"/>
            <w:vAlign w:val="bottom"/>
          </w:tcPr>
          <w:p>
            <w:pPr>
              <w:jc w:val="right"/>
              <w:ind w:right="9"/>
              <w:spacing w:after="0"/>
              <w:rPr>
                <w:sz w:val="20"/>
                <w:szCs w:val="20"/>
                <w:color w:val="auto"/>
              </w:rPr>
            </w:pPr>
            <w:r>
              <w:rPr>
                <w:rFonts w:ascii="Arial" w:cs="Arial" w:eastAsia="Arial" w:hAnsi="Arial"/>
                <w:sz w:val="14"/>
                <w:szCs w:val="14"/>
                <w:color w:val="auto"/>
              </w:rPr>
              <w:t>11.7%</w:t>
            </w:r>
          </w:p>
        </w:tc>
      </w:tr>
      <w:tr>
        <w:trPr>
          <w:trHeight w:val="238"/>
        </w:trPr>
        <w:tc>
          <w:tcPr>
            <w:tcW w:w="6840" w:type="dxa"/>
            <w:vAlign w:val="bottom"/>
            <w:gridSpan w:val="2"/>
          </w:tcPr>
          <w:p>
            <w:pPr>
              <w:spacing w:after="0"/>
              <w:rPr>
                <w:sz w:val="20"/>
                <w:szCs w:val="20"/>
                <w:color w:val="auto"/>
              </w:rPr>
            </w:pPr>
            <w:r>
              <w:rPr>
                <w:rFonts w:ascii="Arial" w:cs="Arial" w:eastAsia="Arial" w:hAnsi="Arial"/>
                <w:sz w:val="14"/>
                <w:szCs w:val="14"/>
                <w:color w:val="auto"/>
              </w:rPr>
              <w:t xml:space="preserve">Adjusted R&amp;D </w:t>
            </w:r>
            <w:r>
              <w:rPr>
                <w:rFonts w:ascii="Arial" w:cs="Arial" w:eastAsia="Arial" w:hAnsi="Arial"/>
                <w:sz w:val="19"/>
                <w:szCs w:val="19"/>
                <w:color w:val="auto"/>
                <w:vertAlign w:val="superscript"/>
              </w:rPr>
              <w:t>(1)</w:t>
            </w:r>
          </w:p>
        </w:tc>
        <w:tc>
          <w:tcPr>
            <w:tcW w:w="1960" w:type="dxa"/>
            <w:vAlign w:val="bottom"/>
          </w:tcPr>
          <w:p>
            <w:pPr>
              <w:jc w:val="right"/>
              <w:ind w:right="1349"/>
              <w:spacing w:after="0"/>
              <w:rPr>
                <w:sz w:val="20"/>
                <w:szCs w:val="20"/>
                <w:color w:val="auto"/>
              </w:rPr>
            </w:pPr>
            <w:r>
              <w:rPr>
                <w:rFonts w:ascii="Arial" w:cs="Arial" w:eastAsia="Arial" w:hAnsi="Arial"/>
                <w:sz w:val="14"/>
                <w:szCs w:val="14"/>
                <w:color w:val="auto"/>
              </w:rPr>
              <w:t>37.7</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0"/>
                <w:szCs w:val="20"/>
                <w:color w:val="auto"/>
              </w:rPr>
            </w:pPr>
          </w:p>
        </w:tc>
        <w:tc>
          <w:tcPr>
            <w:tcW w:w="1920" w:type="dxa"/>
            <w:vAlign w:val="bottom"/>
          </w:tcPr>
          <w:p>
            <w:pPr>
              <w:jc w:val="right"/>
              <w:ind w:right="9"/>
              <w:spacing w:after="0"/>
              <w:rPr>
                <w:sz w:val="20"/>
                <w:szCs w:val="20"/>
                <w:color w:val="auto"/>
              </w:rPr>
            </w:pPr>
            <w:r>
              <w:rPr>
                <w:rFonts w:ascii="Arial" w:cs="Arial" w:eastAsia="Arial" w:hAnsi="Arial"/>
                <w:sz w:val="14"/>
                <w:szCs w:val="14"/>
                <w:color w:val="auto"/>
              </w:rPr>
              <w:t>78.7%</w:t>
            </w:r>
          </w:p>
        </w:tc>
      </w:tr>
      <w:tr>
        <w:trPr>
          <w:trHeight w:val="238"/>
        </w:trPr>
        <w:tc>
          <w:tcPr>
            <w:tcW w:w="6840" w:type="dxa"/>
            <w:vAlign w:val="bottom"/>
            <w:gridSpan w:val="2"/>
          </w:tcPr>
          <w:p>
            <w:pPr>
              <w:spacing w:after="0"/>
              <w:rPr>
                <w:sz w:val="20"/>
                <w:szCs w:val="20"/>
                <w:color w:val="auto"/>
              </w:rPr>
            </w:pPr>
            <w:r>
              <w:rPr>
                <w:rFonts w:ascii="Arial" w:cs="Arial" w:eastAsia="Arial" w:hAnsi="Arial"/>
                <w:sz w:val="14"/>
                <w:szCs w:val="14"/>
                <w:color w:val="auto"/>
              </w:rPr>
              <w:t xml:space="preserve">Adjusted operating income from continuing operations </w:t>
            </w:r>
            <w:r>
              <w:rPr>
                <w:rFonts w:ascii="Arial" w:cs="Arial" w:eastAsia="Arial" w:hAnsi="Arial"/>
                <w:sz w:val="19"/>
                <w:szCs w:val="19"/>
                <w:color w:val="auto"/>
                <w:vertAlign w:val="superscript"/>
              </w:rPr>
              <w:t>(1)</w:t>
            </w:r>
          </w:p>
        </w:tc>
        <w:tc>
          <w:tcPr>
            <w:tcW w:w="1960" w:type="dxa"/>
            <w:vAlign w:val="bottom"/>
          </w:tcPr>
          <w:p>
            <w:pPr>
              <w:jc w:val="right"/>
              <w:ind w:right="1349"/>
              <w:spacing w:after="0"/>
              <w:rPr>
                <w:sz w:val="20"/>
                <w:szCs w:val="20"/>
                <w:color w:val="auto"/>
              </w:rPr>
            </w:pPr>
            <w:r>
              <w:rPr>
                <w:rFonts w:ascii="Arial" w:cs="Arial" w:eastAsia="Arial" w:hAnsi="Arial"/>
                <w:sz w:val="14"/>
                <w:szCs w:val="14"/>
                <w:color w:val="auto"/>
              </w:rPr>
              <w:t>47.0</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(12.1%)</w:t>
            </w:r>
          </w:p>
        </w:tc>
      </w:tr>
      <w:tr>
        <w:trPr>
          <w:trHeight w:val="238"/>
        </w:trPr>
        <w:tc>
          <w:tcPr>
            <w:tcW w:w="6840" w:type="dxa"/>
            <w:vAlign w:val="bottom"/>
            <w:gridSpan w:val="2"/>
          </w:tcPr>
          <w:p>
            <w:pPr>
              <w:spacing w:after="0"/>
              <w:rPr>
                <w:sz w:val="20"/>
                <w:szCs w:val="20"/>
                <w:color w:val="auto"/>
              </w:rPr>
            </w:pPr>
            <w:r>
              <w:rPr>
                <w:rFonts w:ascii="Arial" w:cs="Arial" w:eastAsia="Arial" w:hAnsi="Arial"/>
                <w:sz w:val="14"/>
                <w:szCs w:val="14"/>
                <w:color w:val="auto"/>
              </w:rPr>
              <w:t xml:space="preserve">Adjusted income from continuing operations, net of tax </w:t>
            </w:r>
            <w:r>
              <w:rPr>
                <w:rFonts w:ascii="Arial" w:cs="Arial" w:eastAsia="Arial" w:hAnsi="Arial"/>
                <w:sz w:val="19"/>
                <w:szCs w:val="19"/>
                <w:color w:val="auto"/>
                <w:vertAlign w:val="superscript"/>
              </w:rPr>
              <w:t>(1)</w:t>
            </w:r>
          </w:p>
        </w:tc>
        <w:tc>
          <w:tcPr>
            <w:tcW w:w="1960" w:type="dxa"/>
            <w:vAlign w:val="bottom"/>
          </w:tcPr>
          <w:p>
            <w:pPr>
              <w:jc w:val="right"/>
              <w:ind w:right="1349"/>
              <w:spacing w:after="0"/>
              <w:rPr>
                <w:sz w:val="20"/>
                <w:szCs w:val="20"/>
                <w:color w:val="auto"/>
              </w:rPr>
            </w:pPr>
            <w:r>
              <w:rPr>
                <w:rFonts w:ascii="Arial" w:cs="Arial" w:eastAsia="Arial" w:hAnsi="Arial"/>
                <w:sz w:val="14"/>
                <w:szCs w:val="14"/>
                <w:color w:val="auto"/>
              </w:rPr>
              <w:t>39.0</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43"/>
        </w:trPr>
        <w:tc>
          <w:tcPr>
            <w:tcW w:w="6840" w:type="dxa"/>
            <w:vAlign w:val="bottom"/>
            <w:gridSpan w:val="2"/>
          </w:tcPr>
          <w:p>
            <w:pPr>
              <w:spacing w:after="0"/>
              <w:rPr>
                <w:sz w:val="20"/>
                <w:szCs w:val="20"/>
                <w:color w:val="auto"/>
              </w:rPr>
            </w:pPr>
            <w:r>
              <w:rPr>
                <w:rFonts w:ascii="Arial" w:cs="Arial" w:eastAsia="Arial" w:hAnsi="Arial"/>
                <w:sz w:val="14"/>
                <w:szCs w:val="14"/>
                <w:color w:val="auto"/>
              </w:rPr>
              <w:t xml:space="preserve">Adjusted diluted earnings per share from continuing operations </w:t>
            </w:r>
            <w:r>
              <w:rPr>
                <w:rFonts w:ascii="Arial" w:cs="Arial" w:eastAsia="Arial" w:hAnsi="Arial"/>
                <w:sz w:val="19"/>
                <w:szCs w:val="19"/>
                <w:color w:val="auto"/>
                <w:vertAlign w:val="superscript"/>
              </w:rPr>
              <w:t>(1)</w:t>
            </w:r>
          </w:p>
        </w:tc>
        <w:tc>
          <w:tcPr>
            <w:tcW w:w="1960" w:type="dxa"/>
            <w:vAlign w:val="bottom"/>
          </w:tcPr>
          <w:p>
            <w:pPr>
              <w:jc w:val="right"/>
              <w:ind w:right="1349"/>
              <w:spacing w:after="0"/>
              <w:rPr>
                <w:sz w:val="20"/>
                <w:szCs w:val="20"/>
                <w:color w:val="auto"/>
              </w:rPr>
            </w:pPr>
            <w:r>
              <w:rPr>
                <w:rFonts w:ascii="Arial" w:cs="Arial" w:eastAsia="Arial" w:hAnsi="Arial"/>
                <w:sz w:val="14"/>
                <w:szCs w:val="14"/>
                <w:color w:val="auto"/>
              </w:rPr>
              <w:t>$0.78</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$0.83</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(6.0%)</w:t>
            </w:r>
          </w:p>
        </w:tc>
      </w:tr>
    </w:tbl>
    <w:p>
      <w:pPr>
        <w:spacing w:after="0" w:line="239" w:lineRule="exact"/>
        <w:rPr>
          <w:sz w:val="20"/>
          <w:szCs w:val="20"/>
          <w:color w:val="auto"/>
        </w:rPr>
      </w:pPr>
    </w:p>
    <w:p>
      <w:pPr>
        <w:ind w:left="220" w:right="40" w:hanging="215"/>
        <w:spacing w:after="0" w:line="237" w:lineRule="auto"/>
        <w:tabs>
          <w:tab w:leader="none" w:pos="220" w:val="left"/>
        </w:tabs>
        <w:numPr>
          <w:ilvl w:val="0"/>
          <w:numId w:val="5"/>
        </w:numPr>
        <w:rPr>
          <w:rFonts w:ascii="Arial" w:cs="Arial" w:eastAsia="Arial" w:hAnsi="Arial"/>
          <w:sz w:val="13"/>
          <w:szCs w:val="13"/>
          <w:color w:val="auto"/>
        </w:rPr>
      </w:pPr>
      <w:r>
        <w:rPr>
          <w:rFonts w:ascii="Arial" w:cs="Arial" w:eastAsia="Arial" w:hAnsi="Arial"/>
          <w:sz w:val="13"/>
          <w:szCs w:val="13"/>
          <w:color w:val="auto"/>
        </w:rPr>
        <w:t>Adjusted financial measures are Non-GAAP measures and exclude specified items as described and reconciled in the "Reconciliation of GAAP to non-GAAP Financial Measures" contained in the press release.</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Statistics (as a % of net sales, except for income tax rate)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320" w:type="dxa"/>
            <w:vAlign w:val="bottom"/>
          </w:tcPr>
          <w:p>
            <w:pPr>
              <w:spacing w:after="0"/>
              <w:rPr>
                <w:sz w:val="18"/>
                <w:szCs w:val="18"/>
                <w:color w:val="auto"/>
              </w:rPr>
            </w:pPr>
          </w:p>
        </w:tc>
        <w:tc>
          <w:tcPr>
            <w:tcW w:w="3880" w:type="dxa"/>
            <w:vAlign w:val="bottom"/>
            <w:tcBorders>
              <w:bottom w:val="single" w:sz="8" w:color="auto"/>
            </w:tcBorders>
            <w:gridSpan w:val="4"/>
          </w:tcPr>
          <w:p>
            <w:pPr>
              <w:jc w:val="right"/>
              <w:ind w:right="109"/>
              <w:spacing w:after="0"/>
              <w:rPr>
                <w:sz w:val="20"/>
                <w:szCs w:val="20"/>
                <w:color w:val="auto"/>
              </w:rPr>
            </w:pPr>
            <w:r>
              <w:rPr>
                <w:rFonts w:ascii="Arial" w:cs="Arial" w:eastAsia="Arial" w:hAnsi="Arial"/>
                <w:sz w:val="14"/>
                <w:szCs w:val="14"/>
                <w:b w:val="1"/>
                <w:bCs w:val="1"/>
                <w:color w:val="auto"/>
              </w:rPr>
              <w:t>GAAP Three Months Ended September 30,</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Borders>
              <w:bottom w:val="single" w:sz="8" w:color="auto"/>
            </w:tcBorders>
            <w:gridSpan w:val="3"/>
          </w:tcPr>
          <w:p>
            <w:pPr>
              <w:jc w:val="right"/>
              <w:ind w:right="549"/>
              <w:spacing w:after="0"/>
              <w:rPr>
                <w:sz w:val="20"/>
                <w:szCs w:val="20"/>
                <w:color w:val="auto"/>
              </w:rPr>
            </w:pPr>
            <w:r>
              <w:rPr>
                <w:rFonts w:ascii="Arial" w:cs="Arial" w:eastAsia="Arial" w:hAnsi="Arial"/>
                <w:sz w:val="14"/>
                <w:szCs w:val="14"/>
                <w:b w:val="1"/>
                <w:bCs w:val="1"/>
                <w:color w:val="auto"/>
              </w:rPr>
              <w:t xml:space="preserve">Adjusted </w:t>
            </w:r>
            <w:r>
              <w:rPr>
                <w:rFonts w:ascii="Arial" w:cs="Arial" w:eastAsia="Arial" w:hAnsi="Arial"/>
                <w:sz w:val="19"/>
                <w:szCs w:val="19"/>
                <w:b w:val="1"/>
                <w:bCs w:val="1"/>
                <w:color w:val="auto"/>
                <w:vertAlign w:val="superscript"/>
              </w:rPr>
              <w:t>(1)</w:t>
            </w:r>
            <w:r>
              <w:rPr>
                <w:rFonts w:ascii="Arial" w:cs="Arial" w:eastAsia="Arial" w:hAnsi="Arial"/>
                <w:sz w:val="14"/>
                <w:szCs w:val="14"/>
                <w:b w:val="1"/>
                <w:bCs w:val="1"/>
                <w:color w:val="auto"/>
              </w:rPr>
              <w:t xml:space="preserve"> Three Months Ended September 30,</w:t>
            </w:r>
          </w:p>
        </w:tc>
      </w:tr>
      <w:tr>
        <w:trPr>
          <w:trHeight w:val="222"/>
        </w:trPr>
        <w:tc>
          <w:tcPr>
            <w:tcW w:w="2320" w:type="dxa"/>
            <w:vAlign w:val="bottom"/>
          </w:tcPr>
          <w:p>
            <w:pPr>
              <w:spacing w:after="0"/>
              <w:rPr>
                <w:sz w:val="19"/>
                <w:szCs w:val="19"/>
                <w:color w:val="auto"/>
              </w:rPr>
            </w:pPr>
          </w:p>
        </w:tc>
        <w:tc>
          <w:tcPr>
            <w:tcW w:w="15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Borders>
              <w:bottom w:val="single" w:sz="8" w:color="auto"/>
            </w:tcBorders>
          </w:tcPr>
          <w:p>
            <w:pPr>
              <w:jc w:val="right"/>
              <w:ind w:right="86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2200" w:type="dxa"/>
            <w:vAlign w:val="bottom"/>
            <w:tcBorders>
              <w:bottom w:val="single" w:sz="8" w:color="auto"/>
            </w:tcBorders>
          </w:tcPr>
          <w:p>
            <w:pPr>
              <w:jc w:val="right"/>
              <w:ind w:right="869"/>
              <w:spacing w:after="0"/>
              <w:rPr>
                <w:sz w:val="20"/>
                <w:szCs w:val="20"/>
                <w:color w:val="auto"/>
              </w:rPr>
            </w:pPr>
            <w:r>
              <w:rPr>
                <w:rFonts w:ascii="Arial" w:cs="Arial" w:eastAsia="Arial" w:hAnsi="Arial"/>
                <w:sz w:val="14"/>
                <w:szCs w:val="14"/>
                <w:b w:val="1"/>
                <w:bCs w:val="1"/>
                <w:color w:val="auto"/>
              </w:rPr>
              <w:t>2017</w:t>
            </w:r>
          </w:p>
        </w:tc>
      </w:tr>
      <w:tr>
        <w:trPr>
          <w:trHeight w:val="208"/>
        </w:trPr>
        <w:tc>
          <w:tcPr>
            <w:tcW w:w="382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64.1%</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64.4%</w:t>
            </w:r>
          </w:p>
        </w:tc>
        <w:tc>
          <w:tcPr>
            <w:tcW w:w="12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68.2%</w:t>
            </w:r>
          </w:p>
        </w:tc>
        <w:tc>
          <w:tcPr>
            <w:tcW w:w="10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65.7%</w:t>
            </w: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SG&amp;A</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38.7%</w:t>
            </w:r>
          </w:p>
        </w:tc>
        <w:tc>
          <w:tcPr>
            <w:tcW w:w="12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36.0%</w:t>
            </w: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R&amp;D</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209"/>
        </w:trPr>
        <w:tc>
          <w:tcPr>
            <w:tcW w:w="3820" w:type="dxa"/>
            <w:vAlign w:val="bottom"/>
            <w:gridSpan w:val="2"/>
          </w:tcPr>
          <w:p>
            <w:pPr>
              <w:spacing w:after="0"/>
              <w:rPr>
                <w:sz w:val="20"/>
                <w:szCs w:val="20"/>
                <w:color w:val="auto"/>
              </w:rPr>
            </w:pPr>
            <w:r>
              <w:rPr>
                <w:rFonts w:ascii="Arial" w:cs="Arial" w:eastAsia="Arial" w:hAnsi="Arial"/>
                <w:sz w:val="14"/>
                <w:szCs w:val="14"/>
                <w:color w:val="auto"/>
              </w:rPr>
              <w:t>Operating income from continuing</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171"/>
        </w:trPr>
        <w:tc>
          <w:tcPr>
            <w:tcW w:w="3820" w:type="dxa"/>
            <w:vAlign w:val="bottom"/>
            <w:gridSpan w:val="2"/>
          </w:tcPr>
          <w:p>
            <w:pPr>
              <w:spacing w:after="0"/>
              <w:rPr>
                <w:sz w:val="20"/>
                <w:szCs w:val="20"/>
                <w:color w:val="auto"/>
              </w:rPr>
            </w:pPr>
            <w:r>
              <w:rPr>
                <w:rFonts w:ascii="Arial" w:cs="Arial" w:eastAsia="Arial" w:hAnsi="Arial"/>
                <w:sz w:val="14"/>
                <w:szCs w:val="14"/>
                <w:color w:val="auto"/>
              </w:rPr>
              <w:t>operations</w:t>
            </w:r>
          </w:p>
        </w:tc>
        <w:tc>
          <w:tcPr>
            <w:tcW w:w="72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21.3%</w:t>
            </w:r>
          </w:p>
        </w:tc>
      </w:tr>
      <w:tr>
        <w:trPr>
          <w:trHeight w:val="209"/>
        </w:trPr>
        <w:tc>
          <w:tcPr>
            <w:tcW w:w="3820" w:type="dxa"/>
            <w:vAlign w:val="bottom"/>
            <w:gridSpan w:val="2"/>
          </w:tcPr>
          <w:p>
            <w:pPr>
              <w:spacing w:after="0"/>
              <w:rPr>
                <w:sz w:val="20"/>
                <w:szCs w:val="20"/>
                <w:color w:val="auto"/>
              </w:rPr>
            </w:pPr>
            <w:r>
              <w:rPr>
                <w:rFonts w:ascii="Arial" w:cs="Arial" w:eastAsia="Arial" w:hAnsi="Arial"/>
                <w:sz w:val="14"/>
                <w:szCs w:val="14"/>
                <w:color w:val="auto"/>
              </w:rPr>
              <w:t>Income from continuing</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171"/>
        </w:trPr>
        <w:tc>
          <w:tcPr>
            <w:tcW w:w="3820" w:type="dxa"/>
            <w:vAlign w:val="bottom"/>
            <w:gridSpan w:val="2"/>
          </w:tcPr>
          <w:p>
            <w:pPr>
              <w:spacing w:after="0"/>
              <w:rPr>
                <w:sz w:val="20"/>
                <w:szCs w:val="20"/>
                <w:color w:val="auto"/>
              </w:rPr>
            </w:pPr>
            <w:r>
              <w:rPr>
                <w:rFonts w:ascii="Arial" w:cs="Arial" w:eastAsia="Arial" w:hAnsi="Arial"/>
                <w:sz w:val="14"/>
                <w:szCs w:val="14"/>
                <w:color w:val="auto"/>
              </w:rPr>
              <w:t>operations, net of tax</w:t>
            </w:r>
          </w:p>
        </w:tc>
        <w:tc>
          <w:tcPr>
            <w:tcW w:w="72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16.0%</w:t>
            </w: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Income tax rate</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23.5%</w:t>
            </w:r>
          </w:p>
        </w:tc>
      </w:tr>
    </w:tbl>
    <w:p>
      <w:pPr>
        <w:spacing w:after="0" w:line="307" w:lineRule="exact"/>
        <w:rPr>
          <w:sz w:val="20"/>
          <w:szCs w:val="20"/>
          <w:color w:val="auto"/>
        </w:rPr>
      </w:pPr>
    </w:p>
    <w:p>
      <w:pPr>
        <w:ind w:left="440" w:right="40" w:hanging="322"/>
        <w:spacing w:after="0" w:line="237" w:lineRule="auto"/>
        <w:tabs>
          <w:tab w:leader="none" w:pos="440" w:val="left"/>
        </w:tabs>
        <w:numPr>
          <w:ilvl w:val="0"/>
          <w:numId w:val="6"/>
        </w:numPr>
        <w:rPr>
          <w:rFonts w:ascii="Arial" w:cs="Arial" w:eastAsia="Arial" w:hAnsi="Arial"/>
          <w:sz w:val="13"/>
          <w:szCs w:val="13"/>
          <w:color w:val="auto"/>
        </w:rPr>
      </w:pPr>
      <w:r>
        <w:rPr>
          <w:rFonts w:ascii="Arial" w:cs="Arial" w:eastAsia="Arial" w:hAnsi="Arial"/>
          <w:sz w:val="13"/>
          <w:szCs w:val="13"/>
          <w:color w:val="auto"/>
        </w:rPr>
        <w:t>Adjusted financial measures are Non-GAAP measures and exclude specified items as described and reconciled in the "Reconciliation of GAAP to non-GAAP Financial Measures" contained in the press release.</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420"/>
          </w:cols>
          <w:pgMar w:left="260" w:top="701" w:right="21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LIVANOVA PLC AND SUBSIDIARIES</w:t>
      </w:r>
    </w:p>
    <w:p>
      <w:pPr>
        <w:spacing w:after="0" w:line="42" w:lineRule="exact"/>
        <w:rPr>
          <w:sz w:val="20"/>
          <w:szCs w:val="20"/>
          <w:color w:val="auto"/>
        </w:rPr>
      </w:pPr>
    </w:p>
    <w:p>
      <w:pPr>
        <w:ind w:right="5460"/>
        <w:spacing w:after="0" w:line="336" w:lineRule="auto"/>
        <w:rPr>
          <w:sz w:val="20"/>
          <w:szCs w:val="20"/>
          <w:color w:val="auto"/>
        </w:rPr>
      </w:pPr>
      <w:r>
        <w:rPr>
          <w:rFonts w:ascii="Arial" w:cs="Arial" w:eastAsia="Arial" w:hAnsi="Arial"/>
          <w:sz w:val="17"/>
          <w:szCs w:val="17"/>
          <w:b w:val="1"/>
          <w:bCs w:val="1"/>
          <w:color w:val="auto"/>
        </w:rPr>
        <w:t>CONDENSED CONSOLIDATED STATEMENTS OF INCOME - UNAUDITED (U.S. dollars in millions,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680" w:type="dxa"/>
            <w:vAlign w:val="bottom"/>
          </w:tcPr>
          <w:p>
            <w:pPr>
              <w:spacing w:after="0"/>
              <w:rPr>
                <w:sz w:val="17"/>
                <w:szCs w:val="17"/>
                <w:color w:val="auto"/>
              </w:rPr>
            </w:pPr>
          </w:p>
        </w:tc>
        <w:tc>
          <w:tcPr>
            <w:tcW w:w="31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0"/>
        </w:trPr>
        <w:tc>
          <w:tcPr>
            <w:tcW w:w="5680" w:type="dxa"/>
            <w:vAlign w:val="bottom"/>
          </w:tcPr>
          <w:p>
            <w:pPr>
              <w:spacing w:after="0"/>
              <w:rPr>
                <w:sz w:val="19"/>
                <w:szCs w:val="19"/>
                <w:color w:val="auto"/>
              </w:rPr>
            </w:pPr>
          </w:p>
        </w:tc>
        <w:tc>
          <w:tcPr>
            <w:tcW w:w="11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2018</w:t>
            </w:r>
          </w:p>
        </w:tc>
        <w:tc>
          <w:tcPr>
            <w:tcW w:w="19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 Change</w:t>
            </w:r>
          </w:p>
        </w:tc>
      </w:tr>
      <w:tr>
        <w:trPr>
          <w:trHeight w:val="387"/>
        </w:trPr>
        <w:tc>
          <w:tcPr>
            <w:tcW w:w="684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$810.0</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$733.9</w:t>
            </w: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8"/>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Cost of sales</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270.9</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251.7</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47"/>
        </w:trPr>
        <w:tc>
          <w:tcPr>
            <w:tcW w:w="5680" w:type="dxa"/>
            <w:vAlign w:val="bottom"/>
          </w:tcPr>
          <w:p>
            <w:pPr>
              <w:ind w:left="220"/>
              <w:spacing w:after="0"/>
              <w:rPr>
                <w:sz w:val="20"/>
                <w:szCs w:val="20"/>
                <w:color w:val="auto"/>
              </w:rPr>
            </w:pPr>
            <w:r>
              <w:rPr>
                <w:rFonts w:ascii="Arial" w:cs="Arial" w:eastAsia="Arial" w:hAnsi="Arial"/>
                <w:sz w:val="14"/>
                <w:szCs w:val="14"/>
                <w:color w:val="auto"/>
              </w:rPr>
              <w:t>Product remediation</w:t>
            </w: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r>
      <w:tr>
        <w:trPr>
          <w:trHeight w:val="218"/>
        </w:trPr>
        <w:tc>
          <w:tcPr>
            <w:tcW w:w="5680" w:type="dxa"/>
            <w:vAlign w:val="bottom"/>
          </w:tcPr>
          <w:p>
            <w:pPr>
              <w:spacing w:after="0"/>
              <w:rPr>
                <w:sz w:val="20"/>
                <w:szCs w:val="20"/>
                <w:color w:val="auto"/>
              </w:rPr>
            </w:pPr>
            <w:r>
              <w:rPr>
                <w:rFonts w:ascii="Arial" w:cs="Arial" w:eastAsia="Arial" w:hAnsi="Arial"/>
                <w:sz w:val="14"/>
                <w:szCs w:val="14"/>
                <w:color w:val="auto"/>
              </w:rPr>
              <w:t>Gross profit</w:t>
            </w: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530.4</w:t>
            </w: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479.6</w:t>
            </w:r>
          </w:p>
        </w:tc>
        <w:tc>
          <w:tcPr>
            <w:tcW w:w="100" w:type="dxa"/>
            <w:vAlign w:val="bottom"/>
          </w:tcPr>
          <w:p>
            <w:pPr>
              <w:spacing w:after="0"/>
              <w:rPr>
                <w:sz w:val="18"/>
                <w:szCs w:val="18"/>
                <w:color w:val="auto"/>
              </w:rPr>
            </w:pPr>
          </w:p>
        </w:tc>
        <w:tc>
          <w:tcPr>
            <w:tcW w:w="1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10.6%</w:t>
            </w:r>
          </w:p>
        </w:tc>
      </w:tr>
      <w:tr>
        <w:trPr>
          <w:trHeight w:val="363"/>
        </w:trPr>
        <w:tc>
          <w:tcPr>
            <w:tcW w:w="684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8"/>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Selling, general and administrative</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342.7</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278.8</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8"/>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108.4</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77.1</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8"/>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Merger and integration expenses</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8"/>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Restructuring expenses</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47"/>
        </w:trPr>
        <w:tc>
          <w:tcPr>
            <w:tcW w:w="5680" w:type="dxa"/>
            <w:vAlign w:val="bottom"/>
          </w:tcPr>
          <w:p>
            <w:pPr>
              <w:ind w:left="220"/>
              <w:spacing w:after="0"/>
              <w:rPr>
                <w:sz w:val="20"/>
                <w:szCs w:val="20"/>
                <w:color w:val="auto"/>
              </w:rPr>
            </w:pPr>
            <w:r>
              <w:rPr>
                <w:rFonts w:ascii="Arial" w:cs="Arial" w:eastAsia="Arial" w:hAnsi="Arial"/>
                <w:sz w:val="14"/>
                <w:szCs w:val="14"/>
                <w:color w:val="auto"/>
              </w:rPr>
              <w:t>Amortization of intangibles</w:t>
            </w: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r>
      <w:tr>
        <w:trPr>
          <w:trHeight w:val="218"/>
        </w:trPr>
        <w:tc>
          <w:tcPr>
            <w:tcW w:w="684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502.0</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402.1</w:t>
            </w:r>
          </w:p>
        </w:tc>
        <w:tc>
          <w:tcPr>
            <w:tcW w:w="2020" w:type="dxa"/>
            <w:vAlign w:val="bottom"/>
            <w:gridSpan w:val="2"/>
          </w:tcPr>
          <w:p>
            <w:pPr>
              <w:jc w:val="right"/>
              <w:ind w:right="9"/>
              <w:spacing w:after="0"/>
              <w:rPr>
                <w:sz w:val="20"/>
                <w:szCs w:val="20"/>
                <w:color w:val="auto"/>
              </w:rPr>
            </w:pPr>
            <w:r>
              <w:rPr>
                <w:rFonts w:ascii="Arial" w:cs="Arial" w:eastAsia="Arial" w:hAnsi="Arial"/>
                <w:sz w:val="14"/>
                <w:szCs w:val="14"/>
                <w:color w:val="auto"/>
              </w:rPr>
              <w:t>24.8%</w:t>
            </w:r>
          </w:p>
        </w:tc>
      </w:tr>
      <w:tr>
        <w:trPr>
          <w:trHeight w:val="166"/>
        </w:trPr>
        <w:tc>
          <w:tcPr>
            <w:tcW w:w="5680" w:type="dxa"/>
            <w:vAlign w:val="bottom"/>
          </w:tcPr>
          <w:p>
            <w:pPr>
              <w:spacing w:after="0"/>
              <w:rPr>
                <w:sz w:val="14"/>
                <w:szCs w:val="14"/>
                <w:color w:val="auto"/>
              </w:rPr>
            </w:pPr>
          </w:p>
        </w:tc>
        <w:tc>
          <w:tcPr>
            <w:tcW w:w="1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Borders>
              <w:top w:val="single" w:sz="8" w:color="auto"/>
              <w:bottom w:val="single" w:sz="8" w:color="auto"/>
            </w:tcBorders>
          </w:tcPr>
          <w:p>
            <w:pPr>
              <w:spacing w:after="0"/>
              <w:rPr>
                <w:sz w:val="14"/>
                <w:szCs w:val="14"/>
                <w:color w:val="auto"/>
              </w:rPr>
            </w:pPr>
          </w:p>
        </w:tc>
      </w:tr>
      <w:tr>
        <w:trPr>
          <w:trHeight w:val="210"/>
        </w:trPr>
        <w:tc>
          <w:tcPr>
            <w:tcW w:w="5680" w:type="dxa"/>
            <w:vAlign w:val="bottom"/>
          </w:tcPr>
          <w:p>
            <w:pPr>
              <w:spacing w:after="0"/>
              <w:rPr>
                <w:sz w:val="20"/>
                <w:szCs w:val="20"/>
                <w:color w:val="auto"/>
              </w:rPr>
            </w:pPr>
            <w:r>
              <w:rPr>
                <w:rFonts w:ascii="Arial" w:cs="Arial" w:eastAsia="Arial" w:hAnsi="Arial"/>
                <w:sz w:val="14"/>
                <w:szCs w:val="14"/>
                <w:color w:val="auto"/>
              </w:rPr>
              <w:t>Operating income from continuing operations</w:t>
            </w: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77.5</w:t>
            </w:r>
          </w:p>
        </w:tc>
        <w:tc>
          <w:tcPr>
            <w:tcW w:w="10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w:t>
            </w:r>
          </w:p>
        </w:tc>
      </w:tr>
      <w:tr>
        <w:trPr>
          <w:trHeight w:val="3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Interest expense, net</w:t>
            </w:r>
          </w:p>
        </w:tc>
        <w:tc>
          <w:tcPr>
            <w:tcW w:w="64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8"/>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Gain on acquisitions</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47"/>
        </w:trPr>
        <w:tc>
          <w:tcPr>
            <w:tcW w:w="5680" w:type="dxa"/>
            <w:vAlign w:val="bottom"/>
          </w:tcPr>
          <w:p>
            <w:pPr>
              <w:ind w:left="220"/>
              <w:spacing w:after="0"/>
              <w:rPr>
                <w:sz w:val="20"/>
                <w:szCs w:val="20"/>
                <w:color w:val="auto"/>
              </w:rPr>
            </w:pPr>
            <w:r>
              <w:rPr>
                <w:rFonts w:ascii="Arial" w:cs="Arial" w:eastAsia="Arial" w:hAnsi="Arial"/>
                <w:sz w:val="14"/>
                <w:szCs w:val="14"/>
                <w:color w:val="auto"/>
              </w:rPr>
              <w:t>Foreign exchange and other (losses) gains</w:t>
            </w: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r>
      <w:tr>
        <w:trPr>
          <w:trHeight w:val="218"/>
        </w:trPr>
        <w:tc>
          <w:tcPr>
            <w:tcW w:w="5680" w:type="dxa"/>
            <w:vAlign w:val="bottom"/>
          </w:tcPr>
          <w:p>
            <w:pPr>
              <w:spacing w:after="0"/>
              <w:rPr>
                <w:sz w:val="20"/>
                <w:szCs w:val="20"/>
                <w:color w:val="auto"/>
              </w:rPr>
            </w:pPr>
            <w:r>
              <w:rPr>
                <w:rFonts w:ascii="Arial" w:cs="Arial" w:eastAsia="Arial" w:hAnsi="Arial"/>
                <w:sz w:val="14"/>
                <w:szCs w:val="14"/>
                <w:color w:val="auto"/>
              </w:rPr>
              <w:t>Income from continuing operations before tax</w:t>
            </w: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113.2</w:t>
            </w:r>
          </w:p>
        </w:tc>
        <w:tc>
          <w:tcPr>
            <w:tcW w:w="10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(71.8%)</w:t>
            </w:r>
          </w:p>
        </w:tc>
      </w:tr>
      <w:tr>
        <w:trPr>
          <w:trHeight w:val="363"/>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Income tax expense</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47"/>
        </w:trPr>
        <w:tc>
          <w:tcPr>
            <w:tcW w:w="5680" w:type="dxa"/>
            <w:vAlign w:val="bottom"/>
          </w:tcPr>
          <w:p>
            <w:pPr>
              <w:ind w:left="220"/>
              <w:spacing w:after="0"/>
              <w:rPr>
                <w:sz w:val="20"/>
                <w:szCs w:val="20"/>
                <w:color w:val="auto"/>
              </w:rPr>
            </w:pPr>
            <w:r>
              <w:rPr>
                <w:rFonts w:ascii="Arial" w:cs="Arial" w:eastAsia="Arial" w:hAnsi="Arial"/>
                <w:sz w:val="14"/>
                <w:szCs w:val="14"/>
                <w:color w:val="auto"/>
              </w:rPr>
              <w:t>Losses from equity method investments</w:t>
            </w: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r>
      <w:tr>
        <w:trPr>
          <w:trHeight w:val="218"/>
        </w:trPr>
        <w:tc>
          <w:tcPr>
            <w:tcW w:w="6840" w:type="dxa"/>
            <w:vAlign w:val="bottom"/>
            <w:gridSpan w:val="2"/>
          </w:tcPr>
          <w:p>
            <w:pPr>
              <w:spacing w:after="0"/>
              <w:rPr>
                <w:sz w:val="20"/>
                <w:szCs w:val="20"/>
                <w:color w:val="auto"/>
              </w:rPr>
            </w:pPr>
            <w:r>
              <w:rPr>
                <w:rFonts w:ascii="Arial" w:cs="Arial" w:eastAsia="Arial" w:hAnsi="Arial"/>
                <w:sz w:val="14"/>
                <w:szCs w:val="14"/>
                <w:color w:val="auto"/>
              </w:rPr>
              <w:t>Net income from continuing operations</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85.9</w:t>
            </w:r>
          </w:p>
        </w:tc>
        <w:tc>
          <w:tcPr>
            <w:tcW w:w="2020" w:type="dxa"/>
            <w:vAlign w:val="bottom"/>
            <w:gridSpan w:val="2"/>
          </w:tcPr>
          <w:p>
            <w:pPr>
              <w:jc w:val="right"/>
              <w:spacing w:after="0"/>
              <w:rPr>
                <w:sz w:val="20"/>
                <w:szCs w:val="20"/>
                <w:color w:val="auto"/>
              </w:rPr>
            </w:pPr>
            <w:r>
              <w:rPr>
                <w:rFonts w:ascii="Arial" w:cs="Arial" w:eastAsia="Arial" w:hAnsi="Arial"/>
                <w:sz w:val="14"/>
                <w:szCs w:val="14"/>
                <w:color w:val="auto"/>
              </w:rPr>
              <w:t>(63.8%)</w:t>
            </w:r>
          </w:p>
        </w:tc>
      </w:tr>
      <w:tr>
        <w:trPr>
          <w:trHeight w:val="143"/>
        </w:trPr>
        <w:tc>
          <w:tcPr>
            <w:tcW w:w="5680" w:type="dxa"/>
            <w:vAlign w:val="bottom"/>
          </w:tcPr>
          <w:p>
            <w:pPr>
              <w:spacing w:after="0"/>
              <w:rPr>
                <w:sz w:val="12"/>
                <w:szCs w:val="12"/>
                <w:color w:val="auto"/>
              </w:rPr>
            </w:pPr>
          </w:p>
        </w:tc>
        <w:tc>
          <w:tcPr>
            <w:tcW w:w="1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Borders>
              <w:top w:val="single" w:sz="8" w:color="auto"/>
              <w:bottom w:val="single" w:sz="8" w:color="auto"/>
            </w:tcBorders>
          </w:tcPr>
          <w:p>
            <w:pPr>
              <w:spacing w:after="0"/>
              <w:rPr>
                <w:sz w:val="12"/>
                <w:szCs w:val="12"/>
                <w:color w:val="auto"/>
              </w:rPr>
            </w:pPr>
          </w:p>
        </w:tc>
      </w:tr>
      <w:tr>
        <w:trPr>
          <w:trHeight w:val="210"/>
        </w:trPr>
        <w:tc>
          <w:tcPr>
            <w:tcW w:w="6840" w:type="dxa"/>
            <w:vAlign w:val="bottom"/>
            <w:gridSpan w:val="2"/>
          </w:tcPr>
          <w:p>
            <w:pPr>
              <w:spacing w:after="0"/>
              <w:rPr>
                <w:sz w:val="20"/>
                <w:szCs w:val="20"/>
                <w:color w:val="auto"/>
              </w:rPr>
            </w:pPr>
            <w:r>
              <w:rPr>
                <w:rFonts w:ascii="Arial" w:cs="Arial" w:eastAsia="Arial" w:hAnsi="Arial"/>
                <w:sz w:val="14"/>
                <w:szCs w:val="14"/>
                <w:color w:val="auto"/>
              </w:rPr>
              <w:t>Net (loss) income from discontinued operations</w:t>
            </w:r>
          </w:p>
        </w:tc>
        <w:tc>
          <w:tcPr>
            <w:tcW w:w="64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8"/>
                <w:szCs w:val="18"/>
                <w:color w:val="auto"/>
              </w:rPr>
            </w:pPr>
          </w:p>
        </w:tc>
        <w:tc>
          <w:tcPr>
            <w:tcW w:w="1920" w:type="dxa"/>
            <w:vAlign w:val="bottom"/>
          </w:tcPr>
          <w:p>
            <w:pPr>
              <w:jc w:val="right"/>
              <w:ind w:right="129"/>
              <w:spacing w:after="0"/>
              <w:rPr>
                <w:sz w:val="20"/>
                <w:szCs w:val="20"/>
                <w:color w:val="auto"/>
              </w:rPr>
            </w:pPr>
            <w:r>
              <w:rPr>
                <w:rFonts w:ascii="Arial" w:cs="Arial" w:eastAsia="Arial" w:hAnsi="Arial"/>
                <w:sz w:val="14"/>
                <w:szCs w:val="14"/>
                <w:color w:val="auto"/>
              </w:rPr>
              <w:t>—</w:t>
            </w:r>
          </w:p>
        </w:tc>
      </w:tr>
      <w:tr>
        <w:trPr>
          <w:trHeight w:val="155"/>
        </w:trPr>
        <w:tc>
          <w:tcPr>
            <w:tcW w:w="5680" w:type="dxa"/>
            <w:vAlign w:val="bottom"/>
          </w:tcPr>
          <w:p>
            <w:pPr>
              <w:spacing w:after="0"/>
              <w:rPr>
                <w:sz w:val="13"/>
                <w:szCs w:val="13"/>
                <w:color w:val="auto"/>
              </w:rPr>
            </w:pPr>
          </w:p>
        </w:tc>
        <w:tc>
          <w:tcPr>
            <w:tcW w:w="1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Borders>
              <w:top w:val="single" w:sz="8" w:color="auto"/>
              <w:bottom w:val="single" w:sz="8" w:color="auto"/>
            </w:tcBorders>
          </w:tcPr>
          <w:p>
            <w:pPr>
              <w:spacing w:after="0"/>
              <w:rPr>
                <w:sz w:val="13"/>
                <w:szCs w:val="13"/>
                <w:color w:val="auto"/>
              </w:rPr>
            </w:pPr>
          </w:p>
        </w:tc>
      </w:tr>
      <w:tr>
        <w:trPr>
          <w:trHeight w:val="267"/>
        </w:trPr>
        <w:tc>
          <w:tcPr>
            <w:tcW w:w="5680" w:type="dxa"/>
            <w:vAlign w:val="bottom"/>
          </w:tcPr>
          <w:p>
            <w:pPr>
              <w:spacing w:after="0"/>
              <w:rPr>
                <w:sz w:val="20"/>
                <w:szCs w:val="20"/>
                <w:color w:val="auto"/>
              </w:rPr>
            </w:pPr>
            <w:r>
              <w:rPr>
                <w:rFonts w:ascii="Arial" w:cs="Arial" w:eastAsia="Arial" w:hAnsi="Arial"/>
                <w:sz w:val="14"/>
                <w:szCs w:val="14"/>
                <w:color w:val="auto"/>
              </w:rPr>
              <w:t>Net income</w:t>
            </w:r>
          </w:p>
        </w:tc>
        <w:tc>
          <w:tcPr>
            <w:tcW w:w="11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$86.6</w:t>
            </w:r>
          </w:p>
        </w:tc>
        <w:tc>
          <w:tcPr>
            <w:tcW w:w="100" w:type="dxa"/>
            <w:vAlign w:val="bottom"/>
          </w:tcPr>
          <w:p>
            <w:pPr>
              <w:spacing w:after="0"/>
              <w:rPr>
                <w:sz w:val="23"/>
                <w:szCs w:val="23"/>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(75.5%)</w:t>
            </w:r>
          </w:p>
        </w:tc>
      </w:tr>
      <w:tr>
        <w:trPr>
          <w:trHeight w:val="437"/>
        </w:trPr>
        <w:tc>
          <w:tcPr>
            <w:tcW w:w="6840" w:type="dxa"/>
            <w:vAlign w:val="bottom"/>
            <w:gridSpan w:val="2"/>
          </w:tcPr>
          <w:p>
            <w:pPr>
              <w:spacing w:after="0"/>
              <w:rPr>
                <w:sz w:val="20"/>
                <w:szCs w:val="20"/>
                <w:color w:val="auto"/>
              </w:rPr>
            </w:pPr>
            <w:r>
              <w:rPr>
                <w:rFonts w:ascii="Arial" w:cs="Arial" w:eastAsia="Arial" w:hAnsi="Arial"/>
                <w:sz w:val="14"/>
                <w:szCs w:val="14"/>
                <w:color w:val="auto"/>
              </w:rPr>
              <w:t>Basic income (loss) per common share: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8"/>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Continuing operations</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$0.64</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47"/>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Discontinued operations</w:t>
            </w:r>
          </w:p>
        </w:tc>
        <w:tc>
          <w:tcPr>
            <w:tcW w:w="640" w:type="dxa"/>
            <w:vAlign w:val="bottom"/>
          </w:tcPr>
          <w:p>
            <w:pPr>
              <w:jc w:val="right"/>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30"/>
        </w:trPr>
        <w:tc>
          <w:tcPr>
            <w:tcW w:w="568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$0.44</w:t>
            </w: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59"/>
        </w:trPr>
        <w:tc>
          <w:tcPr>
            <w:tcW w:w="6840" w:type="dxa"/>
            <w:vAlign w:val="bottom"/>
            <w:gridSpan w:val="2"/>
          </w:tcPr>
          <w:p>
            <w:pPr>
              <w:spacing w:after="0"/>
              <w:rPr>
                <w:sz w:val="20"/>
                <w:szCs w:val="20"/>
                <w:color w:val="auto"/>
              </w:rPr>
            </w:pPr>
            <w:r>
              <w:rPr>
                <w:rFonts w:ascii="Arial" w:cs="Arial" w:eastAsia="Arial" w:hAnsi="Arial"/>
                <w:sz w:val="14"/>
                <w:szCs w:val="14"/>
                <w:color w:val="auto"/>
              </w:rPr>
              <w:t>Diluted income (loss) per common share: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8"/>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Continuing operations</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$0.63</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47"/>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Discontinued operations</w:t>
            </w:r>
          </w:p>
        </w:tc>
        <w:tc>
          <w:tcPr>
            <w:tcW w:w="640" w:type="dxa"/>
            <w:vAlign w:val="bottom"/>
          </w:tcPr>
          <w:p>
            <w:pPr>
              <w:jc w:val="right"/>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30"/>
        </w:trPr>
        <w:tc>
          <w:tcPr>
            <w:tcW w:w="568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$0.43</w:t>
            </w: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47"/>
        </w:trPr>
        <w:tc>
          <w:tcPr>
            <w:tcW w:w="6840" w:type="dxa"/>
            <w:vAlign w:val="bottom"/>
            <w:gridSpan w:val="2"/>
          </w:tcPr>
          <w:p>
            <w:pPr>
              <w:spacing w:after="0"/>
              <w:rPr>
                <w:sz w:val="20"/>
                <w:szCs w:val="20"/>
                <w:color w:val="auto"/>
              </w:rPr>
            </w:pPr>
            <w:r>
              <w:rPr>
                <w:rFonts w:ascii="Arial" w:cs="Arial" w:eastAsia="Arial" w:hAnsi="Arial"/>
                <w:sz w:val="14"/>
                <w:szCs w:val="14"/>
                <w:color w:val="auto"/>
              </w:rPr>
              <w:t>Weighted average common shares outstanding</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8"/>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Basic</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48.5</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48.1</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8"/>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Diluted</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tabs>
          <w:tab w:leader="none" w:pos="20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Numbers may not add up precisely due to rounding.</w:t>
      </w:r>
    </w:p>
    <w:p>
      <w:pPr>
        <w:sectPr>
          <w:pgSz w:w="11900" w:h="16838" w:orient="portrait"/>
          <w:cols w:equalWidth="0" w:num="1">
            <w:col w:w="11420"/>
          </w:cols>
          <w:pgMar w:left="260" w:top="69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420"/>
          </w:cols>
          <w:pgMar w:left="260" w:top="697" w:right="21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Adjusted Financial Measures (U.S. dollars in millions, except per share amounts)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680" w:type="dxa"/>
            <w:vAlign w:val="bottom"/>
          </w:tcPr>
          <w:p>
            <w:pPr>
              <w:spacing w:after="0"/>
              <w:rPr>
                <w:sz w:val="17"/>
                <w:szCs w:val="17"/>
                <w:color w:val="auto"/>
              </w:rPr>
            </w:pPr>
          </w:p>
        </w:tc>
        <w:tc>
          <w:tcPr>
            <w:tcW w:w="3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8"/>
        </w:trPr>
        <w:tc>
          <w:tcPr>
            <w:tcW w:w="5680" w:type="dxa"/>
            <w:vAlign w:val="bottom"/>
          </w:tcPr>
          <w:p>
            <w:pPr>
              <w:spacing w:after="0"/>
              <w:rPr>
                <w:sz w:val="20"/>
                <w:szCs w:val="20"/>
                <w:color w:val="auto"/>
              </w:rPr>
            </w:pPr>
          </w:p>
        </w:tc>
        <w:tc>
          <w:tcPr>
            <w:tcW w:w="11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2018</w:t>
            </w:r>
          </w:p>
        </w:tc>
        <w:tc>
          <w:tcPr>
            <w:tcW w:w="19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9"/>
                <w:szCs w:val="19"/>
                <w:b w:val="1"/>
                <w:bCs w:val="1"/>
                <w:color w:val="auto"/>
                <w:vertAlign w:val="superscript"/>
              </w:rPr>
              <w:t>(1)</w:t>
            </w:r>
          </w:p>
        </w:tc>
      </w:tr>
      <w:tr>
        <w:trPr>
          <w:trHeight w:val="274"/>
        </w:trPr>
        <w:tc>
          <w:tcPr>
            <w:tcW w:w="6840" w:type="dxa"/>
            <w:vAlign w:val="bottom"/>
            <w:gridSpan w:val="2"/>
          </w:tcPr>
          <w:p>
            <w:pPr>
              <w:spacing w:after="0"/>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9"/>
                <w:szCs w:val="19"/>
                <w:color w:val="auto"/>
                <w:vertAlign w:val="superscript"/>
              </w:rPr>
              <w:t>(1)</w:t>
            </w:r>
          </w:p>
        </w:tc>
        <w:tc>
          <w:tcPr>
            <w:tcW w:w="1940" w:type="dxa"/>
            <w:vAlign w:val="bottom"/>
          </w:tcPr>
          <w:p>
            <w:pPr>
              <w:jc w:val="right"/>
              <w:ind w:right="1329"/>
              <w:spacing w:after="0"/>
              <w:rPr>
                <w:sz w:val="20"/>
                <w:szCs w:val="20"/>
                <w:color w:val="auto"/>
              </w:rPr>
            </w:pPr>
            <w:r>
              <w:rPr>
                <w:rFonts w:ascii="Arial" w:cs="Arial" w:eastAsia="Arial" w:hAnsi="Arial"/>
                <w:sz w:val="14"/>
                <w:szCs w:val="14"/>
                <w:color w:val="auto"/>
              </w:rPr>
              <w:t>$549.6</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$486.0</w:t>
            </w:r>
          </w:p>
        </w:tc>
        <w:tc>
          <w:tcPr>
            <w:tcW w:w="100" w:type="dxa"/>
            <w:vAlign w:val="bottom"/>
          </w:tcPr>
          <w:p>
            <w:pPr>
              <w:spacing w:after="0"/>
              <w:rPr>
                <w:sz w:val="23"/>
                <w:szCs w:val="23"/>
                <w:color w:val="auto"/>
              </w:rPr>
            </w:pPr>
          </w:p>
        </w:tc>
        <w:tc>
          <w:tcPr>
            <w:tcW w:w="1920" w:type="dxa"/>
            <w:vAlign w:val="bottom"/>
          </w:tcPr>
          <w:p>
            <w:pPr>
              <w:jc w:val="right"/>
              <w:ind w:right="9"/>
              <w:spacing w:after="0"/>
              <w:rPr>
                <w:sz w:val="20"/>
                <w:szCs w:val="20"/>
                <w:color w:val="auto"/>
              </w:rPr>
            </w:pPr>
            <w:r>
              <w:rPr>
                <w:rFonts w:ascii="Arial" w:cs="Arial" w:eastAsia="Arial" w:hAnsi="Arial"/>
                <w:sz w:val="14"/>
                <w:szCs w:val="14"/>
                <w:color w:val="auto"/>
              </w:rPr>
              <w:t>13.1%</w:t>
            </w:r>
          </w:p>
        </w:tc>
      </w:tr>
      <w:tr>
        <w:trPr>
          <w:trHeight w:val="238"/>
        </w:trPr>
        <w:tc>
          <w:tcPr>
            <w:tcW w:w="6840" w:type="dxa"/>
            <w:vAlign w:val="bottom"/>
            <w:gridSpan w:val="2"/>
          </w:tcPr>
          <w:p>
            <w:pPr>
              <w:spacing w:after="0"/>
              <w:rPr>
                <w:sz w:val="20"/>
                <w:szCs w:val="20"/>
                <w:color w:val="auto"/>
              </w:rPr>
            </w:pPr>
            <w:r>
              <w:rPr>
                <w:rFonts w:ascii="Arial" w:cs="Arial" w:eastAsia="Arial" w:hAnsi="Arial"/>
                <w:sz w:val="14"/>
                <w:szCs w:val="14"/>
                <w:color w:val="auto"/>
              </w:rPr>
              <w:t xml:space="preserve">Adjusted SG&amp;A </w:t>
            </w:r>
            <w:r>
              <w:rPr>
                <w:rFonts w:ascii="Arial" w:cs="Arial" w:eastAsia="Arial" w:hAnsi="Arial"/>
                <w:sz w:val="19"/>
                <w:szCs w:val="19"/>
                <w:color w:val="auto"/>
                <w:vertAlign w:val="superscript"/>
              </w:rPr>
              <w:t>(1)</w:t>
            </w:r>
          </w:p>
        </w:tc>
        <w:tc>
          <w:tcPr>
            <w:tcW w:w="1940" w:type="dxa"/>
            <w:vAlign w:val="bottom"/>
          </w:tcPr>
          <w:p>
            <w:pPr>
              <w:jc w:val="right"/>
              <w:ind w:right="1329"/>
              <w:spacing w:after="0"/>
              <w:rPr>
                <w:sz w:val="20"/>
                <w:szCs w:val="20"/>
                <w:color w:val="auto"/>
              </w:rPr>
            </w:pPr>
            <w:r>
              <w:rPr>
                <w:rFonts w:ascii="Arial" w:cs="Arial" w:eastAsia="Arial" w:hAnsi="Arial"/>
                <w:sz w:val="14"/>
                <w:szCs w:val="14"/>
                <w:color w:val="auto"/>
              </w:rPr>
              <w:t>301.9</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258.2</w:t>
            </w:r>
          </w:p>
        </w:tc>
        <w:tc>
          <w:tcPr>
            <w:tcW w:w="100" w:type="dxa"/>
            <w:vAlign w:val="bottom"/>
          </w:tcPr>
          <w:p>
            <w:pPr>
              <w:spacing w:after="0"/>
              <w:rPr>
                <w:sz w:val="20"/>
                <w:szCs w:val="20"/>
                <w:color w:val="auto"/>
              </w:rPr>
            </w:pPr>
          </w:p>
        </w:tc>
        <w:tc>
          <w:tcPr>
            <w:tcW w:w="1920" w:type="dxa"/>
            <w:vAlign w:val="bottom"/>
          </w:tcPr>
          <w:p>
            <w:pPr>
              <w:jc w:val="right"/>
              <w:ind w:right="9"/>
              <w:spacing w:after="0"/>
              <w:rPr>
                <w:sz w:val="20"/>
                <w:szCs w:val="20"/>
                <w:color w:val="auto"/>
              </w:rPr>
            </w:pPr>
            <w:r>
              <w:rPr>
                <w:rFonts w:ascii="Arial" w:cs="Arial" w:eastAsia="Arial" w:hAnsi="Arial"/>
                <w:sz w:val="14"/>
                <w:szCs w:val="14"/>
                <w:color w:val="auto"/>
              </w:rPr>
              <w:t>16.9%</w:t>
            </w:r>
          </w:p>
        </w:tc>
      </w:tr>
      <w:tr>
        <w:trPr>
          <w:trHeight w:val="238"/>
        </w:trPr>
        <w:tc>
          <w:tcPr>
            <w:tcW w:w="6840" w:type="dxa"/>
            <w:vAlign w:val="bottom"/>
            <w:gridSpan w:val="2"/>
          </w:tcPr>
          <w:p>
            <w:pPr>
              <w:spacing w:after="0"/>
              <w:rPr>
                <w:sz w:val="20"/>
                <w:szCs w:val="20"/>
                <w:color w:val="auto"/>
              </w:rPr>
            </w:pPr>
            <w:r>
              <w:rPr>
                <w:rFonts w:ascii="Arial" w:cs="Arial" w:eastAsia="Arial" w:hAnsi="Arial"/>
                <w:sz w:val="14"/>
                <w:szCs w:val="14"/>
                <w:color w:val="auto"/>
              </w:rPr>
              <w:t xml:space="preserve">Adjusted R&amp;D </w:t>
            </w:r>
            <w:r>
              <w:rPr>
                <w:rFonts w:ascii="Arial" w:cs="Arial" w:eastAsia="Arial" w:hAnsi="Arial"/>
                <w:sz w:val="19"/>
                <w:szCs w:val="19"/>
                <w:color w:val="auto"/>
                <w:vertAlign w:val="superscript"/>
              </w:rPr>
              <w:t>(1)</w:t>
            </w:r>
          </w:p>
        </w:tc>
        <w:tc>
          <w:tcPr>
            <w:tcW w:w="1940" w:type="dxa"/>
            <w:vAlign w:val="bottom"/>
          </w:tcPr>
          <w:p>
            <w:pPr>
              <w:jc w:val="right"/>
              <w:ind w:right="1329"/>
              <w:spacing w:after="0"/>
              <w:rPr>
                <w:sz w:val="20"/>
                <w:szCs w:val="20"/>
                <w:color w:val="auto"/>
              </w:rPr>
            </w:pPr>
            <w:r>
              <w:rPr>
                <w:rFonts w:ascii="Arial" w:cs="Arial" w:eastAsia="Arial" w:hAnsi="Arial"/>
                <w:sz w:val="14"/>
                <w:szCs w:val="14"/>
                <w:color w:val="auto"/>
              </w:rPr>
              <w:t>99.3</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20"/>
                <w:szCs w:val="20"/>
                <w:color w:val="auto"/>
              </w:rPr>
            </w:pPr>
          </w:p>
        </w:tc>
        <w:tc>
          <w:tcPr>
            <w:tcW w:w="1920" w:type="dxa"/>
            <w:vAlign w:val="bottom"/>
          </w:tcPr>
          <w:p>
            <w:pPr>
              <w:jc w:val="right"/>
              <w:ind w:right="9"/>
              <w:spacing w:after="0"/>
              <w:rPr>
                <w:sz w:val="20"/>
                <w:szCs w:val="20"/>
                <w:color w:val="auto"/>
              </w:rPr>
            </w:pPr>
            <w:r>
              <w:rPr>
                <w:rFonts w:ascii="Arial" w:cs="Arial" w:eastAsia="Arial" w:hAnsi="Arial"/>
                <w:sz w:val="14"/>
                <w:szCs w:val="14"/>
                <w:color w:val="auto"/>
              </w:rPr>
              <w:t>55.2%</w:t>
            </w:r>
          </w:p>
        </w:tc>
      </w:tr>
      <w:tr>
        <w:trPr>
          <w:trHeight w:val="238"/>
        </w:trPr>
        <w:tc>
          <w:tcPr>
            <w:tcW w:w="6840" w:type="dxa"/>
            <w:vAlign w:val="bottom"/>
            <w:gridSpan w:val="2"/>
          </w:tcPr>
          <w:p>
            <w:pPr>
              <w:spacing w:after="0"/>
              <w:rPr>
                <w:sz w:val="20"/>
                <w:szCs w:val="20"/>
                <w:color w:val="auto"/>
              </w:rPr>
            </w:pPr>
            <w:r>
              <w:rPr>
                <w:rFonts w:ascii="Arial" w:cs="Arial" w:eastAsia="Arial" w:hAnsi="Arial"/>
                <w:sz w:val="14"/>
                <w:szCs w:val="14"/>
                <w:color w:val="auto"/>
              </w:rPr>
              <w:t xml:space="preserve">Adjusted operating income from continuing operations </w:t>
            </w:r>
            <w:r>
              <w:rPr>
                <w:rFonts w:ascii="Arial" w:cs="Arial" w:eastAsia="Arial" w:hAnsi="Arial"/>
                <w:sz w:val="19"/>
                <w:szCs w:val="19"/>
                <w:color w:val="auto"/>
                <w:vertAlign w:val="superscript"/>
              </w:rPr>
              <w:t>(1)</w:t>
            </w:r>
          </w:p>
        </w:tc>
        <w:tc>
          <w:tcPr>
            <w:tcW w:w="1940" w:type="dxa"/>
            <w:vAlign w:val="bottom"/>
          </w:tcPr>
          <w:p>
            <w:pPr>
              <w:jc w:val="right"/>
              <w:ind w:right="1329"/>
              <w:spacing w:after="0"/>
              <w:rPr>
                <w:sz w:val="20"/>
                <w:szCs w:val="20"/>
                <w:color w:val="auto"/>
              </w:rPr>
            </w:pPr>
            <w:r>
              <w:rPr>
                <w:rFonts w:ascii="Arial" w:cs="Arial" w:eastAsia="Arial" w:hAnsi="Arial"/>
                <w:sz w:val="14"/>
                <w:szCs w:val="14"/>
                <w:color w:val="auto"/>
              </w:rPr>
              <w:t>148.4</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163.7</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38"/>
        </w:trPr>
        <w:tc>
          <w:tcPr>
            <w:tcW w:w="6840" w:type="dxa"/>
            <w:vAlign w:val="bottom"/>
            <w:gridSpan w:val="2"/>
          </w:tcPr>
          <w:p>
            <w:pPr>
              <w:spacing w:after="0"/>
              <w:rPr>
                <w:sz w:val="20"/>
                <w:szCs w:val="20"/>
                <w:color w:val="auto"/>
              </w:rPr>
            </w:pPr>
            <w:r>
              <w:rPr>
                <w:rFonts w:ascii="Arial" w:cs="Arial" w:eastAsia="Arial" w:hAnsi="Arial"/>
                <w:sz w:val="14"/>
                <w:szCs w:val="14"/>
                <w:color w:val="auto"/>
              </w:rPr>
              <w:t xml:space="preserve">Adjusted income from continuing operations, net of tax </w:t>
            </w:r>
            <w:r>
              <w:rPr>
                <w:rFonts w:ascii="Arial" w:cs="Arial" w:eastAsia="Arial" w:hAnsi="Arial"/>
                <w:sz w:val="19"/>
                <w:szCs w:val="19"/>
                <w:color w:val="auto"/>
                <w:vertAlign w:val="superscript"/>
              </w:rPr>
              <w:t>(1)</w:t>
            </w:r>
          </w:p>
        </w:tc>
        <w:tc>
          <w:tcPr>
            <w:tcW w:w="1940" w:type="dxa"/>
            <w:vAlign w:val="bottom"/>
          </w:tcPr>
          <w:p>
            <w:pPr>
              <w:jc w:val="right"/>
              <w:ind w:right="1329"/>
              <w:spacing w:after="0"/>
              <w:rPr>
                <w:sz w:val="20"/>
                <w:szCs w:val="20"/>
                <w:color w:val="auto"/>
              </w:rPr>
            </w:pPr>
            <w:r>
              <w:rPr>
                <w:rFonts w:ascii="Arial" w:cs="Arial" w:eastAsia="Arial" w:hAnsi="Arial"/>
                <w:sz w:val="14"/>
                <w:szCs w:val="14"/>
                <w:color w:val="auto"/>
              </w:rPr>
              <w:t>120.1</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117.4</w:t>
            </w:r>
          </w:p>
        </w:tc>
        <w:tc>
          <w:tcPr>
            <w:tcW w:w="100" w:type="dxa"/>
            <w:vAlign w:val="bottom"/>
          </w:tcPr>
          <w:p>
            <w:pPr>
              <w:spacing w:after="0"/>
              <w:rPr>
                <w:sz w:val="20"/>
                <w:szCs w:val="20"/>
                <w:color w:val="auto"/>
              </w:rPr>
            </w:pPr>
          </w:p>
        </w:tc>
        <w:tc>
          <w:tcPr>
            <w:tcW w:w="1920" w:type="dxa"/>
            <w:vAlign w:val="bottom"/>
          </w:tcPr>
          <w:p>
            <w:pPr>
              <w:jc w:val="right"/>
              <w:ind w:right="9"/>
              <w:spacing w:after="0"/>
              <w:rPr>
                <w:sz w:val="20"/>
                <w:szCs w:val="20"/>
                <w:color w:val="auto"/>
              </w:rPr>
            </w:pPr>
            <w:r>
              <w:rPr>
                <w:rFonts w:ascii="Arial" w:cs="Arial" w:eastAsia="Arial" w:hAnsi="Arial"/>
                <w:sz w:val="14"/>
                <w:szCs w:val="14"/>
                <w:color w:val="auto"/>
              </w:rPr>
              <w:t>2.3%</w:t>
            </w:r>
          </w:p>
        </w:tc>
      </w:tr>
      <w:tr>
        <w:trPr>
          <w:trHeight w:val="243"/>
        </w:trPr>
        <w:tc>
          <w:tcPr>
            <w:tcW w:w="6840" w:type="dxa"/>
            <w:vAlign w:val="bottom"/>
            <w:gridSpan w:val="2"/>
          </w:tcPr>
          <w:p>
            <w:pPr>
              <w:spacing w:after="0"/>
              <w:rPr>
                <w:sz w:val="20"/>
                <w:szCs w:val="20"/>
                <w:color w:val="auto"/>
              </w:rPr>
            </w:pPr>
            <w:r>
              <w:rPr>
                <w:rFonts w:ascii="Arial" w:cs="Arial" w:eastAsia="Arial" w:hAnsi="Arial"/>
                <w:sz w:val="14"/>
                <w:szCs w:val="14"/>
                <w:color w:val="auto"/>
              </w:rPr>
              <w:t xml:space="preserve">Adjusted diluted earnings per share from continuing operations </w:t>
            </w:r>
            <w:r>
              <w:rPr>
                <w:rFonts w:ascii="Arial" w:cs="Arial" w:eastAsia="Arial" w:hAnsi="Arial"/>
                <w:sz w:val="19"/>
                <w:szCs w:val="19"/>
                <w:color w:val="auto"/>
                <w:vertAlign w:val="superscript"/>
              </w:rPr>
              <w:t>(1)</w:t>
            </w:r>
          </w:p>
        </w:tc>
        <w:tc>
          <w:tcPr>
            <w:tcW w:w="1940" w:type="dxa"/>
            <w:vAlign w:val="bottom"/>
          </w:tcPr>
          <w:p>
            <w:pPr>
              <w:jc w:val="right"/>
              <w:ind w:right="1329"/>
              <w:spacing w:after="0"/>
              <w:rPr>
                <w:sz w:val="20"/>
                <w:szCs w:val="20"/>
                <w:color w:val="auto"/>
              </w:rPr>
            </w:pPr>
            <w:r>
              <w:rPr>
                <w:rFonts w:ascii="Arial" w:cs="Arial" w:eastAsia="Arial" w:hAnsi="Arial"/>
                <w:sz w:val="14"/>
                <w:szCs w:val="14"/>
                <w:color w:val="auto"/>
              </w:rPr>
              <w:t>$2.43</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21"/>
                <w:szCs w:val="21"/>
                <w:color w:val="auto"/>
              </w:rPr>
            </w:pPr>
          </w:p>
        </w:tc>
        <w:tc>
          <w:tcPr>
            <w:tcW w:w="1920" w:type="dxa"/>
            <w:vAlign w:val="bottom"/>
          </w:tcPr>
          <w:p>
            <w:pPr>
              <w:jc w:val="right"/>
              <w:ind w:right="9"/>
              <w:spacing w:after="0"/>
              <w:rPr>
                <w:sz w:val="20"/>
                <w:szCs w:val="20"/>
                <w:color w:val="auto"/>
              </w:rPr>
            </w:pPr>
            <w:r>
              <w:rPr>
                <w:rFonts w:ascii="Arial" w:cs="Arial" w:eastAsia="Arial" w:hAnsi="Arial"/>
                <w:sz w:val="14"/>
                <w:szCs w:val="14"/>
                <w:color w:val="auto"/>
              </w:rPr>
              <w:t>—%</w:t>
            </w:r>
          </w:p>
        </w:tc>
      </w:tr>
    </w:tbl>
    <w:p>
      <w:pPr>
        <w:spacing w:after="0" w:line="239" w:lineRule="exact"/>
        <w:rPr>
          <w:sz w:val="20"/>
          <w:szCs w:val="20"/>
          <w:color w:val="auto"/>
        </w:rPr>
      </w:pPr>
    </w:p>
    <w:p>
      <w:pPr>
        <w:ind w:left="220" w:right="40" w:hanging="215"/>
        <w:spacing w:after="0" w:line="237" w:lineRule="auto"/>
        <w:tabs>
          <w:tab w:leader="none" w:pos="220" w:val="left"/>
        </w:tabs>
        <w:numPr>
          <w:ilvl w:val="0"/>
          <w:numId w:val="7"/>
        </w:numPr>
        <w:rPr>
          <w:rFonts w:ascii="Arial" w:cs="Arial" w:eastAsia="Arial" w:hAnsi="Arial"/>
          <w:sz w:val="13"/>
          <w:szCs w:val="13"/>
          <w:color w:val="auto"/>
        </w:rPr>
      </w:pPr>
      <w:r>
        <w:rPr>
          <w:rFonts w:ascii="Arial" w:cs="Arial" w:eastAsia="Arial" w:hAnsi="Arial"/>
          <w:sz w:val="13"/>
          <w:szCs w:val="13"/>
          <w:color w:val="auto"/>
        </w:rPr>
        <w:t>Adjusted financial measures are Non-GAAP measures and exclude specified items as described and reconciled in the "Reconciliation of GAAP to non-GAAP Financial Measures" contained in the press release.</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Statistics (as a % of net sales, except for income tax rate)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320" w:type="dxa"/>
            <w:vAlign w:val="bottom"/>
          </w:tcPr>
          <w:p>
            <w:pPr>
              <w:spacing w:after="0"/>
              <w:rPr>
                <w:sz w:val="18"/>
                <w:szCs w:val="18"/>
                <w:color w:val="auto"/>
              </w:rPr>
            </w:pPr>
          </w:p>
        </w:tc>
        <w:tc>
          <w:tcPr>
            <w:tcW w:w="3860" w:type="dxa"/>
            <w:vAlign w:val="bottom"/>
            <w:tcBorders>
              <w:bottom w:val="single" w:sz="8" w:color="auto"/>
            </w:tcBorders>
            <w:gridSpan w:val="4"/>
          </w:tcPr>
          <w:p>
            <w:pPr>
              <w:jc w:val="right"/>
              <w:ind w:right="129"/>
              <w:spacing w:after="0"/>
              <w:rPr>
                <w:sz w:val="20"/>
                <w:szCs w:val="20"/>
                <w:color w:val="auto"/>
              </w:rPr>
            </w:pPr>
            <w:r>
              <w:rPr>
                <w:rFonts w:ascii="Arial" w:cs="Arial" w:eastAsia="Arial" w:hAnsi="Arial"/>
                <w:sz w:val="14"/>
                <w:szCs w:val="14"/>
                <w:b w:val="1"/>
                <w:bCs w:val="1"/>
                <w:color w:val="auto"/>
              </w:rPr>
              <w:t>GAAP Nine Months Ended September 30,</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500" w:type="dxa"/>
            <w:vAlign w:val="bottom"/>
            <w:tcBorders>
              <w:bottom w:val="single" w:sz="8" w:color="auto"/>
            </w:tcBorders>
            <w:gridSpan w:val="3"/>
          </w:tcPr>
          <w:p>
            <w:pPr>
              <w:jc w:val="right"/>
              <w:ind w:right="589"/>
              <w:spacing w:after="0"/>
              <w:rPr>
                <w:sz w:val="20"/>
                <w:szCs w:val="20"/>
                <w:color w:val="auto"/>
              </w:rPr>
            </w:pPr>
            <w:r>
              <w:rPr>
                <w:rFonts w:ascii="Arial" w:cs="Arial" w:eastAsia="Arial" w:hAnsi="Arial"/>
                <w:sz w:val="14"/>
                <w:szCs w:val="14"/>
                <w:b w:val="1"/>
                <w:bCs w:val="1"/>
                <w:color w:val="auto"/>
              </w:rPr>
              <w:t xml:space="preserve">Adjusted </w:t>
            </w:r>
            <w:r>
              <w:rPr>
                <w:rFonts w:ascii="Arial" w:cs="Arial" w:eastAsia="Arial" w:hAnsi="Arial"/>
                <w:sz w:val="19"/>
                <w:szCs w:val="19"/>
                <w:b w:val="1"/>
                <w:bCs w:val="1"/>
                <w:color w:val="auto"/>
                <w:vertAlign w:val="superscript"/>
              </w:rPr>
              <w:t>(1)</w:t>
            </w:r>
            <w:r>
              <w:rPr>
                <w:rFonts w:ascii="Arial" w:cs="Arial" w:eastAsia="Arial" w:hAnsi="Arial"/>
                <w:sz w:val="14"/>
                <w:szCs w:val="14"/>
                <w:b w:val="1"/>
                <w:bCs w:val="1"/>
                <w:color w:val="auto"/>
              </w:rPr>
              <w:t xml:space="preserve"> Nine Months Ended September 30,</w:t>
            </w:r>
          </w:p>
        </w:tc>
      </w:tr>
      <w:tr>
        <w:trPr>
          <w:trHeight w:val="222"/>
        </w:trPr>
        <w:tc>
          <w:tcPr>
            <w:tcW w:w="2320" w:type="dxa"/>
            <w:vAlign w:val="bottom"/>
          </w:tcPr>
          <w:p>
            <w:pPr>
              <w:spacing w:after="0"/>
              <w:rPr>
                <w:sz w:val="19"/>
                <w:szCs w:val="19"/>
                <w:color w:val="auto"/>
              </w:rPr>
            </w:pPr>
          </w:p>
        </w:tc>
        <w:tc>
          <w:tcPr>
            <w:tcW w:w="15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Borders>
              <w:bottom w:val="single" w:sz="8" w:color="auto"/>
            </w:tcBorders>
          </w:tcPr>
          <w:p>
            <w:pPr>
              <w:jc w:val="right"/>
              <w:ind w:right="84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200" w:type="dxa"/>
            <w:vAlign w:val="bottom"/>
            <w:tcBorders>
              <w:bottom w:val="single" w:sz="8" w:color="auto"/>
            </w:tcBorders>
          </w:tcPr>
          <w:p>
            <w:pPr>
              <w:jc w:val="right"/>
              <w:ind w:right="869"/>
              <w:spacing w:after="0"/>
              <w:rPr>
                <w:sz w:val="20"/>
                <w:szCs w:val="20"/>
                <w:color w:val="auto"/>
              </w:rPr>
            </w:pPr>
            <w:r>
              <w:rPr>
                <w:rFonts w:ascii="Arial" w:cs="Arial" w:eastAsia="Arial" w:hAnsi="Arial"/>
                <w:sz w:val="14"/>
                <w:szCs w:val="14"/>
                <w:b w:val="1"/>
                <w:bCs w:val="1"/>
                <w:color w:val="auto"/>
              </w:rPr>
              <w:t>2017</w:t>
            </w:r>
          </w:p>
        </w:tc>
      </w:tr>
      <w:tr>
        <w:trPr>
          <w:trHeight w:val="208"/>
        </w:trPr>
        <w:tc>
          <w:tcPr>
            <w:tcW w:w="384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680" w:type="dxa"/>
            <w:vAlign w:val="bottom"/>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65.3%</w:t>
            </w:r>
          </w:p>
        </w:tc>
        <w:tc>
          <w:tcPr>
            <w:tcW w:w="1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67.8%</w:t>
            </w:r>
          </w:p>
        </w:tc>
        <w:tc>
          <w:tcPr>
            <w:tcW w:w="12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66.2%</w:t>
            </w:r>
          </w:p>
        </w:tc>
      </w:tr>
      <w:tr>
        <w:trPr>
          <w:trHeight w:val="238"/>
        </w:trPr>
        <w:tc>
          <w:tcPr>
            <w:tcW w:w="3840" w:type="dxa"/>
            <w:vAlign w:val="bottom"/>
            <w:gridSpan w:val="2"/>
          </w:tcPr>
          <w:p>
            <w:pPr>
              <w:spacing w:after="0"/>
              <w:rPr>
                <w:sz w:val="20"/>
                <w:szCs w:val="20"/>
                <w:color w:val="auto"/>
              </w:rPr>
            </w:pPr>
            <w:r>
              <w:rPr>
                <w:rFonts w:ascii="Arial" w:cs="Arial" w:eastAsia="Arial" w:hAnsi="Arial"/>
                <w:sz w:val="14"/>
                <w:szCs w:val="14"/>
                <w:color w:val="auto"/>
              </w:rPr>
              <w:t>SG&amp;A</w:t>
            </w:r>
          </w:p>
        </w:tc>
        <w:tc>
          <w:tcPr>
            <w:tcW w:w="680" w:type="dxa"/>
            <w:vAlign w:val="bottom"/>
          </w:tcPr>
          <w:p>
            <w:pPr>
              <w:jc w:val="right"/>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35.2%</w:t>
            </w:r>
          </w:p>
        </w:tc>
      </w:tr>
      <w:tr>
        <w:trPr>
          <w:trHeight w:val="238"/>
        </w:trPr>
        <w:tc>
          <w:tcPr>
            <w:tcW w:w="3840" w:type="dxa"/>
            <w:vAlign w:val="bottom"/>
            <w:gridSpan w:val="2"/>
          </w:tcPr>
          <w:p>
            <w:pPr>
              <w:spacing w:after="0"/>
              <w:rPr>
                <w:sz w:val="20"/>
                <w:szCs w:val="20"/>
                <w:color w:val="auto"/>
              </w:rPr>
            </w:pPr>
            <w:r>
              <w:rPr>
                <w:rFonts w:ascii="Arial" w:cs="Arial" w:eastAsia="Arial" w:hAnsi="Arial"/>
                <w:sz w:val="14"/>
                <w:szCs w:val="14"/>
                <w:color w:val="auto"/>
              </w:rPr>
              <w:t>R&amp;D</w:t>
            </w:r>
          </w:p>
        </w:tc>
        <w:tc>
          <w:tcPr>
            <w:tcW w:w="68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8.7%</w:t>
            </w:r>
          </w:p>
        </w:tc>
      </w:tr>
      <w:tr>
        <w:trPr>
          <w:trHeight w:val="209"/>
        </w:trPr>
        <w:tc>
          <w:tcPr>
            <w:tcW w:w="3840" w:type="dxa"/>
            <w:vAlign w:val="bottom"/>
            <w:gridSpan w:val="2"/>
          </w:tcPr>
          <w:p>
            <w:pPr>
              <w:spacing w:after="0"/>
              <w:rPr>
                <w:sz w:val="20"/>
                <w:szCs w:val="20"/>
                <w:color w:val="auto"/>
              </w:rPr>
            </w:pPr>
            <w:r>
              <w:rPr>
                <w:rFonts w:ascii="Arial" w:cs="Arial" w:eastAsia="Arial" w:hAnsi="Arial"/>
                <w:sz w:val="14"/>
                <w:szCs w:val="14"/>
                <w:color w:val="auto"/>
              </w:rPr>
              <w:t>Operating income from continuing</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171"/>
        </w:trPr>
        <w:tc>
          <w:tcPr>
            <w:tcW w:w="3840" w:type="dxa"/>
            <w:vAlign w:val="bottom"/>
            <w:gridSpan w:val="2"/>
          </w:tcPr>
          <w:p>
            <w:pPr>
              <w:spacing w:after="0"/>
              <w:rPr>
                <w:sz w:val="20"/>
                <w:szCs w:val="20"/>
                <w:color w:val="auto"/>
              </w:rPr>
            </w:pPr>
            <w:r>
              <w:rPr>
                <w:rFonts w:ascii="Arial" w:cs="Arial" w:eastAsia="Arial" w:hAnsi="Arial"/>
                <w:sz w:val="14"/>
                <w:szCs w:val="14"/>
                <w:color w:val="auto"/>
              </w:rPr>
              <w:t>operations</w:t>
            </w:r>
          </w:p>
        </w:tc>
        <w:tc>
          <w:tcPr>
            <w:tcW w:w="68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22.3%</w:t>
            </w:r>
          </w:p>
        </w:tc>
      </w:tr>
      <w:tr>
        <w:trPr>
          <w:trHeight w:val="209"/>
        </w:trPr>
        <w:tc>
          <w:tcPr>
            <w:tcW w:w="3840" w:type="dxa"/>
            <w:vAlign w:val="bottom"/>
            <w:gridSpan w:val="2"/>
          </w:tcPr>
          <w:p>
            <w:pPr>
              <w:spacing w:after="0"/>
              <w:rPr>
                <w:sz w:val="20"/>
                <w:szCs w:val="20"/>
                <w:color w:val="auto"/>
              </w:rPr>
            </w:pPr>
            <w:r>
              <w:rPr>
                <w:rFonts w:ascii="Arial" w:cs="Arial" w:eastAsia="Arial" w:hAnsi="Arial"/>
                <w:sz w:val="14"/>
                <w:szCs w:val="14"/>
                <w:color w:val="auto"/>
              </w:rPr>
              <w:t>Income from continuing</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171"/>
        </w:trPr>
        <w:tc>
          <w:tcPr>
            <w:tcW w:w="3840" w:type="dxa"/>
            <w:vAlign w:val="bottom"/>
            <w:gridSpan w:val="2"/>
          </w:tcPr>
          <w:p>
            <w:pPr>
              <w:spacing w:after="0"/>
              <w:rPr>
                <w:sz w:val="20"/>
                <w:szCs w:val="20"/>
                <w:color w:val="auto"/>
              </w:rPr>
            </w:pPr>
            <w:r>
              <w:rPr>
                <w:rFonts w:ascii="Arial" w:cs="Arial" w:eastAsia="Arial" w:hAnsi="Arial"/>
                <w:sz w:val="14"/>
                <w:szCs w:val="14"/>
                <w:color w:val="auto"/>
              </w:rPr>
              <w:t>operations, net of tax</w:t>
            </w:r>
          </w:p>
        </w:tc>
        <w:tc>
          <w:tcPr>
            <w:tcW w:w="68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16.0%</w:t>
            </w:r>
          </w:p>
        </w:tc>
      </w:tr>
      <w:tr>
        <w:trPr>
          <w:trHeight w:val="238"/>
        </w:trPr>
        <w:tc>
          <w:tcPr>
            <w:tcW w:w="3840" w:type="dxa"/>
            <w:vAlign w:val="bottom"/>
            <w:gridSpan w:val="2"/>
          </w:tcPr>
          <w:p>
            <w:pPr>
              <w:spacing w:after="0"/>
              <w:rPr>
                <w:sz w:val="20"/>
                <w:szCs w:val="20"/>
                <w:color w:val="auto"/>
              </w:rPr>
            </w:pPr>
            <w:r>
              <w:rPr>
                <w:rFonts w:ascii="Arial" w:cs="Arial" w:eastAsia="Arial" w:hAnsi="Arial"/>
                <w:sz w:val="14"/>
                <w:szCs w:val="14"/>
                <w:color w:val="auto"/>
              </w:rPr>
              <w:t>Income tax rate</w:t>
            </w:r>
          </w:p>
        </w:tc>
        <w:tc>
          <w:tcPr>
            <w:tcW w:w="68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23.7%</w:t>
            </w:r>
          </w:p>
        </w:tc>
      </w:tr>
    </w:tbl>
    <w:p>
      <w:pPr>
        <w:spacing w:after="0" w:line="307" w:lineRule="exact"/>
        <w:rPr>
          <w:sz w:val="20"/>
          <w:szCs w:val="20"/>
          <w:color w:val="auto"/>
        </w:rPr>
      </w:pPr>
    </w:p>
    <w:p>
      <w:pPr>
        <w:ind w:left="440" w:right="40" w:hanging="322"/>
        <w:spacing w:after="0" w:line="237" w:lineRule="auto"/>
        <w:tabs>
          <w:tab w:leader="none" w:pos="440" w:val="left"/>
        </w:tabs>
        <w:numPr>
          <w:ilvl w:val="0"/>
          <w:numId w:val="8"/>
        </w:numPr>
        <w:rPr>
          <w:rFonts w:ascii="Arial" w:cs="Arial" w:eastAsia="Arial" w:hAnsi="Arial"/>
          <w:sz w:val="13"/>
          <w:szCs w:val="13"/>
          <w:color w:val="auto"/>
        </w:rPr>
      </w:pPr>
      <w:r>
        <w:rPr>
          <w:rFonts w:ascii="Arial" w:cs="Arial" w:eastAsia="Arial" w:hAnsi="Arial"/>
          <w:sz w:val="13"/>
          <w:szCs w:val="13"/>
          <w:color w:val="auto"/>
        </w:rPr>
        <w:t>Adjusted financial measures are Non-GAAP measures and exclude specified items as described and reconciled in the "Reconciliation of GAAP to non-GAAP Financial Measures" contained in the press release.</w:t>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420"/>
          </w:cols>
          <w:pgMar w:left="260" w:top="701" w:right="219" w:bottom="1440" w:gutter="0" w:footer="0" w:header="0"/>
        </w:sectPr>
      </w:pPr>
    </w:p>
    <w:bookmarkStart w:id="16" w:name="page17"/>
    <w:bookmarkEnd w:id="16"/>
    <w:p>
      <w:pPr>
        <w:ind w:left="21"/>
        <w:spacing w:after="0"/>
        <w:rPr>
          <w:sz w:val="20"/>
          <w:szCs w:val="20"/>
          <w:color w:val="auto"/>
        </w:rPr>
      </w:pPr>
      <w:r>
        <w:rPr>
          <w:rFonts w:ascii="Arial" w:cs="Arial" w:eastAsia="Arial" w:hAnsi="Arial"/>
          <w:sz w:val="13"/>
          <w:szCs w:val="13"/>
          <w:b w:val="1"/>
          <w:bCs w:val="1"/>
          <w:color w:val="auto"/>
        </w:rPr>
        <w:t>RECONCILIATION OF GAAP TO NON-GAAP FINANCIAL MEASURES - UNAUDITED</w:t>
      </w:r>
    </w:p>
    <w:p>
      <w:pPr>
        <w:spacing w:after="0" w:line="9" w:lineRule="exact"/>
        <w:rPr>
          <w:sz w:val="20"/>
          <w:szCs w:val="20"/>
          <w:color w:val="auto"/>
        </w:rPr>
      </w:pPr>
    </w:p>
    <w:p>
      <w:pPr>
        <w:ind w:left="21"/>
        <w:spacing w:after="0"/>
        <w:rPr>
          <w:sz w:val="20"/>
          <w:szCs w:val="20"/>
          <w:color w:val="auto"/>
        </w:rPr>
      </w:pPr>
      <w:r>
        <w:rPr>
          <w:rFonts w:ascii="Arial" w:cs="Arial" w:eastAsia="Arial" w:hAnsi="Arial"/>
          <w:sz w:val="13"/>
          <w:szCs w:val="13"/>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8255</wp:posOffset>
            </wp:positionV>
            <wp:extent cx="722503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5030" cy="7620"/>
                    </a:xfrm>
                    <a:prstGeom prst="rect">
                      <a:avLst/>
                    </a:prstGeom>
                    <a:noFill/>
                  </pic:spPr>
                </pic:pic>
              </a:graphicData>
            </a:graphic>
          </wp:anchor>
        </w:drawing>
      </w:r>
    </w:p>
    <w:p>
      <w:pPr>
        <w:spacing w:after="0" w:line="80" w:lineRule="exact"/>
        <w:rPr>
          <w:sz w:val="20"/>
          <w:szCs w:val="20"/>
          <w:color w:val="auto"/>
        </w:rPr>
      </w:pPr>
    </w:p>
    <w:tbl>
      <w:tblPr>
        <w:tblLayout w:type="fixed"/>
        <w:tblInd w:w="21" w:type="dxa"/>
        <w:tblCellMar>
          <w:top w:w="0" w:type="dxa"/>
          <w:left w:w="0" w:type="dxa"/>
          <w:bottom w:w="0" w:type="dxa"/>
          <w:right w:w="0" w:type="dxa"/>
        </w:tblCellMar>
      </w:tblPr>
      <w:tr>
        <w:trPr>
          <w:trHeight w:val="154"/>
        </w:trPr>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1"/>
                <w:szCs w:val="11"/>
                <w:b w:val="1"/>
                <w:bCs w:val="1"/>
                <w:color w:val="auto"/>
              </w:rPr>
              <w:t>Specified Items</w:t>
            </w:r>
          </w:p>
        </w:tc>
        <w:tc>
          <w:tcPr>
            <w:tcW w:w="9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Depreciation</w:t>
            </w: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Non-recurring</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Merger &amp;</w:t>
            </w:r>
          </w:p>
        </w:tc>
        <w:tc>
          <w:tcPr>
            <w:tcW w:w="88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and</w:t>
            </w:r>
          </w:p>
        </w:tc>
        <w:tc>
          <w:tcPr>
            <w:tcW w:w="8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Product</w:t>
            </w:r>
          </w:p>
        </w:tc>
        <w:tc>
          <w:tcPr>
            <w:tcW w:w="760" w:type="dxa"/>
            <w:vAlign w:val="bottom"/>
          </w:tcPr>
          <w:p>
            <w:pPr>
              <w:spacing w:after="0"/>
              <w:rPr>
                <w:sz w:val="10"/>
                <w:szCs w:val="10"/>
                <w:color w:val="auto"/>
              </w:rPr>
            </w:pPr>
          </w:p>
        </w:tc>
        <w:tc>
          <w:tcPr>
            <w:tcW w:w="620" w:type="dxa"/>
            <w:vAlign w:val="bottom"/>
          </w:tcPr>
          <w:p>
            <w:pPr>
              <w:jc w:val="center"/>
              <w:ind w:right="20"/>
              <w:spacing w:after="0" w:line="119" w:lineRule="exact"/>
              <w:rPr>
                <w:sz w:val="20"/>
                <w:szCs w:val="20"/>
                <w:color w:val="auto"/>
              </w:rPr>
            </w:pPr>
            <w:r>
              <w:rPr>
                <w:rFonts w:ascii="Arial" w:cs="Arial" w:eastAsia="Arial" w:hAnsi="Arial"/>
                <w:sz w:val="11"/>
                <w:szCs w:val="11"/>
                <w:b w:val="1"/>
                <w:bCs w:val="1"/>
                <w:color w:val="auto"/>
              </w:rPr>
              <w:t>CRM</w:t>
            </w:r>
          </w:p>
        </w:tc>
        <w:tc>
          <w:tcPr>
            <w:tcW w:w="9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Legal and</w:t>
            </w:r>
          </w:p>
        </w:tc>
        <w:tc>
          <w:tcPr>
            <w:tcW w:w="9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Stock-based</w:t>
            </w:r>
          </w:p>
        </w:tc>
        <w:tc>
          <w:tcPr>
            <w:tcW w:w="82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Certain</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Three Months Ended</w:t>
            </w:r>
          </w:p>
        </w:tc>
        <w:tc>
          <w:tcPr>
            <w:tcW w:w="6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GAAP</w:t>
            </w:r>
          </w:p>
        </w:tc>
        <w:tc>
          <w:tcPr>
            <w:tcW w:w="7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Integration</w:t>
            </w:r>
          </w:p>
        </w:tc>
        <w:tc>
          <w:tcPr>
            <w:tcW w:w="8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Restructuring</w:t>
            </w:r>
          </w:p>
        </w:tc>
        <w:tc>
          <w:tcPr>
            <w:tcW w:w="8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Amortization</w:t>
            </w:r>
          </w:p>
        </w:tc>
        <w:tc>
          <w:tcPr>
            <w:tcW w:w="8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9"/>
              </w:rPr>
              <w:t>Remediation</w:t>
            </w:r>
          </w:p>
        </w:tc>
        <w:tc>
          <w:tcPr>
            <w:tcW w:w="7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Acquisition</w:t>
            </w:r>
          </w:p>
        </w:tc>
        <w:tc>
          <w:tcPr>
            <w:tcW w:w="620" w:type="dxa"/>
            <w:vAlign w:val="bottom"/>
          </w:tcPr>
          <w:p>
            <w:pPr>
              <w:jc w:val="center"/>
              <w:ind w:right="20"/>
              <w:spacing w:after="0" w:line="119" w:lineRule="exact"/>
              <w:rPr>
                <w:sz w:val="20"/>
                <w:szCs w:val="20"/>
                <w:color w:val="auto"/>
              </w:rPr>
            </w:pPr>
            <w:r>
              <w:rPr>
                <w:rFonts w:ascii="Arial" w:cs="Arial" w:eastAsia="Arial" w:hAnsi="Arial"/>
                <w:sz w:val="11"/>
                <w:szCs w:val="11"/>
                <w:b w:val="1"/>
                <w:bCs w:val="1"/>
                <w:color w:val="auto"/>
              </w:rPr>
              <w:t>Disposal</w:t>
            </w:r>
          </w:p>
        </w:tc>
        <w:tc>
          <w:tcPr>
            <w:tcW w:w="9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9"/>
              </w:rPr>
              <w:t>Contingent</w:t>
            </w:r>
          </w:p>
        </w:tc>
        <w:tc>
          <w:tcPr>
            <w:tcW w:w="9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Compensation</w:t>
            </w:r>
          </w:p>
        </w:tc>
        <w:tc>
          <w:tcPr>
            <w:tcW w:w="8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Certain Tax</w:t>
            </w:r>
          </w:p>
        </w:tc>
        <w:tc>
          <w:tcPr>
            <w:tcW w:w="7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Interest</w:t>
            </w:r>
          </w:p>
        </w:tc>
        <w:tc>
          <w:tcPr>
            <w:tcW w:w="6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Adjusted</w:t>
            </w:r>
          </w:p>
        </w:tc>
        <w:tc>
          <w:tcPr>
            <w:tcW w:w="0" w:type="dxa"/>
            <w:vAlign w:val="bottom"/>
          </w:tcPr>
          <w:p>
            <w:pPr>
              <w:spacing w:after="0"/>
              <w:rPr>
                <w:sz w:val="1"/>
                <w:szCs w:val="1"/>
                <w:color w:val="auto"/>
              </w:rPr>
            </w:pPr>
          </w:p>
        </w:tc>
      </w:tr>
      <w:tr>
        <w:trPr>
          <w:trHeight w:val="114"/>
        </w:trPr>
        <w:tc>
          <w:tcPr>
            <w:tcW w:w="2060" w:type="dxa"/>
            <w:vAlign w:val="bottom"/>
            <w:gridSpan w:val="2"/>
            <w:vMerge w:val="continue"/>
          </w:tcPr>
          <w:p>
            <w:pPr>
              <w:spacing w:after="0"/>
              <w:rPr>
                <w:sz w:val="9"/>
                <w:szCs w:val="9"/>
                <w:color w:val="auto"/>
              </w:rPr>
            </w:pPr>
          </w:p>
        </w:tc>
        <w:tc>
          <w:tcPr>
            <w:tcW w:w="6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Financial</w:t>
            </w:r>
          </w:p>
        </w:tc>
        <w:tc>
          <w:tcPr>
            <w:tcW w:w="7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8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7"/>
              </w:rPr>
              <w:t>Expenses</w:t>
            </w:r>
          </w:p>
        </w:tc>
        <w:tc>
          <w:tcPr>
            <w:tcW w:w="8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8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7"/>
              </w:rPr>
              <w:t>Expenses</w:t>
            </w:r>
          </w:p>
        </w:tc>
        <w:tc>
          <w:tcPr>
            <w:tcW w:w="7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Costs</w:t>
            </w:r>
          </w:p>
        </w:tc>
        <w:tc>
          <w:tcPr>
            <w:tcW w:w="6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Costs</w:t>
            </w:r>
          </w:p>
        </w:tc>
        <w:tc>
          <w:tcPr>
            <w:tcW w:w="9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9"/>
              </w:rPr>
              <w:t>Consideration</w:t>
            </w:r>
          </w:p>
        </w:tc>
        <w:tc>
          <w:tcPr>
            <w:tcW w:w="9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8"/>
              </w:rPr>
              <w:t>Costs</w:t>
            </w:r>
          </w:p>
        </w:tc>
        <w:tc>
          <w:tcPr>
            <w:tcW w:w="8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Adjustments</w:t>
            </w:r>
          </w:p>
        </w:tc>
        <w:tc>
          <w:tcPr>
            <w:tcW w:w="7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Adjustments</w:t>
            </w:r>
          </w:p>
        </w:tc>
        <w:tc>
          <w:tcPr>
            <w:tcW w:w="6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Financial</w:t>
            </w:r>
          </w:p>
        </w:tc>
        <w:tc>
          <w:tcPr>
            <w:tcW w:w="0" w:type="dxa"/>
            <w:vAlign w:val="bottom"/>
          </w:tcPr>
          <w:p>
            <w:pPr>
              <w:spacing w:after="0"/>
              <w:rPr>
                <w:sz w:val="1"/>
                <w:szCs w:val="1"/>
                <w:color w:val="auto"/>
              </w:rPr>
            </w:pPr>
          </w:p>
        </w:tc>
      </w:tr>
      <w:tr>
        <w:trPr>
          <w:trHeight w:val="166"/>
        </w:trPr>
        <w:tc>
          <w:tcPr>
            <w:tcW w:w="19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September 30, 2018</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Measures</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(A)</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(B)</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(C)</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(D)</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(E)</w:t>
            </w:r>
          </w:p>
        </w:tc>
        <w:tc>
          <w:tcPr>
            <w:tcW w:w="620" w:type="dxa"/>
            <w:vAlign w:val="bottom"/>
            <w:tcBorders>
              <w:bottom w:val="single" w:sz="8" w:color="auto"/>
            </w:tcBorders>
          </w:tcPr>
          <w:p>
            <w:pPr>
              <w:jc w:val="center"/>
              <w:ind w:right="20"/>
              <w:spacing w:after="0"/>
              <w:rPr>
                <w:sz w:val="20"/>
                <w:szCs w:val="20"/>
                <w:color w:val="auto"/>
              </w:rPr>
            </w:pPr>
            <w:r>
              <w:rPr>
                <w:rFonts w:ascii="Arial" w:cs="Arial" w:eastAsia="Arial" w:hAnsi="Arial"/>
                <w:sz w:val="11"/>
                <w:szCs w:val="11"/>
                <w:b w:val="1"/>
                <w:bCs w:val="1"/>
                <w:color w:val="auto"/>
                <w:w w:val="99"/>
              </w:rPr>
              <w:t>(F)</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(G)</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(H)</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(I)</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(J)</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Measures</w:t>
            </w:r>
          </w:p>
        </w:tc>
        <w:tc>
          <w:tcPr>
            <w:tcW w:w="0" w:type="dxa"/>
            <w:vAlign w:val="bottom"/>
          </w:tcPr>
          <w:p>
            <w:pPr>
              <w:spacing w:after="0"/>
              <w:rPr>
                <w:sz w:val="1"/>
                <w:szCs w:val="1"/>
                <w:color w:val="auto"/>
              </w:rPr>
            </w:pPr>
          </w:p>
        </w:tc>
      </w:tr>
      <w:tr>
        <w:trPr>
          <w:trHeight w:val="220"/>
        </w:trPr>
        <w:tc>
          <w:tcPr>
            <w:tcW w:w="2060" w:type="dxa"/>
            <w:vAlign w:val="bottom"/>
            <w:gridSpan w:val="2"/>
          </w:tcPr>
          <w:p>
            <w:pPr>
              <w:spacing w:after="0"/>
              <w:rPr>
                <w:sz w:val="20"/>
                <w:szCs w:val="20"/>
                <w:color w:val="auto"/>
              </w:rPr>
            </w:pPr>
            <w:r>
              <w:rPr>
                <w:rFonts w:ascii="Arial" w:cs="Arial" w:eastAsia="Arial" w:hAnsi="Arial"/>
                <w:sz w:val="13"/>
                <w:szCs w:val="13"/>
                <w:color w:val="auto"/>
              </w:rPr>
              <w:t>Gross profit</w:t>
            </w:r>
          </w:p>
        </w:tc>
        <w:tc>
          <w:tcPr>
            <w:tcW w:w="680" w:type="dxa"/>
            <w:vAlign w:val="bottom"/>
          </w:tcPr>
          <w:p>
            <w:pPr>
              <w:jc w:val="right"/>
              <w:ind w:right="59"/>
              <w:spacing w:after="0"/>
              <w:rPr>
                <w:sz w:val="20"/>
                <w:szCs w:val="20"/>
                <w:color w:val="auto"/>
              </w:rPr>
            </w:pPr>
            <w:r>
              <w:rPr>
                <w:rFonts w:ascii="Arial" w:cs="Arial" w:eastAsia="Arial" w:hAnsi="Arial"/>
                <w:sz w:val="13"/>
                <w:szCs w:val="13"/>
                <w:color w:val="auto"/>
              </w:rPr>
              <w:t>$174.3</w:t>
            </w: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3"/>
                <w:szCs w:val="13"/>
                <w:color w:val="auto"/>
              </w:rPr>
              <w:t>$5.1</w:t>
            </w:r>
          </w:p>
        </w:tc>
        <w:tc>
          <w:tcPr>
            <w:tcW w:w="800" w:type="dxa"/>
            <w:vAlign w:val="bottom"/>
          </w:tcPr>
          <w:p>
            <w:pPr>
              <w:jc w:val="right"/>
              <w:spacing w:after="0"/>
              <w:rPr>
                <w:sz w:val="20"/>
                <w:szCs w:val="20"/>
                <w:color w:val="auto"/>
              </w:rPr>
            </w:pPr>
            <w:r>
              <w:rPr>
                <w:rFonts w:ascii="Arial" w:cs="Arial" w:eastAsia="Arial" w:hAnsi="Arial"/>
                <w:sz w:val="13"/>
                <w:szCs w:val="13"/>
                <w:color w:val="auto"/>
              </w:rPr>
              <w:t>$3.4</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$0.1</w:t>
            </w:r>
          </w:p>
        </w:tc>
        <w:tc>
          <w:tcPr>
            <w:tcW w:w="620" w:type="dxa"/>
            <w:vAlign w:val="bottom"/>
          </w:tcPr>
          <w:p>
            <w:pPr>
              <w:jc w:val="right"/>
              <w:ind w:right="60"/>
              <w:spacing w:after="0"/>
              <w:rPr>
                <w:sz w:val="20"/>
                <w:szCs w:val="20"/>
                <w:color w:val="auto"/>
              </w:rPr>
            </w:pPr>
            <w:r>
              <w:rPr>
                <w:rFonts w:ascii="Arial" w:cs="Arial" w:eastAsia="Arial" w:hAnsi="Arial"/>
                <w:sz w:val="13"/>
                <w:szCs w:val="13"/>
                <w:color w:val="auto"/>
              </w:rPr>
              <w:t>$0.1</w:t>
            </w:r>
          </w:p>
        </w:tc>
        <w:tc>
          <w:tcPr>
            <w:tcW w:w="920" w:type="dxa"/>
            <w:vAlign w:val="bottom"/>
          </w:tcPr>
          <w:p>
            <w:pPr>
              <w:jc w:val="right"/>
              <w:ind w:right="80"/>
              <w:spacing w:after="0"/>
              <w:rPr>
                <w:sz w:val="20"/>
                <w:szCs w:val="20"/>
                <w:color w:val="auto"/>
              </w:rPr>
            </w:pPr>
            <w:r>
              <w:rPr>
                <w:rFonts w:ascii="Arial" w:cs="Arial" w:eastAsia="Arial" w:hAnsi="Arial"/>
                <w:sz w:val="13"/>
                <w:szCs w:val="13"/>
                <w:color w:val="auto"/>
              </w:rPr>
              <w:t>$2.2</w:t>
            </w:r>
          </w:p>
        </w:tc>
        <w:tc>
          <w:tcPr>
            <w:tcW w:w="940" w:type="dxa"/>
            <w:vAlign w:val="bottom"/>
          </w:tcPr>
          <w:p>
            <w:pPr>
              <w:jc w:val="right"/>
              <w:ind w:right="60"/>
              <w:spacing w:after="0"/>
              <w:rPr>
                <w:sz w:val="20"/>
                <w:szCs w:val="20"/>
                <w:color w:val="auto"/>
              </w:rPr>
            </w:pPr>
            <w:r>
              <w:rPr>
                <w:rFonts w:ascii="Arial" w:cs="Arial" w:eastAsia="Arial" w:hAnsi="Arial"/>
                <w:sz w:val="13"/>
                <w:szCs w:val="13"/>
                <w:color w:val="auto"/>
              </w:rPr>
              <w:t>$0.4</w:t>
            </w: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$185.6</w:t>
            </w:r>
          </w:p>
        </w:tc>
        <w:tc>
          <w:tcPr>
            <w:tcW w:w="0" w:type="dxa"/>
            <w:vAlign w:val="bottom"/>
          </w:tcPr>
          <w:p>
            <w:pPr>
              <w:spacing w:after="0"/>
              <w:rPr>
                <w:sz w:val="1"/>
                <w:szCs w:val="1"/>
                <w:color w:val="auto"/>
              </w:rPr>
            </w:pPr>
          </w:p>
        </w:tc>
      </w:tr>
      <w:tr>
        <w:trPr>
          <w:trHeight w:val="180"/>
        </w:trPr>
        <w:tc>
          <w:tcPr>
            <w:tcW w:w="2060" w:type="dxa"/>
            <w:vAlign w:val="bottom"/>
            <w:gridSpan w:val="2"/>
          </w:tcPr>
          <w:p>
            <w:pPr>
              <w:spacing w:after="0"/>
              <w:rPr>
                <w:sz w:val="20"/>
                <w:szCs w:val="20"/>
                <w:color w:val="auto"/>
              </w:rPr>
            </w:pPr>
            <w:r>
              <w:rPr>
                <w:rFonts w:ascii="Arial" w:cs="Arial" w:eastAsia="Arial" w:hAnsi="Arial"/>
                <w:sz w:val="13"/>
                <w:szCs w:val="13"/>
                <w:color w:val="auto"/>
              </w:rPr>
              <w:t>Selling, general and</w:t>
            </w: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60" w:type="dxa"/>
            <w:vAlign w:val="bottom"/>
            <w:gridSpan w:val="2"/>
          </w:tcPr>
          <w:p>
            <w:pPr>
              <w:spacing w:after="0"/>
              <w:rPr>
                <w:sz w:val="20"/>
                <w:szCs w:val="20"/>
                <w:color w:val="auto"/>
              </w:rPr>
            </w:pPr>
            <w:r>
              <w:rPr>
                <w:rFonts w:ascii="Arial" w:cs="Arial" w:eastAsia="Arial" w:hAnsi="Arial"/>
                <w:sz w:val="13"/>
                <w:szCs w:val="13"/>
                <w:color w:val="auto"/>
              </w:rPr>
              <w:t>administrative</w:t>
            </w:r>
          </w:p>
        </w:tc>
        <w:tc>
          <w:tcPr>
            <w:tcW w:w="680" w:type="dxa"/>
            <w:vAlign w:val="bottom"/>
          </w:tcPr>
          <w:p>
            <w:pPr>
              <w:jc w:val="right"/>
              <w:ind w:right="59"/>
              <w:spacing w:after="0"/>
              <w:rPr>
                <w:sz w:val="20"/>
                <w:szCs w:val="20"/>
                <w:color w:val="auto"/>
              </w:rPr>
            </w:pPr>
            <w:r>
              <w:rPr>
                <w:rFonts w:ascii="Arial" w:cs="Arial" w:eastAsia="Arial" w:hAnsi="Arial"/>
                <w:sz w:val="13"/>
                <w:szCs w:val="13"/>
                <w:color w:val="auto"/>
              </w:rPr>
              <w:t>115.1</w:t>
            </w: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(0.3)</w:t>
            </w:r>
          </w:p>
        </w:tc>
        <w:tc>
          <w:tcPr>
            <w:tcW w:w="8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(0.6)</w:t>
            </w:r>
          </w:p>
        </w:tc>
        <w:tc>
          <w:tcPr>
            <w:tcW w:w="620" w:type="dxa"/>
            <w:vAlign w:val="bottom"/>
          </w:tcPr>
          <w:p>
            <w:pPr>
              <w:jc w:val="right"/>
              <w:ind w:right="20"/>
              <w:spacing w:after="0"/>
              <w:rPr>
                <w:sz w:val="20"/>
                <w:szCs w:val="20"/>
                <w:color w:val="auto"/>
              </w:rPr>
            </w:pPr>
            <w:r>
              <w:rPr>
                <w:rFonts w:ascii="Arial" w:cs="Arial" w:eastAsia="Arial" w:hAnsi="Arial"/>
                <w:sz w:val="13"/>
                <w:szCs w:val="13"/>
                <w:color w:val="auto"/>
              </w:rPr>
              <w:t>(1.4)</w:t>
            </w:r>
          </w:p>
        </w:tc>
        <w:tc>
          <w:tcPr>
            <w:tcW w:w="920" w:type="dxa"/>
            <w:vAlign w:val="bottom"/>
          </w:tcPr>
          <w:p>
            <w:pPr>
              <w:jc w:val="right"/>
              <w:ind w:right="40"/>
              <w:spacing w:after="0"/>
              <w:rPr>
                <w:sz w:val="20"/>
                <w:szCs w:val="20"/>
                <w:color w:val="auto"/>
              </w:rPr>
            </w:pPr>
            <w:r>
              <w:rPr>
                <w:rFonts w:ascii="Arial" w:cs="Arial" w:eastAsia="Arial" w:hAnsi="Arial"/>
                <w:sz w:val="13"/>
                <w:szCs w:val="13"/>
                <w:color w:val="auto"/>
              </w:rPr>
              <w:t>(6.1)</w:t>
            </w:r>
          </w:p>
        </w:tc>
        <w:tc>
          <w:tcPr>
            <w:tcW w:w="940" w:type="dxa"/>
            <w:vAlign w:val="bottom"/>
          </w:tcPr>
          <w:p>
            <w:pPr>
              <w:jc w:val="right"/>
              <w:spacing w:after="0"/>
              <w:rPr>
                <w:sz w:val="20"/>
                <w:szCs w:val="20"/>
                <w:color w:val="auto"/>
              </w:rPr>
            </w:pPr>
            <w:r>
              <w:rPr>
                <w:rFonts w:ascii="Arial" w:cs="Arial" w:eastAsia="Arial" w:hAnsi="Arial"/>
                <w:sz w:val="13"/>
                <w:szCs w:val="13"/>
                <w:color w:val="auto"/>
              </w:rPr>
              <w:t>(5.8)</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100.9</w:t>
            </w:r>
          </w:p>
        </w:tc>
        <w:tc>
          <w:tcPr>
            <w:tcW w:w="0" w:type="dxa"/>
            <w:vAlign w:val="bottom"/>
          </w:tcPr>
          <w:p>
            <w:pPr>
              <w:spacing w:after="0"/>
              <w:rPr>
                <w:sz w:val="1"/>
                <w:szCs w:val="1"/>
                <w:color w:val="auto"/>
              </w:rPr>
            </w:pPr>
          </w:p>
        </w:tc>
      </w:tr>
      <w:tr>
        <w:trPr>
          <w:trHeight w:val="238"/>
        </w:trPr>
        <w:tc>
          <w:tcPr>
            <w:tcW w:w="2060" w:type="dxa"/>
            <w:vAlign w:val="bottom"/>
            <w:gridSpan w:val="2"/>
          </w:tcPr>
          <w:p>
            <w:pPr>
              <w:spacing w:after="0"/>
              <w:rPr>
                <w:sz w:val="20"/>
                <w:szCs w:val="20"/>
                <w:color w:val="auto"/>
              </w:rPr>
            </w:pPr>
            <w:r>
              <w:rPr>
                <w:rFonts w:ascii="Arial" w:cs="Arial" w:eastAsia="Arial" w:hAnsi="Arial"/>
                <w:sz w:val="13"/>
                <w:szCs w:val="13"/>
                <w:color w:val="auto"/>
              </w:rPr>
              <w:t>Research and development</w:t>
            </w:r>
          </w:p>
        </w:tc>
        <w:tc>
          <w:tcPr>
            <w:tcW w:w="680" w:type="dxa"/>
            <w:vAlign w:val="bottom"/>
          </w:tcPr>
          <w:p>
            <w:pPr>
              <w:jc w:val="right"/>
              <w:ind w:right="59"/>
              <w:spacing w:after="0"/>
              <w:rPr>
                <w:sz w:val="20"/>
                <w:szCs w:val="20"/>
                <w:color w:val="auto"/>
              </w:rPr>
            </w:pPr>
            <w:r>
              <w:rPr>
                <w:rFonts w:ascii="Arial" w:cs="Arial" w:eastAsia="Arial" w:hAnsi="Arial"/>
                <w:sz w:val="13"/>
                <w:szCs w:val="13"/>
                <w:color w:val="auto"/>
              </w:rPr>
              <w:t>42.4</w:t>
            </w: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(0.1)</w:t>
            </w:r>
          </w:p>
        </w:tc>
        <w:tc>
          <w:tcPr>
            <w:tcW w:w="8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w:t>
            </w:r>
          </w:p>
        </w:tc>
        <w:tc>
          <w:tcPr>
            <w:tcW w:w="6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3"/>
                <w:szCs w:val="13"/>
                <w:color w:val="auto"/>
              </w:rPr>
              <w:t>(2.0)</w:t>
            </w:r>
          </w:p>
        </w:tc>
        <w:tc>
          <w:tcPr>
            <w:tcW w:w="940" w:type="dxa"/>
            <w:vAlign w:val="bottom"/>
          </w:tcPr>
          <w:p>
            <w:pPr>
              <w:jc w:val="right"/>
              <w:spacing w:after="0"/>
              <w:rPr>
                <w:sz w:val="20"/>
                <w:szCs w:val="20"/>
                <w:color w:val="auto"/>
              </w:rPr>
            </w:pPr>
            <w:r>
              <w:rPr>
                <w:rFonts w:ascii="Arial" w:cs="Arial" w:eastAsia="Arial" w:hAnsi="Arial"/>
                <w:sz w:val="13"/>
                <w:szCs w:val="13"/>
                <w:color w:val="auto"/>
              </w:rPr>
              <w:t>(1.1)</w:t>
            </w: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37.7</w:t>
            </w:r>
          </w:p>
        </w:tc>
        <w:tc>
          <w:tcPr>
            <w:tcW w:w="0" w:type="dxa"/>
            <w:vAlign w:val="bottom"/>
          </w:tcPr>
          <w:p>
            <w:pPr>
              <w:spacing w:after="0"/>
              <w:rPr>
                <w:sz w:val="1"/>
                <w:szCs w:val="1"/>
                <w:color w:val="auto"/>
              </w:rPr>
            </w:pPr>
          </w:p>
        </w:tc>
      </w:tr>
      <w:tr>
        <w:trPr>
          <w:trHeight w:val="238"/>
        </w:trPr>
        <w:tc>
          <w:tcPr>
            <w:tcW w:w="2060" w:type="dxa"/>
            <w:vAlign w:val="bottom"/>
            <w:gridSpan w:val="2"/>
          </w:tcPr>
          <w:p>
            <w:pPr>
              <w:spacing w:after="0"/>
              <w:rPr>
                <w:sz w:val="20"/>
                <w:szCs w:val="20"/>
                <w:color w:val="auto"/>
              </w:rPr>
            </w:pPr>
            <w:r>
              <w:rPr>
                <w:rFonts w:ascii="Arial" w:cs="Arial" w:eastAsia="Arial" w:hAnsi="Arial"/>
                <w:sz w:val="13"/>
                <w:szCs w:val="13"/>
                <w:color w:val="auto"/>
              </w:rPr>
              <w:t>Other operating expenses</w:t>
            </w:r>
          </w:p>
        </w:tc>
        <w:tc>
          <w:tcPr>
            <w:tcW w:w="680" w:type="dxa"/>
            <w:vAlign w:val="bottom"/>
          </w:tcPr>
          <w:p>
            <w:pPr>
              <w:jc w:val="right"/>
              <w:ind w:right="59"/>
              <w:spacing w:after="0"/>
              <w:rPr>
                <w:sz w:val="20"/>
                <w:szCs w:val="20"/>
                <w:color w:val="auto"/>
              </w:rPr>
            </w:pPr>
            <w:r>
              <w:rPr>
                <w:rFonts w:ascii="Arial" w:cs="Arial" w:eastAsia="Arial" w:hAnsi="Arial"/>
                <w:sz w:val="13"/>
                <w:szCs w:val="13"/>
                <w:color w:val="auto"/>
              </w:rPr>
              <w:t>22.6</w:t>
            </w:r>
          </w:p>
        </w:tc>
        <w:tc>
          <w:tcPr>
            <w:tcW w:w="720" w:type="dxa"/>
            <w:vAlign w:val="bottom"/>
          </w:tcPr>
          <w:p>
            <w:pPr>
              <w:jc w:val="right"/>
              <w:spacing w:after="0"/>
              <w:rPr>
                <w:sz w:val="20"/>
                <w:szCs w:val="20"/>
                <w:color w:val="auto"/>
              </w:rPr>
            </w:pPr>
            <w:r>
              <w:rPr>
                <w:rFonts w:ascii="Arial" w:cs="Arial" w:eastAsia="Arial" w:hAnsi="Arial"/>
                <w:sz w:val="13"/>
                <w:szCs w:val="13"/>
                <w:color w:val="auto"/>
              </w:rPr>
              <w:t>(12.7)</w:t>
            </w:r>
          </w:p>
        </w:tc>
        <w:tc>
          <w:tcPr>
            <w:tcW w:w="880" w:type="dxa"/>
            <w:vAlign w:val="bottom"/>
          </w:tcPr>
          <w:p>
            <w:pPr>
              <w:jc w:val="right"/>
              <w:spacing w:after="0"/>
              <w:rPr>
                <w:sz w:val="20"/>
                <w:szCs w:val="20"/>
                <w:color w:val="auto"/>
              </w:rPr>
            </w:pPr>
            <w:r>
              <w:rPr>
                <w:rFonts w:ascii="Arial" w:cs="Arial" w:eastAsia="Arial" w:hAnsi="Arial"/>
                <w:sz w:val="13"/>
                <w:szCs w:val="13"/>
                <w:color w:val="auto"/>
              </w:rPr>
              <w:t>(0.4)</w:t>
            </w:r>
          </w:p>
        </w:tc>
        <w:tc>
          <w:tcPr>
            <w:tcW w:w="800" w:type="dxa"/>
            <w:vAlign w:val="bottom"/>
          </w:tcPr>
          <w:p>
            <w:pPr>
              <w:jc w:val="right"/>
              <w:spacing w:after="0"/>
              <w:rPr>
                <w:sz w:val="20"/>
                <w:szCs w:val="20"/>
                <w:color w:val="auto"/>
              </w:rPr>
            </w:pPr>
            <w:r>
              <w:rPr>
                <w:rFonts w:ascii="Arial" w:cs="Arial" w:eastAsia="Arial" w:hAnsi="Arial"/>
                <w:sz w:val="13"/>
                <w:szCs w:val="13"/>
                <w:color w:val="auto"/>
              </w:rPr>
              <w:t>(9.5)</w:t>
            </w: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2060" w:type="dxa"/>
            <w:vAlign w:val="bottom"/>
            <w:gridSpan w:val="2"/>
          </w:tcPr>
          <w:p>
            <w:pPr>
              <w:spacing w:after="0"/>
              <w:rPr>
                <w:sz w:val="20"/>
                <w:szCs w:val="20"/>
                <w:color w:val="auto"/>
              </w:rPr>
            </w:pPr>
            <w:r>
              <w:rPr>
                <w:rFonts w:ascii="Arial" w:cs="Arial" w:eastAsia="Arial" w:hAnsi="Arial"/>
                <w:sz w:val="13"/>
                <w:szCs w:val="13"/>
                <w:color w:val="auto"/>
              </w:rPr>
              <w:t>Operating (loss) income from</w:t>
            </w: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60" w:type="dxa"/>
            <w:vAlign w:val="bottom"/>
            <w:gridSpan w:val="2"/>
          </w:tcPr>
          <w:p>
            <w:pPr>
              <w:spacing w:after="0"/>
              <w:rPr>
                <w:sz w:val="20"/>
                <w:szCs w:val="20"/>
                <w:color w:val="auto"/>
              </w:rPr>
            </w:pPr>
            <w:r>
              <w:rPr>
                <w:rFonts w:ascii="Arial" w:cs="Arial" w:eastAsia="Arial" w:hAnsi="Arial"/>
                <w:sz w:val="13"/>
                <w:szCs w:val="13"/>
                <w:color w:val="auto"/>
              </w:rPr>
              <w:t>continuing operations</w:t>
            </w:r>
          </w:p>
        </w:tc>
        <w:tc>
          <w:tcPr>
            <w:tcW w:w="680" w:type="dxa"/>
            <w:vAlign w:val="bottom"/>
          </w:tcPr>
          <w:p>
            <w:pPr>
              <w:jc w:val="right"/>
              <w:ind w:right="19"/>
              <w:spacing w:after="0"/>
              <w:rPr>
                <w:sz w:val="20"/>
                <w:szCs w:val="20"/>
                <w:color w:val="auto"/>
              </w:rPr>
            </w:pPr>
            <w:r>
              <w:rPr>
                <w:rFonts w:ascii="Arial" w:cs="Arial" w:eastAsia="Arial" w:hAnsi="Arial"/>
                <w:sz w:val="13"/>
                <w:szCs w:val="13"/>
                <w:color w:val="auto"/>
              </w:rPr>
              <w:t>(5.8)</w:t>
            </w:r>
          </w:p>
        </w:tc>
        <w:tc>
          <w:tcPr>
            <w:tcW w:w="720" w:type="dxa"/>
            <w:vAlign w:val="bottom"/>
          </w:tcPr>
          <w:p>
            <w:pPr>
              <w:jc w:val="right"/>
              <w:ind w:right="40"/>
              <w:spacing w:after="0"/>
              <w:rPr>
                <w:sz w:val="20"/>
                <w:szCs w:val="20"/>
                <w:color w:val="auto"/>
              </w:rPr>
            </w:pPr>
            <w:r>
              <w:rPr>
                <w:rFonts w:ascii="Arial" w:cs="Arial" w:eastAsia="Arial" w:hAnsi="Arial"/>
                <w:sz w:val="13"/>
                <w:szCs w:val="13"/>
                <w:color w:val="auto"/>
              </w:rPr>
              <w:t>12.7</w:t>
            </w:r>
          </w:p>
        </w:tc>
        <w:tc>
          <w:tcPr>
            <w:tcW w:w="880" w:type="dxa"/>
            <w:vAlign w:val="bottom"/>
          </w:tcPr>
          <w:p>
            <w:pPr>
              <w:jc w:val="right"/>
              <w:ind w:right="40"/>
              <w:spacing w:after="0"/>
              <w:rPr>
                <w:sz w:val="20"/>
                <w:szCs w:val="20"/>
                <w:color w:val="auto"/>
              </w:rPr>
            </w:pPr>
            <w:r>
              <w:rPr>
                <w:rFonts w:ascii="Arial" w:cs="Arial" w:eastAsia="Arial" w:hAnsi="Arial"/>
                <w:sz w:val="13"/>
                <w:szCs w:val="13"/>
                <w:color w:val="auto"/>
              </w:rPr>
              <w:t>0.4</w:t>
            </w:r>
          </w:p>
        </w:tc>
        <w:tc>
          <w:tcPr>
            <w:tcW w:w="800" w:type="dxa"/>
            <w:vAlign w:val="bottom"/>
          </w:tcPr>
          <w:p>
            <w:pPr>
              <w:jc w:val="right"/>
              <w:ind w:right="40"/>
              <w:spacing w:after="0"/>
              <w:rPr>
                <w:sz w:val="20"/>
                <w:szCs w:val="20"/>
                <w:color w:val="auto"/>
              </w:rPr>
            </w:pPr>
            <w:r>
              <w:rPr>
                <w:rFonts w:ascii="Arial" w:cs="Arial" w:eastAsia="Arial" w:hAnsi="Arial"/>
                <w:sz w:val="13"/>
                <w:szCs w:val="13"/>
                <w:color w:val="auto"/>
              </w:rPr>
              <w:t>14.9</w:t>
            </w:r>
          </w:p>
        </w:tc>
        <w:tc>
          <w:tcPr>
            <w:tcW w:w="800" w:type="dxa"/>
            <w:vAlign w:val="bottom"/>
          </w:tcPr>
          <w:p>
            <w:pPr>
              <w:jc w:val="right"/>
              <w:spacing w:after="0"/>
              <w:rPr>
                <w:sz w:val="20"/>
                <w:szCs w:val="20"/>
                <w:color w:val="auto"/>
              </w:rPr>
            </w:pPr>
            <w:r>
              <w:rPr>
                <w:rFonts w:ascii="Arial" w:cs="Arial" w:eastAsia="Arial" w:hAnsi="Arial"/>
                <w:sz w:val="13"/>
                <w:szCs w:val="13"/>
                <w:color w:val="auto"/>
              </w:rPr>
              <w:t>3.4</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2.2</w:t>
            </w:r>
          </w:p>
        </w:tc>
        <w:tc>
          <w:tcPr>
            <w:tcW w:w="620" w:type="dxa"/>
            <w:vAlign w:val="bottom"/>
          </w:tcPr>
          <w:p>
            <w:pPr>
              <w:jc w:val="right"/>
              <w:ind w:right="60"/>
              <w:spacing w:after="0"/>
              <w:rPr>
                <w:sz w:val="20"/>
                <w:szCs w:val="20"/>
                <w:color w:val="auto"/>
              </w:rPr>
            </w:pPr>
            <w:r>
              <w:rPr>
                <w:rFonts w:ascii="Arial" w:cs="Arial" w:eastAsia="Arial" w:hAnsi="Arial"/>
                <w:sz w:val="13"/>
                <w:szCs w:val="13"/>
                <w:color w:val="auto"/>
              </w:rPr>
              <w:t>1.5</w:t>
            </w:r>
          </w:p>
        </w:tc>
        <w:tc>
          <w:tcPr>
            <w:tcW w:w="920" w:type="dxa"/>
            <w:vAlign w:val="bottom"/>
          </w:tcPr>
          <w:p>
            <w:pPr>
              <w:jc w:val="right"/>
              <w:ind w:right="80"/>
              <w:spacing w:after="0"/>
              <w:rPr>
                <w:sz w:val="20"/>
                <w:szCs w:val="20"/>
                <w:color w:val="auto"/>
              </w:rPr>
            </w:pPr>
            <w:r>
              <w:rPr>
                <w:rFonts w:ascii="Arial" w:cs="Arial" w:eastAsia="Arial" w:hAnsi="Arial"/>
                <w:sz w:val="13"/>
                <w:szCs w:val="13"/>
                <w:color w:val="auto"/>
              </w:rPr>
              <w:t>10.4</w:t>
            </w:r>
          </w:p>
        </w:tc>
        <w:tc>
          <w:tcPr>
            <w:tcW w:w="940" w:type="dxa"/>
            <w:vAlign w:val="bottom"/>
          </w:tcPr>
          <w:p>
            <w:pPr>
              <w:jc w:val="right"/>
              <w:ind w:right="60"/>
              <w:spacing w:after="0"/>
              <w:rPr>
                <w:sz w:val="20"/>
                <w:szCs w:val="20"/>
                <w:color w:val="auto"/>
              </w:rPr>
            </w:pPr>
            <w:r>
              <w:rPr>
                <w:rFonts w:ascii="Arial" w:cs="Arial" w:eastAsia="Arial" w:hAnsi="Arial"/>
                <w:sz w:val="13"/>
                <w:szCs w:val="13"/>
                <w:color w:val="auto"/>
              </w:rPr>
              <w:t>7.3</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47.0</w:t>
            </w:r>
          </w:p>
        </w:tc>
        <w:tc>
          <w:tcPr>
            <w:tcW w:w="0" w:type="dxa"/>
            <w:vAlign w:val="bottom"/>
          </w:tcPr>
          <w:p>
            <w:pPr>
              <w:spacing w:after="0"/>
              <w:rPr>
                <w:sz w:val="1"/>
                <w:szCs w:val="1"/>
                <w:color w:val="auto"/>
              </w:rPr>
            </w:pPr>
          </w:p>
        </w:tc>
      </w:tr>
      <w:tr>
        <w:trPr>
          <w:trHeight w:val="238"/>
        </w:trPr>
        <w:tc>
          <w:tcPr>
            <w:tcW w:w="2060" w:type="dxa"/>
            <w:vAlign w:val="bottom"/>
            <w:gridSpan w:val="2"/>
          </w:tcPr>
          <w:p>
            <w:pPr>
              <w:spacing w:after="0"/>
              <w:rPr>
                <w:sz w:val="20"/>
                <w:szCs w:val="20"/>
                <w:color w:val="auto"/>
              </w:rPr>
            </w:pPr>
            <w:r>
              <w:rPr>
                <w:rFonts w:ascii="Arial" w:cs="Arial" w:eastAsia="Arial" w:hAnsi="Arial"/>
                <w:sz w:val="13"/>
                <w:szCs w:val="13"/>
                <w:color w:val="auto"/>
              </w:rPr>
              <w:t>Income tax (benefit) expense</w:t>
            </w:r>
          </w:p>
        </w:tc>
        <w:tc>
          <w:tcPr>
            <w:tcW w:w="680" w:type="dxa"/>
            <w:vAlign w:val="bottom"/>
          </w:tcPr>
          <w:p>
            <w:pPr>
              <w:jc w:val="right"/>
              <w:ind w:right="19"/>
              <w:spacing w:after="0"/>
              <w:rPr>
                <w:sz w:val="20"/>
                <w:szCs w:val="20"/>
                <w:color w:val="auto"/>
              </w:rPr>
            </w:pPr>
            <w:r>
              <w:rPr>
                <w:rFonts w:ascii="Arial" w:cs="Arial" w:eastAsia="Arial" w:hAnsi="Arial"/>
                <w:sz w:val="13"/>
                <w:szCs w:val="13"/>
                <w:color w:val="auto"/>
              </w:rPr>
              <w:t>(2.7)</w:t>
            </w:r>
          </w:p>
        </w:tc>
        <w:tc>
          <w:tcPr>
            <w:tcW w:w="720" w:type="dxa"/>
            <w:vAlign w:val="bottom"/>
          </w:tcPr>
          <w:p>
            <w:pPr>
              <w:jc w:val="right"/>
              <w:ind w:right="40"/>
              <w:spacing w:after="0"/>
              <w:rPr>
                <w:sz w:val="20"/>
                <w:szCs w:val="20"/>
                <w:color w:val="auto"/>
              </w:rPr>
            </w:pPr>
            <w:r>
              <w:rPr>
                <w:rFonts w:ascii="Arial" w:cs="Arial" w:eastAsia="Arial" w:hAnsi="Arial"/>
                <w:sz w:val="13"/>
                <w:szCs w:val="13"/>
                <w:color w:val="auto"/>
              </w:rPr>
              <w:t>2.7</w:t>
            </w:r>
          </w:p>
        </w:tc>
        <w:tc>
          <w:tcPr>
            <w:tcW w:w="880" w:type="dxa"/>
            <w:vAlign w:val="bottom"/>
          </w:tcPr>
          <w:p>
            <w:pPr>
              <w:jc w:val="right"/>
              <w:ind w:right="40"/>
              <w:spacing w:after="0"/>
              <w:rPr>
                <w:sz w:val="20"/>
                <w:szCs w:val="20"/>
                <w:color w:val="auto"/>
              </w:rPr>
            </w:pPr>
            <w:r>
              <w:rPr>
                <w:rFonts w:ascii="Arial" w:cs="Arial" w:eastAsia="Arial" w:hAnsi="Arial"/>
                <w:sz w:val="13"/>
                <w:szCs w:val="13"/>
                <w:color w:val="auto"/>
              </w:rPr>
              <w:t>0.1</w:t>
            </w:r>
          </w:p>
        </w:tc>
        <w:tc>
          <w:tcPr>
            <w:tcW w:w="800" w:type="dxa"/>
            <w:vAlign w:val="bottom"/>
          </w:tcPr>
          <w:p>
            <w:pPr>
              <w:jc w:val="right"/>
              <w:ind w:right="40"/>
              <w:spacing w:after="0"/>
              <w:rPr>
                <w:sz w:val="20"/>
                <w:szCs w:val="20"/>
                <w:color w:val="auto"/>
              </w:rPr>
            </w:pPr>
            <w:r>
              <w:rPr>
                <w:rFonts w:ascii="Arial" w:cs="Arial" w:eastAsia="Arial" w:hAnsi="Arial"/>
                <w:sz w:val="13"/>
                <w:szCs w:val="13"/>
                <w:color w:val="auto"/>
              </w:rPr>
              <w:t>2.6</w:t>
            </w:r>
          </w:p>
        </w:tc>
        <w:tc>
          <w:tcPr>
            <w:tcW w:w="800" w:type="dxa"/>
            <w:vAlign w:val="bottom"/>
          </w:tcPr>
          <w:p>
            <w:pPr>
              <w:jc w:val="right"/>
              <w:spacing w:after="0"/>
              <w:rPr>
                <w:sz w:val="20"/>
                <w:szCs w:val="20"/>
                <w:color w:val="auto"/>
              </w:rPr>
            </w:pPr>
            <w:r>
              <w:rPr>
                <w:rFonts w:ascii="Arial" w:cs="Arial" w:eastAsia="Arial" w:hAnsi="Arial"/>
                <w:sz w:val="13"/>
                <w:szCs w:val="13"/>
                <w:color w:val="auto"/>
              </w:rPr>
              <w:t>0.8</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0.5</w:t>
            </w:r>
          </w:p>
        </w:tc>
        <w:tc>
          <w:tcPr>
            <w:tcW w:w="620" w:type="dxa"/>
            <w:vAlign w:val="bottom"/>
          </w:tcPr>
          <w:p>
            <w:pPr>
              <w:jc w:val="right"/>
              <w:ind w:right="60"/>
              <w:spacing w:after="0"/>
              <w:rPr>
                <w:sz w:val="20"/>
                <w:szCs w:val="20"/>
                <w:color w:val="auto"/>
              </w:rPr>
            </w:pPr>
            <w:r>
              <w:rPr>
                <w:rFonts w:ascii="Arial" w:cs="Arial" w:eastAsia="Arial" w:hAnsi="Arial"/>
                <w:sz w:val="13"/>
                <w:szCs w:val="13"/>
                <w:color w:val="auto"/>
              </w:rPr>
              <w:t>0.5</w:t>
            </w:r>
          </w:p>
        </w:tc>
        <w:tc>
          <w:tcPr>
            <w:tcW w:w="920" w:type="dxa"/>
            <w:vAlign w:val="bottom"/>
          </w:tcPr>
          <w:p>
            <w:pPr>
              <w:jc w:val="right"/>
              <w:ind w:right="80"/>
              <w:spacing w:after="0"/>
              <w:rPr>
                <w:sz w:val="20"/>
                <w:szCs w:val="20"/>
                <w:color w:val="auto"/>
              </w:rPr>
            </w:pPr>
            <w:r>
              <w:rPr>
                <w:rFonts w:ascii="Arial" w:cs="Arial" w:eastAsia="Arial" w:hAnsi="Arial"/>
                <w:sz w:val="13"/>
                <w:szCs w:val="13"/>
                <w:color w:val="auto"/>
              </w:rPr>
              <w:t>0.4</w:t>
            </w:r>
          </w:p>
        </w:tc>
        <w:tc>
          <w:tcPr>
            <w:tcW w:w="940" w:type="dxa"/>
            <w:vAlign w:val="bottom"/>
          </w:tcPr>
          <w:p>
            <w:pPr>
              <w:jc w:val="right"/>
              <w:ind w:right="60"/>
              <w:spacing w:after="0"/>
              <w:rPr>
                <w:sz w:val="20"/>
                <w:szCs w:val="20"/>
                <w:color w:val="auto"/>
              </w:rPr>
            </w:pPr>
            <w:r>
              <w:rPr>
                <w:rFonts w:ascii="Arial" w:cs="Arial" w:eastAsia="Arial" w:hAnsi="Arial"/>
                <w:sz w:val="13"/>
                <w:szCs w:val="13"/>
                <w:color w:val="auto"/>
              </w:rPr>
              <w:t>2.1</w:t>
            </w:r>
          </w:p>
        </w:tc>
        <w:tc>
          <w:tcPr>
            <w:tcW w:w="820" w:type="dxa"/>
            <w:vAlign w:val="bottom"/>
          </w:tcPr>
          <w:p>
            <w:pPr>
              <w:jc w:val="right"/>
              <w:ind w:right="1"/>
              <w:spacing w:after="0"/>
              <w:rPr>
                <w:sz w:val="20"/>
                <w:szCs w:val="20"/>
                <w:color w:val="auto"/>
              </w:rPr>
            </w:pPr>
            <w:r>
              <w:rPr>
                <w:rFonts w:ascii="Arial" w:cs="Arial" w:eastAsia="Arial" w:hAnsi="Arial"/>
                <w:sz w:val="13"/>
                <w:szCs w:val="13"/>
                <w:color w:val="auto"/>
              </w:rPr>
              <w:t>(1.5)</w:t>
            </w:r>
          </w:p>
        </w:tc>
        <w:tc>
          <w:tcPr>
            <w:tcW w:w="760" w:type="dxa"/>
            <w:vAlign w:val="bottom"/>
          </w:tcPr>
          <w:p>
            <w:pPr>
              <w:jc w:val="right"/>
              <w:spacing w:after="0"/>
              <w:rPr>
                <w:sz w:val="20"/>
                <w:szCs w:val="20"/>
                <w:color w:val="auto"/>
              </w:rPr>
            </w:pPr>
            <w:r>
              <w:rPr>
                <w:rFonts w:ascii="Arial" w:cs="Arial" w:eastAsia="Arial" w:hAnsi="Arial"/>
                <w:sz w:val="13"/>
                <w:szCs w:val="13"/>
                <w:color w:val="auto"/>
              </w:rPr>
              <w:t>0.2</w:t>
            </w:r>
          </w:p>
        </w:tc>
        <w:tc>
          <w:tcPr>
            <w:tcW w:w="600" w:type="dxa"/>
            <w:vAlign w:val="bottom"/>
          </w:tcPr>
          <w:p>
            <w:pPr>
              <w:jc w:val="right"/>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80"/>
        </w:trPr>
        <w:tc>
          <w:tcPr>
            <w:tcW w:w="2060" w:type="dxa"/>
            <w:vAlign w:val="bottom"/>
            <w:gridSpan w:val="2"/>
          </w:tcPr>
          <w:p>
            <w:pPr>
              <w:spacing w:after="0"/>
              <w:rPr>
                <w:sz w:val="20"/>
                <w:szCs w:val="20"/>
                <w:color w:val="auto"/>
              </w:rPr>
            </w:pPr>
            <w:r>
              <w:rPr>
                <w:rFonts w:ascii="Arial" w:cs="Arial" w:eastAsia="Arial" w:hAnsi="Arial"/>
                <w:sz w:val="13"/>
                <w:szCs w:val="13"/>
                <w:color w:val="auto"/>
              </w:rPr>
              <w:t>Net (loss) income from continuing</w:t>
            </w: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60" w:type="dxa"/>
            <w:vAlign w:val="bottom"/>
            <w:gridSpan w:val="2"/>
          </w:tcPr>
          <w:p>
            <w:pPr>
              <w:spacing w:after="0"/>
              <w:rPr>
                <w:sz w:val="20"/>
                <w:szCs w:val="20"/>
                <w:color w:val="auto"/>
              </w:rPr>
            </w:pPr>
            <w:r>
              <w:rPr>
                <w:rFonts w:ascii="Arial" w:cs="Arial" w:eastAsia="Arial" w:hAnsi="Arial"/>
                <w:sz w:val="13"/>
                <w:szCs w:val="13"/>
                <w:color w:val="auto"/>
              </w:rPr>
              <w:t>operations</w:t>
            </w:r>
          </w:p>
        </w:tc>
        <w:tc>
          <w:tcPr>
            <w:tcW w:w="680" w:type="dxa"/>
            <w:vAlign w:val="bottom"/>
          </w:tcPr>
          <w:p>
            <w:pPr>
              <w:jc w:val="right"/>
              <w:ind w:right="19"/>
              <w:spacing w:after="0"/>
              <w:rPr>
                <w:sz w:val="20"/>
                <w:szCs w:val="20"/>
                <w:color w:val="auto"/>
              </w:rPr>
            </w:pPr>
            <w:r>
              <w:rPr>
                <w:rFonts w:ascii="Arial" w:cs="Arial" w:eastAsia="Arial" w:hAnsi="Arial"/>
                <w:sz w:val="13"/>
                <w:szCs w:val="13"/>
                <w:color w:val="auto"/>
              </w:rPr>
              <w:t>(6.3)</w:t>
            </w:r>
          </w:p>
        </w:tc>
        <w:tc>
          <w:tcPr>
            <w:tcW w:w="720" w:type="dxa"/>
            <w:vAlign w:val="bottom"/>
          </w:tcPr>
          <w:p>
            <w:pPr>
              <w:jc w:val="right"/>
              <w:ind w:right="40"/>
              <w:spacing w:after="0"/>
              <w:rPr>
                <w:sz w:val="20"/>
                <w:szCs w:val="20"/>
                <w:color w:val="auto"/>
              </w:rPr>
            </w:pPr>
            <w:r>
              <w:rPr>
                <w:rFonts w:ascii="Arial" w:cs="Arial" w:eastAsia="Arial" w:hAnsi="Arial"/>
                <w:sz w:val="13"/>
                <w:szCs w:val="13"/>
                <w:color w:val="auto"/>
              </w:rPr>
              <w:t>10.0</w:t>
            </w:r>
          </w:p>
        </w:tc>
        <w:tc>
          <w:tcPr>
            <w:tcW w:w="880" w:type="dxa"/>
            <w:vAlign w:val="bottom"/>
          </w:tcPr>
          <w:p>
            <w:pPr>
              <w:jc w:val="right"/>
              <w:ind w:right="40"/>
              <w:spacing w:after="0"/>
              <w:rPr>
                <w:sz w:val="20"/>
                <w:szCs w:val="20"/>
                <w:color w:val="auto"/>
              </w:rPr>
            </w:pPr>
            <w:r>
              <w:rPr>
                <w:rFonts w:ascii="Arial" w:cs="Arial" w:eastAsia="Arial" w:hAnsi="Arial"/>
                <w:sz w:val="13"/>
                <w:szCs w:val="13"/>
                <w:color w:val="auto"/>
              </w:rPr>
              <w:t>0.4</w:t>
            </w:r>
          </w:p>
        </w:tc>
        <w:tc>
          <w:tcPr>
            <w:tcW w:w="800" w:type="dxa"/>
            <w:vAlign w:val="bottom"/>
          </w:tcPr>
          <w:p>
            <w:pPr>
              <w:jc w:val="right"/>
              <w:ind w:right="40"/>
              <w:spacing w:after="0"/>
              <w:rPr>
                <w:sz w:val="20"/>
                <w:szCs w:val="20"/>
                <w:color w:val="auto"/>
              </w:rPr>
            </w:pPr>
            <w:r>
              <w:rPr>
                <w:rFonts w:ascii="Arial" w:cs="Arial" w:eastAsia="Arial" w:hAnsi="Arial"/>
                <w:sz w:val="13"/>
                <w:szCs w:val="13"/>
                <w:color w:val="auto"/>
              </w:rPr>
              <w:t>12.3</w:t>
            </w:r>
          </w:p>
        </w:tc>
        <w:tc>
          <w:tcPr>
            <w:tcW w:w="800" w:type="dxa"/>
            <w:vAlign w:val="bottom"/>
          </w:tcPr>
          <w:p>
            <w:pPr>
              <w:jc w:val="right"/>
              <w:spacing w:after="0"/>
              <w:rPr>
                <w:sz w:val="20"/>
                <w:szCs w:val="20"/>
                <w:color w:val="auto"/>
              </w:rPr>
            </w:pPr>
            <w:r>
              <w:rPr>
                <w:rFonts w:ascii="Arial" w:cs="Arial" w:eastAsia="Arial" w:hAnsi="Arial"/>
                <w:sz w:val="13"/>
                <w:szCs w:val="13"/>
                <w:color w:val="auto"/>
              </w:rPr>
              <w:t>2.7</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1.7</w:t>
            </w:r>
          </w:p>
        </w:tc>
        <w:tc>
          <w:tcPr>
            <w:tcW w:w="620" w:type="dxa"/>
            <w:vAlign w:val="bottom"/>
          </w:tcPr>
          <w:p>
            <w:pPr>
              <w:jc w:val="right"/>
              <w:ind w:right="60"/>
              <w:spacing w:after="0"/>
              <w:rPr>
                <w:sz w:val="20"/>
                <w:szCs w:val="20"/>
                <w:color w:val="auto"/>
              </w:rPr>
            </w:pPr>
            <w:r>
              <w:rPr>
                <w:rFonts w:ascii="Arial" w:cs="Arial" w:eastAsia="Arial" w:hAnsi="Arial"/>
                <w:sz w:val="13"/>
                <w:szCs w:val="13"/>
                <w:color w:val="auto"/>
              </w:rPr>
              <w:t>0.9</w:t>
            </w:r>
          </w:p>
        </w:tc>
        <w:tc>
          <w:tcPr>
            <w:tcW w:w="920" w:type="dxa"/>
            <w:vAlign w:val="bottom"/>
          </w:tcPr>
          <w:p>
            <w:pPr>
              <w:jc w:val="right"/>
              <w:ind w:right="80"/>
              <w:spacing w:after="0"/>
              <w:rPr>
                <w:sz w:val="20"/>
                <w:szCs w:val="20"/>
                <w:color w:val="auto"/>
              </w:rPr>
            </w:pPr>
            <w:r>
              <w:rPr>
                <w:rFonts w:ascii="Arial" w:cs="Arial" w:eastAsia="Arial" w:hAnsi="Arial"/>
                <w:sz w:val="13"/>
                <w:szCs w:val="13"/>
                <w:color w:val="auto"/>
              </w:rPr>
              <w:t>10.0</w:t>
            </w:r>
          </w:p>
        </w:tc>
        <w:tc>
          <w:tcPr>
            <w:tcW w:w="940" w:type="dxa"/>
            <w:vAlign w:val="bottom"/>
          </w:tcPr>
          <w:p>
            <w:pPr>
              <w:jc w:val="right"/>
              <w:ind w:right="60"/>
              <w:spacing w:after="0"/>
              <w:rPr>
                <w:sz w:val="20"/>
                <w:szCs w:val="20"/>
                <w:color w:val="auto"/>
              </w:rPr>
            </w:pPr>
            <w:r>
              <w:rPr>
                <w:rFonts w:ascii="Arial" w:cs="Arial" w:eastAsia="Arial" w:hAnsi="Arial"/>
                <w:sz w:val="13"/>
                <w:szCs w:val="13"/>
                <w:color w:val="auto"/>
              </w:rPr>
              <w:t>5.2</w:t>
            </w:r>
          </w:p>
        </w:tc>
        <w:tc>
          <w:tcPr>
            <w:tcW w:w="820" w:type="dxa"/>
            <w:vAlign w:val="bottom"/>
          </w:tcPr>
          <w:p>
            <w:pPr>
              <w:jc w:val="right"/>
              <w:ind w:right="41"/>
              <w:spacing w:after="0"/>
              <w:rPr>
                <w:sz w:val="20"/>
                <w:szCs w:val="20"/>
                <w:color w:val="auto"/>
              </w:rPr>
            </w:pPr>
            <w:r>
              <w:rPr>
                <w:rFonts w:ascii="Arial" w:cs="Arial" w:eastAsia="Arial" w:hAnsi="Arial"/>
                <w:sz w:val="13"/>
                <w:szCs w:val="13"/>
                <w:color w:val="auto"/>
              </w:rPr>
              <w:t>1.5</w:t>
            </w:r>
          </w:p>
        </w:tc>
        <w:tc>
          <w:tcPr>
            <w:tcW w:w="760" w:type="dxa"/>
            <w:vAlign w:val="bottom"/>
          </w:tcPr>
          <w:p>
            <w:pPr>
              <w:jc w:val="right"/>
              <w:spacing w:after="0"/>
              <w:rPr>
                <w:sz w:val="20"/>
                <w:szCs w:val="20"/>
                <w:color w:val="auto"/>
              </w:rPr>
            </w:pPr>
            <w:r>
              <w:rPr>
                <w:rFonts w:ascii="Arial" w:cs="Arial" w:eastAsia="Arial" w:hAnsi="Arial"/>
                <w:sz w:val="13"/>
                <w:szCs w:val="13"/>
                <w:color w:val="auto"/>
              </w:rPr>
              <w:t>0.6</w:t>
            </w:r>
          </w:p>
        </w:tc>
        <w:tc>
          <w:tcPr>
            <w:tcW w:w="600" w:type="dxa"/>
            <w:vAlign w:val="bottom"/>
          </w:tcPr>
          <w:p>
            <w:pPr>
              <w:jc w:val="right"/>
              <w:spacing w:after="0"/>
              <w:rPr>
                <w:sz w:val="20"/>
                <w:szCs w:val="20"/>
                <w:color w:val="auto"/>
              </w:rPr>
            </w:pPr>
            <w:r>
              <w:rPr>
                <w:rFonts w:ascii="Arial" w:cs="Arial" w:eastAsia="Arial" w:hAnsi="Arial"/>
                <w:sz w:val="13"/>
                <w:szCs w:val="13"/>
                <w:color w:val="auto"/>
              </w:rPr>
              <w:t>39.0</w:t>
            </w:r>
          </w:p>
        </w:tc>
        <w:tc>
          <w:tcPr>
            <w:tcW w:w="0" w:type="dxa"/>
            <w:vAlign w:val="bottom"/>
          </w:tcPr>
          <w:p>
            <w:pPr>
              <w:spacing w:after="0"/>
              <w:rPr>
                <w:sz w:val="1"/>
                <w:szCs w:val="1"/>
                <w:color w:val="auto"/>
              </w:rPr>
            </w:pPr>
          </w:p>
        </w:tc>
      </w:tr>
      <w:tr>
        <w:trPr>
          <w:trHeight w:val="180"/>
        </w:trPr>
        <w:tc>
          <w:tcPr>
            <w:tcW w:w="2060" w:type="dxa"/>
            <w:vAlign w:val="bottom"/>
            <w:gridSpan w:val="2"/>
          </w:tcPr>
          <w:p>
            <w:pPr>
              <w:spacing w:after="0"/>
              <w:rPr>
                <w:sz w:val="20"/>
                <w:szCs w:val="20"/>
                <w:color w:val="auto"/>
              </w:rPr>
            </w:pPr>
            <w:r>
              <w:rPr>
                <w:rFonts w:ascii="Arial" w:cs="Arial" w:eastAsia="Arial" w:hAnsi="Arial"/>
                <w:sz w:val="13"/>
                <w:szCs w:val="13"/>
                <w:color w:val="auto"/>
              </w:rPr>
              <w:t>Diluted EPS - Continuing</w:t>
            </w: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60" w:type="dxa"/>
            <w:vAlign w:val="bottom"/>
            <w:gridSpan w:val="2"/>
          </w:tcPr>
          <w:p>
            <w:pPr>
              <w:spacing w:after="0"/>
              <w:rPr>
                <w:sz w:val="20"/>
                <w:szCs w:val="20"/>
                <w:color w:val="auto"/>
              </w:rPr>
            </w:pPr>
            <w:r>
              <w:rPr>
                <w:rFonts w:ascii="Arial" w:cs="Arial" w:eastAsia="Arial" w:hAnsi="Arial"/>
                <w:sz w:val="13"/>
                <w:szCs w:val="13"/>
                <w:color w:val="auto"/>
              </w:rPr>
              <w:t>Operations</w:t>
            </w:r>
          </w:p>
        </w:tc>
        <w:tc>
          <w:tcPr>
            <w:tcW w:w="680" w:type="dxa"/>
            <w:vAlign w:val="bottom"/>
          </w:tcPr>
          <w:p>
            <w:pPr>
              <w:jc w:val="right"/>
              <w:ind w:right="19"/>
              <w:spacing w:after="0"/>
              <w:rPr>
                <w:sz w:val="20"/>
                <w:szCs w:val="20"/>
                <w:color w:val="auto"/>
              </w:rPr>
            </w:pPr>
            <w:r>
              <w:rPr>
                <w:rFonts w:ascii="Arial" w:cs="Arial" w:eastAsia="Arial" w:hAnsi="Arial"/>
                <w:sz w:val="13"/>
                <w:szCs w:val="13"/>
                <w:color w:val="auto"/>
              </w:rPr>
              <w:t>($0.13)</w:t>
            </w:r>
          </w:p>
        </w:tc>
        <w:tc>
          <w:tcPr>
            <w:tcW w:w="720" w:type="dxa"/>
            <w:vAlign w:val="bottom"/>
          </w:tcPr>
          <w:p>
            <w:pPr>
              <w:jc w:val="right"/>
              <w:ind w:right="40"/>
              <w:spacing w:after="0"/>
              <w:rPr>
                <w:sz w:val="20"/>
                <w:szCs w:val="20"/>
                <w:color w:val="auto"/>
              </w:rPr>
            </w:pPr>
            <w:r>
              <w:rPr>
                <w:rFonts w:ascii="Arial" w:cs="Arial" w:eastAsia="Arial" w:hAnsi="Arial"/>
                <w:sz w:val="13"/>
                <w:szCs w:val="13"/>
                <w:color w:val="auto"/>
              </w:rPr>
              <w:t>$0.20</w:t>
            </w:r>
          </w:p>
        </w:tc>
        <w:tc>
          <w:tcPr>
            <w:tcW w:w="880" w:type="dxa"/>
            <w:vAlign w:val="bottom"/>
          </w:tcPr>
          <w:p>
            <w:pPr>
              <w:jc w:val="right"/>
              <w:ind w:right="40"/>
              <w:spacing w:after="0"/>
              <w:rPr>
                <w:sz w:val="20"/>
                <w:szCs w:val="20"/>
                <w:color w:val="auto"/>
              </w:rPr>
            </w:pPr>
            <w:r>
              <w:rPr>
                <w:rFonts w:ascii="Arial" w:cs="Arial" w:eastAsia="Arial" w:hAnsi="Arial"/>
                <w:sz w:val="13"/>
                <w:szCs w:val="13"/>
                <w:color w:val="auto"/>
              </w:rPr>
              <w:t>$0.01</w:t>
            </w:r>
          </w:p>
        </w:tc>
        <w:tc>
          <w:tcPr>
            <w:tcW w:w="800" w:type="dxa"/>
            <w:vAlign w:val="bottom"/>
          </w:tcPr>
          <w:p>
            <w:pPr>
              <w:jc w:val="right"/>
              <w:ind w:right="40"/>
              <w:spacing w:after="0"/>
              <w:rPr>
                <w:sz w:val="20"/>
                <w:szCs w:val="20"/>
                <w:color w:val="auto"/>
              </w:rPr>
            </w:pPr>
            <w:r>
              <w:rPr>
                <w:rFonts w:ascii="Arial" w:cs="Arial" w:eastAsia="Arial" w:hAnsi="Arial"/>
                <w:sz w:val="13"/>
                <w:szCs w:val="13"/>
                <w:color w:val="auto"/>
              </w:rPr>
              <w:t>$0.25</w:t>
            </w:r>
          </w:p>
        </w:tc>
        <w:tc>
          <w:tcPr>
            <w:tcW w:w="800" w:type="dxa"/>
            <w:vAlign w:val="bottom"/>
          </w:tcPr>
          <w:p>
            <w:pPr>
              <w:jc w:val="right"/>
              <w:spacing w:after="0"/>
              <w:rPr>
                <w:sz w:val="20"/>
                <w:szCs w:val="20"/>
                <w:color w:val="auto"/>
              </w:rPr>
            </w:pPr>
            <w:r>
              <w:rPr>
                <w:rFonts w:ascii="Arial" w:cs="Arial" w:eastAsia="Arial" w:hAnsi="Arial"/>
                <w:sz w:val="13"/>
                <w:szCs w:val="13"/>
                <w:color w:val="auto"/>
              </w:rPr>
              <w:t>$0.05</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$0.04</w:t>
            </w:r>
          </w:p>
        </w:tc>
        <w:tc>
          <w:tcPr>
            <w:tcW w:w="620" w:type="dxa"/>
            <w:vAlign w:val="bottom"/>
          </w:tcPr>
          <w:p>
            <w:pPr>
              <w:jc w:val="right"/>
              <w:ind w:right="60"/>
              <w:spacing w:after="0"/>
              <w:rPr>
                <w:sz w:val="20"/>
                <w:szCs w:val="20"/>
                <w:color w:val="auto"/>
              </w:rPr>
            </w:pPr>
            <w:r>
              <w:rPr>
                <w:rFonts w:ascii="Arial" w:cs="Arial" w:eastAsia="Arial" w:hAnsi="Arial"/>
                <w:sz w:val="13"/>
                <w:szCs w:val="13"/>
                <w:color w:val="auto"/>
              </w:rPr>
              <w:t>$0.02</w:t>
            </w:r>
          </w:p>
        </w:tc>
        <w:tc>
          <w:tcPr>
            <w:tcW w:w="920" w:type="dxa"/>
            <w:vAlign w:val="bottom"/>
          </w:tcPr>
          <w:p>
            <w:pPr>
              <w:jc w:val="right"/>
              <w:ind w:right="80"/>
              <w:spacing w:after="0"/>
              <w:rPr>
                <w:sz w:val="20"/>
                <w:szCs w:val="20"/>
                <w:color w:val="auto"/>
              </w:rPr>
            </w:pPr>
            <w:r>
              <w:rPr>
                <w:rFonts w:ascii="Arial" w:cs="Arial" w:eastAsia="Arial" w:hAnsi="Arial"/>
                <w:sz w:val="13"/>
                <w:szCs w:val="13"/>
                <w:color w:val="auto"/>
              </w:rPr>
              <w:t>$0.20</w:t>
            </w:r>
          </w:p>
        </w:tc>
        <w:tc>
          <w:tcPr>
            <w:tcW w:w="940" w:type="dxa"/>
            <w:vAlign w:val="bottom"/>
          </w:tcPr>
          <w:p>
            <w:pPr>
              <w:jc w:val="right"/>
              <w:ind w:right="60"/>
              <w:spacing w:after="0"/>
              <w:rPr>
                <w:sz w:val="20"/>
                <w:szCs w:val="20"/>
                <w:color w:val="auto"/>
              </w:rPr>
            </w:pPr>
            <w:r>
              <w:rPr>
                <w:rFonts w:ascii="Arial" w:cs="Arial" w:eastAsia="Arial" w:hAnsi="Arial"/>
                <w:sz w:val="13"/>
                <w:szCs w:val="13"/>
                <w:color w:val="auto"/>
              </w:rPr>
              <w:t>$0.10</w:t>
            </w:r>
          </w:p>
        </w:tc>
        <w:tc>
          <w:tcPr>
            <w:tcW w:w="820" w:type="dxa"/>
            <w:vAlign w:val="bottom"/>
          </w:tcPr>
          <w:p>
            <w:pPr>
              <w:jc w:val="right"/>
              <w:ind w:right="41"/>
              <w:spacing w:after="0"/>
              <w:rPr>
                <w:sz w:val="20"/>
                <w:szCs w:val="20"/>
                <w:color w:val="auto"/>
              </w:rPr>
            </w:pPr>
            <w:r>
              <w:rPr>
                <w:rFonts w:ascii="Arial" w:cs="Arial" w:eastAsia="Arial" w:hAnsi="Arial"/>
                <w:sz w:val="13"/>
                <w:szCs w:val="13"/>
                <w:color w:val="auto"/>
              </w:rPr>
              <w:t>$0.03</w:t>
            </w:r>
          </w:p>
        </w:tc>
        <w:tc>
          <w:tcPr>
            <w:tcW w:w="760" w:type="dxa"/>
            <w:vAlign w:val="bottom"/>
          </w:tcPr>
          <w:p>
            <w:pPr>
              <w:jc w:val="right"/>
              <w:spacing w:after="0"/>
              <w:rPr>
                <w:sz w:val="20"/>
                <w:szCs w:val="20"/>
                <w:color w:val="auto"/>
              </w:rPr>
            </w:pPr>
            <w:r>
              <w:rPr>
                <w:rFonts w:ascii="Arial" w:cs="Arial" w:eastAsia="Arial" w:hAnsi="Arial"/>
                <w:sz w:val="13"/>
                <w:szCs w:val="13"/>
                <w:color w:val="auto"/>
              </w:rPr>
              <w:t>$0.01</w:t>
            </w:r>
          </w:p>
        </w:tc>
        <w:tc>
          <w:tcPr>
            <w:tcW w:w="600" w:type="dxa"/>
            <w:vAlign w:val="bottom"/>
          </w:tcPr>
          <w:p>
            <w:pPr>
              <w:jc w:val="right"/>
              <w:spacing w:after="0"/>
              <w:rPr>
                <w:sz w:val="20"/>
                <w:szCs w:val="20"/>
                <w:color w:val="auto"/>
              </w:rPr>
            </w:pPr>
            <w:r>
              <w:rPr>
                <w:rFonts w:ascii="Arial" w:cs="Arial" w:eastAsia="Arial" w:hAnsi="Arial"/>
                <w:sz w:val="13"/>
                <w:szCs w:val="13"/>
                <w:color w:val="auto"/>
              </w:rPr>
              <w:t>$0.78</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GAAP results for the three months ended September 30, 2018 include:</w:t>
      </w:r>
    </w:p>
    <w:p>
      <w:pPr>
        <w:spacing w:after="0" w:line="57" w:lineRule="exact"/>
        <w:rPr>
          <w:sz w:val="20"/>
          <w:szCs w:val="20"/>
          <w:color w:val="auto"/>
        </w:rPr>
      </w:pPr>
    </w:p>
    <w:p>
      <w:pPr>
        <w:ind w:left="381" w:hanging="381"/>
        <w:spacing w:after="0"/>
        <w:tabs>
          <w:tab w:leader="none" w:pos="381" w:val="left"/>
        </w:tabs>
        <w:numPr>
          <w:ilvl w:val="0"/>
          <w:numId w:val="9"/>
        </w:numPr>
        <w:rPr>
          <w:rFonts w:ascii="Arial" w:cs="Arial" w:eastAsia="Arial" w:hAnsi="Arial"/>
          <w:sz w:val="13"/>
          <w:szCs w:val="13"/>
          <w:color w:val="auto"/>
        </w:rPr>
      </w:pPr>
      <w:r>
        <w:rPr>
          <w:rFonts w:ascii="Arial" w:cs="Arial" w:eastAsia="Arial" w:hAnsi="Arial"/>
          <w:sz w:val="13"/>
          <w:szCs w:val="13"/>
          <w:color w:val="auto"/>
        </w:rPr>
        <w:t>Merger and integration expenses related to our legacy companies and recent acquisitions</w:t>
      </w:r>
    </w:p>
    <w:p>
      <w:pPr>
        <w:spacing w:after="0" w:line="40" w:lineRule="exact"/>
        <w:rPr>
          <w:rFonts w:ascii="Arial" w:cs="Arial" w:eastAsia="Arial" w:hAnsi="Arial"/>
          <w:sz w:val="13"/>
          <w:szCs w:val="13"/>
          <w:color w:val="auto"/>
        </w:rPr>
      </w:pPr>
    </w:p>
    <w:p>
      <w:pPr>
        <w:ind w:left="381" w:hanging="381"/>
        <w:spacing w:after="0"/>
        <w:tabs>
          <w:tab w:leader="none" w:pos="381" w:val="left"/>
        </w:tabs>
        <w:numPr>
          <w:ilvl w:val="0"/>
          <w:numId w:val="9"/>
        </w:numPr>
        <w:rPr>
          <w:rFonts w:ascii="Arial" w:cs="Arial" w:eastAsia="Arial" w:hAnsi="Arial"/>
          <w:sz w:val="13"/>
          <w:szCs w:val="13"/>
          <w:color w:val="auto"/>
        </w:rPr>
      </w:pPr>
      <w:r>
        <w:rPr>
          <w:rFonts w:ascii="Arial" w:cs="Arial" w:eastAsia="Arial" w:hAnsi="Arial"/>
          <w:sz w:val="13"/>
          <w:szCs w:val="13"/>
          <w:color w:val="auto"/>
        </w:rPr>
        <w:t>Restructuring expenses related to organizational changes</w:t>
      </w:r>
    </w:p>
    <w:p>
      <w:pPr>
        <w:spacing w:after="0" w:line="40" w:lineRule="exact"/>
        <w:rPr>
          <w:rFonts w:ascii="Arial" w:cs="Arial" w:eastAsia="Arial" w:hAnsi="Arial"/>
          <w:sz w:val="13"/>
          <w:szCs w:val="13"/>
          <w:color w:val="auto"/>
        </w:rPr>
      </w:pPr>
    </w:p>
    <w:p>
      <w:pPr>
        <w:ind w:left="381" w:hanging="381"/>
        <w:spacing w:after="0"/>
        <w:tabs>
          <w:tab w:leader="none" w:pos="381"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depreciation and amortization associated with purchase price accounting</w:t>
      </w:r>
    </w:p>
    <w:p>
      <w:pPr>
        <w:spacing w:after="0" w:line="40" w:lineRule="exact"/>
        <w:rPr>
          <w:rFonts w:ascii="Arial" w:cs="Arial" w:eastAsia="Arial" w:hAnsi="Arial"/>
          <w:sz w:val="13"/>
          <w:szCs w:val="13"/>
          <w:color w:val="auto"/>
        </w:rPr>
      </w:pPr>
    </w:p>
    <w:p>
      <w:pPr>
        <w:ind w:left="381" w:hanging="381"/>
        <w:spacing w:after="0"/>
        <w:tabs>
          <w:tab w:leader="none" w:pos="381" w:val="left"/>
        </w:tabs>
        <w:numPr>
          <w:ilvl w:val="0"/>
          <w:numId w:val="9"/>
        </w:numPr>
        <w:rPr>
          <w:rFonts w:ascii="Arial" w:cs="Arial" w:eastAsia="Arial" w:hAnsi="Arial"/>
          <w:sz w:val="13"/>
          <w:szCs w:val="13"/>
          <w:color w:val="auto"/>
        </w:rPr>
      </w:pPr>
      <w:r>
        <w:rPr>
          <w:rFonts w:ascii="Arial" w:cs="Arial" w:eastAsia="Arial" w:hAnsi="Arial"/>
          <w:sz w:val="13"/>
          <w:szCs w:val="13"/>
          <w:color w:val="auto"/>
        </w:rPr>
        <w:t>Costs related to the 3T Heater-Cooler remediation plan</w:t>
      </w:r>
    </w:p>
    <w:p>
      <w:pPr>
        <w:spacing w:after="0" w:line="40" w:lineRule="exact"/>
        <w:rPr>
          <w:rFonts w:ascii="Arial" w:cs="Arial" w:eastAsia="Arial" w:hAnsi="Arial"/>
          <w:sz w:val="13"/>
          <w:szCs w:val="13"/>
          <w:color w:val="auto"/>
        </w:rPr>
      </w:pPr>
    </w:p>
    <w:p>
      <w:pPr>
        <w:ind w:left="381" w:hanging="381"/>
        <w:spacing w:after="0"/>
        <w:tabs>
          <w:tab w:leader="none" w:pos="381" w:val="left"/>
        </w:tabs>
        <w:numPr>
          <w:ilvl w:val="0"/>
          <w:numId w:val="9"/>
        </w:numPr>
        <w:rPr>
          <w:rFonts w:ascii="Arial" w:cs="Arial" w:eastAsia="Arial" w:hAnsi="Arial"/>
          <w:sz w:val="13"/>
          <w:szCs w:val="13"/>
          <w:color w:val="auto"/>
        </w:rPr>
      </w:pPr>
      <w:r>
        <w:rPr>
          <w:rFonts w:ascii="Arial" w:cs="Arial" w:eastAsia="Arial" w:hAnsi="Arial"/>
          <w:sz w:val="13"/>
          <w:szCs w:val="13"/>
          <w:color w:val="auto"/>
        </w:rPr>
        <w:t>Costs related to acquisitions</w:t>
      </w:r>
    </w:p>
    <w:p>
      <w:pPr>
        <w:spacing w:after="0" w:line="40" w:lineRule="exact"/>
        <w:rPr>
          <w:rFonts w:ascii="Arial" w:cs="Arial" w:eastAsia="Arial" w:hAnsi="Arial"/>
          <w:sz w:val="13"/>
          <w:szCs w:val="13"/>
          <w:color w:val="auto"/>
        </w:rPr>
      </w:pPr>
    </w:p>
    <w:p>
      <w:pPr>
        <w:ind w:left="381" w:hanging="381"/>
        <w:spacing w:after="0"/>
        <w:tabs>
          <w:tab w:leader="none" w:pos="381" w:val="left"/>
        </w:tabs>
        <w:numPr>
          <w:ilvl w:val="0"/>
          <w:numId w:val="9"/>
        </w:numPr>
        <w:rPr>
          <w:rFonts w:ascii="Arial" w:cs="Arial" w:eastAsia="Arial" w:hAnsi="Arial"/>
          <w:sz w:val="13"/>
          <w:szCs w:val="13"/>
          <w:color w:val="auto"/>
        </w:rPr>
      </w:pPr>
      <w:r>
        <w:rPr>
          <w:rFonts w:ascii="Arial" w:cs="Arial" w:eastAsia="Arial" w:hAnsi="Arial"/>
          <w:sz w:val="13"/>
          <w:szCs w:val="13"/>
          <w:color w:val="auto"/>
        </w:rPr>
        <w:t>Corporate costs incurred to divest of the CRM business not attributable to discontinued operations</w:t>
      </w:r>
    </w:p>
    <w:p>
      <w:pPr>
        <w:spacing w:after="0" w:line="40" w:lineRule="exact"/>
        <w:rPr>
          <w:rFonts w:ascii="Arial" w:cs="Arial" w:eastAsia="Arial" w:hAnsi="Arial"/>
          <w:sz w:val="13"/>
          <w:szCs w:val="13"/>
          <w:color w:val="auto"/>
        </w:rPr>
      </w:pPr>
    </w:p>
    <w:p>
      <w:pPr>
        <w:ind w:left="381" w:hanging="381"/>
        <w:spacing w:after="0"/>
        <w:tabs>
          <w:tab w:leader="none" w:pos="381" w:val="left"/>
        </w:tabs>
        <w:numPr>
          <w:ilvl w:val="0"/>
          <w:numId w:val="9"/>
        </w:numPr>
        <w:rPr>
          <w:rFonts w:ascii="Arial" w:cs="Arial" w:eastAsia="Arial" w:hAnsi="Arial"/>
          <w:sz w:val="13"/>
          <w:szCs w:val="13"/>
          <w:color w:val="auto"/>
        </w:rPr>
      </w:pPr>
      <w:r>
        <w:rPr>
          <w:rFonts w:ascii="Arial" w:cs="Arial" w:eastAsia="Arial" w:hAnsi="Arial"/>
          <w:sz w:val="13"/>
          <w:szCs w:val="13"/>
          <w:color w:val="auto"/>
        </w:rPr>
        <w:t>Contingent consideration related to acquisitions and legal expenses primarily related to 3T Heater-Cooler defense and other matters</w:t>
      </w:r>
    </w:p>
    <w:p>
      <w:pPr>
        <w:spacing w:after="0" w:line="40" w:lineRule="exact"/>
        <w:rPr>
          <w:rFonts w:ascii="Arial" w:cs="Arial" w:eastAsia="Arial" w:hAnsi="Arial"/>
          <w:sz w:val="13"/>
          <w:szCs w:val="13"/>
          <w:color w:val="auto"/>
        </w:rPr>
      </w:pPr>
    </w:p>
    <w:p>
      <w:pPr>
        <w:ind w:left="381" w:hanging="381"/>
        <w:spacing w:after="0"/>
        <w:tabs>
          <w:tab w:leader="none" w:pos="381" w:val="left"/>
        </w:tabs>
        <w:numPr>
          <w:ilvl w:val="0"/>
          <w:numId w:val="9"/>
        </w:numPr>
        <w:rPr>
          <w:rFonts w:ascii="Arial" w:cs="Arial" w:eastAsia="Arial" w:hAnsi="Arial"/>
          <w:sz w:val="13"/>
          <w:szCs w:val="13"/>
          <w:color w:val="auto"/>
        </w:rPr>
      </w:pPr>
      <w:r>
        <w:rPr>
          <w:rFonts w:ascii="Arial" w:cs="Arial" w:eastAsia="Arial" w:hAnsi="Arial"/>
          <w:sz w:val="13"/>
          <w:szCs w:val="13"/>
          <w:color w:val="auto"/>
        </w:rPr>
        <w:t>Non-cash expenses associated with stock-based compensation costs</w:t>
      </w:r>
    </w:p>
    <w:p>
      <w:pPr>
        <w:spacing w:after="0" w:line="40" w:lineRule="exact"/>
        <w:rPr>
          <w:rFonts w:ascii="Arial" w:cs="Arial" w:eastAsia="Arial" w:hAnsi="Arial"/>
          <w:sz w:val="13"/>
          <w:szCs w:val="13"/>
          <w:color w:val="auto"/>
        </w:rPr>
      </w:pPr>
    </w:p>
    <w:p>
      <w:pPr>
        <w:ind w:left="381" w:hanging="381"/>
        <w:spacing w:after="0"/>
        <w:tabs>
          <w:tab w:leader="none" w:pos="381" w:val="left"/>
        </w:tabs>
        <w:numPr>
          <w:ilvl w:val="0"/>
          <w:numId w:val="9"/>
        </w:numPr>
        <w:rPr>
          <w:rFonts w:ascii="Arial" w:cs="Arial" w:eastAsia="Arial" w:hAnsi="Arial"/>
          <w:sz w:val="13"/>
          <w:szCs w:val="13"/>
          <w:color w:val="auto"/>
        </w:rPr>
      </w:pPr>
      <w:r>
        <w:rPr>
          <w:rFonts w:ascii="Arial" w:cs="Arial" w:eastAsia="Arial" w:hAnsi="Arial"/>
          <w:sz w:val="13"/>
          <w:szCs w:val="13"/>
          <w:color w:val="auto"/>
        </w:rPr>
        <w:t>Primarily relates to discrete tax items and the tax impact of intercompany transactions</w:t>
      </w:r>
    </w:p>
    <w:p>
      <w:pPr>
        <w:spacing w:after="0" w:line="40" w:lineRule="exact"/>
        <w:rPr>
          <w:rFonts w:ascii="Arial" w:cs="Arial" w:eastAsia="Arial" w:hAnsi="Arial"/>
          <w:sz w:val="13"/>
          <w:szCs w:val="13"/>
          <w:color w:val="auto"/>
        </w:rPr>
      </w:pPr>
    </w:p>
    <w:p>
      <w:pPr>
        <w:ind w:left="381" w:hanging="381"/>
        <w:spacing w:after="0"/>
        <w:tabs>
          <w:tab w:leader="none" w:pos="381" w:val="left"/>
        </w:tabs>
        <w:numPr>
          <w:ilvl w:val="0"/>
          <w:numId w:val="9"/>
        </w:numPr>
        <w:rPr>
          <w:rFonts w:ascii="Arial" w:cs="Arial" w:eastAsia="Arial" w:hAnsi="Arial"/>
          <w:sz w:val="13"/>
          <w:szCs w:val="13"/>
          <w:color w:val="auto"/>
        </w:rPr>
      </w:pPr>
      <w:r>
        <w:rPr>
          <w:rFonts w:ascii="Arial" w:cs="Arial" w:eastAsia="Arial" w:hAnsi="Arial"/>
          <w:sz w:val="13"/>
          <w:szCs w:val="13"/>
          <w:color w:val="auto"/>
        </w:rPr>
        <w:t>Primarily relates to intellectual property migration and other non-recurring impacts to interest expense</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3"/>
          <w:szCs w:val="13"/>
          <w:color w:val="auto"/>
        </w:rPr>
        <w:t>* Numbers may not add precisely due to rounding.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381"/>
          </w:cols>
          <w:pgMar w:left="259" w:top="710" w:right="259" w:bottom="1440" w:gutter="0" w:footer="0" w:header="0"/>
        </w:sectPr>
      </w:pPr>
    </w:p>
    <w:bookmarkStart w:id="17" w:name="page18"/>
    <w:bookmarkEnd w:id="17"/>
    <w:p>
      <w:pPr>
        <w:ind w:left="40"/>
        <w:spacing w:after="0"/>
        <w:rPr>
          <w:sz w:val="20"/>
          <w:szCs w:val="20"/>
          <w:color w:val="auto"/>
        </w:rPr>
      </w:pPr>
      <w:r>
        <w:rPr>
          <w:rFonts w:ascii="Arial" w:cs="Arial" w:eastAsia="Arial" w:hAnsi="Arial"/>
          <w:sz w:val="13"/>
          <w:szCs w:val="13"/>
          <w:b w:val="1"/>
          <w:bCs w:val="1"/>
          <w:color w:val="auto"/>
        </w:rPr>
        <w:t>RECONCILIATION OF GAAP TO NON-GAAP FINANCIAL MEASURES - UNAUDITED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478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890" cy="762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1"/>
                <w:szCs w:val="11"/>
                <w:b w:val="1"/>
                <w:bCs w:val="1"/>
                <w:color w:val="auto"/>
              </w:rPr>
              <w:t>Specified Items</w:t>
            </w:r>
          </w:p>
        </w:tc>
        <w:tc>
          <w:tcPr>
            <w:tcW w:w="8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Depreciation</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Non-recurring</w:t>
            </w: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Merger &amp;</w:t>
            </w:r>
          </w:p>
        </w:tc>
        <w:tc>
          <w:tcPr>
            <w:tcW w:w="86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and</w:t>
            </w:r>
          </w:p>
        </w:tc>
        <w:tc>
          <w:tcPr>
            <w:tcW w:w="7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Product</w:t>
            </w:r>
          </w:p>
        </w:tc>
        <w:tc>
          <w:tcPr>
            <w:tcW w:w="76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Legal and</w:t>
            </w:r>
          </w:p>
        </w:tc>
        <w:tc>
          <w:tcPr>
            <w:tcW w:w="8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Stock-based</w:t>
            </w:r>
          </w:p>
        </w:tc>
        <w:tc>
          <w:tcPr>
            <w:tcW w:w="80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Certain</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Three Months Ended</w:t>
            </w:r>
          </w:p>
        </w:tc>
        <w:tc>
          <w:tcPr>
            <w:tcW w:w="7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GAAP</w:t>
            </w:r>
          </w:p>
        </w:tc>
        <w:tc>
          <w:tcPr>
            <w:tcW w:w="7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Integration</w:t>
            </w:r>
          </w:p>
        </w:tc>
        <w:tc>
          <w:tcPr>
            <w:tcW w:w="8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9"/>
              </w:rPr>
              <w:t>Restructuring</w:t>
            </w:r>
          </w:p>
        </w:tc>
        <w:tc>
          <w:tcPr>
            <w:tcW w:w="8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Amortization</w:t>
            </w:r>
          </w:p>
        </w:tc>
        <w:tc>
          <w:tcPr>
            <w:tcW w:w="7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9"/>
              </w:rPr>
              <w:t>Remediation</w:t>
            </w:r>
          </w:p>
        </w:tc>
        <w:tc>
          <w:tcPr>
            <w:tcW w:w="7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Acquisition</w:t>
            </w:r>
          </w:p>
        </w:tc>
        <w:tc>
          <w:tcPr>
            <w:tcW w:w="9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9"/>
              </w:rPr>
              <w:t>Contingent</w:t>
            </w:r>
          </w:p>
        </w:tc>
        <w:tc>
          <w:tcPr>
            <w:tcW w:w="8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9"/>
              </w:rPr>
              <w:t>Compensation</w:t>
            </w:r>
          </w:p>
        </w:tc>
        <w:tc>
          <w:tcPr>
            <w:tcW w:w="8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Certain Tax</w:t>
            </w:r>
          </w:p>
        </w:tc>
        <w:tc>
          <w:tcPr>
            <w:tcW w:w="7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Interest</w:t>
            </w:r>
          </w:p>
        </w:tc>
        <w:tc>
          <w:tcPr>
            <w:tcW w:w="7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Adjusted</w:t>
            </w:r>
          </w:p>
        </w:tc>
        <w:tc>
          <w:tcPr>
            <w:tcW w:w="0" w:type="dxa"/>
            <w:vAlign w:val="bottom"/>
          </w:tcPr>
          <w:p>
            <w:pPr>
              <w:spacing w:after="0"/>
              <w:rPr>
                <w:sz w:val="1"/>
                <w:szCs w:val="1"/>
                <w:color w:val="auto"/>
              </w:rPr>
            </w:pPr>
          </w:p>
        </w:tc>
      </w:tr>
      <w:tr>
        <w:trPr>
          <w:trHeight w:val="114"/>
        </w:trPr>
        <w:tc>
          <w:tcPr>
            <w:tcW w:w="2660" w:type="dxa"/>
            <w:vAlign w:val="bottom"/>
            <w:gridSpan w:val="2"/>
            <w:vMerge w:val="continue"/>
          </w:tcPr>
          <w:p>
            <w:pPr>
              <w:spacing w:after="0"/>
              <w:rPr>
                <w:sz w:val="9"/>
                <w:szCs w:val="9"/>
                <w:color w:val="auto"/>
              </w:rPr>
            </w:pPr>
          </w:p>
        </w:tc>
        <w:tc>
          <w:tcPr>
            <w:tcW w:w="7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Financial</w:t>
            </w:r>
          </w:p>
        </w:tc>
        <w:tc>
          <w:tcPr>
            <w:tcW w:w="7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8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8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7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7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Costs</w:t>
            </w:r>
          </w:p>
        </w:tc>
        <w:tc>
          <w:tcPr>
            <w:tcW w:w="9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9"/>
              </w:rPr>
              <w:t>Consideration</w:t>
            </w:r>
          </w:p>
        </w:tc>
        <w:tc>
          <w:tcPr>
            <w:tcW w:w="8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Costs</w:t>
            </w:r>
          </w:p>
        </w:tc>
        <w:tc>
          <w:tcPr>
            <w:tcW w:w="8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8"/>
              </w:rPr>
              <w:t>Adjustments</w:t>
            </w:r>
          </w:p>
        </w:tc>
        <w:tc>
          <w:tcPr>
            <w:tcW w:w="7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Adjustments</w:t>
            </w:r>
          </w:p>
        </w:tc>
        <w:tc>
          <w:tcPr>
            <w:tcW w:w="7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Financial</w:t>
            </w:r>
          </w:p>
        </w:tc>
        <w:tc>
          <w:tcPr>
            <w:tcW w:w="0" w:type="dxa"/>
            <w:vAlign w:val="bottom"/>
          </w:tcPr>
          <w:p>
            <w:pPr>
              <w:spacing w:after="0"/>
              <w:rPr>
                <w:sz w:val="1"/>
                <w:szCs w:val="1"/>
                <w:color w:val="auto"/>
              </w:rPr>
            </w:pPr>
          </w:p>
        </w:tc>
      </w:tr>
      <w:tr>
        <w:trPr>
          <w:trHeight w:val="166"/>
        </w:trPr>
        <w:tc>
          <w:tcPr>
            <w:tcW w:w="25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September 30, 2017</w:t>
            </w:r>
          </w:p>
        </w:tc>
        <w:tc>
          <w:tcPr>
            <w:tcW w:w="1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Measures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(A)</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(B)</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(C)</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(F)</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(G)</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(H)</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Measures</w:t>
            </w:r>
          </w:p>
        </w:tc>
        <w:tc>
          <w:tcPr>
            <w:tcW w:w="0" w:type="dxa"/>
            <w:vAlign w:val="bottom"/>
          </w:tcPr>
          <w:p>
            <w:pPr>
              <w:spacing w:after="0"/>
              <w:rPr>
                <w:sz w:val="1"/>
                <w:szCs w:val="1"/>
                <w:color w:val="auto"/>
              </w:rPr>
            </w:pPr>
          </w:p>
        </w:tc>
      </w:tr>
      <w:tr>
        <w:trPr>
          <w:trHeight w:val="220"/>
        </w:trPr>
        <w:tc>
          <w:tcPr>
            <w:tcW w:w="2660" w:type="dxa"/>
            <w:vAlign w:val="bottom"/>
            <w:gridSpan w:val="2"/>
          </w:tcPr>
          <w:p>
            <w:pPr>
              <w:ind w:left="40"/>
              <w:spacing w:after="0"/>
              <w:rPr>
                <w:sz w:val="20"/>
                <w:szCs w:val="20"/>
                <w:color w:val="auto"/>
              </w:rPr>
            </w:pPr>
            <w:r>
              <w:rPr>
                <w:rFonts w:ascii="Arial" w:cs="Arial" w:eastAsia="Arial" w:hAnsi="Arial"/>
                <w:sz w:val="13"/>
                <w:szCs w:val="13"/>
                <w:color w:val="auto"/>
              </w:rPr>
              <w:t>Gross profit</w:t>
            </w:r>
          </w:p>
        </w:tc>
        <w:tc>
          <w:tcPr>
            <w:tcW w:w="720" w:type="dxa"/>
            <w:vAlign w:val="bottom"/>
          </w:tcPr>
          <w:p>
            <w:pPr>
              <w:jc w:val="right"/>
              <w:spacing w:after="0"/>
              <w:rPr>
                <w:sz w:val="20"/>
                <w:szCs w:val="20"/>
                <w:color w:val="auto"/>
              </w:rPr>
            </w:pPr>
            <w:r>
              <w:rPr>
                <w:rFonts w:ascii="Arial" w:cs="Arial" w:eastAsia="Arial" w:hAnsi="Arial"/>
                <w:sz w:val="13"/>
                <w:szCs w:val="13"/>
                <w:color w:val="auto"/>
              </w:rPr>
              <w:t>$161.9</w:t>
            </w: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3"/>
                <w:szCs w:val="13"/>
                <w:color w:val="auto"/>
              </w:rPr>
              <w:t>$1.2</w:t>
            </w:r>
          </w:p>
        </w:tc>
        <w:tc>
          <w:tcPr>
            <w:tcW w:w="780" w:type="dxa"/>
            <w:vAlign w:val="bottom"/>
          </w:tcPr>
          <w:p>
            <w:pPr>
              <w:jc w:val="right"/>
              <w:spacing w:after="0"/>
              <w:rPr>
                <w:sz w:val="20"/>
                <w:szCs w:val="20"/>
                <w:color w:val="auto"/>
              </w:rPr>
            </w:pPr>
            <w:r>
              <w:rPr>
                <w:rFonts w:ascii="Arial" w:cs="Arial" w:eastAsia="Arial" w:hAnsi="Arial"/>
                <w:sz w:val="13"/>
                <w:szCs w:val="13"/>
                <w:color w:val="auto"/>
              </w:rPr>
              <w:t>$1.6</w:t>
            </w:r>
          </w:p>
        </w:tc>
        <w:tc>
          <w:tcPr>
            <w:tcW w:w="7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3"/>
                <w:szCs w:val="13"/>
                <w:color w:val="auto"/>
              </w:rPr>
              <w:t>$0.1</w:t>
            </w:r>
          </w:p>
        </w:tc>
        <w:tc>
          <w:tcPr>
            <w:tcW w:w="880" w:type="dxa"/>
            <w:vAlign w:val="bottom"/>
          </w:tcPr>
          <w:p>
            <w:pPr>
              <w:jc w:val="right"/>
              <w:ind w:right="20"/>
              <w:spacing w:after="0"/>
              <w:rPr>
                <w:sz w:val="20"/>
                <w:szCs w:val="20"/>
                <w:color w:val="auto"/>
              </w:rPr>
            </w:pPr>
            <w:r>
              <w:rPr>
                <w:rFonts w:ascii="Arial" w:cs="Arial" w:eastAsia="Arial" w:hAnsi="Arial"/>
                <w:sz w:val="13"/>
                <w:szCs w:val="13"/>
                <w:color w:val="auto"/>
              </w:rPr>
              <w:t>$0.1</w:t>
            </w: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$165.0</w:t>
            </w:r>
          </w:p>
        </w:tc>
        <w:tc>
          <w:tcPr>
            <w:tcW w:w="0" w:type="dxa"/>
            <w:vAlign w:val="bottom"/>
          </w:tcPr>
          <w:p>
            <w:pPr>
              <w:spacing w:after="0"/>
              <w:rPr>
                <w:sz w:val="1"/>
                <w:szCs w:val="1"/>
                <w:color w:val="auto"/>
              </w:rPr>
            </w:pPr>
          </w:p>
        </w:tc>
      </w:tr>
      <w:tr>
        <w:trPr>
          <w:trHeight w:val="238"/>
        </w:trPr>
        <w:tc>
          <w:tcPr>
            <w:tcW w:w="2660" w:type="dxa"/>
            <w:vAlign w:val="bottom"/>
            <w:gridSpan w:val="2"/>
          </w:tcPr>
          <w:p>
            <w:pPr>
              <w:ind w:left="40"/>
              <w:spacing w:after="0"/>
              <w:rPr>
                <w:sz w:val="20"/>
                <w:szCs w:val="20"/>
                <w:color w:val="auto"/>
              </w:rPr>
            </w:pPr>
            <w:r>
              <w:rPr>
                <w:rFonts w:ascii="Arial" w:cs="Arial" w:eastAsia="Arial" w:hAnsi="Arial"/>
                <w:sz w:val="13"/>
                <w:szCs w:val="13"/>
                <w:color w:val="auto"/>
              </w:rPr>
              <w:t>Selling, general and administrative</w:t>
            </w:r>
          </w:p>
        </w:tc>
        <w:tc>
          <w:tcPr>
            <w:tcW w:w="720" w:type="dxa"/>
            <w:vAlign w:val="bottom"/>
          </w:tcPr>
          <w:p>
            <w:pPr>
              <w:jc w:val="right"/>
              <w:spacing w:after="0"/>
              <w:rPr>
                <w:sz w:val="20"/>
                <w:szCs w:val="20"/>
                <w:color w:val="auto"/>
              </w:rPr>
            </w:pPr>
            <w:r>
              <w:rPr>
                <w:rFonts w:ascii="Arial" w:cs="Arial" w:eastAsia="Arial" w:hAnsi="Arial"/>
                <w:sz w:val="13"/>
                <w:szCs w:val="13"/>
                <w:color w:val="auto"/>
              </w:rPr>
              <w:t>97.2</w:t>
            </w: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(0.2)</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w:t>
            </w:r>
          </w:p>
        </w:tc>
        <w:tc>
          <w:tcPr>
            <w:tcW w:w="880" w:type="dxa"/>
            <w:vAlign w:val="bottom"/>
          </w:tcPr>
          <w:p>
            <w:pPr>
              <w:jc w:val="right"/>
              <w:spacing w:after="0"/>
              <w:rPr>
                <w:sz w:val="20"/>
                <w:szCs w:val="20"/>
                <w:color w:val="auto"/>
              </w:rPr>
            </w:pPr>
            <w:r>
              <w:rPr>
                <w:rFonts w:ascii="Arial" w:cs="Arial" w:eastAsia="Arial" w:hAnsi="Arial"/>
                <w:sz w:val="13"/>
                <w:szCs w:val="13"/>
                <w:color w:val="auto"/>
              </w:rPr>
              <w:t>(4.9)</w:t>
            </w: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90.3</w:t>
            </w:r>
          </w:p>
        </w:tc>
        <w:tc>
          <w:tcPr>
            <w:tcW w:w="0" w:type="dxa"/>
            <w:vAlign w:val="bottom"/>
          </w:tcPr>
          <w:p>
            <w:pPr>
              <w:spacing w:after="0"/>
              <w:rPr>
                <w:sz w:val="1"/>
                <w:szCs w:val="1"/>
                <w:color w:val="auto"/>
              </w:rPr>
            </w:pPr>
          </w:p>
        </w:tc>
      </w:tr>
      <w:tr>
        <w:trPr>
          <w:trHeight w:val="238"/>
        </w:trPr>
        <w:tc>
          <w:tcPr>
            <w:tcW w:w="2660" w:type="dxa"/>
            <w:vAlign w:val="bottom"/>
            <w:gridSpan w:val="2"/>
          </w:tcPr>
          <w:p>
            <w:pPr>
              <w:ind w:left="40"/>
              <w:spacing w:after="0"/>
              <w:rPr>
                <w:sz w:val="20"/>
                <w:szCs w:val="20"/>
                <w:color w:val="auto"/>
              </w:rPr>
            </w:pPr>
            <w:r>
              <w:rPr>
                <w:rFonts w:ascii="Arial" w:cs="Arial" w:eastAsia="Arial" w:hAnsi="Arial"/>
                <w:sz w:val="13"/>
                <w:szCs w:val="13"/>
                <w:color w:val="auto"/>
              </w:rPr>
              <w:t>Research and development</w:t>
            </w:r>
          </w:p>
        </w:tc>
        <w:tc>
          <w:tcPr>
            <w:tcW w:w="720" w:type="dxa"/>
            <w:vAlign w:val="bottom"/>
          </w:tcPr>
          <w:p>
            <w:pPr>
              <w:jc w:val="right"/>
              <w:spacing w:after="0"/>
              <w:rPr>
                <w:sz w:val="20"/>
                <w:szCs w:val="20"/>
                <w:color w:val="auto"/>
              </w:rPr>
            </w:pPr>
            <w:r>
              <w:rPr>
                <w:rFonts w:ascii="Arial" w:cs="Arial" w:eastAsia="Arial" w:hAnsi="Arial"/>
                <w:sz w:val="13"/>
                <w:szCs w:val="13"/>
                <w:color w:val="auto"/>
              </w:rPr>
              <w:t>22.9</w:t>
            </w: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w:t>
            </w:r>
          </w:p>
        </w:tc>
        <w:tc>
          <w:tcPr>
            <w:tcW w:w="900" w:type="dxa"/>
            <w:vAlign w:val="bottom"/>
          </w:tcPr>
          <w:p>
            <w:pPr>
              <w:jc w:val="right"/>
              <w:ind w:right="40"/>
              <w:spacing w:after="0"/>
              <w:rPr>
                <w:sz w:val="20"/>
                <w:szCs w:val="20"/>
                <w:color w:val="auto"/>
              </w:rPr>
            </w:pPr>
            <w:r>
              <w:rPr>
                <w:rFonts w:ascii="Arial" w:cs="Arial" w:eastAsia="Arial" w:hAnsi="Arial"/>
                <w:sz w:val="13"/>
                <w:szCs w:val="13"/>
                <w:color w:val="auto"/>
              </w:rPr>
              <w:t>0.2</w:t>
            </w:r>
          </w:p>
        </w:tc>
        <w:tc>
          <w:tcPr>
            <w:tcW w:w="880" w:type="dxa"/>
            <w:vAlign w:val="bottom"/>
          </w:tcPr>
          <w:p>
            <w:pPr>
              <w:jc w:val="right"/>
              <w:spacing w:after="0"/>
              <w:rPr>
                <w:sz w:val="20"/>
                <w:szCs w:val="20"/>
                <w:color w:val="auto"/>
              </w:rPr>
            </w:pPr>
            <w:r>
              <w:rPr>
                <w:rFonts w:ascii="Arial" w:cs="Arial" w:eastAsia="Arial" w:hAnsi="Arial"/>
                <w:sz w:val="13"/>
                <w:szCs w:val="13"/>
                <w:color w:val="auto"/>
              </w:rPr>
              <w:t>(0.4)</w:t>
            </w: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238"/>
        </w:trPr>
        <w:tc>
          <w:tcPr>
            <w:tcW w:w="2660" w:type="dxa"/>
            <w:vAlign w:val="bottom"/>
            <w:gridSpan w:val="2"/>
          </w:tcPr>
          <w:p>
            <w:pPr>
              <w:ind w:left="40"/>
              <w:spacing w:after="0"/>
              <w:rPr>
                <w:sz w:val="20"/>
                <w:szCs w:val="20"/>
                <w:color w:val="auto"/>
              </w:rPr>
            </w:pPr>
            <w:r>
              <w:rPr>
                <w:rFonts w:ascii="Arial" w:cs="Arial" w:eastAsia="Arial" w:hAnsi="Arial"/>
                <w:sz w:val="13"/>
                <w:szCs w:val="13"/>
                <w:color w:val="auto"/>
              </w:rPr>
              <w:t>Other operating expenses</w:t>
            </w:r>
          </w:p>
        </w:tc>
        <w:tc>
          <w:tcPr>
            <w:tcW w:w="720" w:type="dxa"/>
            <w:vAlign w:val="bottom"/>
          </w:tcPr>
          <w:p>
            <w:pPr>
              <w:jc w:val="right"/>
              <w:spacing w:after="0"/>
              <w:rPr>
                <w:sz w:val="20"/>
                <w:szCs w:val="20"/>
                <w:color w:val="auto"/>
              </w:rPr>
            </w:pPr>
            <w:r>
              <w:rPr>
                <w:rFonts w:ascii="Arial" w:cs="Arial" w:eastAsia="Arial" w:hAnsi="Arial"/>
                <w:sz w:val="13"/>
                <w:szCs w:val="13"/>
                <w:color w:val="auto"/>
              </w:rPr>
              <w:t>11.7</w:t>
            </w:r>
          </w:p>
        </w:tc>
        <w:tc>
          <w:tcPr>
            <w:tcW w:w="740" w:type="dxa"/>
            <w:vAlign w:val="bottom"/>
          </w:tcPr>
          <w:p>
            <w:pPr>
              <w:jc w:val="right"/>
              <w:spacing w:after="0"/>
              <w:rPr>
                <w:sz w:val="20"/>
                <w:szCs w:val="20"/>
                <w:color w:val="auto"/>
              </w:rPr>
            </w:pPr>
            <w:r>
              <w:rPr>
                <w:rFonts w:ascii="Arial" w:cs="Arial" w:eastAsia="Arial" w:hAnsi="Arial"/>
                <w:sz w:val="13"/>
                <w:szCs w:val="13"/>
                <w:color w:val="auto"/>
              </w:rPr>
              <w:t>(2.2)</w:t>
            </w:r>
          </w:p>
        </w:tc>
        <w:tc>
          <w:tcPr>
            <w:tcW w:w="860" w:type="dxa"/>
            <w:vAlign w:val="bottom"/>
          </w:tcPr>
          <w:p>
            <w:pPr>
              <w:jc w:val="right"/>
              <w:spacing w:after="0"/>
              <w:rPr>
                <w:sz w:val="20"/>
                <w:szCs w:val="20"/>
                <w:color w:val="auto"/>
              </w:rPr>
            </w:pPr>
            <w:r>
              <w:rPr>
                <w:rFonts w:ascii="Arial" w:cs="Arial" w:eastAsia="Arial" w:hAnsi="Arial"/>
                <w:sz w:val="13"/>
                <w:szCs w:val="13"/>
                <w:color w:val="auto"/>
              </w:rPr>
              <w:t>(1.2)</w:t>
            </w:r>
          </w:p>
        </w:tc>
        <w:tc>
          <w:tcPr>
            <w:tcW w:w="840" w:type="dxa"/>
            <w:vAlign w:val="bottom"/>
          </w:tcPr>
          <w:p>
            <w:pPr>
              <w:jc w:val="right"/>
              <w:spacing w:after="0"/>
              <w:rPr>
                <w:sz w:val="20"/>
                <w:szCs w:val="20"/>
                <w:color w:val="auto"/>
              </w:rPr>
            </w:pPr>
            <w:r>
              <w:rPr>
                <w:rFonts w:ascii="Arial" w:cs="Arial" w:eastAsia="Arial" w:hAnsi="Arial"/>
                <w:sz w:val="13"/>
                <w:szCs w:val="13"/>
                <w:color w:val="auto"/>
              </w:rPr>
              <w:t>(8.5)</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3"/>
                <w:szCs w:val="13"/>
                <w:color w:val="auto"/>
              </w:rPr>
              <w:t>0.2</w:t>
            </w: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2660" w:type="dxa"/>
            <w:vAlign w:val="bottom"/>
            <w:gridSpan w:val="2"/>
          </w:tcPr>
          <w:p>
            <w:pPr>
              <w:ind w:left="40"/>
              <w:spacing w:after="0"/>
              <w:rPr>
                <w:sz w:val="20"/>
                <w:szCs w:val="20"/>
                <w:color w:val="auto"/>
              </w:rPr>
            </w:pPr>
            <w:r>
              <w:rPr>
                <w:rFonts w:ascii="Arial" w:cs="Arial" w:eastAsia="Arial" w:hAnsi="Arial"/>
                <w:sz w:val="13"/>
                <w:szCs w:val="13"/>
                <w:color w:val="auto"/>
              </w:rPr>
              <w:t>Operating income from continuing</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660" w:type="dxa"/>
            <w:vAlign w:val="bottom"/>
            <w:gridSpan w:val="2"/>
          </w:tcPr>
          <w:p>
            <w:pPr>
              <w:ind w:left="40"/>
              <w:spacing w:after="0"/>
              <w:rPr>
                <w:sz w:val="20"/>
                <w:szCs w:val="20"/>
                <w:color w:val="auto"/>
              </w:rPr>
            </w:pPr>
            <w:r>
              <w:rPr>
                <w:rFonts w:ascii="Arial" w:cs="Arial" w:eastAsia="Arial" w:hAnsi="Arial"/>
                <w:sz w:val="13"/>
                <w:szCs w:val="13"/>
                <w:color w:val="auto"/>
              </w:rPr>
              <w:t>operations</w:t>
            </w:r>
          </w:p>
        </w:tc>
        <w:tc>
          <w:tcPr>
            <w:tcW w:w="720" w:type="dxa"/>
            <w:vAlign w:val="bottom"/>
          </w:tcPr>
          <w:p>
            <w:pPr>
              <w:jc w:val="right"/>
              <w:spacing w:after="0"/>
              <w:rPr>
                <w:sz w:val="20"/>
                <w:szCs w:val="20"/>
                <w:color w:val="auto"/>
              </w:rPr>
            </w:pPr>
            <w:r>
              <w:rPr>
                <w:rFonts w:ascii="Arial" w:cs="Arial" w:eastAsia="Arial" w:hAnsi="Arial"/>
                <w:sz w:val="13"/>
                <w:szCs w:val="13"/>
                <w:color w:val="auto"/>
              </w:rPr>
              <w:t>30.0</w:t>
            </w:r>
          </w:p>
        </w:tc>
        <w:tc>
          <w:tcPr>
            <w:tcW w:w="740" w:type="dxa"/>
            <w:vAlign w:val="bottom"/>
          </w:tcPr>
          <w:p>
            <w:pPr>
              <w:jc w:val="right"/>
              <w:ind w:right="20"/>
              <w:spacing w:after="0"/>
              <w:rPr>
                <w:sz w:val="20"/>
                <w:szCs w:val="20"/>
                <w:color w:val="auto"/>
              </w:rPr>
            </w:pPr>
            <w:r>
              <w:rPr>
                <w:rFonts w:ascii="Arial" w:cs="Arial" w:eastAsia="Arial" w:hAnsi="Arial"/>
                <w:sz w:val="13"/>
                <w:szCs w:val="13"/>
                <w:color w:val="auto"/>
              </w:rPr>
              <w:t>2.2</w:t>
            </w:r>
          </w:p>
        </w:tc>
        <w:tc>
          <w:tcPr>
            <w:tcW w:w="860" w:type="dxa"/>
            <w:vAlign w:val="bottom"/>
          </w:tcPr>
          <w:p>
            <w:pPr>
              <w:jc w:val="right"/>
              <w:ind w:right="20"/>
              <w:spacing w:after="0"/>
              <w:rPr>
                <w:sz w:val="20"/>
                <w:szCs w:val="20"/>
                <w:color w:val="auto"/>
              </w:rPr>
            </w:pPr>
            <w:r>
              <w:rPr>
                <w:rFonts w:ascii="Arial" w:cs="Arial" w:eastAsia="Arial" w:hAnsi="Arial"/>
                <w:sz w:val="13"/>
                <w:szCs w:val="13"/>
                <w:color w:val="auto"/>
              </w:rPr>
              <w:t>1.2</w:t>
            </w:r>
          </w:p>
        </w:tc>
        <w:tc>
          <w:tcPr>
            <w:tcW w:w="840" w:type="dxa"/>
            <w:vAlign w:val="bottom"/>
          </w:tcPr>
          <w:p>
            <w:pPr>
              <w:jc w:val="right"/>
              <w:ind w:right="40"/>
              <w:spacing w:after="0"/>
              <w:rPr>
                <w:sz w:val="20"/>
                <w:szCs w:val="20"/>
                <w:color w:val="auto"/>
              </w:rPr>
            </w:pPr>
            <w:r>
              <w:rPr>
                <w:rFonts w:ascii="Arial" w:cs="Arial" w:eastAsia="Arial" w:hAnsi="Arial"/>
                <w:sz w:val="13"/>
                <w:szCs w:val="13"/>
                <w:color w:val="auto"/>
              </w:rPr>
              <w:t>10.0</w:t>
            </w:r>
          </w:p>
        </w:tc>
        <w:tc>
          <w:tcPr>
            <w:tcW w:w="780" w:type="dxa"/>
            <w:vAlign w:val="bottom"/>
          </w:tcPr>
          <w:p>
            <w:pPr>
              <w:jc w:val="right"/>
              <w:spacing w:after="0"/>
              <w:rPr>
                <w:sz w:val="20"/>
                <w:szCs w:val="20"/>
                <w:color w:val="auto"/>
              </w:rPr>
            </w:pPr>
            <w:r>
              <w:rPr>
                <w:rFonts w:ascii="Arial" w:cs="Arial" w:eastAsia="Arial" w:hAnsi="Arial"/>
                <w:sz w:val="13"/>
                <w:szCs w:val="13"/>
                <w:color w:val="auto"/>
              </w:rPr>
              <w:t>1.6</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1.5</w:t>
            </w:r>
          </w:p>
        </w:tc>
        <w:tc>
          <w:tcPr>
            <w:tcW w:w="900" w:type="dxa"/>
            <w:vAlign w:val="bottom"/>
          </w:tcPr>
          <w:p>
            <w:pPr>
              <w:jc w:val="right"/>
              <w:ind w:right="40"/>
              <w:spacing w:after="0"/>
              <w:rPr>
                <w:sz w:val="20"/>
                <w:szCs w:val="20"/>
                <w:color w:val="auto"/>
              </w:rPr>
            </w:pPr>
            <w:r>
              <w:rPr>
                <w:rFonts w:ascii="Arial" w:cs="Arial" w:eastAsia="Arial" w:hAnsi="Arial"/>
                <w:sz w:val="13"/>
                <w:szCs w:val="13"/>
                <w:color w:val="auto"/>
              </w:rPr>
              <w:t>1.5</w:t>
            </w:r>
          </w:p>
        </w:tc>
        <w:tc>
          <w:tcPr>
            <w:tcW w:w="880" w:type="dxa"/>
            <w:vAlign w:val="bottom"/>
          </w:tcPr>
          <w:p>
            <w:pPr>
              <w:jc w:val="right"/>
              <w:ind w:right="20"/>
              <w:spacing w:after="0"/>
              <w:rPr>
                <w:sz w:val="20"/>
                <w:szCs w:val="20"/>
                <w:color w:val="auto"/>
              </w:rPr>
            </w:pPr>
            <w:r>
              <w:rPr>
                <w:rFonts w:ascii="Arial" w:cs="Arial" w:eastAsia="Arial" w:hAnsi="Arial"/>
                <w:sz w:val="13"/>
                <w:szCs w:val="13"/>
                <w:color w:val="auto"/>
              </w:rPr>
              <w:t>5.5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53.5</w:t>
            </w:r>
          </w:p>
        </w:tc>
        <w:tc>
          <w:tcPr>
            <w:tcW w:w="0" w:type="dxa"/>
            <w:vAlign w:val="bottom"/>
          </w:tcPr>
          <w:p>
            <w:pPr>
              <w:spacing w:after="0"/>
              <w:rPr>
                <w:sz w:val="1"/>
                <w:szCs w:val="1"/>
                <w:color w:val="auto"/>
              </w:rPr>
            </w:pPr>
          </w:p>
        </w:tc>
      </w:tr>
      <w:tr>
        <w:trPr>
          <w:trHeight w:val="238"/>
        </w:trPr>
        <w:tc>
          <w:tcPr>
            <w:tcW w:w="2660" w:type="dxa"/>
            <w:vAlign w:val="bottom"/>
            <w:gridSpan w:val="2"/>
          </w:tcPr>
          <w:p>
            <w:pPr>
              <w:ind w:left="40"/>
              <w:spacing w:after="0"/>
              <w:rPr>
                <w:sz w:val="20"/>
                <w:szCs w:val="20"/>
                <w:color w:val="auto"/>
              </w:rPr>
            </w:pPr>
            <w:r>
              <w:rPr>
                <w:rFonts w:ascii="Arial" w:cs="Arial" w:eastAsia="Arial" w:hAnsi="Arial"/>
                <w:sz w:val="13"/>
                <w:szCs w:val="13"/>
                <w:color w:val="auto"/>
              </w:rPr>
              <w:t>Income tax expense</w:t>
            </w:r>
          </w:p>
        </w:tc>
        <w:tc>
          <w:tcPr>
            <w:tcW w:w="720" w:type="dxa"/>
            <w:vAlign w:val="bottom"/>
          </w:tcPr>
          <w:p>
            <w:pPr>
              <w:jc w:val="right"/>
              <w:spacing w:after="0"/>
              <w:rPr>
                <w:sz w:val="20"/>
                <w:szCs w:val="20"/>
                <w:color w:val="auto"/>
              </w:rPr>
            </w:pPr>
            <w:r>
              <w:rPr>
                <w:rFonts w:ascii="Arial" w:cs="Arial" w:eastAsia="Arial" w:hAnsi="Arial"/>
                <w:sz w:val="13"/>
                <w:szCs w:val="13"/>
                <w:color w:val="auto"/>
              </w:rPr>
              <w:t>1.9</w:t>
            </w:r>
          </w:p>
        </w:tc>
        <w:tc>
          <w:tcPr>
            <w:tcW w:w="740" w:type="dxa"/>
            <w:vAlign w:val="bottom"/>
          </w:tcPr>
          <w:p>
            <w:pPr>
              <w:jc w:val="right"/>
              <w:ind w:right="20"/>
              <w:spacing w:after="0"/>
              <w:rPr>
                <w:sz w:val="20"/>
                <w:szCs w:val="20"/>
                <w:color w:val="auto"/>
              </w:rPr>
            </w:pPr>
            <w:r>
              <w:rPr>
                <w:rFonts w:ascii="Arial" w:cs="Arial" w:eastAsia="Arial" w:hAnsi="Arial"/>
                <w:sz w:val="13"/>
                <w:szCs w:val="13"/>
                <w:color w:val="auto"/>
              </w:rPr>
              <w:t>0.1</w:t>
            </w:r>
          </w:p>
        </w:tc>
        <w:tc>
          <w:tcPr>
            <w:tcW w:w="8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(0.4)</w:t>
            </w:r>
          </w:p>
        </w:tc>
        <w:tc>
          <w:tcPr>
            <w:tcW w:w="780" w:type="dxa"/>
            <w:vAlign w:val="bottom"/>
          </w:tcPr>
          <w:p>
            <w:pPr>
              <w:jc w:val="right"/>
              <w:spacing w:after="0"/>
              <w:rPr>
                <w:sz w:val="20"/>
                <w:szCs w:val="20"/>
                <w:color w:val="auto"/>
              </w:rPr>
            </w:pPr>
            <w:r>
              <w:rPr>
                <w:rFonts w:ascii="Arial" w:cs="Arial" w:eastAsia="Arial" w:hAnsi="Arial"/>
                <w:sz w:val="13"/>
                <w:szCs w:val="13"/>
                <w:color w:val="auto"/>
              </w:rPr>
              <w:t>0.5</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0.6</w:t>
            </w:r>
          </w:p>
        </w:tc>
        <w:tc>
          <w:tcPr>
            <w:tcW w:w="900" w:type="dxa"/>
            <w:vAlign w:val="bottom"/>
          </w:tcPr>
          <w:p>
            <w:pPr>
              <w:jc w:val="right"/>
              <w:ind w:right="40"/>
              <w:spacing w:after="0"/>
              <w:rPr>
                <w:sz w:val="20"/>
                <w:szCs w:val="20"/>
                <w:color w:val="auto"/>
              </w:rPr>
            </w:pPr>
            <w:r>
              <w:rPr>
                <w:rFonts w:ascii="Arial" w:cs="Arial" w:eastAsia="Arial" w:hAnsi="Arial"/>
                <w:sz w:val="13"/>
                <w:szCs w:val="13"/>
                <w:color w:val="auto"/>
              </w:rPr>
              <w:t>1.5</w:t>
            </w:r>
          </w:p>
        </w:tc>
        <w:tc>
          <w:tcPr>
            <w:tcW w:w="880" w:type="dxa"/>
            <w:vAlign w:val="bottom"/>
          </w:tcPr>
          <w:p>
            <w:pPr>
              <w:jc w:val="right"/>
              <w:ind w:right="20"/>
              <w:spacing w:after="0"/>
              <w:rPr>
                <w:sz w:val="20"/>
                <w:szCs w:val="20"/>
                <w:color w:val="auto"/>
              </w:rPr>
            </w:pPr>
            <w:r>
              <w:rPr>
                <w:rFonts w:ascii="Arial" w:cs="Arial" w:eastAsia="Arial" w:hAnsi="Arial"/>
                <w:sz w:val="13"/>
                <w:szCs w:val="13"/>
                <w:color w:val="auto"/>
              </w:rPr>
              <w:t>2.2</w:t>
            </w:r>
          </w:p>
        </w:tc>
        <w:tc>
          <w:tcPr>
            <w:tcW w:w="800" w:type="dxa"/>
            <w:vAlign w:val="bottom"/>
          </w:tcPr>
          <w:p>
            <w:pPr>
              <w:jc w:val="right"/>
              <w:ind w:right="21"/>
              <w:spacing w:after="0"/>
              <w:rPr>
                <w:sz w:val="20"/>
                <w:szCs w:val="20"/>
                <w:color w:val="auto"/>
              </w:rPr>
            </w:pPr>
            <w:r>
              <w:rPr>
                <w:rFonts w:ascii="Arial" w:cs="Arial" w:eastAsia="Arial" w:hAnsi="Arial"/>
                <w:sz w:val="13"/>
                <w:szCs w:val="13"/>
                <w:color w:val="auto"/>
              </w:rPr>
              <w:t>6.0</w:t>
            </w:r>
          </w:p>
        </w:tc>
        <w:tc>
          <w:tcPr>
            <w:tcW w:w="760" w:type="dxa"/>
            <w:vAlign w:val="bottom"/>
          </w:tcPr>
          <w:p>
            <w:pPr>
              <w:jc w:val="right"/>
              <w:spacing w:after="0"/>
              <w:rPr>
                <w:sz w:val="20"/>
                <w:szCs w:val="20"/>
                <w:color w:val="auto"/>
              </w:rPr>
            </w:pPr>
            <w:r>
              <w:rPr>
                <w:rFonts w:ascii="Arial" w:cs="Arial" w:eastAsia="Arial" w:hAnsi="Arial"/>
                <w:sz w:val="13"/>
                <w:szCs w:val="13"/>
                <w:color w:val="auto"/>
              </w:rPr>
              <w:t>0.2</w:t>
            </w:r>
          </w:p>
        </w:tc>
        <w:tc>
          <w:tcPr>
            <w:tcW w:w="720" w:type="dxa"/>
            <w:vAlign w:val="bottom"/>
          </w:tcPr>
          <w:p>
            <w:pPr>
              <w:jc w:val="right"/>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238"/>
        </w:trPr>
        <w:tc>
          <w:tcPr>
            <w:tcW w:w="2660" w:type="dxa"/>
            <w:vAlign w:val="bottom"/>
            <w:gridSpan w:val="2"/>
          </w:tcPr>
          <w:p>
            <w:pPr>
              <w:ind w:left="40"/>
              <w:spacing w:after="0"/>
              <w:rPr>
                <w:sz w:val="20"/>
                <w:szCs w:val="20"/>
                <w:color w:val="auto"/>
              </w:rPr>
            </w:pPr>
            <w:r>
              <w:rPr>
                <w:rFonts w:ascii="Arial" w:cs="Arial" w:eastAsia="Arial" w:hAnsi="Arial"/>
                <w:sz w:val="13"/>
                <w:szCs w:val="13"/>
                <w:color w:val="auto"/>
              </w:rPr>
              <w:t>Net income from continuing operations</w:t>
            </w:r>
          </w:p>
        </w:tc>
        <w:tc>
          <w:tcPr>
            <w:tcW w:w="720" w:type="dxa"/>
            <w:vAlign w:val="bottom"/>
          </w:tcPr>
          <w:p>
            <w:pPr>
              <w:jc w:val="right"/>
              <w:spacing w:after="0"/>
              <w:rPr>
                <w:sz w:val="20"/>
                <w:szCs w:val="20"/>
                <w:color w:val="auto"/>
              </w:rPr>
            </w:pPr>
            <w:r>
              <w:rPr>
                <w:rFonts w:ascii="Arial" w:cs="Arial" w:eastAsia="Arial" w:hAnsi="Arial"/>
                <w:sz w:val="13"/>
                <w:szCs w:val="13"/>
                <w:color w:val="auto"/>
              </w:rPr>
              <w:t>27.0</w:t>
            </w:r>
          </w:p>
        </w:tc>
        <w:tc>
          <w:tcPr>
            <w:tcW w:w="740" w:type="dxa"/>
            <w:vAlign w:val="bottom"/>
          </w:tcPr>
          <w:p>
            <w:pPr>
              <w:jc w:val="right"/>
              <w:ind w:right="20"/>
              <w:spacing w:after="0"/>
              <w:rPr>
                <w:sz w:val="20"/>
                <w:szCs w:val="20"/>
                <w:color w:val="auto"/>
              </w:rPr>
            </w:pPr>
            <w:r>
              <w:rPr>
                <w:rFonts w:ascii="Arial" w:cs="Arial" w:eastAsia="Arial" w:hAnsi="Arial"/>
                <w:sz w:val="13"/>
                <w:szCs w:val="13"/>
                <w:color w:val="auto"/>
              </w:rPr>
              <w:t>2.1</w:t>
            </w:r>
          </w:p>
        </w:tc>
        <w:tc>
          <w:tcPr>
            <w:tcW w:w="860" w:type="dxa"/>
            <w:vAlign w:val="bottom"/>
          </w:tcPr>
          <w:p>
            <w:pPr>
              <w:jc w:val="right"/>
              <w:ind w:right="20"/>
              <w:spacing w:after="0"/>
              <w:rPr>
                <w:sz w:val="20"/>
                <w:szCs w:val="20"/>
                <w:color w:val="auto"/>
              </w:rPr>
            </w:pPr>
            <w:r>
              <w:rPr>
                <w:rFonts w:ascii="Arial" w:cs="Arial" w:eastAsia="Arial" w:hAnsi="Arial"/>
                <w:sz w:val="13"/>
                <w:szCs w:val="13"/>
                <w:color w:val="auto"/>
              </w:rPr>
              <w:t>1.2</w:t>
            </w:r>
          </w:p>
        </w:tc>
        <w:tc>
          <w:tcPr>
            <w:tcW w:w="840" w:type="dxa"/>
            <w:vAlign w:val="bottom"/>
          </w:tcPr>
          <w:p>
            <w:pPr>
              <w:jc w:val="right"/>
              <w:ind w:right="40"/>
              <w:spacing w:after="0"/>
              <w:rPr>
                <w:sz w:val="20"/>
                <w:szCs w:val="20"/>
                <w:color w:val="auto"/>
              </w:rPr>
            </w:pPr>
            <w:r>
              <w:rPr>
                <w:rFonts w:ascii="Arial" w:cs="Arial" w:eastAsia="Arial" w:hAnsi="Arial"/>
                <w:sz w:val="13"/>
                <w:szCs w:val="13"/>
                <w:color w:val="auto"/>
              </w:rPr>
              <w:t>10.5</w:t>
            </w:r>
          </w:p>
        </w:tc>
        <w:tc>
          <w:tcPr>
            <w:tcW w:w="780" w:type="dxa"/>
            <w:vAlign w:val="bottom"/>
          </w:tcPr>
          <w:p>
            <w:pPr>
              <w:jc w:val="right"/>
              <w:spacing w:after="0"/>
              <w:rPr>
                <w:sz w:val="20"/>
                <w:szCs w:val="20"/>
                <w:color w:val="auto"/>
              </w:rPr>
            </w:pPr>
            <w:r>
              <w:rPr>
                <w:rFonts w:ascii="Arial" w:cs="Arial" w:eastAsia="Arial" w:hAnsi="Arial"/>
                <w:sz w:val="13"/>
                <w:szCs w:val="13"/>
                <w:color w:val="auto"/>
              </w:rPr>
              <w:t>1.1</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0.9</w:t>
            </w:r>
          </w:p>
        </w:tc>
        <w:tc>
          <w:tcPr>
            <w:tcW w:w="90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3"/>
                <w:szCs w:val="13"/>
                <w:color w:val="auto"/>
              </w:rPr>
              <w:t>3.3</w:t>
            </w:r>
          </w:p>
        </w:tc>
        <w:tc>
          <w:tcPr>
            <w:tcW w:w="800" w:type="dxa"/>
            <w:vAlign w:val="bottom"/>
          </w:tcPr>
          <w:p>
            <w:pPr>
              <w:jc w:val="right"/>
              <w:spacing w:after="0"/>
              <w:rPr>
                <w:sz w:val="20"/>
                <w:szCs w:val="20"/>
                <w:color w:val="auto"/>
              </w:rPr>
            </w:pPr>
            <w:r>
              <w:rPr>
                <w:rFonts w:ascii="Arial" w:cs="Arial" w:eastAsia="Arial" w:hAnsi="Arial"/>
                <w:sz w:val="13"/>
                <w:szCs w:val="13"/>
                <w:color w:val="auto"/>
              </w:rPr>
              <w:t>(6.0)</w:t>
            </w:r>
          </w:p>
        </w:tc>
        <w:tc>
          <w:tcPr>
            <w:tcW w:w="760" w:type="dxa"/>
            <w:vAlign w:val="bottom"/>
          </w:tcPr>
          <w:p>
            <w:pPr>
              <w:jc w:val="right"/>
              <w:spacing w:after="0"/>
              <w:rPr>
                <w:sz w:val="20"/>
                <w:szCs w:val="20"/>
                <w:color w:val="auto"/>
              </w:rPr>
            </w:pPr>
            <w:r>
              <w:rPr>
                <w:rFonts w:ascii="Arial" w:cs="Arial" w:eastAsia="Arial" w:hAnsi="Arial"/>
                <w:sz w:val="13"/>
                <w:szCs w:val="13"/>
                <w:color w:val="auto"/>
              </w:rPr>
              <w:t>0.1</w:t>
            </w:r>
          </w:p>
        </w:tc>
        <w:tc>
          <w:tcPr>
            <w:tcW w:w="720" w:type="dxa"/>
            <w:vAlign w:val="bottom"/>
          </w:tcPr>
          <w:p>
            <w:pPr>
              <w:jc w:val="right"/>
              <w:spacing w:after="0"/>
              <w:rPr>
                <w:sz w:val="20"/>
                <w:szCs w:val="20"/>
                <w:color w:val="auto"/>
              </w:rPr>
            </w:pPr>
            <w:r>
              <w:rPr>
                <w:rFonts w:ascii="Arial" w:cs="Arial" w:eastAsia="Arial" w:hAnsi="Arial"/>
                <w:sz w:val="13"/>
                <w:szCs w:val="13"/>
                <w:color w:val="auto"/>
              </w:rPr>
              <w:t>40.2</w:t>
            </w:r>
          </w:p>
        </w:tc>
        <w:tc>
          <w:tcPr>
            <w:tcW w:w="0" w:type="dxa"/>
            <w:vAlign w:val="bottom"/>
          </w:tcPr>
          <w:p>
            <w:pPr>
              <w:spacing w:after="0"/>
              <w:rPr>
                <w:sz w:val="1"/>
                <w:szCs w:val="1"/>
                <w:color w:val="auto"/>
              </w:rPr>
            </w:pPr>
          </w:p>
        </w:tc>
      </w:tr>
      <w:tr>
        <w:trPr>
          <w:trHeight w:val="238"/>
        </w:trPr>
        <w:tc>
          <w:tcPr>
            <w:tcW w:w="2660" w:type="dxa"/>
            <w:vAlign w:val="bottom"/>
            <w:gridSpan w:val="2"/>
          </w:tcPr>
          <w:p>
            <w:pPr>
              <w:ind w:left="40"/>
              <w:spacing w:after="0"/>
              <w:rPr>
                <w:sz w:val="20"/>
                <w:szCs w:val="20"/>
                <w:color w:val="auto"/>
              </w:rPr>
            </w:pPr>
            <w:r>
              <w:rPr>
                <w:rFonts w:ascii="Arial" w:cs="Arial" w:eastAsia="Arial" w:hAnsi="Arial"/>
                <w:sz w:val="13"/>
                <w:szCs w:val="13"/>
                <w:color w:val="auto"/>
              </w:rPr>
              <w:t>Diluted EPS - Continuing Operations</w:t>
            </w:r>
          </w:p>
        </w:tc>
        <w:tc>
          <w:tcPr>
            <w:tcW w:w="720" w:type="dxa"/>
            <w:vAlign w:val="bottom"/>
          </w:tcPr>
          <w:p>
            <w:pPr>
              <w:jc w:val="right"/>
              <w:spacing w:after="0"/>
              <w:rPr>
                <w:sz w:val="20"/>
                <w:szCs w:val="20"/>
                <w:color w:val="auto"/>
              </w:rPr>
            </w:pPr>
            <w:r>
              <w:rPr>
                <w:rFonts w:ascii="Arial" w:cs="Arial" w:eastAsia="Arial" w:hAnsi="Arial"/>
                <w:sz w:val="13"/>
                <w:szCs w:val="13"/>
                <w:color w:val="auto"/>
              </w:rPr>
              <w:t>$0.56</w:t>
            </w:r>
          </w:p>
        </w:tc>
        <w:tc>
          <w:tcPr>
            <w:tcW w:w="740" w:type="dxa"/>
            <w:vAlign w:val="bottom"/>
          </w:tcPr>
          <w:p>
            <w:pPr>
              <w:jc w:val="right"/>
              <w:ind w:right="20"/>
              <w:spacing w:after="0"/>
              <w:rPr>
                <w:sz w:val="20"/>
                <w:szCs w:val="20"/>
                <w:color w:val="auto"/>
              </w:rPr>
            </w:pPr>
            <w:r>
              <w:rPr>
                <w:rFonts w:ascii="Arial" w:cs="Arial" w:eastAsia="Arial" w:hAnsi="Arial"/>
                <w:sz w:val="13"/>
                <w:szCs w:val="13"/>
                <w:color w:val="auto"/>
              </w:rPr>
              <w:t>$0.04</w:t>
            </w:r>
          </w:p>
        </w:tc>
        <w:tc>
          <w:tcPr>
            <w:tcW w:w="860" w:type="dxa"/>
            <w:vAlign w:val="bottom"/>
          </w:tcPr>
          <w:p>
            <w:pPr>
              <w:jc w:val="right"/>
              <w:ind w:right="20"/>
              <w:spacing w:after="0"/>
              <w:rPr>
                <w:sz w:val="20"/>
                <w:szCs w:val="20"/>
                <w:color w:val="auto"/>
              </w:rPr>
            </w:pPr>
            <w:r>
              <w:rPr>
                <w:rFonts w:ascii="Arial" w:cs="Arial" w:eastAsia="Arial" w:hAnsi="Arial"/>
                <w:sz w:val="13"/>
                <w:szCs w:val="13"/>
                <w:color w:val="auto"/>
              </w:rPr>
              <w:t>$0.02</w:t>
            </w:r>
          </w:p>
        </w:tc>
        <w:tc>
          <w:tcPr>
            <w:tcW w:w="840" w:type="dxa"/>
            <w:vAlign w:val="bottom"/>
          </w:tcPr>
          <w:p>
            <w:pPr>
              <w:jc w:val="right"/>
              <w:ind w:right="40"/>
              <w:spacing w:after="0"/>
              <w:rPr>
                <w:sz w:val="20"/>
                <w:szCs w:val="20"/>
                <w:color w:val="auto"/>
              </w:rPr>
            </w:pPr>
            <w:r>
              <w:rPr>
                <w:rFonts w:ascii="Arial" w:cs="Arial" w:eastAsia="Arial" w:hAnsi="Arial"/>
                <w:sz w:val="13"/>
                <w:szCs w:val="13"/>
                <w:color w:val="auto"/>
              </w:rPr>
              <w:t>$0.22</w:t>
            </w:r>
          </w:p>
        </w:tc>
        <w:tc>
          <w:tcPr>
            <w:tcW w:w="780" w:type="dxa"/>
            <w:vAlign w:val="bottom"/>
          </w:tcPr>
          <w:p>
            <w:pPr>
              <w:jc w:val="right"/>
              <w:spacing w:after="0"/>
              <w:rPr>
                <w:sz w:val="20"/>
                <w:szCs w:val="20"/>
                <w:color w:val="auto"/>
              </w:rPr>
            </w:pPr>
            <w:r>
              <w:rPr>
                <w:rFonts w:ascii="Arial" w:cs="Arial" w:eastAsia="Arial" w:hAnsi="Arial"/>
                <w:sz w:val="13"/>
                <w:szCs w:val="13"/>
                <w:color w:val="auto"/>
              </w:rPr>
              <w:t>$0.02</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$0.02</w:t>
            </w:r>
          </w:p>
        </w:tc>
        <w:tc>
          <w:tcPr>
            <w:tcW w:w="900" w:type="dxa"/>
            <w:vAlign w:val="bottom"/>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0"/>
              <w:spacing w:after="0"/>
              <w:rPr>
                <w:sz w:val="20"/>
                <w:szCs w:val="20"/>
                <w:color w:val="auto"/>
              </w:rPr>
            </w:pPr>
            <w:r>
              <w:rPr>
                <w:rFonts w:ascii="Arial" w:cs="Arial" w:eastAsia="Arial" w:hAnsi="Arial"/>
                <w:sz w:val="13"/>
                <w:szCs w:val="13"/>
                <w:color w:val="auto"/>
              </w:rPr>
              <w:t>$0.07</w:t>
            </w:r>
          </w:p>
        </w:tc>
        <w:tc>
          <w:tcPr>
            <w:tcW w:w="800" w:type="dxa"/>
            <w:vAlign w:val="bottom"/>
          </w:tcPr>
          <w:p>
            <w:pPr>
              <w:jc w:val="right"/>
              <w:spacing w:after="0"/>
              <w:rPr>
                <w:sz w:val="20"/>
                <w:szCs w:val="20"/>
                <w:color w:val="auto"/>
              </w:rPr>
            </w:pPr>
            <w:r>
              <w:rPr>
                <w:rFonts w:ascii="Arial" w:cs="Arial" w:eastAsia="Arial" w:hAnsi="Arial"/>
                <w:sz w:val="13"/>
                <w:szCs w:val="13"/>
                <w:color w:val="auto"/>
              </w:rPr>
              <w:t>($0.12)</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$0.83</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GAAP results for the three months ended September 30, 2017 include:</w:t>
      </w:r>
    </w:p>
    <w:p>
      <w:pPr>
        <w:spacing w:after="0" w:line="57" w:lineRule="exact"/>
        <w:rPr>
          <w:sz w:val="20"/>
          <w:szCs w:val="20"/>
          <w:color w:val="auto"/>
        </w:rPr>
      </w:pPr>
    </w:p>
    <w:p>
      <w:pPr>
        <w:ind w:left="380" w:hanging="361"/>
        <w:spacing w:after="0"/>
        <w:tabs>
          <w:tab w:leader="none" w:pos="3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Merger and integration expenses related to our legacy companies</w:t>
      </w:r>
    </w:p>
    <w:p>
      <w:pPr>
        <w:spacing w:after="0" w:line="40" w:lineRule="exact"/>
        <w:rPr>
          <w:rFonts w:ascii="Arial" w:cs="Arial" w:eastAsia="Arial" w:hAnsi="Arial"/>
          <w:sz w:val="13"/>
          <w:szCs w:val="13"/>
          <w:color w:val="auto"/>
        </w:rPr>
      </w:pPr>
    </w:p>
    <w:p>
      <w:pPr>
        <w:ind w:left="380" w:hanging="361"/>
        <w:spacing w:after="0"/>
        <w:tabs>
          <w:tab w:leader="none" w:pos="3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Restructuring expenses related to organizational changes</w:t>
      </w:r>
    </w:p>
    <w:p>
      <w:pPr>
        <w:spacing w:after="0" w:line="40" w:lineRule="exact"/>
        <w:rPr>
          <w:rFonts w:ascii="Arial" w:cs="Arial" w:eastAsia="Arial" w:hAnsi="Arial"/>
          <w:sz w:val="13"/>
          <w:szCs w:val="13"/>
          <w:color w:val="auto"/>
        </w:rPr>
      </w:pPr>
    </w:p>
    <w:p>
      <w:pPr>
        <w:ind w:left="380" w:hanging="361"/>
        <w:spacing w:after="0"/>
        <w:tabs>
          <w:tab w:leader="none" w:pos="3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Includes depreciation and amortization associated with purchase price accounting</w:t>
      </w:r>
    </w:p>
    <w:p>
      <w:pPr>
        <w:spacing w:after="0" w:line="40" w:lineRule="exact"/>
        <w:rPr>
          <w:rFonts w:ascii="Arial" w:cs="Arial" w:eastAsia="Arial" w:hAnsi="Arial"/>
          <w:sz w:val="13"/>
          <w:szCs w:val="13"/>
          <w:color w:val="auto"/>
        </w:rPr>
      </w:pPr>
    </w:p>
    <w:p>
      <w:pPr>
        <w:ind w:left="380" w:hanging="361"/>
        <w:spacing w:after="0"/>
        <w:tabs>
          <w:tab w:leader="none" w:pos="3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Costs related to the 3T Heater-Cooler remediation plan</w:t>
      </w:r>
    </w:p>
    <w:p>
      <w:pPr>
        <w:spacing w:after="0" w:line="40" w:lineRule="exact"/>
        <w:rPr>
          <w:rFonts w:ascii="Arial" w:cs="Arial" w:eastAsia="Arial" w:hAnsi="Arial"/>
          <w:sz w:val="13"/>
          <w:szCs w:val="13"/>
          <w:color w:val="auto"/>
        </w:rPr>
      </w:pPr>
    </w:p>
    <w:p>
      <w:pPr>
        <w:ind w:left="380" w:hanging="361"/>
        <w:spacing w:after="0"/>
        <w:tabs>
          <w:tab w:leader="none" w:pos="3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Caisson-related acquisition costs</w:t>
      </w:r>
    </w:p>
    <w:p>
      <w:pPr>
        <w:spacing w:after="0" w:line="40" w:lineRule="exact"/>
        <w:rPr>
          <w:rFonts w:ascii="Arial" w:cs="Arial" w:eastAsia="Arial" w:hAnsi="Arial"/>
          <w:sz w:val="13"/>
          <w:szCs w:val="13"/>
          <w:color w:val="auto"/>
        </w:rPr>
      </w:pPr>
    </w:p>
    <w:p>
      <w:pPr>
        <w:ind w:left="380" w:hanging="361"/>
        <w:spacing w:after="0"/>
        <w:tabs>
          <w:tab w:leader="none" w:pos="3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Contingent consideration related to acquisitions, legal expenses primarily related to 3T Heater-Cooler defense and other matters</w:t>
      </w:r>
    </w:p>
    <w:p>
      <w:pPr>
        <w:spacing w:after="0" w:line="40" w:lineRule="exact"/>
        <w:rPr>
          <w:rFonts w:ascii="Arial" w:cs="Arial" w:eastAsia="Arial" w:hAnsi="Arial"/>
          <w:sz w:val="13"/>
          <w:szCs w:val="13"/>
          <w:color w:val="auto"/>
        </w:rPr>
      </w:pPr>
    </w:p>
    <w:p>
      <w:pPr>
        <w:ind w:left="380" w:hanging="361"/>
        <w:spacing w:after="0"/>
        <w:tabs>
          <w:tab w:leader="none" w:pos="3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Non-cash expenses associated with stock-based compensation costs</w:t>
      </w:r>
    </w:p>
    <w:p>
      <w:pPr>
        <w:spacing w:after="0" w:line="40" w:lineRule="exact"/>
        <w:rPr>
          <w:rFonts w:ascii="Arial" w:cs="Arial" w:eastAsia="Arial" w:hAnsi="Arial"/>
          <w:sz w:val="13"/>
          <w:szCs w:val="13"/>
          <w:color w:val="auto"/>
        </w:rPr>
      </w:pPr>
    </w:p>
    <w:p>
      <w:pPr>
        <w:ind w:left="380" w:hanging="361"/>
        <w:spacing w:after="0"/>
        <w:tabs>
          <w:tab w:leader="none" w:pos="3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Primarily relates to discrete tax items and the tax impact of intercompany transactions</w:t>
      </w:r>
    </w:p>
    <w:p>
      <w:pPr>
        <w:spacing w:after="0" w:line="40" w:lineRule="exact"/>
        <w:rPr>
          <w:rFonts w:ascii="Arial" w:cs="Arial" w:eastAsia="Arial" w:hAnsi="Arial"/>
          <w:sz w:val="13"/>
          <w:szCs w:val="13"/>
          <w:color w:val="auto"/>
        </w:rPr>
      </w:pPr>
    </w:p>
    <w:p>
      <w:pPr>
        <w:ind w:left="380" w:hanging="361"/>
        <w:spacing w:after="0"/>
        <w:tabs>
          <w:tab w:leader="none" w:pos="3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Primarily relates to intellectual property migration and other non-recurring impacts to interest expense</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Numbers may not add precisely due to rounding.</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420"/>
          </w:cols>
          <w:pgMar w:left="240" w:top="710" w:right="239" w:bottom="1440" w:gutter="0" w:footer="0" w:header="0"/>
        </w:sectPr>
      </w:pPr>
    </w:p>
    <w:bookmarkStart w:id="18" w:name="page19"/>
    <w:bookmarkEnd w:id="18"/>
    <w:p>
      <w:pPr>
        <w:ind w:left="21"/>
        <w:spacing w:after="0"/>
        <w:rPr>
          <w:sz w:val="20"/>
          <w:szCs w:val="20"/>
          <w:color w:val="auto"/>
        </w:rPr>
      </w:pPr>
      <w:r>
        <w:rPr>
          <w:rFonts w:ascii="Arial" w:cs="Arial" w:eastAsia="Arial" w:hAnsi="Arial"/>
          <w:sz w:val="13"/>
          <w:szCs w:val="13"/>
          <w:b w:val="1"/>
          <w:bCs w:val="1"/>
          <w:color w:val="auto"/>
        </w:rPr>
        <w:t>RECONCILIATION OF GAAP TO NON-GAAP FINANCIAL MEASURES - UNAUDITED</w:t>
      </w:r>
    </w:p>
    <w:p>
      <w:pPr>
        <w:spacing w:after="0" w:line="9" w:lineRule="exact"/>
        <w:rPr>
          <w:sz w:val="20"/>
          <w:szCs w:val="20"/>
          <w:color w:val="auto"/>
        </w:rPr>
      </w:pPr>
    </w:p>
    <w:p>
      <w:pPr>
        <w:ind w:left="21"/>
        <w:spacing w:after="0"/>
        <w:rPr>
          <w:sz w:val="20"/>
          <w:szCs w:val="20"/>
          <w:color w:val="auto"/>
        </w:rPr>
      </w:pPr>
      <w:r>
        <w:rPr>
          <w:rFonts w:ascii="Arial" w:cs="Arial" w:eastAsia="Arial" w:hAnsi="Arial"/>
          <w:sz w:val="13"/>
          <w:szCs w:val="13"/>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402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0270" cy="7620"/>
                    </a:xfrm>
                    <a:prstGeom prst="rect">
                      <a:avLst/>
                    </a:prstGeom>
                    <a:noFill/>
                  </pic:spPr>
                </pic:pic>
              </a:graphicData>
            </a:graphic>
          </wp:anchor>
        </w:drawing>
      </w:r>
    </w:p>
    <w:p>
      <w:pPr>
        <w:spacing w:after="0" w:line="80" w:lineRule="exact"/>
        <w:rPr>
          <w:sz w:val="20"/>
          <w:szCs w:val="20"/>
          <w:color w:val="auto"/>
        </w:rPr>
      </w:pPr>
    </w:p>
    <w:tbl>
      <w:tblPr>
        <w:tblLayout w:type="fixed"/>
        <w:tblInd w:w="1" w:type="dxa"/>
        <w:tblCellMar>
          <w:top w:w="0" w:type="dxa"/>
          <w:left w:w="0" w:type="dxa"/>
          <w:bottom w:w="0" w:type="dxa"/>
          <w:right w:w="0" w:type="dxa"/>
        </w:tblCellMar>
      </w:tblPr>
      <w:tr>
        <w:trPr>
          <w:trHeight w:val="154"/>
        </w:trPr>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Specified Items</w:t>
            </w:r>
          </w:p>
        </w:tc>
        <w:tc>
          <w:tcPr>
            <w:tcW w:w="9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Depreciation</w:t>
            </w:r>
          </w:p>
        </w:tc>
        <w:tc>
          <w:tcPr>
            <w:tcW w:w="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Non-recurring</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Merger &amp;</w:t>
            </w:r>
          </w:p>
        </w:tc>
        <w:tc>
          <w:tcPr>
            <w:tcW w:w="90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and</w:t>
            </w:r>
          </w:p>
        </w:tc>
        <w:tc>
          <w:tcPr>
            <w:tcW w:w="8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Product</w:t>
            </w:r>
          </w:p>
        </w:tc>
        <w:tc>
          <w:tcPr>
            <w:tcW w:w="800" w:type="dxa"/>
            <w:vAlign w:val="bottom"/>
          </w:tcPr>
          <w:p>
            <w:pPr>
              <w:spacing w:after="0"/>
              <w:rPr>
                <w:sz w:val="10"/>
                <w:szCs w:val="10"/>
                <w:color w:val="auto"/>
              </w:rPr>
            </w:pPr>
          </w:p>
        </w:tc>
        <w:tc>
          <w:tcPr>
            <w:tcW w:w="720" w:type="dxa"/>
            <w:vAlign w:val="bottom"/>
          </w:tcPr>
          <w:p>
            <w:pPr>
              <w:jc w:val="center"/>
              <w:ind w:right="40"/>
              <w:spacing w:after="0" w:line="119" w:lineRule="exact"/>
              <w:rPr>
                <w:sz w:val="20"/>
                <w:szCs w:val="20"/>
                <w:color w:val="auto"/>
              </w:rPr>
            </w:pPr>
            <w:r>
              <w:rPr>
                <w:rFonts w:ascii="Arial" w:cs="Arial" w:eastAsia="Arial" w:hAnsi="Arial"/>
                <w:sz w:val="11"/>
                <w:szCs w:val="11"/>
                <w:b w:val="1"/>
                <w:bCs w:val="1"/>
                <w:color w:val="auto"/>
              </w:rPr>
              <w:t>CRM</w:t>
            </w:r>
          </w:p>
        </w:tc>
        <w:tc>
          <w:tcPr>
            <w:tcW w:w="9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Legal and</w:t>
            </w:r>
          </w:p>
        </w:tc>
        <w:tc>
          <w:tcPr>
            <w:tcW w:w="9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Stock-based</w:t>
            </w:r>
          </w:p>
        </w:tc>
        <w:tc>
          <w:tcPr>
            <w:tcW w:w="82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Certain</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9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Nine Months Ended</w:t>
            </w:r>
          </w:p>
        </w:tc>
        <w:tc>
          <w:tcPr>
            <w:tcW w:w="6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GAAP</w:t>
            </w:r>
          </w:p>
        </w:tc>
        <w:tc>
          <w:tcPr>
            <w:tcW w:w="7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Integration</w:t>
            </w:r>
          </w:p>
        </w:tc>
        <w:tc>
          <w:tcPr>
            <w:tcW w:w="9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9"/>
              </w:rPr>
              <w:t>Restructuring</w:t>
            </w:r>
          </w:p>
        </w:tc>
        <w:tc>
          <w:tcPr>
            <w:tcW w:w="8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Amortization</w:t>
            </w:r>
          </w:p>
        </w:tc>
        <w:tc>
          <w:tcPr>
            <w:tcW w:w="8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9"/>
              </w:rPr>
              <w:t>Remediation</w:t>
            </w:r>
          </w:p>
        </w:tc>
        <w:tc>
          <w:tcPr>
            <w:tcW w:w="800" w:type="dxa"/>
            <w:vAlign w:val="bottom"/>
          </w:tcPr>
          <w:p>
            <w:pPr>
              <w:jc w:val="center"/>
              <w:ind w:right="19"/>
              <w:spacing w:after="0" w:line="119" w:lineRule="exact"/>
              <w:rPr>
                <w:sz w:val="20"/>
                <w:szCs w:val="20"/>
                <w:color w:val="auto"/>
              </w:rPr>
            </w:pPr>
            <w:r>
              <w:rPr>
                <w:rFonts w:ascii="Arial" w:cs="Arial" w:eastAsia="Arial" w:hAnsi="Arial"/>
                <w:sz w:val="11"/>
                <w:szCs w:val="11"/>
                <w:b w:val="1"/>
                <w:bCs w:val="1"/>
                <w:color w:val="auto"/>
              </w:rPr>
              <w:t>Acquisition</w:t>
            </w:r>
          </w:p>
        </w:tc>
        <w:tc>
          <w:tcPr>
            <w:tcW w:w="720" w:type="dxa"/>
            <w:vAlign w:val="bottom"/>
          </w:tcPr>
          <w:p>
            <w:pPr>
              <w:jc w:val="center"/>
              <w:ind w:right="40"/>
              <w:spacing w:after="0" w:line="119" w:lineRule="exact"/>
              <w:rPr>
                <w:sz w:val="20"/>
                <w:szCs w:val="20"/>
                <w:color w:val="auto"/>
              </w:rPr>
            </w:pPr>
            <w:r>
              <w:rPr>
                <w:rFonts w:ascii="Arial" w:cs="Arial" w:eastAsia="Arial" w:hAnsi="Arial"/>
                <w:sz w:val="11"/>
                <w:szCs w:val="11"/>
                <w:b w:val="1"/>
                <w:bCs w:val="1"/>
                <w:color w:val="auto"/>
              </w:rPr>
              <w:t>Disposal</w:t>
            </w:r>
          </w:p>
        </w:tc>
        <w:tc>
          <w:tcPr>
            <w:tcW w:w="9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9"/>
              </w:rPr>
              <w:t>Contingent</w:t>
            </w:r>
          </w:p>
        </w:tc>
        <w:tc>
          <w:tcPr>
            <w:tcW w:w="9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Compensation</w:t>
            </w:r>
          </w:p>
        </w:tc>
        <w:tc>
          <w:tcPr>
            <w:tcW w:w="8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Certain Tax</w:t>
            </w:r>
          </w:p>
        </w:tc>
        <w:tc>
          <w:tcPr>
            <w:tcW w:w="7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Interest</w:t>
            </w:r>
          </w:p>
        </w:tc>
        <w:tc>
          <w:tcPr>
            <w:tcW w:w="6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7"/>
              </w:rPr>
              <w:t>Adjusted</w:t>
            </w:r>
          </w:p>
        </w:tc>
        <w:tc>
          <w:tcPr>
            <w:tcW w:w="0" w:type="dxa"/>
            <w:vAlign w:val="bottom"/>
          </w:tcPr>
          <w:p>
            <w:pPr>
              <w:spacing w:after="0"/>
              <w:rPr>
                <w:sz w:val="1"/>
                <w:szCs w:val="1"/>
                <w:color w:val="auto"/>
              </w:rPr>
            </w:pPr>
          </w:p>
        </w:tc>
      </w:tr>
      <w:tr>
        <w:trPr>
          <w:trHeight w:val="114"/>
        </w:trPr>
        <w:tc>
          <w:tcPr>
            <w:tcW w:w="1920" w:type="dxa"/>
            <w:vAlign w:val="bottom"/>
            <w:gridSpan w:val="2"/>
            <w:vMerge w:val="continue"/>
          </w:tcPr>
          <w:p>
            <w:pPr>
              <w:spacing w:after="0"/>
              <w:rPr>
                <w:sz w:val="9"/>
                <w:szCs w:val="9"/>
                <w:color w:val="auto"/>
              </w:rPr>
            </w:pPr>
          </w:p>
        </w:tc>
        <w:tc>
          <w:tcPr>
            <w:tcW w:w="6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Financial</w:t>
            </w:r>
          </w:p>
        </w:tc>
        <w:tc>
          <w:tcPr>
            <w:tcW w:w="7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9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8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8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800" w:type="dxa"/>
            <w:vAlign w:val="bottom"/>
          </w:tcPr>
          <w:p>
            <w:pPr>
              <w:jc w:val="center"/>
              <w:ind w:right="39"/>
              <w:spacing w:after="0" w:line="115" w:lineRule="exact"/>
              <w:rPr>
                <w:sz w:val="20"/>
                <w:szCs w:val="20"/>
                <w:color w:val="auto"/>
              </w:rPr>
            </w:pPr>
            <w:r>
              <w:rPr>
                <w:rFonts w:ascii="Arial" w:cs="Arial" w:eastAsia="Arial" w:hAnsi="Arial"/>
                <w:sz w:val="11"/>
                <w:szCs w:val="11"/>
                <w:b w:val="1"/>
                <w:bCs w:val="1"/>
                <w:color w:val="auto"/>
                <w:w w:val="98"/>
              </w:rPr>
              <w:t>Costs</w:t>
            </w:r>
          </w:p>
        </w:tc>
        <w:tc>
          <w:tcPr>
            <w:tcW w:w="720" w:type="dxa"/>
            <w:vAlign w:val="bottom"/>
          </w:tcPr>
          <w:p>
            <w:pPr>
              <w:jc w:val="center"/>
              <w:ind w:right="40"/>
              <w:spacing w:after="0" w:line="115" w:lineRule="exact"/>
              <w:rPr>
                <w:sz w:val="20"/>
                <w:szCs w:val="20"/>
                <w:color w:val="auto"/>
              </w:rPr>
            </w:pPr>
            <w:r>
              <w:rPr>
                <w:rFonts w:ascii="Arial" w:cs="Arial" w:eastAsia="Arial" w:hAnsi="Arial"/>
                <w:sz w:val="11"/>
                <w:szCs w:val="11"/>
                <w:b w:val="1"/>
                <w:bCs w:val="1"/>
                <w:color w:val="auto"/>
                <w:w w:val="98"/>
              </w:rPr>
              <w:t>Costs</w:t>
            </w:r>
          </w:p>
        </w:tc>
        <w:tc>
          <w:tcPr>
            <w:tcW w:w="9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9"/>
              </w:rPr>
              <w:t>Consideration</w:t>
            </w:r>
          </w:p>
        </w:tc>
        <w:tc>
          <w:tcPr>
            <w:tcW w:w="9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8"/>
              </w:rPr>
              <w:t>Costs</w:t>
            </w:r>
          </w:p>
        </w:tc>
        <w:tc>
          <w:tcPr>
            <w:tcW w:w="8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8"/>
              </w:rPr>
              <w:t>Adjustments</w:t>
            </w:r>
          </w:p>
        </w:tc>
        <w:tc>
          <w:tcPr>
            <w:tcW w:w="7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8"/>
              </w:rPr>
              <w:t>Adjustments</w:t>
            </w:r>
          </w:p>
        </w:tc>
        <w:tc>
          <w:tcPr>
            <w:tcW w:w="6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Financial</w:t>
            </w:r>
          </w:p>
        </w:tc>
        <w:tc>
          <w:tcPr>
            <w:tcW w:w="0" w:type="dxa"/>
            <w:vAlign w:val="bottom"/>
          </w:tcPr>
          <w:p>
            <w:pPr>
              <w:spacing w:after="0"/>
              <w:rPr>
                <w:sz w:val="1"/>
                <w:szCs w:val="1"/>
                <w:color w:val="auto"/>
              </w:rPr>
            </w:pPr>
          </w:p>
        </w:tc>
      </w:tr>
      <w:tr>
        <w:trPr>
          <w:trHeight w:val="166"/>
        </w:trPr>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September 30, 2018</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Measures</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(A)</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(B)</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(C)</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w:t>
            </w:r>
          </w:p>
        </w:tc>
        <w:tc>
          <w:tcPr>
            <w:tcW w:w="800" w:type="dxa"/>
            <w:vAlign w:val="bottom"/>
            <w:tcBorders>
              <w:bottom w:val="single" w:sz="8" w:color="auto"/>
            </w:tcBorders>
          </w:tcPr>
          <w:p>
            <w:pPr>
              <w:jc w:val="center"/>
              <w:ind w:right="39"/>
              <w:spacing w:after="0"/>
              <w:rPr>
                <w:sz w:val="20"/>
                <w:szCs w:val="20"/>
                <w:color w:val="auto"/>
              </w:rPr>
            </w:pPr>
            <w:r>
              <w:rPr>
                <w:rFonts w:ascii="Arial" w:cs="Arial" w:eastAsia="Arial" w:hAnsi="Arial"/>
                <w:sz w:val="11"/>
                <w:szCs w:val="11"/>
                <w:b w:val="1"/>
                <w:bCs w:val="1"/>
                <w:color w:val="auto"/>
                <w:w w:val="95"/>
              </w:rPr>
              <w:t>(E)</w:t>
            </w:r>
          </w:p>
        </w:tc>
        <w:tc>
          <w:tcPr>
            <w:tcW w:w="720" w:type="dxa"/>
            <w:vAlign w:val="bottom"/>
            <w:tcBorders>
              <w:bottom w:val="single" w:sz="8" w:color="auto"/>
            </w:tcBorders>
          </w:tcPr>
          <w:p>
            <w:pPr>
              <w:jc w:val="center"/>
              <w:ind w:right="40"/>
              <w:spacing w:after="0"/>
              <w:rPr>
                <w:sz w:val="20"/>
                <w:szCs w:val="20"/>
                <w:color w:val="auto"/>
              </w:rPr>
            </w:pPr>
            <w:r>
              <w:rPr>
                <w:rFonts w:ascii="Arial" w:cs="Arial" w:eastAsia="Arial" w:hAnsi="Arial"/>
                <w:sz w:val="11"/>
                <w:szCs w:val="11"/>
                <w:b w:val="1"/>
                <w:bCs w:val="1"/>
                <w:color w:val="auto"/>
                <w:w w:val="99"/>
              </w:rPr>
              <w:t>(F)</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(G)</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(H)</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(I)</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(J)</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Measures</w:t>
            </w:r>
          </w:p>
        </w:tc>
        <w:tc>
          <w:tcPr>
            <w:tcW w:w="0" w:type="dxa"/>
            <w:vAlign w:val="bottom"/>
          </w:tcPr>
          <w:p>
            <w:pPr>
              <w:spacing w:after="0"/>
              <w:rPr>
                <w:sz w:val="1"/>
                <w:szCs w:val="1"/>
                <w:color w:val="auto"/>
              </w:rPr>
            </w:pPr>
          </w:p>
        </w:tc>
      </w:tr>
      <w:tr>
        <w:trPr>
          <w:trHeight w:val="220"/>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Gross profit</w:t>
            </w:r>
          </w:p>
        </w:tc>
        <w:tc>
          <w:tcPr>
            <w:tcW w:w="620" w:type="dxa"/>
            <w:vAlign w:val="bottom"/>
          </w:tcPr>
          <w:p>
            <w:pPr>
              <w:jc w:val="right"/>
              <w:spacing w:after="0"/>
              <w:rPr>
                <w:sz w:val="20"/>
                <w:szCs w:val="20"/>
                <w:color w:val="auto"/>
              </w:rPr>
            </w:pPr>
            <w:r>
              <w:rPr>
                <w:rFonts w:ascii="Arial" w:cs="Arial" w:eastAsia="Arial" w:hAnsi="Arial"/>
                <w:sz w:val="13"/>
                <w:szCs w:val="13"/>
                <w:color w:val="auto"/>
              </w:rPr>
              <w:t>$530.4</w:t>
            </w: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jc w:val="right"/>
              <w:ind w:right="60"/>
              <w:spacing w:after="0"/>
              <w:rPr>
                <w:sz w:val="20"/>
                <w:szCs w:val="20"/>
                <w:color w:val="auto"/>
              </w:rPr>
            </w:pPr>
            <w:r>
              <w:rPr>
                <w:rFonts w:ascii="Arial" w:cs="Arial" w:eastAsia="Arial" w:hAnsi="Arial"/>
                <w:sz w:val="13"/>
                <w:szCs w:val="13"/>
                <w:color w:val="auto"/>
              </w:rPr>
              <w:t>$10.8</w:t>
            </w:r>
          </w:p>
        </w:tc>
        <w:tc>
          <w:tcPr>
            <w:tcW w:w="840" w:type="dxa"/>
            <w:vAlign w:val="bottom"/>
          </w:tcPr>
          <w:p>
            <w:pPr>
              <w:jc w:val="right"/>
              <w:spacing w:after="0"/>
              <w:rPr>
                <w:sz w:val="20"/>
                <w:szCs w:val="20"/>
                <w:color w:val="auto"/>
              </w:rPr>
            </w:pPr>
            <w:r>
              <w:rPr>
                <w:rFonts w:ascii="Arial" w:cs="Arial" w:eastAsia="Arial" w:hAnsi="Arial"/>
                <w:sz w:val="13"/>
                <w:szCs w:val="13"/>
                <w:color w:val="auto"/>
              </w:rPr>
              <w:t>$8.7</w:t>
            </w:r>
          </w:p>
        </w:tc>
        <w:tc>
          <w:tcPr>
            <w:tcW w:w="800" w:type="dxa"/>
            <w:vAlign w:val="bottom"/>
          </w:tcPr>
          <w:p>
            <w:pPr>
              <w:jc w:val="right"/>
              <w:ind w:right="79"/>
              <w:spacing w:after="0"/>
              <w:rPr>
                <w:sz w:val="20"/>
                <w:szCs w:val="20"/>
                <w:color w:val="auto"/>
              </w:rPr>
            </w:pPr>
            <w:r>
              <w:rPr>
                <w:rFonts w:ascii="Arial" w:cs="Arial" w:eastAsia="Arial" w:hAnsi="Arial"/>
                <w:sz w:val="13"/>
                <w:szCs w:val="13"/>
                <w:color w:val="auto"/>
              </w:rPr>
              <w:t>$0.2</w:t>
            </w:r>
          </w:p>
        </w:tc>
        <w:tc>
          <w:tcPr>
            <w:tcW w:w="7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3"/>
                <w:szCs w:val="13"/>
                <w:color w:val="auto"/>
              </w:rPr>
              <w:t>($1.4)</w:t>
            </w:r>
          </w:p>
        </w:tc>
        <w:tc>
          <w:tcPr>
            <w:tcW w:w="940" w:type="dxa"/>
            <w:vAlign w:val="bottom"/>
          </w:tcPr>
          <w:p>
            <w:pPr>
              <w:jc w:val="right"/>
              <w:ind w:right="60"/>
              <w:spacing w:after="0"/>
              <w:rPr>
                <w:sz w:val="20"/>
                <w:szCs w:val="20"/>
                <w:color w:val="auto"/>
              </w:rPr>
            </w:pPr>
            <w:r>
              <w:rPr>
                <w:rFonts w:ascii="Arial" w:cs="Arial" w:eastAsia="Arial" w:hAnsi="Arial"/>
                <w:sz w:val="13"/>
                <w:szCs w:val="13"/>
                <w:color w:val="auto"/>
              </w:rPr>
              <w:t>$0.8</w:t>
            </w: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$549.6</w:t>
            </w:r>
          </w:p>
        </w:tc>
        <w:tc>
          <w:tcPr>
            <w:tcW w:w="0" w:type="dxa"/>
            <w:vAlign w:val="bottom"/>
          </w:tcPr>
          <w:p>
            <w:pPr>
              <w:spacing w:after="0"/>
              <w:rPr>
                <w:sz w:val="1"/>
                <w:szCs w:val="1"/>
                <w:color w:val="auto"/>
              </w:rPr>
            </w:pPr>
          </w:p>
        </w:tc>
      </w:tr>
      <w:tr>
        <w:trPr>
          <w:trHeight w:val="180"/>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Selling, general and</w:t>
            </w: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administrative</w:t>
            </w:r>
          </w:p>
        </w:tc>
        <w:tc>
          <w:tcPr>
            <w:tcW w:w="620" w:type="dxa"/>
            <w:vAlign w:val="bottom"/>
          </w:tcPr>
          <w:p>
            <w:pPr>
              <w:jc w:val="right"/>
              <w:spacing w:after="0"/>
              <w:rPr>
                <w:sz w:val="20"/>
                <w:szCs w:val="20"/>
                <w:color w:val="auto"/>
              </w:rPr>
            </w:pPr>
            <w:r>
              <w:rPr>
                <w:rFonts w:ascii="Arial" w:cs="Arial" w:eastAsia="Arial" w:hAnsi="Arial"/>
                <w:sz w:val="13"/>
                <w:szCs w:val="13"/>
                <w:color w:val="auto"/>
              </w:rPr>
              <w:t>342.7</w:t>
            </w: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jc w:val="right"/>
              <w:ind w:right="20"/>
              <w:spacing w:after="0"/>
              <w:rPr>
                <w:sz w:val="20"/>
                <w:szCs w:val="20"/>
                <w:color w:val="auto"/>
              </w:rPr>
            </w:pPr>
            <w:r>
              <w:rPr>
                <w:rFonts w:ascii="Arial" w:cs="Arial" w:eastAsia="Arial" w:hAnsi="Arial"/>
                <w:sz w:val="13"/>
                <w:szCs w:val="13"/>
                <w:color w:val="auto"/>
              </w:rPr>
              <w:t>(0.6)</w:t>
            </w:r>
          </w:p>
        </w:tc>
        <w:tc>
          <w:tcPr>
            <w:tcW w:w="840" w:type="dxa"/>
            <w:vAlign w:val="bottom"/>
          </w:tcPr>
          <w:p>
            <w:pPr>
              <w:spacing w:after="0"/>
              <w:rPr>
                <w:sz w:val="13"/>
                <w:szCs w:val="13"/>
                <w:color w:val="auto"/>
              </w:rPr>
            </w:pPr>
          </w:p>
        </w:tc>
        <w:tc>
          <w:tcPr>
            <w:tcW w:w="800" w:type="dxa"/>
            <w:vAlign w:val="bottom"/>
          </w:tcPr>
          <w:p>
            <w:pPr>
              <w:jc w:val="right"/>
              <w:ind w:right="39"/>
              <w:spacing w:after="0"/>
              <w:rPr>
                <w:sz w:val="20"/>
                <w:szCs w:val="20"/>
                <w:color w:val="auto"/>
              </w:rPr>
            </w:pPr>
            <w:r>
              <w:rPr>
                <w:rFonts w:ascii="Arial" w:cs="Arial" w:eastAsia="Arial" w:hAnsi="Arial"/>
                <w:sz w:val="13"/>
                <w:szCs w:val="13"/>
                <w:color w:val="auto"/>
              </w:rPr>
              <w:t>(4.4)</w:t>
            </w:r>
          </w:p>
        </w:tc>
        <w:tc>
          <w:tcPr>
            <w:tcW w:w="720" w:type="dxa"/>
            <w:vAlign w:val="bottom"/>
          </w:tcPr>
          <w:p>
            <w:pPr>
              <w:jc w:val="right"/>
              <w:ind w:right="20"/>
              <w:spacing w:after="0"/>
              <w:rPr>
                <w:sz w:val="20"/>
                <w:szCs w:val="20"/>
                <w:color w:val="auto"/>
              </w:rPr>
            </w:pPr>
            <w:r>
              <w:rPr>
                <w:rFonts w:ascii="Arial" w:cs="Arial" w:eastAsia="Arial" w:hAnsi="Arial"/>
                <w:sz w:val="13"/>
                <w:szCs w:val="13"/>
                <w:color w:val="auto"/>
              </w:rPr>
              <w:t>(3.2)</w:t>
            </w:r>
          </w:p>
        </w:tc>
        <w:tc>
          <w:tcPr>
            <w:tcW w:w="920" w:type="dxa"/>
            <w:vAlign w:val="bottom"/>
          </w:tcPr>
          <w:p>
            <w:pPr>
              <w:jc w:val="right"/>
              <w:ind w:right="40"/>
              <w:spacing w:after="0"/>
              <w:rPr>
                <w:sz w:val="20"/>
                <w:szCs w:val="20"/>
                <w:color w:val="auto"/>
              </w:rPr>
            </w:pPr>
            <w:r>
              <w:rPr>
                <w:rFonts w:ascii="Arial" w:cs="Arial" w:eastAsia="Arial" w:hAnsi="Arial"/>
                <w:sz w:val="13"/>
                <w:szCs w:val="13"/>
                <w:color w:val="auto"/>
              </w:rPr>
              <w:t>(17.5)</w:t>
            </w:r>
          </w:p>
        </w:tc>
        <w:tc>
          <w:tcPr>
            <w:tcW w:w="940" w:type="dxa"/>
            <w:vAlign w:val="bottom"/>
          </w:tcPr>
          <w:p>
            <w:pPr>
              <w:jc w:val="right"/>
              <w:spacing w:after="0"/>
              <w:rPr>
                <w:sz w:val="20"/>
                <w:szCs w:val="20"/>
                <w:color w:val="auto"/>
              </w:rPr>
            </w:pPr>
            <w:r>
              <w:rPr>
                <w:rFonts w:ascii="Arial" w:cs="Arial" w:eastAsia="Arial" w:hAnsi="Arial"/>
                <w:sz w:val="13"/>
                <w:szCs w:val="13"/>
                <w:color w:val="auto"/>
              </w:rPr>
              <w:t>(15.1)</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301.9</w:t>
            </w:r>
          </w:p>
        </w:tc>
        <w:tc>
          <w:tcPr>
            <w:tcW w:w="0" w:type="dxa"/>
            <w:vAlign w:val="bottom"/>
          </w:tcPr>
          <w:p>
            <w:pPr>
              <w:spacing w:after="0"/>
              <w:rPr>
                <w:sz w:val="1"/>
                <w:szCs w:val="1"/>
                <w:color w:val="auto"/>
              </w:rPr>
            </w:pPr>
          </w:p>
        </w:tc>
      </w:tr>
      <w:tr>
        <w:trPr>
          <w:trHeight w:val="238"/>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Research and development</w:t>
            </w:r>
          </w:p>
        </w:tc>
        <w:tc>
          <w:tcPr>
            <w:tcW w:w="620" w:type="dxa"/>
            <w:vAlign w:val="bottom"/>
          </w:tcPr>
          <w:p>
            <w:pPr>
              <w:jc w:val="right"/>
              <w:spacing w:after="0"/>
              <w:rPr>
                <w:sz w:val="20"/>
                <w:szCs w:val="20"/>
                <w:color w:val="auto"/>
              </w:rPr>
            </w:pPr>
            <w:r>
              <w:rPr>
                <w:rFonts w:ascii="Arial" w:cs="Arial" w:eastAsia="Arial" w:hAnsi="Arial"/>
                <w:sz w:val="13"/>
                <w:szCs w:val="13"/>
                <w:color w:val="auto"/>
              </w:rPr>
              <w:t>108.4</w:t>
            </w: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3"/>
                <w:szCs w:val="13"/>
                <w:color w:val="auto"/>
              </w:rPr>
              <w:t>(0.2)</w:t>
            </w:r>
          </w:p>
        </w:tc>
        <w:tc>
          <w:tcPr>
            <w:tcW w:w="8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3"/>
                <w:szCs w:val="13"/>
                <w:color w:val="auto"/>
              </w:rPr>
              <w:t>(5.2)</w:t>
            </w:r>
          </w:p>
        </w:tc>
        <w:tc>
          <w:tcPr>
            <w:tcW w:w="7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3"/>
                <w:szCs w:val="13"/>
                <w:color w:val="auto"/>
              </w:rPr>
              <w:t>(0.1)</w:t>
            </w:r>
          </w:p>
        </w:tc>
        <w:tc>
          <w:tcPr>
            <w:tcW w:w="940" w:type="dxa"/>
            <w:vAlign w:val="bottom"/>
          </w:tcPr>
          <w:p>
            <w:pPr>
              <w:jc w:val="right"/>
              <w:spacing w:after="0"/>
              <w:rPr>
                <w:sz w:val="20"/>
                <w:szCs w:val="20"/>
                <w:color w:val="auto"/>
              </w:rPr>
            </w:pPr>
            <w:r>
              <w:rPr>
                <w:rFonts w:ascii="Arial" w:cs="Arial" w:eastAsia="Arial" w:hAnsi="Arial"/>
                <w:sz w:val="13"/>
                <w:szCs w:val="13"/>
                <w:color w:val="auto"/>
              </w:rPr>
              <w:t>(3.5)</w:t>
            </w: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99.3</w:t>
            </w:r>
          </w:p>
        </w:tc>
        <w:tc>
          <w:tcPr>
            <w:tcW w:w="0" w:type="dxa"/>
            <w:vAlign w:val="bottom"/>
          </w:tcPr>
          <w:p>
            <w:pPr>
              <w:spacing w:after="0"/>
              <w:rPr>
                <w:sz w:val="1"/>
                <w:szCs w:val="1"/>
                <w:color w:val="auto"/>
              </w:rPr>
            </w:pPr>
          </w:p>
        </w:tc>
      </w:tr>
      <w:tr>
        <w:trPr>
          <w:trHeight w:val="238"/>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Other operating expenses</w:t>
            </w:r>
          </w:p>
        </w:tc>
        <w:tc>
          <w:tcPr>
            <w:tcW w:w="620" w:type="dxa"/>
            <w:vAlign w:val="bottom"/>
          </w:tcPr>
          <w:p>
            <w:pPr>
              <w:jc w:val="right"/>
              <w:spacing w:after="0"/>
              <w:rPr>
                <w:sz w:val="20"/>
                <w:szCs w:val="20"/>
                <w:color w:val="auto"/>
              </w:rPr>
            </w:pPr>
            <w:r>
              <w:rPr>
                <w:rFonts w:ascii="Arial" w:cs="Arial" w:eastAsia="Arial" w:hAnsi="Arial"/>
                <w:sz w:val="13"/>
                <w:szCs w:val="13"/>
                <w:color w:val="auto"/>
              </w:rPr>
              <w:t>50.9</w:t>
            </w:r>
          </w:p>
        </w:tc>
        <w:tc>
          <w:tcPr>
            <w:tcW w:w="720" w:type="dxa"/>
            <w:vAlign w:val="bottom"/>
          </w:tcPr>
          <w:p>
            <w:pPr>
              <w:jc w:val="right"/>
              <w:spacing w:after="0"/>
              <w:rPr>
                <w:sz w:val="20"/>
                <w:szCs w:val="20"/>
                <w:color w:val="auto"/>
              </w:rPr>
            </w:pPr>
            <w:r>
              <w:rPr>
                <w:rFonts w:ascii="Arial" w:cs="Arial" w:eastAsia="Arial" w:hAnsi="Arial"/>
                <w:sz w:val="13"/>
                <w:szCs w:val="13"/>
                <w:color w:val="auto"/>
              </w:rPr>
              <w:t>(20.0)</w:t>
            </w:r>
          </w:p>
        </w:tc>
        <w:tc>
          <w:tcPr>
            <w:tcW w:w="900" w:type="dxa"/>
            <w:vAlign w:val="bottom"/>
          </w:tcPr>
          <w:p>
            <w:pPr>
              <w:jc w:val="right"/>
              <w:ind w:right="20"/>
              <w:spacing w:after="0"/>
              <w:rPr>
                <w:sz w:val="20"/>
                <w:szCs w:val="20"/>
                <w:color w:val="auto"/>
              </w:rPr>
            </w:pPr>
            <w:r>
              <w:rPr>
                <w:rFonts w:ascii="Arial" w:cs="Arial" w:eastAsia="Arial" w:hAnsi="Arial"/>
                <w:sz w:val="13"/>
                <w:szCs w:val="13"/>
                <w:color w:val="auto"/>
              </w:rPr>
              <w:t>(2.8)</w:t>
            </w:r>
          </w:p>
        </w:tc>
        <w:tc>
          <w:tcPr>
            <w:tcW w:w="820" w:type="dxa"/>
            <w:vAlign w:val="bottom"/>
          </w:tcPr>
          <w:p>
            <w:pPr>
              <w:jc w:val="right"/>
              <w:ind w:right="20"/>
              <w:spacing w:after="0"/>
              <w:rPr>
                <w:sz w:val="20"/>
                <w:szCs w:val="20"/>
                <w:color w:val="auto"/>
              </w:rPr>
            </w:pPr>
            <w:r>
              <w:rPr>
                <w:rFonts w:ascii="Arial" w:cs="Arial" w:eastAsia="Arial" w:hAnsi="Arial"/>
                <w:sz w:val="13"/>
                <w:szCs w:val="13"/>
                <w:color w:val="auto"/>
              </w:rPr>
              <w:t>(28.1)</w:t>
            </w: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Operating income from</w:t>
            </w: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continuing operations</w:t>
            </w:r>
          </w:p>
        </w:tc>
        <w:tc>
          <w:tcPr>
            <w:tcW w:w="620" w:type="dxa"/>
            <w:vAlign w:val="bottom"/>
          </w:tcPr>
          <w:p>
            <w:pPr>
              <w:jc w:val="right"/>
              <w:spacing w:after="0"/>
              <w:rPr>
                <w:sz w:val="20"/>
                <w:szCs w:val="20"/>
                <w:color w:val="auto"/>
              </w:rPr>
            </w:pPr>
            <w:r>
              <w:rPr>
                <w:rFonts w:ascii="Arial" w:cs="Arial" w:eastAsia="Arial" w:hAnsi="Arial"/>
                <w:sz w:val="13"/>
                <w:szCs w:val="13"/>
                <w:color w:val="auto"/>
              </w:rPr>
              <w:t>28.4</w:t>
            </w:r>
          </w:p>
        </w:tc>
        <w:tc>
          <w:tcPr>
            <w:tcW w:w="720" w:type="dxa"/>
            <w:vAlign w:val="bottom"/>
          </w:tcPr>
          <w:p>
            <w:pPr>
              <w:jc w:val="right"/>
              <w:ind w:right="40"/>
              <w:spacing w:after="0"/>
              <w:rPr>
                <w:sz w:val="20"/>
                <w:szCs w:val="20"/>
                <w:color w:val="auto"/>
              </w:rPr>
            </w:pPr>
            <w:r>
              <w:rPr>
                <w:rFonts w:ascii="Arial" w:cs="Arial" w:eastAsia="Arial" w:hAnsi="Arial"/>
                <w:sz w:val="13"/>
                <w:szCs w:val="13"/>
                <w:color w:val="auto"/>
              </w:rPr>
              <w:t>20.0</w:t>
            </w:r>
          </w:p>
        </w:tc>
        <w:tc>
          <w:tcPr>
            <w:tcW w:w="900" w:type="dxa"/>
            <w:vAlign w:val="bottom"/>
          </w:tcPr>
          <w:p>
            <w:pPr>
              <w:jc w:val="right"/>
              <w:ind w:right="60"/>
              <w:spacing w:after="0"/>
              <w:rPr>
                <w:sz w:val="20"/>
                <w:szCs w:val="20"/>
                <w:color w:val="auto"/>
              </w:rPr>
            </w:pPr>
            <w:r>
              <w:rPr>
                <w:rFonts w:ascii="Arial" w:cs="Arial" w:eastAsia="Arial" w:hAnsi="Arial"/>
                <w:sz w:val="13"/>
                <w:szCs w:val="13"/>
                <w:color w:val="auto"/>
              </w:rPr>
              <w:t>2.8</w:t>
            </w:r>
          </w:p>
        </w:tc>
        <w:tc>
          <w:tcPr>
            <w:tcW w:w="820" w:type="dxa"/>
            <w:vAlign w:val="bottom"/>
          </w:tcPr>
          <w:p>
            <w:pPr>
              <w:jc w:val="right"/>
              <w:ind w:right="60"/>
              <w:spacing w:after="0"/>
              <w:rPr>
                <w:sz w:val="20"/>
                <w:szCs w:val="20"/>
                <w:color w:val="auto"/>
              </w:rPr>
            </w:pPr>
            <w:r>
              <w:rPr>
                <w:rFonts w:ascii="Arial" w:cs="Arial" w:eastAsia="Arial" w:hAnsi="Arial"/>
                <w:sz w:val="13"/>
                <w:szCs w:val="13"/>
                <w:color w:val="auto"/>
              </w:rPr>
              <w:t>39.7</w:t>
            </w:r>
          </w:p>
        </w:tc>
        <w:tc>
          <w:tcPr>
            <w:tcW w:w="840" w:type="dxa"/>
            <w:vAlign w:val="bottom"/>
          </w:tcPr>
          <w:p>
            <w:pPr>
              <w:jc w:val="right"/>
              <w:spacing w:after="0"/>
              <w:rPr>
                <w:sz w:val="20"/>
                <w:szCs w:val="20"/>
                <w:color w:val="auto"/>
              </w:rPr>
            </w:pPr>
            <w:r>
              <w:rPr>
                <w:rFonts w:ascii="Arial" w:cs="Arial" w:eastAsia="Arial" w:hAnsi="Arial"/>
                <w:sz w:val="13"/>
                <w:szCs w:val="13"/>
                <w:color w:val="auto"/>
              </w:rPr>
              <w:t>8.7</w:t>
            </w:r>
          </w:p>
        </w:tc>
        <w:tc>
          <w:tcPr>
            <w:tcW w:w="800" w:type="dxa"/>
            <w:vAlign w:val="bottom"/>
          </w:tcPr>
          <w:p>
            <w:pPr>
              <w:jc w:val="right"/>
              <w:ind w:right="79"/>
              <w:spacing w:after="0"/>
              <w:rPr>
                <w:sz w:val="20"/>
                <w:szCs w:val="20"/>
                <w:color w:val="auto"/>
              </w:rPr>
            </w:pPr>
            <w:r>
              <w:rPr>
                <w:rFonts w:ascii="Arial" w:cs="Arial" w:eastAsia="Arial" w:hAnsi="Arial"/>
                <w:sz w:val="13"/>
                <w:szCs w:val="13"/>
                <w:color w:val="auto"/>
              </w:rPr>
              <w:t>9.8</w:t>
            </w:r>
          </w:p>
        </w:tc>
        <w:tc>
          <w:tcPr>
            <w:tcW w:w="720" w:type="dxa"/>
            <w:vAlign w:val="bottom"/>
          </w:tcPr>
          <w:p>
            <w:pPr>
              <w:jc w:val="right"/>
              <w:ind w:right="60"/>
              <w:spacing w:after="0"/>
              <w:rPr>
                <w:sz w:val="20"/>
                <w:szCs w:val="20"/>
                <w:color w:val="auto"/>
              </w:rPr>
            </w:pPr>
            <w:r>
              <w:rPr>
                <w:rFonts w:ascii="Arial" w:cs="Arial" w:eastAsia="Arial" w:hAnsi="Arial"/>
                <w:sz w:val="13"/>
                <w:szCs w:val="13"/>
                <w:color w:val="auto"/>
              </w:rPr>
              <w:t>3.3</w:t>
            </w:r>
          </w:p>
        </w:tc>
        <w:tc>
          <w:tcPr>
            <w:tcW w:w="920" w:type="dxa"/>
            <w:vAlign w:val="bottom"/>
          </w:tcPr>
          <w:p>
            <w:pPr>
              <w:jc w:val="right"/>
              <w:ind w:right="80"/>
              <w:spacing w:after="0"/>
              <w:rPr>
                <w:sz w:val="20"/>
                <w:szCs w:val="20"/>
                <w:color w:val="auto"/>
              </w:rPr>
            </w:pPr>
            <w:r>
              <w:rPr>
                <w:rFonts w:ascii="Arial" w:cs="Arial" w:eastAsia="Arial" w:hAnsi="Arial"/>
                <w:sz w:val="13"/>
                <w:szCs w:val="13"/>
                <w:color w:val="auto"/>
              </w:rPr>
              <w:t>16.3</w:t>
            </w:r>
          </w:p>
        </w:tc>
        <w:tc>
          <w:tcPr>
            <w:tcW w:w="940" w:type="dxa"/>
            <w:vAlign w:val="bottom"/>
          </w:tcPr>
          <w:p>
            <w:pPr>
              <w:jc w:val="right"/>
              <w:ind w:right="60"/>
              <w:spacing w:after="0"/>
              <w:rPr>
                <w:sz w:val="20"/>
                <w:szCs w:val="20"/>
                <w:color w:val="auto"/>
              </w:rPr>
            </w:pPr>
            <w:r>
              <w:rPr>
                <w:rFonts w:ascii="Arial" w:cs="Arial" w:eastAsia="Arial" w:hAnsi="Arial"/>
                <w:sz w:val="13"/>
                <w:szCs w:val="13"/>
                <w:color w:val="auto"/>
              </w:rPr>
              <w:t>19.4</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148.4</w:t>
            </w:r>
          </w:p>
        </w:tc>
        <w:tc>
          <w:tcPr>
            <w:tcW w:w="0" w:type="dxa"/>
            <w:vAlign w:val="bottom"/>
          </w:tcPr>
          <w:p>
            <w:pPr>
              <w:spacing w:after="0"/>
              <w:rPr>
                <w:sz w:val="1"/>
                <w:szCs w:val="1"/>
                <w:color w:val="auto"/>
              </w:rPr>
            </w:pPr>
          </w:p>
        </w:tc>
      </w:tr>
      <w:tr>
        <w:trPr>
          <w:trHeight w:val="180"/>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Gain on acquisition of ImThera</w:t>
            </w: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Medical, Inc.</w:t>
            </w:r>
          </w:p>
        </w:tc>
        <w:tc>
          <w:tcPr>
            <w:tcW w:w="620" w:type="dxa"/>
            <w:vAlign w:val="bottom"/>
          </w:tcPr>
          <w:p>
            <w:pPr>
              <w:jc w:val="right"/>
              <w:spacing w:after="0"/>
              <w:rPr>
                <w:sz w:val="20"/>
                <w:szCs w:val="20"/>
                <w:color w:val="auto"/>
              </w:rPr>
            </w:pPr>
            <w:r>
              <w:rPr>
                <w:rFonts w:ascii="Arial" w:cs="Arial" w:eastAsia="Arial" w:hAnsi="Arial"/>
                <w:sz w:val="13"/>
                <w:szCs w:val="13"/>
                <w:color w:val="auto"/>
              </w:rPr>
              <w:t>11.5</w:t>
            </w: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jc w:val="right"/>
              <w:ind w:right="39"/>
              <w:spacing w:after="0"/>
              <w:rPr>
                <w:sz w:val="20"/>
                <w:szCs w:val="20"/>
                <w:color w:val="auto"/>
              </w:rPr>
            </w:pPr>
            <w:r>
              <w:rPr>
                <w:rFonts w:ascii="Arial" w:cs="Arial" w:eastAsia="Arial" w:hAnsi="Arial"/>
                <w:sz w:val="13"/>
                <w:szCs w:val="13"/>
                <w:color w:val="auto"/>
              </w:rPr>
              <w:t>(11.5)</w:t>
            </w: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8"/>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Income tax expense</w:t>
            </w:r>
          </w:p>
        </w:tc>
        <w:tc>
          <w:tcPr>
            <w:tcW w:w="620" w:type="dxa"/>
            <w:vAlign w:val="bottom"/>
          </w:tcPr>
          <w:p>
            <w:pPr>
              <w:jc w:val="right"/>
              <w:spacing w:after="0"/>
              <w:rPr>
                <w:sz w:val="20"/>
                <w:szCs w:val="20"/>
                <w:color w:val="auto"/>
              </w:rPr>
            </w:pPr>
            <w:r>
              <w:rPr>
                <w:rFonts w:ascii="Arial" w:cs="Arial" w:eastAsia="Arial" w:hAnsi="Arial"/>
                <w:sz w:val="13"/>
                <w:szCs w:val="13"/>
                <w:color w:val="auto"/>
              </w:rPr>
              <w:t>0.2</w:t>
            </w:r>
          </w:p>
        </w:tc>
        <w:tc>
          <w:tcPr>
            <w:tcW w:w="720" w:type="dxa"/>
            <w:vAlign w:val="bottom"/>
          </w:tcPr>
          <w:p>
            <w:pPr>
              <w:jc w:val="right"/>
              <w:ind w:right="40"/>
              <w:spacing w:after="0"/>
              <w:rPr>
                <w:sz w:val="20"/>
                <w:szCs w:val="20"/>
                <w:color w:val="auto"/>
              </w:rPr>
            </w:pPr>
            <w:r>
              <w:rPr>
                <w:rFonts w:ascii="Arial" w:cs="Arial" w:eastAsia="Arial" w:hAnsi="Arial"/>
                <w:sz w:val="13"/>
                <w:szCs w:val="13"/>
                <w:color w:val="auto"/>
              </w:rPr>
              <w:t>4.3</w:t>
            </w:r>
          </w:p>
        </w:tc>
        <w:tc>
          <w:tcPr>
            <w:tcW w:w="900" w:type="dxa"/>
            <w:vAlign w:val="bottom"/>
          </w:tcPr>
          <w:p>
            <w:pPr>
              <w:jc w:val="right"/>
              <w:ind w:right="60"/>
              <w:spacing w:after="0"/>
              <w:rPr>
                <w:sz w:val="20"/>
                <w:szCs w:val="20"/>
                <w:color w:val="auto"/>
              </w:rPr>
            </w:pPr>
            <w:r>
              <w:rPr>
                <w:rFonts w:ascii="Arial" w:cs="Arial" w:eastAsia="Arial" w:hAnsi="Arial"/>
                <w:sz w:val="13"/>
                <w:szCs w:val="13"/>
                <w:color w:val="auto"/>
              </w:rPr>
              <w:t>0.6</w:t>
            </w:r>
          </w:p>
        </w:tc>
        <w:tc>
          <w:tcPr>
            <w:tcW w:w="820" w:type="dxa"/>
            <w:vAlign w:val="bottom"/>
          </w:tcPr>
          <w:p>
            <w:pPr>
              <w:jc w:val="right"/>
              <w:ind w:right="60"/>
              <w:spacing w:after="0"/>
              <w:rPr>
                <w:sz w:val="20"/>
                <w:szCs w:val="20"/>
                <w:color w:val="auto"/>
              </w:rPr>
            </w:pPr>
            <w:r>
              <w:rPr>
                <w:rFonts w:ascii="Arial" w:cs="Arial" w:eastAsia="Arial" w:hAnsi="Arial"/>
                <w:sz w:val="13"/>
                <w:szCs w:val="13"/>
                <w:color w:val="auto"/>
              </w:rPr>
              <w:t>8.3</w:t>
            </w:r>
          </w:p>
        </w:tc>
        <w:tc>
          <w:tcPr>
            <w:tcW w:w="840" w:type="dxa"/>
            <w:vAlign w:val="bottom"/>
          </w:tcPr>
          <w:p>
            <w:pPr>
              <w:jc w:val="right"/>
              <w:spacing w:after="0"/>
              <w:rPr>
                <w:sz w:val="20"/>
                <w:szCs w:val="20"/>
                <w:color w:val="auto"/>
              </w:rPr>
            </w:pPr>
            <w:r>
              <w:rPr>
                <w:rFonts w:ascii="Arial" w:cs="Arial" w:eastAsia="Arial" w:hAnsi="Arial"/>
                <w:sz w:val="13"/>
                <w:szCs w:val="13"/>
                <w:color w:val="auto"/>
              </w:rPr>
              <w:t>2.0</w:t>
            </w:r>
          </w:p>
        </w:tc>
        <w:tc>
          <w:tcPr>
            <w:tcW w:w="800" w:type="dxa"/>
            <w:vAlign w:val="bottom"/>
          </w:tcPr>
          <w:p>
            <w:pPr>
              <w:jc w:val="right"/>
              <w:ind w:right="79"/>
              <w:spacing w:after="0"/>
              <w:rPr>
                <w:sz w:val="20"/>
                <w:szCs w:val="20"/>
                <w:color w:val="auto"/>
              </w:rPr>
            </w:pPr>
            <w:r>
              <w:rPr>
                <w:rFonts w:ascii="Arial" w:cs="Arial" w:eastAsia="Arial" w:hAnsi="Arial"/>
                <w:sz w:val="13"/>
                <w:szCs w:val="13"/>
                <w:color w:val="auto"/>
              </w:rPr>
              <w:t>2.3</w:t>
            </w:r>
          </w:p>
        </w:tc>
        <w:tc>
          <w:tcPr>
            <w:tcW w:w="720" w:type="dxa"/>
            <w:vAlign w:val="bottom"/>
          </w:tcPr>
          <w:p>
            <w:pPr>
              <w:jc w:val="right"/>
              <w:ind w:right="60"/>
              <w:spacing w:after="0"/>
              <w:rPr>
                <w:sz w:val="20"/>
                <w:szCs w:val="20"/>
                <w:color w:val="auto"/>
              </w:rPr>
            </w:pPr>
            <w:r>
              <w:rPr>
                <w:rFonts w:ascii="Arial" w:cs="Arial" w:eastAsia="Arial" w:hAnsi="Arial"/>
                <w:sz w:val="13"/>
                <w:szCs w:val="13"/>
                <w:color w:val="auto"/>
              </w:rPr>
              <w:t>1.1</w:t>
            </w:r>
          </w:p>
        </w:tc>
        <w:tc>
          <w:tcPr>
            <w:tcW w:w="920" w:type="dxa"/>
            <w:vAlign w:val="bottom"/>
          </w:tcPr>
          <w:p>
            <w:pPr>
              <w:jc w:val="right"/>
              <w:ind w:right="80"/>
              <w:spacing w:after="0"/>
              <w:rPr>
                <w:sz w:val="20"/>
                <w:szCs w:val="20"/>
                <w:color w:val="auto"/>
              </w:rPr>
            </w:pPr>
            <w:r>
              <w:rPr>
                <w:rFonts w:ascii="Arial" w:cs="Arial" w:eastAsia="Arial" w:hAnsi="Arial"/>
                <w:sz w:val="13"/>
                <w:szCs w:val="13"/>
                <w:color w:val="auto"/>
              </w:rPr>
              <w:t>3.8</w:t>
            </w:r>
          </w:p>
        </w:tc>
        <w:tc>
          <w:tcPr>
            <w:tcW w:w="940" w:type="dxa"/>
            <w:vAlign w:val="bottom"/>
          </w:tcPr>
          <w:p>
            <w:pPr>
              <w:jc w:val="right"/>
              <w:ind w:right="60"/>
              <w:spacing w:after="0"/>
              <w:rPr>
                <w:sz w:val="20"/>
                <w:szCs w:val="20"/>
                <w:color w:val="auto"/>
              </w:rPr>
            </w:pPr>
            <w:r>
              <w:rPr>
                <w:rFonts w:ascii="Arial" w:cs="Arial" w:eastAsia="Arial" w:hAnsi="Arial"/>
                <w:sz w:val="13"/>
                <w:szCs w:val="13"/>
                <w:color w:val="auto"/>
              </w:rPr>
              <w:t>4.7</w:t>
            </w:r>
          </w:p>
        </w:tc>
        <w:tc>
          <w:tcPr>
            <w:tcW w:w="820" w:type="dxa"/>
            <w:vAlign w:val="bottom"/>
          </w:tcPr>
          <w:p>
            <w:pPr>
              <w:jc w:val="right"/>
              <w:ind w:right="1"/>
              <w:spacing w:after="0"/>
              <w:rPr>
                <w:sz w:val="20"/>
                <w:szCs w:val="20"/>
                <w:color w:val="auto"/>
              </w:rPr>
            </w:pPr>
            <w:r>
              <w:rPr>
                <w:rFonts w:ascii="Arial" w:cs="Arial" w:eastAsia="Arial" w:hAnsi="Arial"/>
                <w:sz w:val="13"/>
                <w:szCs w:val="13"/>
                <w:color w:val="auto"/>
              </w:rPr>
              <w:t>(5.9)</w:t>
            </w:r>
          </w:p>
        </w:tc>
        <w:tc>
          <w:tcPr>
            <w:tcW w:w="780" w:type="dxa"/>
            <w:vAlign w:val="bottom"/>
          </w:tcPr>
          <w:p>
            <w:pPr>
              <w:jc w:val="right"/>
              <w:spacing w:after="0"/>
              <w:rPr>
                <w:sz w:val="20"/>
                <w:szCs w:val="20"/>
                <w:color w:val="auto"/>
              </w:rPr>
            </w:pPr>
            <w:r>
              <w:rPr>
                <w:rFonts w:ascii="Arial" w:cs="Arial" w:eastAsia="Arial" w:hAnsi="Arial"/>
                <w:sz w:val="13"/>
                <w:szCs w:val="13"/>
                <w:color w:val="auto"/>
              </w:rPr>
              <w:t>0.6</w:t>
            </w:r>
          </w:p>
        </w:tc>
        <w:tc>
          <w:tcPr>
            <w:tcW w:w="600" w:type="dxa"/>
            <w:vAlign w:val="bottom"/>
          </w:tcPr>
          <w:p>
            <w:pPr>
              <w:jc w:val="right"/>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80"/>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Net income from continuing</w:t>
            </w: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operations</w:t>
            </w:r>
          </w:p>
        </w:tc>
        <w:tc>
          <w:tcPr>
            <w:tcW w:w="620" w:type="dxa"/>
            <w:vAlign w:val="bottom"/>
          </w:tcPr>
          <w:p>
            <w:pPr>
              <w:jc w:val="right"/>
              <w:spacing w:after="0"/>
              <w:rPr>
                <w:sz w:val="20"/>
                <w:szCs w:val="20"/>
                <w:color w:val="auto"/>
              </w:rPr>
            </w:pPr>
            <w:r>
              <w:rPr>
                <w:rFonts w:ascii="Arial" w:cs="Arial" w:eastAsia="Arial" w:hAnsi="Arial"/>
                <w:sz w:val="13"/>
                <w:szCs w:val="13"/>
                <w:color w:val="auto"/>
              </w:rPr>
              <w:t>31.1</w:t>
            </w:r>
          </w:p>
        </w:tc>
        <w:tc>
          <w:tcPr>
            <w:tcW w:w="720" w:type="dxa"/>
            <w:vAlign w:val="bottom"/>
          </w:tcPr>
          <w:p>
            <w:pPr>
              <w:jc w:val="right"/>
              <w:ind w:right="40"/>
              <w:spacing w:after="0"/>
              <w:rPr>
                <w:sz w:val="20"/>
                <w:szCs w:val="20"/>
                <w:color w:val="auto"/>
              </w:rPr>
            </w:pPr>
            <w:r>
              <w:rPr>
                <w:rFonts w:ascii="Arial" w:cs="Arial" w:eastAsia="Arial" w:hAnsi="Arial"/>
                <w:sz w:val="13"/>
                <w:szCs w:val="13"/>
                <w:color w:val="auto"/>
              </w:rPr>
              <w:t>15.7</w:t>
            </w:r>
          </w:p>
        </w:tc>
        <w:tc>
          <w:tcPr>
            <w:tcW w:w="900" w:type="dxa"/>
            <w:vAlign w:val="bottom"/>
          </w:tcPr>
          <w:p>
            <w:pPr>
              <w:jc w:val="right"/>
              <w:ind w:right="60"/>
              <w:spacing w:after="0"/>
              <w:rPr>
                <w:sz w:val="20"/>
                <w:szCs w:val="20"/>
                <w:color w:val="auto"/>
              </w:rPr>
            </w:pPr>
            <w:r>
              <w:rPr>
                <w:rFonts w:ascii="Arial" w:cs="Arial" w:eastAsia="Arial" w:hAnsi="Arial"/>
                <w:sz w:val="13"/>
                <w:szCs w:val="13"/>
                <w:color w:val="auto"/>
              </w:rPr>
              <w:t>2.2</w:t>
            </w:r>
          </w:p>
        </w:tc>
        <w:tc>
          <w:tcPr>
            <w:tcW w:w="820" w:type="dxa"/>
            <w:vAlign w:val="bottom"/>
          </w:tcPr>
          <w:p>
            <w:pPr>
              <w:jc w:val="right"/>
              <w:ind w:right="60"/>
              <w:spacing w:after="0"/>
              <w:rPr>
                <w:sz w:val="20"/>
                <w:szCs w:val="20"/>
                <w:color w:val="auto"/>
              </w:rPr>
            </w:pPr>
            <w:r>
              <w:rPr>
                <w:rFonts w:ascii="Arial" w:cs="Arial" w:eastAsia="Arial" w:hAnsi="Arial"/>
                <w:sz w:val="13"/>
                <w:szCs w:val="13"/>
                <w:color w:val="auto"/>
              </w:rPr>
              <w:t>31.3</w:t>
            </w:r>
          </w:p>
        </w:tc>
        <w:tc>
          <w:tcPr>
            <w:tcW w:w="840" w:type="dxa"/>
            <w:vAlign w:val="bottom"/>
          </w:tcPr>
          <w:p>
            <w:pPr>
              <w:jc w:val="right"/>
              <w:spacing w:after="0"/>
              <w:rPr>
                <w:sz w:val="20"/>
                <w:szCs w:val="20"/>
                <w:color w:val="auto"/>
              </w:rPr>
            </w:pPr>
            <w:r>
              <w:rPr>
                <w:rFonts w:ascii="Arial" w:cs="Arial" w:eastAsia="Arial" w:hAnsi="Arial"/>
                <w:sz w:val="13"/>
                <w:szCs w:val="13"/>
                <w:color w:val="auto"/>
              </w:rPr>
              <w:t>6.7</w:t>
            </w:r>
          </w:p>
        </w:tc>
        <w:tc>
          <w:tcPr>
            <w:tcW w:w="800" w:type="dxa"/>
            <w:vAlign w:val="bottom"/>
          </w:tcPr>
          <w:p>
            <w:pPr>
              <w:jc w:val="right"/>
              <w:ind w:right="39"/>
              <w:spacing w:after="0"/>
              <w:rPr>
                <w:sz w:val="20"/>
                <w:szCs w:val="20"/>
                <w:color w:val="auto"/>
              </w:rPr>
            </w:pPr>
            <w:r>
              <w:rPr>
                <w:rFonts w:ascii="Arial" w:cs="Arial" w:eastAsia="Arial" w:hAnsi="Arial"/>
                <w:sz w:val="13"/>
                <w:szCs w:val="13"/>
                <w:color w:val="auto"/>
              </w:rPr>
              <w:t>(4.0)</w:t>
            </w:r>
          </w:p>
        </w:tc>
        <w:tc>
          <w:tcPr>
            <w:tcW w:w="720" w:type="dxa"/>
            <w:vAlign w:val="bottom"/>
          </w:tcPr>
          <w:p>
            <w:pPr>
              <w:jc w:val="right"/>
              <w:ind w:right="60"/>
              <w:spacing w:after="0"/>
              <w:rPr>
                <w:sz w:val="20"/>
                <w:szCs w:val="20"/>
                <w:color w:val="auto"/>
              </w:rPr>
            </w:pPr>
            <w:r>
              <w:rPr>
                <w:rFonts w:ascii="Arial" w:cs="Arial" w:eastAsia="Arial" w:hAnsi="Arial"/>
                <w:sz w:val="13"/>
                <w:szCs w:val="13"/>
                <w:color w:val="auto"/>
              </w:rPr>
              <w:t>2.2</w:t>
            </w:r>
          </w:p>
        </w:tc>
        <w:tc>
          <w:tcPr>
            <w:tcW w:w="920" w:type="dxa"/>
            <w:vAlign w:val="bottom"/>
          </w:tcPr>
          <w:p>
            <w:pPr>
              <w:jc w:val="right"/>
              <w:ind w:right="80"/>
              <w:spacing w:after="0"/>
              <w:rPr>
                <w:sz w:val="20"/>
                <w:szCs w:val="20"/>
                <w:color w:val="auto"/>
              </w:rPr>
            </w:pPr>
            <w:r>
              <w:rPr>
                <w:rFonts w:ascii="Arial" w:cs="Arial" w:eastAsia="Arial" w:hAnsi="Arial"/>
                <w:sz w:val="13"/>
                <w:szCs w:val="13"/>
                <w:color w:val="auto"/>
              </w:rPr>
              <w:t>12.6</w:t>
            </w:r>
          </w:p>
        </w:tc>
        <w:tc>
          <w:tcPr>
            <w:tcW w:w="940" w:type="dxa"/>
            <w:vAlign w:val="bottom"/>
          </w:tcPr>
          <w:p>
            <w:pPr>
              <w:jc w:val="right"/>
              <w:ind w:right="60"/>
              <w:spacing w:after="0"/>
              <w:rPr>
                <w:sz w:val="20"/>
                <w:szCs w:val="20"/>
                <w:color w:val="auto"/>
              </w:rPr>
            </w:pPr>
            <w:r>
              <w:rPr>
                <w:rFonts w:ascii="Arial" w:cs="Arial" w:eastAsia="Arial" w:hAnsi="Arial"/>
                <w:sz w:val="13"/>
                <w:szCs w:val="13"/>
                <w:color w:val="auto"/>
              </w:rPr>
              <w:t>14.7</w:t>
            </w:r>
          </w:p>
        </w:tc>
        <w:tc>
          <w:tcPr>
            <w:tcW w:w="820" w:type="dxa"/>
            <w:vAlign w:val="bottom"/>
          </w:tcPr>
          <w:p>
            <w:pPr>
              <w:jc w:val="right"/>
              <w:ind w:right="41"/>
              <w:spacing w:after="0"/>
              <w:rPr>
                <w:sz w:val="20"/>
                <w:szCs w:val="20"/>
                <w:color w:val="auto"/>
              </w:rPr>
            </w:pPr>
            <w:r>
              <w:rPr>
                <w:rFonts w:ascii="Arial" w:cs="Arial" w:eastAsia="Arial" w:hAnsi="Arial"/>
                <w:sz w:val="13"/>
                <w:szCs w:val="13"/>
                <w:color w:val="auto"/>
              </w:rPr>
              <w:t>5.9</w:t>
            </w:r>
          </w:p>
        </w:tc>
        <w:tc>
          <w:tcPr>
            <w:tcW w:w="780" w:type="dxa"/>
            <w:vAlign w:val="bottom"/>
          </w:tcPr>
          <w:p>
            <w:pPr>
              <w:jc w:val="right"/>
              <w:spacing w:after="0"/>
              <w:rPr>
                <w:sz w:val="20"/>
                <w:szCs w:val="20"/>
                <w:color w:val="auto"/>
              </w:rPr>
            </w:pPr>
            <w:r>
              <w:rPr>
                <w:rFonts w:ascii="Arial" w:cs="Arial" w:eastAsia="Arial" w:hAnsi="Arial"/>
                <w:sz w:val="13"/>
                <w:szCs w:val="13"/>
                <w:color w:val="auto"/>
              </w:rPr>
              <w:t>1.7</w:t>
            </w:r>
          </w:p>
        </w:tc>
        <w:tc>
          <w:tcPr>
            <w:tcW w:w="600" w:type="dxa"/>
            <w:vAlign w:val="bottom"/>
          </w:tcPr>
          <w:p>
            <w:pPr>
              <w:jc w:val="right"/>
              <w:spacing w:after="0"/>
              <w:rPr>
                <w:sz w:val="20"/>
                <w:szCs w:val="20"/>
                <w:color w:val="auto"/>
              </w:rPr>
            </w:pPr>
            <w:r>
              <w:rPr>
                <w:rFonts w:ascii="Arial" w:cs="Arial" w:eastAsia="Arial" w:hAnsi="Arial"/>
                <w:sz w:val="13"/>
                <w:szCs w:val="13"/>
                <w:color w:val="auto"/>
              </w:rPr>
              <w:t>120.1</w:t>
            </w:r>
          </w:p>
        </w:tc>
        <w:tc>
          <w:tcPr>
            <w:tcW w:w="0" w:type="dxa"/>
            <w:vAlign w:val="bottom"/>
          </w:tcPr>
          <w:p>
            <w:pPr>
              <w:spacing w:after="0"/>
              <w:rPr>
                <w:sz w:val="1"/>
                <w:szCs w:val="1"/>
                <w:color w:val="auto"/>
              </w:rPr>
            </w:pPr>
          </w:p>
        </w:tc>
      </w:tr>
      <w:tr>
        <w:trPr>
          <w:trHeight w:val="180"/>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Diluted EPS - Continuing</w:t>
            </w: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Operations</w:t>
            </w:r>
          </w:p>
        </w:tc>
        <w:tc>
          <w:tcPr>
            <w:tcW w:w="620" w:type="dxa"/>
            <w:vAlign w:val="bottom"/>
          </w:tcPr>
          <w:p>
            <w:pPr>
              <w:jc w:val="right"/>
              <w:spacing w:after="0"/>
              <w:rPr>
                <w:sz w:val="20"/>
                <w:szCs w:val="20"/>
                <w:color w:val="auto"/>
              </w:rPr>
            </w:pPr>
            <w:r>
              <w:rPr>
                <w:rFonts w:ascii="Arial" w:cs="Arial" w:eastAsia="Arial" w:hAnsi="Arial"/>
                <w:sz w:val="13"/>
                <w:szCs w:val="13"/>
                <w:color w:val="auto"/>
              </w:rPr>
              <w:t>$0.63</w:t>
            </w:r>
          </w:p>
        </w:tc>
        <w:tc>
          <w:tcPr>
            <w:tcW w:w="720" w:type="dxa"/>
            <w:vAlign w:val="bottom"/>
          </w:tcPr>
          <w:p>
            <w:pPr>
              <w:jc w:val="right"/>
              <w:ind w:right="40"/>
              <w:spacing w:after="0"/>
              <w:rPr>
                <w:sz w:val="20"/>
                <w:szCs w:val="20"/>
                <w:color w:val="auto"/>
              </w:rPr>
            </w:pPr>
            <w:r>
              <w:rPr>
                <w:rFonts w:ascii="Arial" w:cs="Arial" w:eastAsia="Arial" w:hAnsi="Arial"/>
                <w:sz w:val="13"/>
                <w:szCs w:val="13"/>
                <w:color w:val="auto"/>
              </w:rPr>
              <w:t>$0.32</w:t>
            </w:r>
          </w:p>
        </w:tc>
        <w:tc>
          <w:tcPr>
            <w:tcW w:w="900" w:type="dxa"/>
            <w:vAlign w:val="bottom"/>
          </w:tcPr>
          <w:p>
            <w:pPr>
              <w:jc w:val="right"/>
              <w:ind w:right="60"/>
              <w:spacing w:after="0"/>
              <w:rPr>
                <w:sz w:val="20"/>
                <w:szCs w:val="20"/>
                <w:color w:val="auto"/>
              </w:rPr>
            </w:pPr>
            <w:r>
              <w:rPr>
                <w:rFonts w:ascii="Arial" w:cs="Arial" w:eastAsia="Arial" w:hAnsi="Arial"/>
                <w:sz w:val="13"/>
                <w:szCs w:val="13"/>
                <w:color w:val="auto"/>
              </w:rPr>
              <w:t>$0.05</w:t>
            </w:r>
          </w:p>
        </w:tc>
        <w:tc>
          <w:tcPr>
            <w:tcW w:w="820" w:type="dxa"/>
            <w:vAlign w:val="bottom"/>
          </w:tcPr>
          <w:p>
            <w:pPr>
              <w:jc w:val="right"/>
              <w:ind w:right="60"/>
              <w:spacing w:after="0"/>
              <w:rPr>
                <w:sz w:val="20"/>
                <w:szCs w:val="20"/>
                <w:color w:val="auto"/>
              </w:rPr>
            </w:pPr>
            <w:r>
              <w:rPr>
                <w:rFonts w:ascii="Arial" w:cs="Arial" w:eastAsia="Arial" w:hAnsi="Arial"/>
                <w:sz w:val="13"/>
                <w:szCs w:val="13"/>
                <w:color w:val="auto"/>
              </w:rPr>
              <w:t>$0.63</w:t>
            </w:r>
          </w:p>
        </w:tc>
        <w:tc>
          <w:tcPr>
            <w:tcW w:w="840" w:type="dxa"/>
            <w:vAlign w:val="bottom"/>
          </w:tcPr>
          <w:p>
            <w:pPr>
              <w:jc w:val="right"/>
              <w:spacing w:after="0"/>
              <w:rPr>
                <w:sz w:val="20"/>
                <w:szCs w:val="20"/>
                <w:color w:val="auto"/>
              </w:rPr>
            </w:pPr>
            <w:r>
              <w:rPr>
                <w:rFonts w:ascii="Arial" w:cs="Arial" w:eastAsia="Arial" w:hAnsi="Arial"/>
                <w:sz w:val="13"/>
                <w:szCs w:val="13"/>
                <w:color w:val="auto"/>
              </w:rPr>
              <w:t>$0.14</w:t>
            </w:r>
          </w:p>
        </w:tc>
        <w:tc>
          <w:tcPr>
            <w:tcW w:w="800" w:type="dxa"/>
            <w:vAlign w:val="bottom"/>
          </w:tcPr>
          <w:p>
            <w:pPr>
              <w:jc w:val="right"/>
              <w:ind w:right="39"/>
              <w:spacing w:after="0"/>
              <w:rPr>
                <w:sz w:val="20"/>
                <w:szCs w:val="20"/>
                <w:color w:val="auto"/>
              </w:rPr>
            </w:pPr>
            <w:r>
              <w:rPr>
                <w:rFonts w:ascii="Arial" w:cs="Arial" w:eastAsia="Arial" w:hAnsi="Arial"/>
                <w:sz w:val="13"/>
                <w:szCs w:val="13"/>
                <w:color w:val="auto"/>
              </w:rPr>
              <w:t>($0.08)</w:t>
            </w:r>
          </w:p>
        </w:tc>
        <w:tc>
          <w:tcPr>
            <w:tcW w:w="720" w:type="dxa"/>
            <w:vAlign w:val="bottom"/>
          </w:tcPr>
          <w:p>
            <w:pPr>
              <w:jc w:val="right"/>
              <w:ind w:right="60"/>
              <w:spacing w:after="0"/>
              <w:rPr>
                <w:sz w:val="20"/>
                <w:szCs w:val="20"/>
                <w:color w:val="auto"/>
              </w:rPr>
            </w:pPr>
            <w:r>
              <w:rPr>
                <w:rFonts w:ascii="Arial" w:cs="Arial" w:eastAsia="Arial" w:hAnsi="Arial"/>
                <w:sz w:val="13"/>
                <w:szCs w:val="13"/>
                <w:color w:val="auto"/>
              </w:rPr>
              <w:t>$0.04</w:t>
            </w:r>
          </w:p>
        </w:tc>
        <w:tc>
          <w:tcPr>
            <w:tcW w:w="920" w:type="dxa"/>
            <w:vAlign w:val="bottom"/>
          </w:tcPr>
          <w:p>
            <w:pPr>
              <w:jc w:val="right"/>
              <w:ind w:right="80"/>
              <w:spacing w:after="0"/>
              <w:rPr>
                <w:sz w:val="20"/>
                <w:szCs w:val="20"/>
                <w:color w:val="auto"/>
              </w:rPr>
            </w:pPr>
            <w:r>
              <w:rPr>
                <w:rFonts w:ascii="Arial" w:cs="Arial" w:eastAsia="Arial" w:hAnsi="Arial"/>
                <w:sz w:val="13"/>
                <w:szCs w:val="13"/>
                <w:color w:val="auto"/>
              </w:rPr>
              <w:t>$0.25</w:t>
            </w:r>
          </w:p>
        </w:tc>
        <w:tc>
          <w:tcPr>
            <w:tcW w:w="940" w:type="dxa"/>
            <w:vAlign w:val="bottom"/>
          </w:tcPr>
          <w:p>
            <w:pPr>
              <w:jc w:val="right"/>
              <w:ind w:right="60"/>
              <w:spacing w:after="0"/>
              <w:rPr>
                <w:sz w:val="20"/>
                <w:szCs w:val="20"/>
                <w:color w:val="auto"/>
              </w:rPr>
            </w:pPr>
            <w:r>
              <w:rPr>
                <w:rFonts w:ascii="Arial" w:cs="Arial" w:eastAsia="Arial" w:hAnsi="Arial"/>
                <w:sz w:val="13"/>
                <w:szCs w:val="13"/>
                <w:color w:val="auto"/>
              </w:rPr>
              <w:t>$0.30</w:t>
            </w:r>
          </w:p>
        </w:tc>
        <w:tc>
          <w:tcPr>
            <w:tcW w:w="820" w:type="dxa"/>
            <w:vAlign w:val="bottom"/>
          </w:tcPr>
          <w:p>
            <w:pPr>
              <w:jc w:val="right"/>
              <w:ind w:right="41"/>
              <w:spacing w:after="0"/>
              <w:rPr>
                <w:sz w:val="20"/>
                <w:szCs w:val="20"/>
                <w:color w:val="auto"/>
              </w:rPr>
            </w:pPr>
            <w:r>
              <w:rPr>
                <w:rFonts w:ascii="Arial" w:cs="Arial" w:eastAsia="Arial" w:hAnsi="Arial"/>
                <w:sz w:val="13"/>
                <w:szCs w:val="13"/>
                <w:color w:val="auto"/>
              </w:rPr>
              <w:t>$0.12</w:t>
            </w:r>
          </w:p>
        </w:tc>
        <w:tc>
          <w:tcPr>
            <w:tcW w:w="780" w:type="dxa"/>
            <w:vAlign w:val="bottom"/>
          </w:tcPr>
          <w:p>
            <w:pPr>
              <w:jc w:val="right"/>
              <w:spacing w:after="0"/>
              <w:rPr>
                <w:sz w:val="20"/>
                <w:szCs w:val="20"/>
                <w:color w:val="auto"/>
              </w:rPr>
            </w:pPr>
            <w:r>
              <w:rPr>
                <w:rFonts w:ascii="Arial" w:cs="Arial" w:eastAsia="Arial" w:hAnsi="Arial"/>
                <w:sz w:val="13"/>
                <w:szCs w:val="13"/>
                <w:color w:val="auto"/>
              </w:rPr>
              <w:t>$0.04</w:t>
            </w:r>
          </w:p>
        </w:tc>
        <w:tc>
          <w:tcPr>
            <w:tcW w:w="600" w:type="dxa"/>
            <w:vAlign w:val="bottom"/>
          </w:tcPr>
          <w:p>
            <w:pPr>
              <w:jc w:val="right"/>
              <w:spacing w:after="0"/>
              <w:rPr>
                <w:sz w:val="20"/>
                <w:szCs w:val="20"/>
                <w:color w:val="auto"/>
              </w:rPr>
            </w:pPr>
            <w:r>
              <w:rPr>
                <w:rFonts w:ascii="Arial" w:cs="Arial" w:eastAsia="Arial" w:hAnsi="Arial"/>
                <w:sz w:val="13"/>
                <w:szCs w:val="13"/>
                <w:color w:val="auto"/>
              </w:rPr>
              <w:t>$2.43</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GAAP results for the nine months ended September 30, 2018 include:</w:t>
      </w:r>
    </w:p>
    <w:p>
      <w:pPr>
        <w:spacing w:after="0" w:line="57" w:lineRule="exact"/>
        <w:rPr>
          <w:sz w:val="20"/>
          <w:szCs w:val="20"/>
          <w:color w:val="auto"/>
        </w:rPr>
      </w:pPr>
    </w:p>
    <w:p>
      <w:pPr>
        <w:ind w:left="361" w:hanging="361"/>
        <w:spacing w:after="0"/>
        <w:tabs>
          <w:tab w:leader="none" w:pos="361" w:val="left"/>
        </w:tabs>
        <w:numPr>
          <w:ilvl w:val="0"/>
          <w:numId w:val="11"/>
        </w:numPr>
        <w:rPr>
          <w:rFonts w:ascii="Arial" w:cs="Arial" w:eastAsia="Arial" w:hAnsi="Arial"/>
          <w:sz w:val="13"/>
          <w:szCs w:val="13"/>
          <w:color w:val="auto"/>
        </w:rPr>
      </w:pPr>
      <w:r>
        <w:rPr>
          <w:rFonts w:ascii="Arial" w:cs="Arial" w:eastAsia="Arial" w:hAnsi="Arial"/>
          <w:sz w:val="13"/>
          <w:szCs w:val="13"/>
          <w:color w:val="auto"/>
        </w:rPr>
        <w:t>Merger and integration expenses related to our legacy companies and recent acquisitions</w:t>
      </w:r>
    </w:p>
    <w:p>
      <w:pPr>
        <w:spacing w:after="0" w:line="40" w:lineRule="exact"/>
        <w:rPr>
          <w:rFonts w:ascii="Arial" w:cs="Arial" w:eastAsia="Arial" w:hAnsi="Arial"/>
          <w:sz w:val="13"/>
          <w:szCs w:val="13"/>
          <w:color w:val="auto"/>
        </w:rPr>
      </w:pPr>
    </w:p>
    <w:p>
      <w:pPr>
        <w:ind w:left="361" w:hanging="361"/>
        <w:spacing w:after="0"/>
        <w:tabs>
          <w:tab w:leader="none" w:pos="361"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Restructuring expenses related to organizational changes</w:t>
      </w:r>
    </w:p>
    <w:p>
      <w:pPr>
        <w:spacing w:after="0" w:line="40" w:lineRule="exact"/>
        <w:rPr>
          <w:rFonts w:ascii="Arial" w:cs="Arial" w:eastAsia="Arial" w:hAnsi="Arial"/>
          <w:sz w:val="13"/>
          <w:szCs w:val="13"/>
          <w:color w:val="auto"/>
        </w:rPr>
      </w:pPr>
    </w:p>
    <w:p>
      <w:pPr>
        <w:ind w:left="361" w:hanging="361"/>
        <w:spacing w:after="0"/>
        <w:tabs>
          <w:tab w:leader="none" w:pos="361"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Includes depreciation and amortization associated with purchase price accounting</w:t>
      </w:r>
    </w:p>
    <w:p>
      <w:pPr>
        <w:spacing w:after="0" w:line="40" w:lineRule="exact"/>
        <w:rPr>
          <w:rFonts w:ascii="Arial" w:cs="Arial" w:eastAsia="Arial" w:hAnsi="Arial"/>
          <w:sz w:val="13"/>
          <w:szCs w:val="13"/>
          <w:color w:val="auto"/>
        </w:rPr>
      </w:pPr>
    </w:p>
    <w:p>
      <w:pPr>
        <w:ind w:left="361" w:hanging="361"/>
        <w:spacing w:after="0"/>
        <w:tabs>
          <w:tab w:leader="none" w:pos="361"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Costs related to the 3T Heater-Cooler remediation plan</w:t>
      </w:r>
    </w:p>
    <w:p>
      <w:pPr>
        <w:spacing w:after="0" w:line="40" w:lineRule="exact"/>
        <w:rPr>
          <w:rFonts w:ascii="Arial" w:cs="Arial" w:eastAsia="Arial" w:hAnsi="Arial"/>
          <w:sz w:val="13"/>
          <w:szCs w:val="13"/>
          <w:color w:val="auto"/>
        </w:rPr>
      </w:pPr>
    </w:p>
    <w:p>
      <w:pPr>
        <w:ind w:left="361" w:hanging="361"/>
        <w:spacing w:after="0"/>
        <w:tabs>
          <w:tab w:leader="none" w:pos="361"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Costs related to acquisitions</w:t>
      </w:r>
    </w:p>
    <w:p>
      <w:pPr>
        <w:spacing w:after="0" w:line="40" w:lineRule="exact"/>
        <w:rPr>
          <w:rFonts w:ascii="Arial" w:cs="Arial" w:eastAsia="Arial" w:hAnsi="Arial"/>
          <w:sz w:val="13"/>
          <w:szCs w:val="13"/>
          <w:color w:val="auto"/>
        </w:rPr>
      </w:pPr>
    </w:p>
    <w:p>
      <w:pPr>
        <w:ind w:left="361" w:hanging="361"/>
        <w:spacing w:after="0"/>
        <w:tabs>
          <w:tab w:leader="none" w:pos="361"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Corporate costs incurred to divest of the CRM business not attributable to discontinued operations</w:t>
      </w:r>
    </w:p>
    <w:p>
      <w:pPr>
        <w:spacing w:after="0" w:line="40" w:lineRule="exact"/>
        <w:rPr>
          <w:rFonts w:ascii="Arial" w:cs="Arial" w:eastAsia="Arial" w:hAnsi="Arial"/>
          <w:sz w:val="13"/>
          <w:szCs w:val="13"/>
          <w:color w:val="auto"/>
        </w:rPr>
      </w:pPr>
    </w:p>
    <w:p>
      <w:pPr>
        <w:ind w:left="361" w:hanging="361"/>
        <w:spacing w:after="0"/>
        <w:tabs>
          <w:tab w:leader="none" w:pos="361"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Contingent consideration related to acquisitions and legal expenses primarily related to 3T Heater-Cooler defense and other matters</w:t>
      </w:r>
    </w:p>
    <w:p>
      <w:pPr>
        <w:spacing w:after="0" w:line="40" w:lineRule="exact"/>
        <w:rPr>
          <w:rFonts w:ascii="Arial" w:cs="Arial" w:eastAsia="Arial" w:hAnsi="Arial"/>
          <w:sz w:val="13"/>
          <w:szCs w:val="13"/>
          <w:color w:val="auto"/>
        </w:rPr>
      </w:pPr>
    </w:p>
    <w:p>
      <w:pPr>
        <w:ind w:left="361" w:hanging="361"/>
        <w:spacing w:after="0"/>
        <w:tabs>
          <w:tab w:leader="none" w:pos="361" w:val="left"/>
        </w:tabs>
        <w:numPr>
          <w:ilvl w:val="0"/>
          <w:numId w:val="11"/>
        </w:numPr>
        <w:rPr>
          <w:rFonts w:ascii="Arial" w:cs="Arial" w:eastAsia="Arial" w:hAnsi="Arial"/>
          <w:sz w:val="13"/>
          <w:szCs w:val="13"/>
          <w:color w:val="auto"/>
        </w:rPr>
      </w:pPr>
      <w:r>
        <w:rPr>
          <w:rFonts w:ascii="Arial" w:cs="Arial" w:eastAsia="Arial" w:hAnsi="Arial"/>
          <w:sz w:val="13"/>
          <w:szCs w:val="13"/>
          <w:color w:val="auto"/>
        </w:rPr>
        <w:t>Non-cash expenses associated with stock-based compensation costs</w:t>
      </w:r>
    </w:p>
    <w:p>
      <w:pPr>
        <w:spacing w:after="0" w:line="40" w:lineRule="exact"/>
        <w:rPr>
          <w:rFonts w:ascii="Arial" w:cs="Arial" w:eastAsia="Arial" w:hAnsi="Arial"/>
          <w:sz w:val="13"/>
          <w:szCs w:val="13"/>
          <w:color w:val="auto"/>
        </w:rPr>
      </w:pPr>
    </w:p>
    <w:p>
      <w:pPr>
        <w:ind w:left="361" w:hanging="361"/>
        <w:spacing w:after="0"/>
        <w:tabs>
          <w:tab w:leader="none" w:pos="361" w:val="left"/>
        </w:tabs>
        <w:numPr>
          <w:ilvl w:val="0"/>
          <w:numId w:val="11"/>
        </w:numPr>
        <w:rPr>
          <w:rFonts w:ascii="Arial" w:cs="Arial" w:eastAsia="Arial" w:hAnsi="Arial"/>
          <w:sz w:val="13"/>
          <w:szCs w:val="13"/>
          <w:color w:val="auto"/>
        </w:rPr>
      </w:pPr>
      <w:r>
        <w:rPr>
          <w:rFonts w:ascii="Arial" w:cs="Arial" w:eastAsia="Arial" w:hAnsi="Arial"/>
          <w:sz w:val="13"/>
          <w:szCs w:val="13"/>
          <w:color w:val="auto"/>
        </w:rPr>
        <w:t>Primarily relates to discrete tax items and the tax impact of intercompany transactions</w:t>
      </w:r>
    </w:p>
    <w:p>
      <w:pPr>
        <w:spacing w:after="0" w:line="40" w:lineRule="exact"/>
        <w:rPr>
          <w:rFonts w:ascii="Arial" w:cs="Arial" w:eastAsia="Arial" w:hAnsi="Arial"/>
          <w:sz w:val="13"/>
          <w:szCs w:val="13"/>
          <w:color w:val="auto"/>
        </w:rPr>
      </w:pPr>
    </w:p>
    <w:p>
      <w:pPr>
        <w:ind w:left="361" w:hanging="361"/>
        <w:spacing w:after="0"/>
        <w:tabs>
          <w:tab w:leader="none" w:pos="361" w:val="left"/>
        </w:tabs>
        <w:numPr>
          <w:ilvl w:val="0"/>
          <w:numId w:val="11"/>
        </w:numPr>
        <w:rPr>
          <w:rFonts w:ascii="Arial" w:cs="Arial" w:eastAsia="Arial" w:hAnsi="Arial"/>
          <w:sz w:val="13"/>
          <w:szCs w:val="13"/>
          <w:color w:val="auto"/>
        </w:rPr>
      </w:pPr>
      <w:r>
        <w:rPr>
          <w:rFonts w:ascii="Arial" w:cs="Arial" w:eastAsia="Arial" w:hAnsi="Arial"/>
          <w:sz w:val="13"/>
          <w:szCs w:val="13"/>
          <w:color w:val="auto"/>
        </w:rPr>
        <w:t>Primarily relates to intellectual property migration and other non-recurring impacts to interest expense</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3"/>
          <w:szCs w:val="13"/>
          <w:color w:val="auto"/>
        </w:rPr>
        <w:t>* Numbers may not add precisely due to rounding.</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401"/>
          </w:cols>
          <w:pgMar w:left="259" w:top="710" w:right="239" w:bottom="1440" w:gutter="0" w:footer="0" w:header="0"/>
        </w:sectPr>
      </w:pPr>
    </w:p>
    <w:bookmarkStart w:id="19" w:name="page20"/>
    <w:bookmarkEnd w:id="19"/>
    <w:p>
      <w:pPr>
        <w:ind w:left="21"/>
        <w:spacing w:after="0"/>
        <w:rPr>
          <w:sz w:val="20"/>
          <w:szCs w:val="20"/>
          <w:color w:val="auto"/>
        </w:rPr>
      </w:pPr>
      <w:r>
        <w:rPr>
          <w:rFonts w:ascii="Arial" w:cs="Arial" w:eastAsia="Arial" w:hAnsi="Arial"/>
          <w:sz w:val="13"/>
          <w:szCs w:val="13"/>
          <w:b w:val="1"/>
          <w:bCs w:val="1"/>
          <w:color w:val="auto"/>
        </w:rPr>
        <w:t>RECONCILIATION OF GAAP TO NON-GAAP FINANCIAL MEASURES - UNAUDITED</w:t>
      </w:r>
    </w:p>
    <w:p>
      <w:pPr>
        <w:spacing w:after="0" w:line="9" w:lineRule="exact"/>
        <w:rPr>
          <w:sz w:val="20"/>
          <w:szCs w:val="20"/>
          <w:color w:val="auto"/>
        </w:rPr>
      </w:pPr>
    </w:p>
    <w:p>
      <w:pPr>
        <w:ind w:left="21"/>
        <w:spacing w:after="0"/>
        <w:rPr>
          <w:sz w:val="20"/>
          <w:szCs w:val="20"/>
          <w:color w:val="auto"/>
        </w:rPr>
      </w:pPr>
      <w:r>
        <w:rPr>
          <w:rFonts w:ascii="Arial" w:cs="Arial" w:eastAsia="Arial" w:hAnsi="Arial"/>
          <w:sz w:val="13"/>
          <w:szCs w:val="13"/>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326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2650" cy="7620"/>
                    </a:xfrm>
                    <a:prstGeom prst="rect">
                      <a:avLst/>
                    </a:prstGeom>
                    <a:noFill/>
                  </pic:spPr>
                </pic:pic>
              </a:graphicData>
            </a:graphic>
          </wp:anchor>
        </w:drawing>
      </w:r>
    </w:p>
    <w:p>
      <w:pPr>
        <w:spacing w:after="0" w:line="80" w:lineRule="exact"/>
        <w:rPr>
          <w:sz w:val="20"/>
          <w:szCs w:val="20"/>
          <w:color w:val="auto"/>
        </w:rPr>
      </w:pPr>
    </w:p>
    <w:tbl>
      <w:tblPr>
        <w:tblLayout w:type="fixed"/>
        <w:tblInd w:w="1" w:type="dxa"/>
        <w:tblCellMar>
          <w:top w:w="0" w:type="dxa"/>
          <w:left w:w="0" w:type="dxa"/>
          <w:bottom w:w="0" w:type="dxa"/>
          <w:right w:w="0" w:type="dxa"/>
        </w:tblCellMar>
      </w:tblPr>
      <w:tr>
        <w:trPr>
          <w:trHeight w:val="154"/>
        </w:trPr>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1"/>
                <w:szCs w:val="11"/>
                <w:b w:val="1"/>
                <w:bCs w:val="1"/>
                <w:color w:val="auto"/>
              </w:rPr>
              <w:t>Specified Items</w:t>
            </w:r>
          </w:p>
        </w:tc>
        <w:tc>
          <w:tcPr>
            <w:tcW w:w="9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Depreciation</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Non-recurring</w:t>
            </w: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Merger &amp;</w:t>
            </w:r>
          </w:p>
        </w:tc>
        <w:tc>
          <w:tcPr>
            <w:tcW w:w="8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and</w:t>
            </w:r>
          </w:p>
        </w:tc>
        <w:tc>
          <w:tcPr>
            <w:tcW w:w="7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Product</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7"/>
              </w:rPr>
              <w:t>Legal and</w:t>
            </w:r>
          </w:p>
        </w:tc>
        <w:tc>
          <w:tcPr>
            <w:tcW w:w="9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Stock-based</w:t>
            </w:r>
          </w:p>
        </w:tc>
        <w:tc>
          <w:tcPr>
            <w:tcW w:w="80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Certain</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9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Nine Months Ended</w:t>
            </w:r>
          </w:p>
        </w:tc>
        <w:tc>
          <w:tcPr>
            <w:tcW w:w="6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GAAP</w:t>
            </w:r>
          </w:p>
        </w:tc>
        <w:tc>
          <w:tcPr>
            <w:tcW w:w="7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Integration</w:t>
            </w:r>
          </w:p>
        </w:tc>
        <w:tc>
          <w:tcPr>
            <w:tcW w:w="8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9"/>
              </w:rPr>
              <w:t>Restructuring</w:t>
            </w:r>
          </w:p>
        </w:tc>
        <w:tc>
          <w:tcPr>
            <w:tcW w:w="8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Amortization</w:t>
            </w:r>
          </w:p>
        </w:tc>
        <w:tc>
          <w:tcPr>
            <w:tcW w:w="7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9"/>
              </w:rPr>
              <w:t>Remediation</w:t>
            </w:r>
          </w:p>
        </w:tc>
        <w:tc>
          <w:tcPr>
            <w:tcW w:w="7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Acquisition</w:t>
            </w:r>
          </w:p>
        </w:tc>
        <w:tc>
          <w:tcPr>
            <w:tcW w:w="7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9"/>
              </w:rPr>
              <w:t>Contingent</w:t>
            </w:r>
          </w:p>
        </w:tc>
        <w:tc>
          <w:tcPr>
            <w:tcW w:w="9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Compensation</w:t>
            </w:r>
          </w:p>
        </w:tc>
        <w:tc>
          <w:tcPr>
            <w:tcW w:w="8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Certain Tax</w:t>
            </w:r>
          </w:p>
        </w:tc>
        <w:tc>
          <w:tcPr>
            <w:tcW w:w="7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Interest</w:t>
            </w:r>
          </w:p>
        </w:tc>
        <w:tc>
          <w:tcPr>
            <w:tcW w:w="7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Adjusted</w:t>
            </w:r>
          </w:p>
        </w:tc>
        <w:tc>
          <w:tcPr>
            <w:tcW w:w="0" w:type="dxa"/>
            <w:vAlign w:val="bottom"/>
          </w:tcPr>
          <w:p>
            <w:pPr>
              <w:spacing w:after="0"/>
              <w:rPr>
                <w:sz w:val="1"/>
                <w:szCs w:val="1"/>
                <w:color w:val="auto"/>
              </w:rPr>
            </w:pPr>
          </w:p>
        </w:tc>
      </w:tr>
      <w:tr>
        <w:trPr>
          <w:trHeight w:val="114"/>
        </w:trPr>
        <w:tc>
          <w:tcPr>
            <w:tcW w:w="1940" w:type="dxa"/>
            <w:vAlign w:val="bottom"/>
            <w:gridSpan w:val="2"/>
            <w:vMerge w:val="continue"/>
          </w:tcPr>
          <w:p>
            <w:pPr>
              <w:spacing w:after="0"/>
              <w:rPr>
                <w:sz w:val="9"/>
                <w:szCs w:val="9"/>
                <w:color w:val="auto"/>
              </w:rPr>
            </w:pPr>
          </w:p>
        </w:tc>
        <w:tc>
          <w:tcPr>
            <w:tcW w:w="6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Financial</w:t>
            </w:r>
          </w:p>
        </w:tc>
        <w:tc>
          <w:tcPr>
            <w:tcW w:w="7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8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8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7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7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8"/>
              </w:rPr>
              <w:t>Costs</w:t>
            </w:r>
          </w:p>
        </w:tc>
        <w:tc>
          <w:tcPr>
            <w:tcW w:w="720" w:type="dxa"/>
            <w:vAlign w:val="bottom"/>
          </w:tcPr>
          <w:p>
            <w:pPr>
              <w:jc w:val="right"/>
              <w:ind w:right="20"/>
              <w:spacing w:after="0" w:line="115" w:lineRule="exact"/>
              <w:rPr>
                <w:sz w:val="20"/>
                <w:szCs w:val="20"/>
                <w:color w:val="auto"/>
              </w:rPr>
            </w:pPr>
            <w:r>
              <w:rPr>
                <w:rFonts w:ascii="Arial" w:cs="Arial" w:eastAsia="Arial" w:hAnsi="Arial"/>
                <w:sz w:val="11"/>
                <w:szCs w:val="11"/>
                <w:b w:val="1"/>
                <w:bCs w:val="1"/>
                <w:color w:val="auto"/>
              </w:rPr>
              <w:t>Impairment</w:t>
            </w:r>
          </w:p>
        </w:tc>
        <w:tc>
          <w:tcPr>
            <w:tcW w:w="9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9"/>
              </w:rPr>
              <w:t>Consideration</w:t>
            </w:r>
          </w:p>
        </w:tc>
        <w:tc>
          <w:tcPr>
            <w:tcW w:w="9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Costs</w:t>
            </w:r>
          </w:p>
        </w:tc>
        <w:tc>
          <w:tcPr>
            <w:tcW w:w="8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8"/>
              </w:rPr>
              <w:t>Adjustments</w:t>
            </w:r>
          </w:p>
        </w:tc>
        <w:tc>
          <w:tcPr>
            <w:tcW w:w="7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8"/>
              </w:rPr>
              <w:t>Adjustments</w:t>
            </w:r>
          </w:p>
        </w:tc>
        <w:tc>
          <w:tcPr>
            <w:tcW w:w="7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Financial</w:t>
            </w:r>
          </w:p>
        </w:tc>
        <w:tc>
          <w:tcPr>
            <w:tcW w:w="0" w:type="dxa"/>
            <w:vAlign w:val="bottom"/>
          </w:tcPr>
          <w:p>
            <w:pPr>
              <w:spacing w:after="0"/>
              <w:rPr>
                <w:sz w:val="1"/>
                <w:szCs w:val="1"/>
                <w:color w:val="auto"/>
              </w:rPr>
            </w:pPr>
          </w:p>
        </w:tc>
      </w:tr>
      <w:tr>
        <w:trPr>
          <w:trHeight w:val="166"/>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September 30, 2017</w:t>
            </w:r>
          </w:p>
        </w:tc>
        <w:tc>
          <w:tcPr>
            <w:tcW w:w="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Measures</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(A)</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(B)</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(C)</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(E)</w:t>
            </w: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b w:val="1"/>
                <w:bCs w:val="1"/>
                <w:color w:val="auto"/>
              </w:rPr>
              <w:t>(F)</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(G)</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(H)</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(I)</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(J)</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Measures</w:t>
            </w:r>
          </w:p>
        </w:tc>
        <w:tc>
          <w:tcPr>
            <w:tcW w:w="0" w:type="dxa"/>
            <w:vAlign w:val="bottom"/>
          </w:tcPr>
          <w:p>
            <w:pPr>
              <w:spacing w:after="0"/>
              <w:rPr>
                <w:sz w:val="1"/>
                <w:szCs w:val="1"/>
                <w:color w:val="auto"/>
              </w:rPr>
            </w:pPr>
          </w:p>
        </w:tc>
      </w:tr>
      <w:tr>
        <w:trPr>
          <w:trHeight w:val="220"/>
        </w:trPr>
        <w:tc>
          <w:tcPr>
            <w:tcW w:w="1940" w:type="dxa"/>
            <w:vAlign w:val="bottom"/>
            <w:gridSpan w:val="2"/>
          </w:tcPr>
          <w:p>
            <w:pPr>
              <w:ind w:left="20"/>
              <w:spacing w:after="0"/>
              <w:rPr>
                <w:sz w:val="20"/>
                <w:szCs w:val="20"/>
                <w:color w:val="auto"/>
              </w:rPr>
            </w:pPr>
            <w:r>
              <w:rPr>
                <w:rFonts w:ascii="Arial" w:cs="Arial" w:eastAsia="Arial" w:hAnsi="Arial"/>
                <w:sz w:val="13"/>
                <w:szCs w:val="13"/>
                <w:color w:val="auto"/>
              </w:rPr>
              <w:t>Gross profit</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$479.6</w:t>
            </w: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3"/>
                <w:szCs w:val="13"/>
                <w:color w:val="auto"/>
              </w:rPr>
              <w:t>$3.3</w:t>
            </w:r>
          </w:p>
        </w:tc>
        <w:tc>
          <w:tcPr>
            <w:tcW w:w="780" w:type="dxa"/>
            <w:vAlign w:val="bottom"/>
          </w:tcPr>
          <w:p>
            <w:pPr>
              <w:jc w:val="right"/>
              <w:spacing w:after="0"/>
              <w:rPr>
                <w:sz w:val="20"/>
                <w:szCs w:val="20"/>
                <w:color w:val="auto"/>
              </w:rPr>
            </w:pPr>
            <w:r>
              <w:rPr>
                <w:rFonts w:ascii="Arial" w:cs="Arial" w:eastAsia="Arial" w:hAnsi="Arial"/>
                <w:sz w:val="13"/>
                <w:szCs w:val="13"/>
                <w:color w:val="auto"/>
              </w:rPr>
              <w:t>$2.6</w:t>
            </w:r>
          </w:p>
        </w:tc>
        <w:tc>
          <w:tcPr>
            <w:tcW w:w="720" w:type="dxa"/>
            <w:vAlign w:val="bottom"/>
          </w:tcPr>
          <w:p>
            <w:pPr>
              <w:jc w:val="right"/>
              <w:spacing w:after="0"/>
              <w:rPr>
                <w:sz w:val="20"/>
                <w:szCs w:val="20"/>
                <w:color w:val="auto"/>
              </w:rPr>
            </w:pPr>
            <w:r>
              <w:rPr>
                <w:rFonts w:ascii="Arial" w:cs="Arial" w:eastAsia="Arial" w:hAnsi="Arial"/>
                <w:sz w:val="13"/>
                <w:szCs w:val="13"/>
                <w:color w:val="auto"/>
              </w:rPr>
              <w:t>$0.2</w:t>
            </w:r>
          </w:p>
        </w:tc>
        <w:tc>
          <w:tcPr>
            <w:tcW w:w="72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3"/>
                <w:szCs w:val="13"/>
                <w:color w:val="auto"/>
              </w:rPr>
              <w:t>$0.1</w:t>
            </w:r>
          </w:p>
        </w:tc>
        <w:tc>
          <w:tcPr>
            <w:tcW w:w="940" w:type="dxa"/>
            <w:vAlign w:val="bottom"/>
          </w:tcPr>
          <w:p>
            <w:pPr>
              <w:jc w:val="right"/>
              <w:ind w:right="40"/>
              <w:spacing w:after="0"/>
              <w:rPr>
                <w:sz w:val="20"/>
                <w:szCs w:val="20"/>
                <w:color w:val="auto"/>
              </w:rPr>
            </w:pPr>
            <w:r>
              <w:rPr>
                <w:rFonts w:ascii="Arial" w:cs="Arial" w:eastAsia="Arial" w:hAnsi="Arial"/>
                <w:sz w:val="13"/>
                <w:szCs w:val="13"/>
                <w:color w:val="auto"/>
              </w:rPr>
              <w:t>$0.2</w:t>
            </w: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$486.0</w:t>
            </w:r>
          </w:p>
        </w:tc>
        <w:tc>
          <w:tcPr>
            <w:tcW w:w="0" w:type="dxa"/>
            <w:vAlign w:val="bottom"/>
          </w:tcPr>
          <w:p>
            <w:pPr>
              <w:spacing w:after="0"/>
              <w:rPr>
                <w:sz w:val="1"/>
                <w:szCs w:val="1"/>
                <w:color w:val="auto"/>
              </w:rPr>
            </w:pPr>
          </w:p>
        </w:tc>
      </w:tr>
      <w:tr>
        <w:trPr>
          <w:trHeight w:val="180"/>
        </w:trPr>
        <w:tc>
          <w:tcPr>
            <w:tcW w:w="1940" w:type="dxa"/>
            <w:vAlign w:val="bottom"/>
            <w:gridSpan w:val="2"/>
          </w:tcPr>
          <w:p>
            <w:pPr>
              <w:ind w:left="20"/>
              <w:spacing w:after="0"/>
              <w:rPr>
                <w:sz w:val="20"/>
                <w:szCs w:val="20"/>
                <w:color w:val="auto"/>
              </w:rPr>
            </w:pPr>
            <w:r>
              <w:rPr>
                <w:rFonts w:ascii="Arial" w:cs="Arial" w:eastAsia="Arial" w:hAnsi="Arial"/>
                <w:sz w:val="13"/>
                <w:szCs w:val="13"/>
                <w:color w:val="auto"/>
              </w:rPr>
              <w:t>Selling, general and</w:t>
            </w: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940" w:type="dxa"/>
            <w:vAlign w:val="bottom"/>
            <w:gridSpan w:val="2"/>
          </w:tcPr>
          <w:p>
            <w:pPr>
              <w:ind w:left="20"/>
              <w:spacing w:after="0"/>
              <w:rPr>
                <w:sz w:val="20"/>
                <w:szCs w:val="20"/>
                <w:color w:val="auto"/>
              </w:rPr>
            </w:pPr>
            <w:r>
              <w:rPr>
                <w:rFonts w:ascii="Arial" w:cs="Arial" w:eastAsia="Arial" w:hAnsi="Arial"/>
                <w:sz w:val="13"/>
                <w:szCs w:val="13"/>
                <w:color w:val="auto"/>
              </w:rPr>
              <w:t>administrative</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278.8</w:t>
            </w: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jc w:val="right"/>
              <w:ind w:right="19"/>
              <w:spacing w:after="0"/>
              <w:rPr>
                <w:sz w:val="20"/>
                <w:szCs w:val="20"/>
                <w:color w:val="auto"/>
              </w:rPr>
            </w:pPr>
            <w:r>
              <w:rPr>
                <w:rFonts w:ascii="Arial" w:cs="Arial" w:eastAsia="Arial" w:hAnsi="Arial"/>
                <w:sz w:val="13"/>
                <w:szCs w:val="13"/>
                <w:color w:val="auto"/>
              </w:rPr>
              <w:t>(0.7)</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jc w:val="right"/>
              <w:ind w:right="19"/>
              <w:spacing w:after="0"/>
              <w:rPr>
                <w:sz w:val="20"/>
                <w:szCs w:val="20"/>
                <w:color w:val="auto"/>
              </w:rPr>
            </w:pPr>
            <w:r>
              <w:rPr>
                <w:rFonts w:ascii="Arial" w:cs="Arial" w:eastAsia="Arial" w:hAnsi="Arial"/>
                <w:sz w:val="13"/>
                <w:szCs w:val="13"/>
                <w:color w:val="auto"/>
              </w:rPr>
              <w:t>(7.2)</w:t>
            </w:r>
          </w:p>
        </w:tc>
        <w:tc>
          <w:tcPr>
            <w:tcW w:w="940" w:type="dxa"/>
            <w:vAlign w:val="bottom"/>
          </w:tcPr>
          <w:p>
            <w:pPr>
              <w:jc w:val="right"/>
              <w:spacing w:after="0"/>
              <w:rPr>
                <w:sz w:val="20"/>
                <w:szCs w:val="20"/>
                <w:color w:val="auto"/>
              </w:rPr>
            </w:pPr>
            <w:r>
              <w:rPr>
                <w:rFonts w:ascii="Arial" w:cs="Arial" w:eastAsia="Arial" w:hAnsi="Arial"/>
                <w:sz w:val="13"/>
                <w:szCs w:val="13"/>
                <w:color w:val="auto"/>
              </w:rPr>
              <w:t>(12.6)</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258.2</w:t>
            </w:r>
          </w:p>
        </w:tc>
        <w:tc>
          <w:tcPr>
            <w:tcW w:w="0" w:type="dxa"/>
            <w:vAlign w:val="bottom"/>
          </w:tcPr>
          <w:p>
            <w:pPr>
              <w:spacing w:after="0"/>
              <w:rPr>
                <w:sz w:val="1"/>
                <w:szCs w:val="1"/>
                <w:color w:val="auto"/>
              </w:rPr>
            </w:pPr>
          </w:p>
        </w:tc>
      </w:tr>
      <w:tr>
        <w:trPr>
          <w:trHeight w:val="238"/>
        </w:trPr>
        <w:tc>
          <w:tcPr>
            <w:tcW w:w="1940" w:type="dxa"/>
            <w:vAlign w:val="bottom"/>
            <w:gridSpan w:val="2"/>
          </w:tcPr>
          <w:p>
            <w:pPr>
              <w:ind w:left="20"/>
              <w:spacing w:after="0"/>
              <w:rPr>
                <w:sz w:val="20"/>
                <w:szCs w:val="20"/>
                <w:color w:val="auto"/>
              </w:rPr>
            </w:pPr>
            <w:r>
              <w:rPr>
                <w:rFonts w:ascii="Arial" w:cs="Arial" w:eastAsia="Arial" w:hAnsi="Arial"/>
                <w:sz w:val="13"/>
                <w:szCs w:val="13"/>
                <w:color w:val="auto"/>
              </w:rPr>
              <w:t>Research and development</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77.1</w:t>
            </w: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3"/>
                <w:szCs w:val="13"/>
                <w:color w:val="auto"/>
              </w:rPr>
              <w:t>(0.1)</w:t>
            </w:r>
          </w:p>
        </w:tc>
        <w:tc>
          <w:tcPr>
            <w:tcW w:w="7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(12.4)</w:t>
            </w:r>
          </w:p>
        </w:tc>
        <w:tc>
          <w:tcPr>
            <w:tcW w:w="72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3"/>
                <w:szCs w:val="13"/>
                <w:color w:val="auto"/>
              </w:rPr>
              <w:t>0.2</w:t>
            </w:r>
          </w:p>
        </w:tc>
        <w:tc>
          <w:tcPr>
            <w:tcW w:w="940" w:type="dxa"/>
            <w:vAlign w:val="bottom"/>
          </w:tcPr>
          <w:p>
            <w:pPr>
              <w:jc w:val="right"/>
              <w:spacing w:after="0"/>
              <w:rPr>
                <w:sz w:val="20"/>
                <w:szCs w:val="20"/>
                <w:color w:val="auto"/>
              </w:rPr>
            </w:pPr>
            <w:r>
              <w:rPr>
                <w:rFonts w:ascii="Arial" w:cs="Arial" w:eastAsia="Arial" w:hAnsi="Arial"/>
                <w:sz w:val="13"/>
                <w:szCs w:val="13"/>
                <w:color w:val="auto"/>
              </w:rPr>
              <w:t>(0.9)</w:t>
            </w: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64.0</w:t>
            </w:r>
          </w:p>
        </w:tc>
        <w:tc>
          <w:tcPr>
            <w:tcW w:w="0" w:type="dxa"/>
            <w:vAlign w:val="bottom"/>
          </w:tcPr>
          <w:p>
            <w:pPr>
              <w:spacing w:after="0"/>
              <w:rPr>
                <w:sz w:val="1"/>
                <w:szCs w:val="1"/>
                <w:color w:val="auto"/>
              </w:rPr>
            </w:pPr>
          </w:p>
        </w:tc>
      </w:tr>
      <w:tr>
        <w:trPr>
          <w:trHeight w:val="238"/>
        </w:trPr>
        <w:tc>
          <w:tcPr>
            <w:tcW w:w="1940" w:type="dxa"/>
            <w:vAlign w:val="bottom"/>
            <w:gridSpan w:val="2"/>
          </w:tcPr>
          <w:p>
            <w:pPr>
              <w:ind w:left="20"/>
              <w:spacing w:after="0"/>
              <w:rPr>
                <w:sz w:val="20"/>
                <w:szCs w:val="20"/>
                <w:color w:val="auto"/>
              </w:rPr>
            </w:pPr>
            <w:r>
              <w:rPr>
                <w:rFonts w:ascii="Arial" w:cs="Arial" w:eastAsia="Arial" w:hAnsi="Arial"/>
                <w:sz w:val="13"/>
                <w:szCs w:val="13"/>
                <w:color w:val="auto"/>
              </w:rPr>
              <w:t>Other operating expenses</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46.1</w:t>
            </w:r>
          </w:p>
        </w:tc>
        <w:tc>
          <w:tcPr>
            <w:tcW w:w="720" w:type="dxa"/>
            <w:vAlign w:val="bottom"/>
          </w:tcPr>
          <w:p>
            <w:pPr>
              <w:jc w:val="right"/>
              <w:spacing w:after="0"/>
              <w:rPr>
                <w:sz w:val="20"/>
                <w:szCs w:val="20"/>
                <w:color w:val="auto"/>
              </w:rPr>
            </w:pPr>
            <w:r>
              <w:rPr>
                <w:rFonts w:ascii="Arial" w:cs="Arial" w:eastAsia="Arial" w:hAnsi="Arial"/>
                <w:sz w:val="13"/>
                <w:szCs w:val="13"/>
                <w:color w:val="auto"/>
              </w:rPr>
              <w:t>(6.9)</w:t>
            </w:r>
          </w:p>
        </w:tc>
        <w:tc>
          <w:tcPr>
            <w:tcW w:w="880" w:type="dxa"/>
            <w:vAlign w:val="bottom"/>
          </w:tcPr>
          <w:p>
            <w:pPr>
              <w:jc w:val="right"/>
              <w:spacing w:after="0"/>
              <w:rPr>
                <w:sz w:val="20"/>
                <w:szCs w:val="20"/>
                <w:color w:val="auto"/>
              </w:rPr>
            </w:pPr>
            <w:r>
              <w:rPr>
                <w:rFonts w:ascii="Arial" w:cs="Arial" w:eastAsia="Arial" w:hAnsi="Arial"/>
                <w:sz w:val="13"/>
                <w:szCs w:val="13"/>
                <w:color w:val="auto"/>
              </w:rPr>
              <w:t>(13.8)</w:t>
            </w:r>
          </w:p>
        </w:tc>
        <w:tc>
          <w:tcPr>
            <w:tcW w:w="820" w:type="dxa"/>
            <w:vAlign w:val="bottom"/>
          </w:tcPr>
          <w:p>
            <w:pPr>
              <w:jc w:val="right"/>
              <w:ind w:right="19"/>
              <w:spacing w:after="0"/>
              <w:rPr>
                <w:sz w:val="20"/>
                <w:szCs w:val="20"/>
                <w:color w:val="auto"/>
              </w:rPr>
            </w:pPr>
            <w:r>
              <w:rPr>
                <w:rFonts w:ascii="Arial" w:cs="Arial" w:eastAsia="Arial" w:hAnsi="Arial"/>
                <w:sz w:val="13"/>
                <w:szCs w:val="13"/>
                <w:color w:val="auto"/>
              </w:rPr>
              <w:t>(24.6)</w:t>
            </w:r>
          </w:p>
        </w:tc>
        <w:tc>
          <w:tcPr>
            <w:tcW w:w="7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w:t>
            </w:r>
          </w:p>
        </w:tc>
        <w:tc>
          <w:tcPr>
            <w:tcW w:w="72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3"/>
                <w:szCs w:val="13"/>
                <w:color w:val="auto"/>
              </w:rPr>
              <w:t>0.2</w:t>
            </w: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1940" w:type="dxa"/>
            <w:vAlign w:val="bottom"/>
            <w:gridSpan w:val="2"/>
          </w:tcPr>
          <w:p>
            <w:pPr>
              <w:ind w:left="20"/>
              <w:spacing w:after="0"/>
              <w:rPr>
                <w:sz w:val="20"/>
                <w:szCs w:val="20"/>
                <w:color w:val="auto"/>
              </w:rPr>
            </w:pPr>
            <w:r>
              <w:rPr>
                <w:rFonts w:ascii="Arial" w:cs="Arial" w:eastAsia="Arial" w:hAnsi="Arial"/>
                <w:sz w:val="13"/>
                <w:szCs w:val="13"/>
                <w:color w:val="auto"/>
              </w:rPr>
              <w:t>Operating income from</w:t>
            </w: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940" w:type="dxa"/>
            <w:vAlign w:val="bottom"/>
            <w:gridSpan w:val="2"/>
          </w:tcPr>
          <w:p>
            <w:pPr>
              <w:ind w:left="20"/>
              <w:spacing w:after="0"/>
              <w:rPr>
                <w:sz w:val="20"/>
                <w:szCs w:val="20"/>
                <w:color w:val="auto"/>
              </w:rPr>
            </w:pPr>
            <w:r>
              <w:rPr>
                <w:rFonts w:ascii="Arial" w:cs="Arial" w:eastAsia="Arial" w:hAnsi="Arial"/>
                <w:sz w:val="13"/>
                <w:szCs w:val="13"/>
                <w:color w:val="auto"/>
              </w:rPr>
              <w:t>continuing operations</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77.5</w:t>
            </w:r>
          </w:p>
        </w:tc>
        <w:tc>
          <w:tcPr>
            <w:tcW w:w="720" w:type="dxa"/>
            <w:vAlign w:val="bottom"/>
          </w:tcPr>
          <w:p>
            <w:pPr>
              <w:jc w:val="right"/>
              <w:ind w:right="40"/>
              <w:spacing w:after="0"/>
              <w:rPr>
                <w:sz w:val="20"/>
                <w:szCs w:val="20"/>
                <w:color w:val="auto"/>
              </w:rPr>
            </w:pPr>
            <w:r>
              <w:rPr>
                <w:rFonts w:ascii="Arial" w:cs="Arial" w:eastAsia="Arial" w:hAnsi="Arial"/>
                <w:sz w:val="13"/>
                <w:szCs w:val="13"/>
                <w:color w:val="auto"/>
              </w:rPr>
              <w:t>6.9</w:t>
            </w:r>
          </w:p>
        </w:tc>
        <w:tc>
          <w:tcPr>
            <w:tcW w:w="880" w:type="dxa"/>
            <w:vAlign w:val="bottom"/>
          </w:tcPr>
          <w:p>
            <w:pPr>
              <w:jc w:val="right"/>
              <w:ind w:right="40"/>
              <w:spacing w:after="0"/>
              <w:rPr>
                <w:sz w:val="20"/>
                <w:szCs w:val="20"/>
                <w:color w:val="auto"/>
              </w:rPr>
            </w:pPr>
            <w:r>
              <w:rPr>
                <w:rFonts w:ascii="Arial" w:cs="Arial" w:eastAsia="Arial" w:hAnsi="Arial"/>
                <w:sz w:val="13"/>
                <w:szCs w:val="13"/>
                <w:color w:val="auto"/>
              </w:rPr>
              <w:t>13.8</w:t>
            </w:r>
          </w:p>
        </w:tc>
        <w:tc>
          <w:tcPr>
            <w:tcW w:w="820" w:type="dxa"/>
            <w:vAlign w:val="bottom"/>
          </w:tcPr>
          <w:p>
            <w:pPr>
              <w:jc w:val="right"/>
              <w:ind w:right="59"/>
              <w:spacing w:after="0"/>
              <w:rPr>
                <w:sz w:val="20"/>
                <w:szCs w:val="20"/>
                <w:color w:val="auto"/>
              </w:rPr>
            </w:pPr>
            <w:r>
              <w:rPr>
                <w:rFonts w:ascii="Arial" w:cs="Arial" w:eastAsia="Arial" w:hAnsi="Arial"/>
                <w:sz w:val="13"/>
                <w:szCs w:val="13"/>
                <w:color w:val="auto"/>
              </w:rPr>
              <w:t>28.7</w:t>
            </w:r>
          </w:p>
        </w:tc>
        <w:tc>
          <w:tcPr>
            <w:tcW w:w="780" w:type="dxa"/>
            <w:vAlign w:val="bottom"/>
          </w:tcPr>
          <w:p>
            <w:pPr>
              <w:jc w:val="right"/>
              <w:spacing w:after="0"/>
              <w:rPr>
                <w:sz w:val="20"/>
                <w:szCs w:val="20"/>
                <w:color w:val="auto"/>
              </w:rPr>
            </w:pPr>
            <w:r>
              <w:rPr>
                <w:rFonts w:ascii="Arial" w:cs="Arial" w:eastAsia="Arial" w:hAnsi="Arial"/>
                <w:sz w:val="13"/>
                <w:szCs w:val="13"/>
                <w:color w:val="auto"/>
              </w:rPr>
              <w:t>2.6</w:t>
            </w:r>
          </w:p>
        </w:tc>
        <w:tc>
          <w:tcPr>
            <w:tcW w:w="720" w:type="dxa"/>
            <w:vAlign w:val="bottom"/>
          </w:tcPr>
          <w:p>
            <w:pPr>
              <w:jc w:val="right"/>
              <w:spacing w:after="0"/>
              <w:rPr>
                <w:sz w:val="20"/>
                <w:szCs w:val="20"/>
                <w:color w:val="auto"/>
              </w:rPr>
            </w:pPr>
            <w:r>
              <w:rPr>
                <w:rFonts w:ascii="Arial" w:cs="Arial" w:eastAsia="Arial" w:hAnsi="Arial"/>
                <w:sz w:val="13"/>
                <w:szCs w:val="13"/>
                <w:color w:val="auto"/>
              </w:rPr>
              <w:t>13.6</w:t>
            </w:r>
          </w:p>
        </w:tc>
        <w:tc>
          <w:tcPr>
            <w:tcW w:w="720" w:type="dxa"/>
            <w:vAlign w:val="bottom"/>
          </w:tcPr>
          <w:p>
            <w:pPr>
              <w:spacing w:after="0"/>
              <w:rPr>
                <w:sz w:val="13"/>
                <w:szCs w:val="13"/>
                <w:color w:val="auto"/>
              </w:rPr>
            </w:pPr>
          </w:p>
        </w:tc>
        <w:tc>
          <w:tcPr>
            <w:tcW w:w="920" w:type="dxa"/>
            <w:vAlign w:val="bottom"/>
          </w:tcPr>
          <w:p>
            <w:pPr>
              <w:jc w:val="right"/>
              <w:ind w:right="79"/>
              <w:spacing w:after="0"/>
              <w:rPr>
                <w:sz w:val="20"/>
                <w:szCs w:val="20"/>
                <w:color w:val="auto"/>
              </w:rPr>
            </w:pPr>
            <w:r>
              <w:rPr>
                <w:rFonts w:ascii="Arial" w:cs="Arial" w:eastAsia="Arial" w:hAnsi="Arial"/>
                <w:sz w:val="13"/>
                <w:szCs w:val="13"/>
                <w:color w:val="auto"/>
              </w:rPr>
              <w:t>6.9</w:t>
            </w:r>
          </w:p>
        </w:tc>
        <w:tc>
          <w:tcPr>
            <w:tcW w:w="940" w:type="dxa"/>
            <w:vAlign w:val="bottom"/>
          </w:tcPr>
          <w:p>
            <w:pPr>
              <w:jc w:val="right"/>
              <w:ind w:right="40"/>
              <w:spacing w:after="0"/>
              <w:rPr>
                <w:sz w:val="20"/>
                <w:szCs w:val="20"/>
                <w:color w:val="auto"/>
              </w:rPr>
            </w:pPr>
            <w:r>
              <w:rPr>
                <w:rFonts w:ascii="Arial" w:cs="Arial" w:eastAsia="Arial" w:hAnsi="Arial"/>
                <w:sz w:val="13"/>
                <w:szCs w:val="13"/>
                <w:color w:val="auto"/>
              </w:rPr>
              <w:t>13.7</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163.7</w:t>
            </w:r>
          </w:p>
        </w:tc>
        <w:tc>
          <w:tcPr>
            <w:tcW w:w="0" w:type="dxa"/>
            <w:vAlign w:val="bottom"/>
          </w:tcPr>
          <w:p>
            <w:pPr>
              <w:spacing w:after="0"/>
              <w:rPr>
                <w:sz w:val="1"/>
                <w:szCs w:val="1"/>
                <w:color w:val="auto"/>
              </w:rPr>
            </w:pPr>
          </w:p>
        </w:tc>
      </w:tr>
      <w:tr>
        <w:trPr>
          <w:trHeight w:val="180"/>
        </w:trPr>
        <w:tc>
          <w:tcPr>
            <w:tcW w:w="1940" w:type="dxa"/>
            <w:vAlign w:val="bottom"/>
            <w:gridSpan w:val="2"/>
          </w:tcPr>
          <w:p>
            <w:pPr>
              <w:ind w:left="20"/>
              <w:spacing w:after="0"/>
              <w:rPr>
                <w:sz w:val="20"/>
                <w:szCs w:val="20"/>
                <w:color w:val="auto"/>
              </w:rPr>
            </w:pPr>
            <w:r>
              <w:rPr>
                <w:rFonts w:ascii="Arial" w:cs="Arial" w:eastAsia="Arial" w:hAnsi="Arial"/>
                <w:sz w:val="13"/>
                <w:szCs w:val="13"/>
                <w:color w:val="auto"/>
              </w:rPr>
              <w:t>Gain on acquisition of Caisson</w:t>
            </w: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940" w:type="dxa"/>
            <w:vAlign w:val="bottom"/>
            <w:gridSpan w:val="2"/>
          </w:tcPr>
          <w:p>
            <w:pPr>
              <w:ind w:left="20"/>
              <w:spacing w:after="0"/>
              <w:rPr>
                <w:sz w:val="20"/>
                <w:szCs w:val="20"/>
                <w:color w:val="auto"/>
              </w:rPr>
            </w:pPr>
            <w:r>
              <w:rPr>
                <w:rFonts w:ascii="Arial" w:cs="Arial" w:eastAsia="Arial" w:hAnsi="Arial"/>
                <w:sz w:val="13"/>
                <w:szCs w:val="13"/>
                <w:color w:val="auto"/>
              </w:rPr>
              <w:t>Interventional, LLC</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39.4</w:t>
            </w: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(39.4)</w:t>
            </w: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1940" w:type="dxa"/>
            <w:vAlign w:val="bottom"/>
            <w:gridSpan w:val="2"/>
          </w:tcPr>
          <w:p>
            <w:pPr>
              <w:ind w:left="20"/>
              <w:spacing w:after="0"/>
              <w:rPr>
                <w:sz w:val="20"/>
                <w:szCs w:val="20"/>
                <w:color w:val="auto"/>
              </w:rPr>
            </w:pPr>
            <w:r>
              <w:rPr>
                <w:rFonts w:ascii="Arial" w:cs="Arial" w:eastAsia="Arial" w:hAnsi="Arial"/>
                <w:sz w:val="13"/>
                <w:szCs w:val="13"/>
                <w:color w:val="auto"/>
              </w:rPr>
              <w:t>Foreign exchange and other</w:t>
            </w: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940" w:type="dxa"/>
            <w:vAlign w:val="bottom"/>
            <w:gridSpan w:val="2"/>
          </w:tcPr>
          <w:p>
            <w:pPr>
              <w:ind w:left="20"/>
              <w:spacing w:after="0"/>
              <w:rPr>
                <w:sz w:val="20"/>
                <w:szCs w:val="20"/>
                <w:color w:val="auto"/>
              </w:rPr>
            </w:pPr>
            <w:r>
              <w:rPr>
                <w:rFonts w:ascii="Arial" w:cs="Arial" w:eastAsia="Arial" w:hAnsi="Arial"/>
                <w:sz w:val="13"/>
                <w:szCs w:val="13"/>
                <w:color w:val="auto"/>
              </w:rPr>
              <w:t>gains (losses)</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0.9</w:t>
            </w: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jc w:val="right"/>
              <w:ind w:right="19"/>
              <w:spacing w:after="0"/>
              <w:rPr>
                <w:sz w:val="20"/>
                <w:szCs w:val="20"/>
                <w:color w:val="auto"/>
              </w:rPr>
            </w:pPr>
            <w:r>
              <w:rPr>
                <w:rFonts w:ascii="Arial" w:cs="Arial" w:eastAsia="Arial" w:hAnsi="Arial"/>
                <w:sz w:val="13"/>
                <w:szCs w:val="13"/>
                <w:color w:val="auto"/>
              </w:rPr>
              <w:t>(3.2)</w:t>
            </w: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238"/>
        </w:trPr>
        <w:tc>
          <w:tcPr>
            <w:tcW w:w="1940" w:type="dxa"/>
            <w:vAlign w:val="bottom"/>
            <w:gridSpan w:val="2"/>
          </w:tcPr>
          <w:p>
            <w:pPr>
              <w:ind w:left="20"/>
              <w:spacing w:after="0"/>
              <w:rPr>
                <w:sz w:val="20"/>
                <w:szCs w:val="20"/>
                <w:color w:val="auto"/>
              </w:rPr>
            </w:pPr>
            <w:r>
              <w:rPr>
                <w:rFonts w:ascii="Arial" w:cs="Arial" w:eastAsia="Arial" w:hAnsi="Arial"/>
                <w:sz w:val="13"/>
                <w:szCs w:val="13"/>
                <w:color w:val="auto"/>
              </w:rPr>
              <w:t>Income tax expense</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10.8</w:t>
            </w:r>
          </w:p>
        </w:tc>
        <w:tc>
          <w:tcPr>
            <w:tcW w:w="720" w:type="dxa"/>
            <w:vAlign w:val="bottom"/>
          </w:tcPr>
          <w:p>
            <w:pPr>
              <w:jc w:val="right"/>
              <w:ind w:right="40"/>
              <w:spacing w:after="0"/>
              <w:rPr>
                <w:sz w:val="20"/>
                <w:szCs w:val="20"/>
                <w:color w:val="auto"/>
              </w:rPr>
            </w:pPr>
            <w:r>
              <w:rPr>
                <w:rFonts w:ascii="Arial" w:cs="Arial" w:eastAsia="Arial" w:hAnsi="Arial"/>
                <w:sz w:val="13"/>
                <w:szCs w:val="13"/>
                <w:color w:val="auto"/>
              </w:rPr>
              <w:t>1.2</w:t>
            </w:r>
          </w:p>
        </w:tc>
        <w:tc>
          <w:tcPr>
            <w:tcW w:w="880" w:type="dxa"/>
            <w:vAlign w:val="bottom"/>
          </w:tcPr>
          <w:p>
            <w:pPr>
              <w:jc w:val="right"/>
              <w:ind w:right="40"/>
              <w:spacing w:after="0"/>
              <w:rPr>
                <w:sz w:val="20"/>
                <w:szCs w:val="20"/>
                <w:color w:val="auto"/>
              </w:rPr>
            </w:pPr>
            <w:r>
              <w:rPr>
                <w:rFonts w:ascii="Arial" w:cs="Arial" w:eastAsia="Arial" w:hAnsi="Arial"/>
                <w:sz w:val="13"/>
                <w:szCs w:val="13"/>
                <w:color w:val="auto"/>
              </w:rPr>
              <w:t>2.2</w:t>
            </w:r>
          </w:p>
        </w:tc>
        <w:tc>
          <w:tcPr>
            <w:tcW w:w="820" w:type="dxa"/>
            <w:vAlign w:val="bottom"/>
          </w:tcPr>
          <w:p>
            <w:pPr>
              <w:jc w:val="right"/>
              <w:ind w:right="59"/>
              <w:spacing w:after="0"/>
              <w:rPr>
                <w:sz w:val="20"/>
                <w:szCs w:val="20"/>
                <w:color w:val="auto"/>
              </w:rPr>
            </w:pPr>
            <w:r>
              <w:rPr>
                <w:rFonts w:ascii="Arial" w:cs="Arial" w:eastAsia="Arial" w:hAnsi="Arial"/>
                <w:sz w:val="13"/>
                <w:szCs w:val="13"/>
                <w:color w:val="auto"/>
              </w:rPr>
              <w:t>7.1</w:t>
            </w:r>
          </w:p>
        </w:tc>
        <w:tc>
          <w:tcPr>
            <w:tcW w:w="780" w:type="dxa"/>
            <w:vAlign w:val="bottom"/>
          </w:tcPr>
          <w:p>
            <w:pPr>
              <w:jc w:val="right"/>
              <w:spacing w:after="0"/>
              <w:rPr>
                <w:sz w:val="20"/>
                <w:szCs w:val="20"/>
                <w:color w:val="auto"/>
              </w:rPr>
            </w:pPr>
            <w:r>
              <w:rPr>
                <w:rFonts w:ascii="Arial" w:cs="Arial" w:eastAsia="Arial" w:hAnsi="Arial"/>
                <w:sz w:val="13"/>
                <w:szCs w:val="13"/>
                <w:color w:val="auto"/>
              </w:rPr>
              <w:t>0.8</w:t>
            </w:r>
          </w:p>
        </w:tc>
        <w:tc>
          <w:tcPr>
            <w:tcW w:w="720" w:type="dxa"/>
            <w:vAlign w:val="bottom"/>
          </w:tcPr>
          <w:p>
            <w:pPr>
              <w:jc w:val="right"/>
              <w:spacing w:after="0"/>
              <w:rPr>
                <w:sz w:val="20"/>
                <w:szCs w:val="20"/>
                <w:color w:val="auto"/>
              </w:rPr>
            </w:pPr>
            <w:r>
              <w:rPr>
                <w:rFonts w:ascii="Arial" w:cs="Arial" w:eastAsia="Arial" w:hAnsi="Arial"/>
                <w:sz w:val="13"/>
                <w:szCs w:val="13"/>
                <w:color w:val="auto"/>
              </w:rPr>
              <w:t>3.3</w:t>
            </w:r>
          </w:p>
        </w:tc>
        <w:tc>
          <w:tcPr>
            <w:tcW w:w="72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3"/>
                <w:szCs w:val="13"/>
                <w:color w:val="auto"/>
              </w:rPr>
              <w:t>3.3</w:t>
            </w:r>
          </w:p>
        </w:tc>
        <w:tc>
          <w:tcPr>
            <w:tcW w:w="940" w:type="dxa"/>
            <w:vAlign w:val="bottom"/>
          </w:tcPr>
          <w:p>
            <w:pPr>
              <w:jc w:val="right"/>
              <w:ind w:right="40"/>
              <w:spacing w:after="0"/>
              <w:rPr>
                <w:sz w:val="20"/>
                <w:szCs w:val="20"/>
                <w:color w:val="auto"/>
              </w:rPr>
            </w:pPr>
            <w:r>
              <w:rPr>
                <w:rFonts w:ascii="Arial" w:cs="Arial" w:eastAsia="Arial" w:hAnsi="Arial"/>
                <w:sz w:val="13"/>
                <w:szCs w:val="13"/>
                <w:color w:val="auto"/>
              </w:rPr>
              <w:t>3.6</w:t>
            </w:r>
          </w:p>
        </w:tc>
        <w:tc>
          <w:tcPr>
            <w:tcW w:w="800" w:type="dxa"/>
            <w:vAlign w:val="bottom"/>
          </w:tcPr>
          <w:p>
            <w:pPr>
              <w:jc w:val="right"/>
              <w:ind w:right="21"/>
              <w:spacing w:after="0"/>
              <w:rPr>
                <w:sz w:val="20"/>
                <w:szCs w:val="20"/>
                <w:color w:val="auto"/>
              </w:rPr>
            </w:pPr>
            <w:r>
              <w:rPr>
                <w:rFonts w:ascii="Arial" w:cs="Arial" w:eastAsia="Arial" w:hAnsi="Arial"/>
                <w:sz w:val="13"/>
                <w:szCs w:val="13"/>
                <w:color w:val="auto"/>
              </w:rPr>
              <w:t>4.5</w:t>
            </w:r>
          </w:p>
        </w:tc>
        <w:tc>
          <w:tcPr>
            <w:tcW w:w="760" w:type="dxa"/>
            <w:vAlign w:val="bottom"/>
          </w:tcPr>
          <w:p>
            <w:pPr>
              <w:jc w:val="right"/>
              <w:spacing w:after="0"/>
              <w:rPr>
                <w:sz w:val="20"/>
                <w:szCs w:val="20"/>
                <w:color w:val="auto"/>
              </w:rPr>
            </w:pPr>
            <w:r>
              <w:rPr>
                <w:rFonts w:ascii="Arial" w:cs="Arial" w:eastAsia="Arial" w:hAnsi="Arial"/>
                <w:sz w:val="13"/>
                <w:szCs w:val="13"/>
                <w:color w:val="auto"/>
              </w:rPr>
              <w:t>0.8</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37.6</w:t>
            </w:r>
          </w:p>
        </w:tc>
        <w:tc>
          <w:tcPr>
            <w:tcW w:w="0" w:type="dxa"/>
            <w:vAlign w:val="bottom"/>
          </w:tcPr>
          <w:p>
            <w:pPr>
              <w:spacing w:after="0"/>
              <w:rPr>
                <w:sz w:val="1"/>
                <w:szCs w:val="1"/>
                <w:color w:val="auto"/>
              </w:rPr>
            </w:pPr>
          </w:p>
        </w:tc>
      </w:tr>
      <w:tr>
        <w:trPr>
          <w:trHeight w:val="180"/>
        </w:trPr>
        <w:tc>
          <w:tcPr>
            <w:tcW w:w="1940" w:type="dxa"/>
            <w:vAlign w:val="bottom"/>
            <w:gridSpan w:val="2"/>
          </w:tcPr>
          <w:p>
            <w:pPr>
              <w:ind w:left="20"/>
              <w:spacing w:after="0"/>
              <w:rPr>
                <w:sz w:val="20"/>
                <w:szCs w:val="20"/>
                <w:color w:val="auto"/>
              </w:rPr>
            </w:pPr>
            <w:r>
              <w:rPr>
                <w:rFonts w:ascii="Arial" w:cs="Arial" w:eastAsia="Arial" w:hAnsi="Arial"/>
                <w:sz w:val="13"/>
                <w:szCs w:val="13"/>
                <w:color w:val="auto"/>
              </w:rPr>
              <w:t>Losses from equity method</w:t>
            </w: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940" w:type="dxa"/>
            <w:vAlign w:val="bottom"/>
            <w:gridSpan w:val="2"/>
          </w:tcPr>
          <w:p>
            <w:pPr>
              <w:ind w:left="20"/>
              <w:spacing w:after="0"/>
              <w:rPr>
                <w:sz w:val="20"/>
                <w:szCs w:val="20"/>
                <w:color w:val="auto"/>
              </w:rPr>
            </w:pPr>
            <w:r>
              <w:rPr>
                <w:rFonts w:ascii="Arial" w:cs="Arial" w:eastAsia="Arial" w:hAnsi="Arial"/>
                <w:sz w:val="13"/>
                <w:szCs w:val="13"/>
                <w:color w:val="auto"/>
              </w:rPr>
              <w:t>investments</w:t>
            </w:r>
          </w:p>
        </w:tc>
        <w:tc>
          <w:tcPr>
            <w:tcW w:w="680" w:type="dxa"/>
            <w:vAlign w:val="bottom"/>
          </w:tcPr>
          <w:p>
            <w:pPr>
              <w:jc w:val="right"/>
              <w:spacing w:after="0"/>
              <w:rPr>
                <w:sz w:val="20"/>
                <w:szCs w:val="20"/>
                <w:color w:val="auto"/>
              </w:rPr>
            </w:pPr>
            <w:r>
              <w:rPr>
                <w:rFonts w:ascii="Arial" w:cs="Arial" w:eastAsia="Arial" w:hAnsi="Arial"/>
                <w:sz w:val="13"/>
                <w:szCs w:val="13"/>
                <w:color w:val="auto"/>
              </w:rPr>
              <w:t>(16.5)</w:t>
            </w: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jc w:val="right"/>
              <w:ind w:right="59"/>
              <w:spacing w:after="0"/>
              <w:rPr>
                <w:sz w:val="20"/>
                <w:szCs w:val="20"/>
                <w:color w:val="auto"/>
              </w:rPr>
            </w:pPr>
            <w:r>
              <w:rPr>
                <w:rFonts w:ascii="Arial" w:cs="Arial" w:eastAsia="Arial" w:hAnsi="Arial"/>
                <w:sz w:val="13"/>
                <w:szCs w:val="13"/>
                <w:color w:val="auto"/>
              </w:rPr>
              <w:t>0.1</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13.0</w:t>
            </w: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80"/>
        </w:trPr>
        <w:tc>
          <w:tcPr>
            <w:tcW w:w="1940" w:type="dxa"/>
            <w:vAlign w:val="bottom"/>
            <w:gridSpan w:val="2"/>
          </w:tcPr>
          <w:p>
            <w:pPr>
              <w:ind w:left="20"/>
              <w:spacing w:after="0"/>
              <w:rPr>
                <w:sz w:val="20"/>
                <w:szCs w:val="20"/>
                <w:color w:val="auto"/>
              </w:rPr>
            </w:pPr>
            <w:r>
              <w:rPr>
                <w:rFonts w:ascii="Arial" w:cs="Arial" w:eastAsia="Arial" w:hAnsi="Arial"/>
                <w:sz w:val="13"/>
                <w:szCs w:val="13"/>
                <w:color w:val="auto"/>
              </w:rPr>
              <w:t>Net income from continuing</w:t>
            </w: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940" w:type="dxa"/>
            <w:vAlign w:val="bottom"/>
            <w:gridSpan w:val="2"/>
          </w:tcPr>
          <w:p>
            <w:pPr>
              <w:ind w:left="20"/>
              <w:spacing w:after="0"/>
              <w:rPr>
                <w:sz w:val="20"/>
                <w:szCs w:val="20"/>
                <w:color w:val="auto"/>
              </w:rPr>
            </w:pPr>
            <w:r>
              <w:rPr>
                <w:rFonts w:ascii="Arial" w:cs="Arial" w:eastAsia="Arial" w:hAnsi="Arial"/>
                <w:sz w:val="13"/>
                <w:szCs w:val="13"/>
                <w:color w:val="auto"/>
              </w:rPr>
              <w:t>operations</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85.9</w:t>
            </w:r>
          </w:p>
        </w:tc>
        <w:tc>
          <w:tcPr>
            <w:tcW w:w="720" w:type="dxa"/>
            <w:vAlign w:val="bottom"/>
          </w:tcPr>
          <w:p>
            <w:pPr>
              <w:jc w:val="right"/>
              <w:ind w:right="40"/>
              <w:spacing w:after="0"/>
              <w:rPr>
                <w:sz w:val="20"/>
                <w:szCs w:val="20"/>
                <w:color w:val="auto"/>
              </w:rPr>
            </w:pPr>
            <w:r>
              <w:rPr>
                <w:rFonts w:ascii="Arial" w:cs="Arial" w:eastAsia="Arial" w:hAnsi="Arial"/>
                <w:sz w:val="13"/>
                <w:szCs w:val="13"/>
                <w:color w:val="auto"/>
              </w:rPr>
              <w:t>5.7</w:t>
            </w:r>
          </w:p>
        </w:tc>
        <w:tc>
          <w:tcPr>
            <w:tcW w:w="880" w:type="dxa"/>
            <w:vAlign w:val="bottom"/>
          </w:tcPr>
          <w:p>
            <w:pPr>
              <w:jc w:val="right"/>
              <w:ind w:right="40"/>
              <w:spacing w:after="0"/>
              <w:rPr>
                <w:sz w:val="20"/>
                <w:szCs w:val="20"/>
                <w:color w:val="auto"/>
              </w:rPr>
            </w:pPr>
            <w:r>
              <w:rPr>
                <w:rFonts w:ascii="Arial" w:cs="Arial" w:eastAsia="Arial" w:hAnsi="Arial"/>
                <w:sz w:val="13"/>
                <w:szCs w:val="13"/>
                <w:color w:val="auto"/>
              </w:rPr>
              <w:t>11.6</w:t>
            </w:r>
          </w:p>
        </w:tc>
        <w:tc>
          <w:tcPr>
            <w:tcW w:w="820" w:type="dxa"/>
            <w:vAlign w:val="bottom"/>
          </w:tcPr>
          <w:p>
            <w:pPr>
              <w:jc w:val="right"/>
              <w:ind w:right="59"/>
              <w:spacing w:after="0"/>
              <w:rPr>
                <w:sz w:val="20"/>
                <w:szCs w:val="20"/>
                <w:color w:val="auto"/>
              </w:rPr>
            </w:pPr>
            <w:r>
              <w:rPr>
                <w:rFonts w:ascii="Arial" w:cs="Arial" w:eastAsia="Arial" w:hAnsi="Arial"/>
                <w:sz w:val="13"/>
                <w:szCs w:val="13"/>
                <w:color w:val="auto"/>
              </w:rPr>
              <w:t>21.7</w:t>
            </w:r>
          </w:p>
        </w:tc>
        <w:tc>
          <w:tcPr>
            <w:tcW w:w="780" w:type="dxa"/>
            <w:vAlign w:val="bottom"/>
          </w:tcPr>
          <w:p>
            <w:pPr>
              <w:jc w:val="right"/>
              <w:spacing w:after="0"/>
              <w:rPr>
                <w:sz w:val="20"/>
                <w:szCs w:val="20"/>
                <w:color w:val="auto"/>
              </w:rPr>
            </w:pPr>
            <w:r>
              <w:rPr>
                <w:rFonts w:ascii="Arial" w:cs="Arial" w:eastAsia="Arial" w:hAnsi="Arial"/>
                <w:sz w:val="13"/>
                <w:szCs w:val="13"/>
                <w:color w:val="auto"/>
              </w:rPr>
              <w:t>1.8</w:t>
            </w:r>
          </w:p>
        </w:tc>
        <w:tc>
          <w:tcPr>
            <w:tcW w:w="720" w:type="dxa"/>
            <w:vAlign w:val="bottom"/>
          </w:tcPr>
          <w:p>
            <w:pPr>
              <w:jc w:val="right"/>
              <w:spacing w:after="0"/>
              <w:rPr>
                <w:sz w:val="20"/>
                <w:szCs w:val="20"/>
                <w:color w:val="auto"/>
              </w:rPr>
            </w:pPr>
            <w:r>
              <w:rPr>
                <w:rFonts w:ascii="Arial" w:cs="Arial" w:eastAsia="Arial" w:hAnsi="Arial"/>
                <w:sz w:val="13"/>
                <w:szCs w:val="13"/>
                <w:color w:val="auto"/>
              </w:rPr>
              <w:t>(29.1)</w:t>
            </w:r>
          </w:p>
        </w:tc>
        <w:tc>
          <w:tcPr>
            <w:tcW w:w="720" w:type="dxa"/>
            <w:vAlign w:val="bottom"/>
          </w:tcPr>
          <w:p>
            <w:pPr>
              <w:jc w:val="right"/>
              <w:spacing w:after="0"/>
              <w:rPr>
                <w:sz w:val="20"/>
                <w:szCs w:val="20"/>
                <w:color w:val="auto"/>
              </w:rPr>
            </w:pPr>
            <w:r>
              <w:rPr>
                <w:rFonts w:ascii="Arial" w:cs="Arial" w:eastAsia="Arial" w:hAnsi="Arial"/>
                <w:sz w:val="13"/>
                <w:szCs w:val="13"/>
                <w:color w:val="auto"/>
              </w:rPr>
              <w:t>13.0</w:t>
            </w:r>
          </w:p>
        </w:tc>
        <w:tc>
          <w:tcPr>
            <w:tcW w:w="920" w:type="dxa"/>
            <w:vAlign w:val="bottom"/>
          </w:tcPr>
          <w:p>
            <w:pPr>
              <w:jc w:val="right"/>
              <w:ind w:right="79"/>
              <w:spacing w:after="0"/>
              <w:rPr>
                <w:sz w:val="20"/>
                <w:szCs w:val="20"/>
                <w:color w:val="auto"/>
              </w:rPr>
            </w:pPr>
            <w:r>
              <w:rPr>
                <w:rFonts w:ascii="Arial" w:cs="Arial" w:eastAsia="Arial" w:hAnsi="Arial"/>
                <w:sz w:val="13"/>
                <w:szCs w:val="13"/>
                <w:color w:val="auto"/>
              </w:rPr>
              <w:t>0.5</w:t>
            </w:r>
          </w:p>
        </w:tc>
        <w:tc>
          <w:tcPr>
            <w:tcW w:w="940" w:type="dxa"/>
            <w:vAlign w:val="bottom"/>
          </w:tcPr>
          <w:p>
            <w:pPr>
              <w:jc w:val="right"/>
              <w:ind w:right="40"/>
              <w:spacing w:after="0"/>
              <w:rPr>
                <w:sz w:val="20"/>
                <w:szCs w:val="20"/>
                <w:color w:val="auto"/>
              </w:rPr>
            </w:pPr>
            <w:r>
              <w:rPr>
                <w:rFonts w:ascii="Arial" w:cs="Arial" w:eastAsia="Arial" w:hAnsi="Arial"/>
                <w:sz w:val="13"/>
                <w:szCs w:val="13"/>
                <w:color w:val="auto"/>
              </w:rPr>
              <w:t>10.1</w:t>
            </w:r>
          </w:p>
        </w:tc>
        <w:tc>
          <w:tcPr>
            <w:tcW w:w="800" w:type="dxa"/>
            <w:vAlign w:val="bottom"/>
          </w:tcPr>
          <w:p>
            <w:pPr>
              <w:jc w:val="right"/>
              <w:spacing w:after="0"/>
              <w:rPr>
                <w:sz w:val="20"/>
                <w:szCs w:val="20"/>
                <w:color w:val="auto"/>
              </w:rPr>
            </w:pPr>
            <w:r>
              <w:rPr>
                <w:rFonts w:ascii="Arial" w:cs="Arial" w:eastAsia="Arial" w:hAnsi="Arial"/>
                <w:sz w:val="13"/>
                <w:szCs w:val="13"/>
                <w:color w:val="auto"/>
              </w:rPr>
              <w:t>(4.5)</w:t>
            </w:r>
          </w:p>
        </w:tc>
        <w:tc>
          <w:tcPr>
            <w:tcW w:w="760" w:type="dxa"/>
            <w:vAlign w:val="bottom"/>
          </w:tcPr>
          <w:p>
            <w:pPr>
              <w:jc w:val="right"/>
              <w:spacing w:after="0"/>
              <w:rPr>
                <w:sz w:val="20"/>
                <w:szCs w:val="20"/>
                <w:color w:val="auto"/>
              </w:rPr>
            </w:pPr>
            <w:r>
              <w:rPr>
                <w:rFonts w:ascii="Arial" w:cs="Arial" w:eastAsia="Arial" w:hAnsi="Arial"/>
                <w:sz w:val="13"/>
                <w:szCs w:val="13"/>
                <w:color w:val="auto"/>
              </w:rPr>
              <w:t>0.8</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117.4</w:t>
            </w:r>
          </w:p>
        </w:tc>
        <w:tc>
          <w:tcPr>
            <w:tcW w:w="0" w:type="dxa"/>
            <w:vAlign w:val="bottom"/>
          </w:tcPr>
          <w:p>
            <w:pPr>
              <w:spacing w:after="0"/>
              <w:rPr>
                <w:sz w:val="1"/>
                <w:szCs w:val="1"/>
                <w:color w:val="auto"/>
              </w:rPr>
            </w:pPr>
          </w:p>
        </w:tc>
      </w:tr>
      <w:tr>
        <w:trPr>
          <w:trHeight w:val="180"/>
        </w:trPr>
        <w:tc>
          <w:tcPr>
            <w:tcW w:w="1940" w:type="dxa"/>
            <w:vAlign w:val="bottom"/>
            <w:gridSpan w:val="2"/>
          </w:tcPr>
          <w:p>
            <w:pPr>
              <w:ind w:left="20"/>
              <w:spacing w:after="0"/>
              <w:rPr>
                <w:sz w:val="20"/>
                <w:szCs w:val="20"/>
                <w:color w:val="auto"/>
              </w:rPr>
            </w:pPr>
            <w:r>
              <w:rPr>
                <w:rFonts w:ascii="Arial" w:cs="Arial" w:eastAsia="Arial" w:hAnsi="Arial"/>
                <w:sz w:val="13"/>
                <w:szCs w:val="13"/>
                <w:color w:val="auto"/>
              </w:rPr>
              <w:t>Diluted EPS - Continuing</w:t>
            </w: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940" w:type="dxa"/>
            <w:vAlign w:val="bottom"/>
            <w:gridSpan w:val="2"/>
          </w:tcPr>
          <w:p>
            <w:pPr>
              <w:ind w:left="20"/>
              <w:spacing w:after="0"/>
              <w:rPr>
                <w:sz w:val="20"/>
                <w:szCs w:val="20"/>
                <w:color w:val="auto"/>
              </w:rPr>
            </w:pPr>
            <w:r>
              <w:rPr>
                <w:rFonts w:ascii="Arial" w:cs="Arial" w:eastAsia="Arial" w:hAnsi="Arial"/>
                <w:sz w:val="13"/>
                <w:szCs w:val="13"/>
                <w:color w:val="auto"/>
              </w:rPr>
              <w:t>Operations</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$1.78</w:t>
            </w:r>
          </w:p>
        </w:tc>
        <w:tc>
          <w:tcPr>
            <w:tcW w:w="720" w:type="dxa"/>
            <w:vAlign w:val="bottom"/>
          </w:tcPr>
          <w:p>
            <w:pPr>
              <w:jc w:val="right"/>
              <w:ind w:right="40"/>
              <w:spacing w:after="0"/>
              <w:rPr>
                <w:sz w:val="20"/>
                <w:szCs w:val="20"/>
                <w:color w:val="auto"/>
              </w:rPr>
            </w:pPr>
            <w:r>
              <w:rPr>
                <w:rFonts w:ascii="Arial" w:cs="Arial" w:eastAsia="Arial" w:hAnsi="Arial"/>
                <w:sz w:val="13"/>
                <w:szCs w:val="13"/>
                <w:color w:val="auto"/>
              </w:rPr>
              <w:t>$0.12</w:t>
            </w:r>
          </w:p>
        </w:tc>
        <w:tc>
          <w:tcPr>
            <w:tcW w:w="880" w:type="dxa"/>
            <w:vAlign w:val="bottom"/>
          </w:tcPr>
          <w:p>
            <w:pPr>
              <w:jc w:val="right"/>
              <w:ind w:right="40"/>
              <w:spacing w:after="0"/>
              <w:rPr>
                <w:sz w:val="20"/>
                <w:szCs w:val="20"/>
                <w:color w:val="auto"/>
              </w:rPr>
            </w:pPr>
            <w:r>
              <w:rPr>
                <w:rFonts w:ascii="Arial" w:cs="Arial" w:eastAsia="Arial" w:hAnsi="Arial"/>
                <w:sz w:val="13"/>
                <w:szCs w:val="13"/>
                <w:color w:val="auto"/>
              </w:rPr>
              <w:t>$0.24</w:t>
            </w:r>
          </w:p>
        </w:tc>
        <w:tc>
          <w:tcPr>
            <w:tcW w:w="820" w:type="dxa"/>
            <w:vAlign w:val="bottom"/>
          </w:tcPr>
          <w:p>
            <w:pPr>
              <w:jc w:val="right"/>
              <w:ind w:right="59"/>
              <w:spacing w:after="0"/>
              <w:rPr>
                <w:sz w:val="20"/>
                <w:szCs w:val="20"/>
                <w:color w:val="auto"/>
              </w:rPr>
            </w:pPr>
            <w:r>
              <w:rPr>
                <w:rFonts w:ascii="Arial" w:cs="Arial" w:eastAsia="Arial" w:hAnsi="Arial"/>
                <w:sz w:val="13"/>
                <w:szCs w:val="13"/>
                <w:color w:val="auto"/>
              </w:rPr>
              <w:t>$0.45</w:t>
            </w:r>
          </w:p>
        </w:tc>
        <w:tc>
          <w:tcPr>
            <w:tcW w:w="780" w:type="dxa"/>
            <w:vAlign w:val="bottom"/>
          </w:tcPr>
          <w:p>
            <w:pPr>
              <w:jc w:val="right"/>
              <w:spacing w:after="0"/>
              <w:rPr>
                <w:sz w:val="20"/>
                <w:szCs w:val="20"/>
                <w:color w:val="auto"/>
              </w:rPr>
            </w:pPr>
            <w:r>
              <w:rPr>
                <w:rFonts w:ascii="Arial" w:cs="Arial" w:eastAsia="Arial" w:hAnsi="Arial"/>
                <w:sz w:val="13"/>
                <w:szCs w:val="13"/>
                <w:color w:val="auto"/>
              </w:rPr>
              <w:t>$0.04</w:t>
            </w:r>
          </w:p>
        </w:tc>
        <w:tc>
          <w:tcPr>
            <w:tcW w:w="720" w:type="dxa"/>
            <w:vAlign w:val="bottom"/>
          </w:tcPr>
          <w:p>
            <w:pPr>
              <w:jc w:val="right"/>
              <w:spacing w:after="0"/>
              <w:rPr>
                <w:sz w:val="20"/>
                <w:szCs w:val="20"/>
                <w:color w:val="auto"/>
              </w:rPr>
            </w:pPr>
            <w:r>
              <w:rPr>
                <w:rFonts w:ascii="Arial" w:cs="Arial" w:eastAsia="Arial" w:hAnsi="Arial"/>
                <w:sz w:val="13"/>
                <w:szCs w:val="13"/>
                <w:color w:val="auto"/>
              </w:rPr>
              <w:t>($0.60)</w:t>
            </w:r>
          </w:p>
        </w:tc>
        <w:tc>
          <w:tcPr>
            <w:tcW w:w="720" w:type="dxa"/>
            <w:vAlign w:val="bottom"/>
          </w:tcPr>
          <w:p>
            <w:pPr>
              <w:jc w:val="right"/>
              <w:spacing w:after="0"/>
              <w:rPr>
                <w:sz w:val="20"/>
                <w:szCs w:val="20"/>
                <w:color w:val="auto"/>
              </w:rPr>
            </w:pPr>
            <w:r>
              <w:rPr>
                <w:rFonts w:ascii="Arial" w:cs="Arial" w:eastAsia="Arial" w:hAnsi="Arial"/>
                <w:sz w:val="13"/>
                <w:szCs w:val="13"/>
                <w:color w:val="auto"/>
              </w:rPr>
              <w:t>$0.27</w:t>
            </w:r>
          </w:p>
        </w:tc>
        <w:tc>
          <w:tcPr>
            <w:tcW w:w="920" w:type="dxa"/>
            <w:vAlign w:val="bottom"/>
          </w:tcPr>
          <w:p>
            <w:pPr>
              <w:jc w:val="right"/>
              <w:ind w:right="79"/>
              <w:spacing w:after="0"/>
              <w:rPr>
                <w:sz w:val="20"/>
                <w:szCs w:val="20"/>
                <w:color w:val="auto"/>
              </w:rPr>
            </w:pPr>
            <w:r>
              <w:rPr>
                <w:rFonts w:ascii="Arial" w:cs="Arial" w:eastAsia="Arial" w:hAnsi="Arial"/>
                <w:sz w:val="13"/>
                <w:szCs w:val="13"/>
                <w:color w:val="auto"/>
              </w:rPr>
              <w:t>$0.01</w:t>
            </w:r>
          </w:p>
        </w:tc>
        <w:tc>
          <w:tcPr>
            <w:tcW w:w="940" w:type="dxa"/>
            <w:vAlign w:val="bottom"/>
          </w:tcPr>
          <w:p>
            <w:pPr>
              <w:jc w:val="right"/>
              <w:ind w:right="40"/>
              <w:spacing w:after="0"/>
              <w:rPr>
                <w:sz w:val="20"/>
                <w:szCs w:val="20"/>
                <w:color w:val="auto"/>
              </w:rPr>
            </w:pPr>
            <w:r>
              <w:rPr>
                <w:rFonts w:ascii="Arial" w:cs="Arial" w:eastAsia="Arial" w:hAnsi="Arial"/>
                <w:sz w:val="13"/>
                <w:szCs w:val="13"/>
                <w:color w:val="auto"/>
              </w:rPr>
              <w:t>$0.21</w:t>
            </w:r>
          </w:p>
        </w:tc>
        <w:tc>
          <w:tcPr>
            <w:tcW w:w="800" w:type="dxa"/>
            <w:vAlign w:val="bottom"/>
          </w:tcPr>
          <w:p>
            <w:pPr>
              <w:jc w:val="right"/>
              <w:spacing w:after="0"/>
              <w:rPr>
                <w:sz w:val="20"/>
                <w:szCs w:val="20"/>
                <w:color w:val="auto"/>
              </w:rPr>
            </w:pPr>
            <w:r>
              <w:rPr>
                <w:rFonts w:ascii="Arial" w:cs="Arial" w:eastAsia="Arial" w:hAnsi="Arial"/>
                <w:sz w:val="13"/>
                <w:szCs w:val="13"/>
                <w:color w:val="auto"/>
              </w:rPr>
              <w:t>($0.09)</w:t>
            </w:r>
          </w:p>
        </w:tc>
        <w:tc>
          <w:tcPr>
            <w:tcW w:w="760" w:type="dxa"/>
            <w:vAlign w:val="bottom"/>
          </w:tcPr>
          <w:p>
            <w:pPr>
              <w:jc w:val="right"/>
              <w:spacing w:after="0"/>
              <w:rPr>
                <w:sz w:val="20"/>
                <w:szCs w:val="20"/>
                <w:color w:val="auto"/>
              </w:rPr>
            </w:pPr>
            <w:r>
              <w:rPr>
                <w:rFonts w:ascii="Arial" w:cs="Arial" w:eastAsia="Arial" w:hAnsi="Arial"/>
                <w:sz w:val="13"/>
                <w:szCs w:val="13"/>
                <w:color w:val="auto"/>
              </w:rPr>
              <w:t>$0.02</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$2.43</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GAAP results for the nine months ended September 30, 2017 include:</w:t>
      </w:r>
    </w:p>
    <w:p>
      <w:pPr>
        <w:spacing w:after="0" w:line="57" w:lineRule="exact"/>
        <w:rPr>
          <w:sz w:val="20"/>
          <w:szCs w:val="20"/>
          <w:color w:val="auto"/>
        </w:rPr>
      </w:pPr>
    </w:p>
    <w:p>
      <w:pPr>
        <w:ind w:left="381" w:hanging="381"/>
        <w:spacing w:after="0"/>
        <w:tabs>
          <w:tab w:leader="none" w:pos="381" w:val="left"/>
        </w:tabs>
        <w:numPr>
          <w:ilvl w:val="0"/>
          <w:numId w:val="12"/>
        </w:numPr>
        <w:rPr>
          <w:rFonts w:ascii="Arial" w:cs="Arial" w:eastAsia="Arial" w:hAnsi="Arial"/>
          <w:sz w:val="13"/>
          <w:szCs w:val="13"/>
          <w:color w:val="auto"/>
        </w:rPr>
      </w:pPr>
      <w:r>
        <w:rPr>
          <w:rFonts w:ascii="Arial" w:cs="Arial" w:eastAsia="Arial" w:hAnsi="Arial"/>
          <w:sz w:val="13"/>
          <w:szCs w:val="13"/>
          <w:color w:val="auto"/>
        </w:rPr>
        <w:t>Merger and integration expenses related to our legacy companies</w:t>
      </w:r>
    </w:p>
    <w:p>
      <w:pPr>
        <w:spacing w:after="0" w:line="40" w:lineRule="exact"/>
        <w:rPr>
          <w:rFonts w:ascii="Arial" w:cs="Arial" w:eastAsia="Arial" w:hAnsi="Arial"/>
          <w:sz w:val="13"/>
          <w:szCs w:val="13"/>
          <w:color w:val="auto"/>
        </w:rPr>
      </w:pPr>
    </w:p>
    <w:p>
      <w:pPr>
        <w:ind w:left="381" w:hanging="381"/>
        <w:spacing w:after="0"/>
        <w:tabs>
          <w:tab w:leader="none" w:pos="381"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Restructuring expenses related to organizational changes</w:t>
      </w:r>
    </w:p>
    <w:p>
      <w:pPr>
        <w:spacing w:after="0" w:line="40" w:lineRule="exact"/>
        <w:rPr>
          <w:rFonts w:ascii="Arial" w:cs="Arial" w:eastAsia="Arial" w:hAnsi="Arial"/>
          <w:sz w:val="13"/>
          <w:szCs w:val="13"/>
          <w:color w:val="auto"/>
        </w:rPr>
      </w:pPr>
    </w:p>
    <w:p>
      <w:pPr>
        <w:ind w:left="381" w:hanging="381"/>
        <w:spacing w:after="0"/>
        <w:tabs>
          <w:tab w:leader="none" w:pos="381"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depreciation and amortization associated with purchase price accounting</w:t>
      </w:r>
    </w:p>
    <w:p>
      <w:pPr>
        <w:spacing w:after="0" w:line="40" w:lineRule="exact"/>
        <w:rPr>
          <w:rFonts w:ascii="Arial" w:cs="Arial" w:eastAsia="Arial" w:hAnsi="Arial"/>
          <w:sz w:val="13"/>
          <w:szCs w:val="13"/>
          <w:color w:val="auto"/>
        </w:rPr>
      </w:pPr>
    </w:p>
    <w:p>
      <w:pPr>
        <w:ind w:left="381" w:hanging="381"/>
        <w:spacing w:after="0"/>
        <w:tabs>
          <w:tab w:leader="none" w:pos="381"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Costs related to the 3T Heater-Cooler remediation plan</w:t>
      </w:r>
    </w:p>
    <w:p>
      <w:pPr>
        <w:spacing w:after="0" w:line="40" w:lineRule="exact"/>
        <w:rPr>
          <w:rFonts w:ascii="Arial" w:cs="Arial" w:eastAsia="Arial" w:hAnsi="Arial"/>
          <w:sz w:val="13"/>
          <w:szCs w:val="13"/>
          <w:color w:val="auto"/>
        </w:rPr>
      </w:pPr>
    </w:p>
    <w:p>
      <w:pPr>
        <w:ind w:left="381" w:hanging="381"/>
        <w:spacing w:after="0"/>
        <w:tabs>
          <w:tab w:leader="none" w:pos="381" w:val="left"/>
        </w:tabs>
        <w:numPr>
          <w:ilvl w:val="0"/>
          <w:numId w:val="12"/>
        </w:numPr>
        <w:rPr>
          <w:rFonts w:ascii="Arial" w:cs="Arial" w:eastAsia="Arial" w:hAnsi="Arial"/>
          <w:sz w:val="13"/>
          <w:szCs w:val="13"/>
          <w:color w:val="auto"/>
        </w:rPr>
      </w:pPr>
      <w:r>
        <w:rPr>
          <w:rFonts w:ascii="Arial" w:cs="Arial" w:eastAsia="Arial" w:hAnsi="Arial"/>
          <w:sz w:val="13"/>
          <w:szCs w:val="13"/>
          <w:color w:val="auto"/>
        </w:rPr>
        <w:t>Caisson-related acquisition costs and gain on acquisition</w:t>
      </w:r>
    </w:p>
    <w:p>
      <w:pPr>
        <w:spacing w:after="0" w:line="40" w:lineRule="exact"/>
        <w:rPr>
          <w:rFonts w:ascii="Arial" w:cs="Arial" w:eastAsia="Arial" w:hAnsi="Arial"/>
          <w:sz w:val="13"/>
          <w:szCs w:val="13"/>
          <w:color w:val="auto"/>
        </w:rPr>
      </w:pPr>
    </w:p>
    <w:p>
      <w:pPr>
        <w:ind w:left="381" w:hanging="381"/>
        <w:spacing w:after="0"/>
        <w:tabs>
          <w:tab w:leader="none" w:pos="381" w:val="left"/>
        </w:tabs>
        <w:numPr>
          <w:ilvl w:val="0"/>
          <w:numId w:val="12"/>
        </w:numPr>
        <w:rPr>
          <w:rFonts w:ascii="Arial" w:cs="Arial" w:eastAsia="Arial" w:hAnsi="Arial"/>
          <w:sz w:val="13"/>
          <w:szCs w:val="13"/>
          <w:color w:val="auto"/>
        </w:rPr>
      </w:pPr>
      <w:r>
        <w:rPr>
          <w:rFonts w:ascii="Arial" w:cs="Arial" w:eastAsia="Arial" w:hAnsi="Arial"/>
          <w:sz w:val="13"/>
          <w:szCs w:val="13"/>
          <w:color w:val="auto"/>
        </w:rPr>
        <w:t>Impairment of our investment in Highlife</w:t>
      </w:r>
    </w:p>
    <w:p>
      <w:pPr>
        <w:spacing w:after="0" w:line="40" w:lineRule="exact"/>
        <w:rPr>
          <w:rFonts w:ascii="Arial" w:cs="Arial" w:eastAsia="Arial" w:hAnsi="Arial"/>
          <w:sz w:val="13"/>
          <w:szCs w:val="13"/>
          <w:color w:val="auto"/>
        </w:rPr>
      </w:pPr>
    </w:p>
    <w:p>
      <w:pPr>
        <w:ind w:left="381" w:hanging="381"/>
        <w:spacing w:after="0"/>
        <w:tabs>
          <w:tab w:leader="none" w:pos="381"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Contingent consideration related to acquisitions, legal expenses primarily related to 3T Heater-Cooler defense, gain on sale of Instituto Europeo di Oncologia S.R.L. and other matters</w:t>
      </w:r>
    </w:p>
    <w:p>
      <w:pPr>
        <w:spacing w:after="0" w:line="40" w:lineRule="exact"/>
        <w:rPr>
          <w:rFonts w:ascii="Arial" w:cs="Arial" w:eastAsia="Arial" w:hAnsi="Arial"/>
          <w:sz w:val="13"/>
          <w:szCs w:val="13"/>
          <w:color w:val="auto"/>
        </w:rPr>
      </w:pPr>
    </w:p>
    <w:p>
      <w:pPr>
        <w:ind w:left="381" w:hanging="381"/>
        <w:spacing w:after="0"/>
        <w:tabs>
          <w:tab w:leader="none" w:pos="381" w:val="left"/>
        </w:tabs>
        <w:numPr>
          <w:ilvl w:val="0"/>
          <w:numId w:val="12"/>
        </w:numPr>
        <w:rPr>
          <w:rFonts w:ascii="Arial" w:cs="Arial" w:eastAsia="Arial" w:hAnsi="Arial"/>
          <w:sz w:val="13"/>
          <w:szCs w:val="13"/>
          <w:color w:val="auto"/>
        </w:rPr>
      </w:pPr>
      <w:r>
        <w:rPr>
          <w:rFonts w:ascii="Arial" w:cs="Arial" w:eastAsia="Arial" w:hAnsi="Arial"/>
          <w:sz w:val="13"/>
          <w:szCs w:val="13"/>
          <w:color w:val="auto"/>
        </w:rPr>
        <w:t>Non-cash expenses associated with stock-based compensation costs</w:t>
      </w:r>
    </w:p>
    <w:p>
      <w:pPr>
        <w:spacing w:after="0" w:line="40" w:lineRule="exact"/>
        <w:rPr>
          <w:rFonts w:ascii="Arial" w:cs="Arial" w:eastAsia="Arial" w:hAnsi="Arial"/>
          <w:sz w:val="13"/>
          <w:szCs w:val="13"/>
          <w:color w:val="auto"/>
        </w:rPr>
      </w:pPr>
    </w:p>
    <w:p>
      <w:pPr>
        <w:ind w:left="381" w:hanging="381"/>
        <w:spacing w:after="0"/>
        <w:tabs>
          <w:tab w:leader="none" w:pos="381"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Primarily relates to discrete tax items and the tax impact of intercompany transactions</w:t>
      </w:r>
    </w:p>
    <w:p>
      <w:pPr>
        <w:spacing w:after="0" w:line="40" w:lineRule="exact"/>
        <w:rPr>
          <w:rFonts w:ascii="Arial" w:cs="Arial" w:eastAsia="Arial" w:hAnsi="Arial"/>
          <w:sz w:val="13"/>
          <w:szCs w:val="13"/>
          <w:color w:val="auto"/>
        </w:rPr>
      </w:pPr>
    </w:p>
    <w:p>
      <w:pPr>
        <w:ind w:left="381" w:hanging="381"/>
        <w:spacing w:after="0"/>
        <w:tabs>
          <w:tab w:leader="none" w:pos="381"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Primarily relates to intellectual property migration and other non-recurring impacts to interest expense</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3"/>
          <w:szCs w:val="13"/>
          <w:color w:val="auto"/>
        </w:rPr>
        <w:t>* Numbers may not add precisely due to rounding.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381"/>
          </w:cols>
          <w:pgMar w:left="259" w:top="710" w:right="259" w:bottom="1440" w:gutter="0" w:footer="0" w:header="0"/>
        </w:sectPr>
      </w:pPr>
    </w:p>
    <w:bookmarkStart w:id="20" w:name="page21"/>
    <w:bookmarkEnd w:id="20"/>
    <w:p>
      <w:pPr>
        <w:ind w:left="25"/>
        <w:spacing w:after="0"/>
        <w:rPr>
          <w:sz w:val="20"/>
          <w:szCs w:val="20"/>
          <w:color w:val="auto"/>
        </w:rPr>
      </w:pPr>
      <w:r>
        <w:rPr>
          <w:rFonts w:ascii="Arial" w:cs="Arial" w:eastAsia="Arial" w:hAnsi="Arial"/>
          <w:sz w:val="14"/>
          <w:szCs w:val="14"/>
          <w:b w:val="1"/>
          <w:bCs w:val="1"/>
          <w:color w:val="auto"/>
        </w:rPr>
        <w:t>LIVANOVA PLC AND SUBSIDIARIES</w:t>
      </w:r>
    </w:p>
    <w:p>
      <w:pPr>
        <w:spacing w:after="0" w:line="53" w:lineRule="exact"/>
        <w:rPr>
          <w:sz w:val="20"/>
          <w:szCs w:val="20"/>
          <w:color w:val="auto"/>
        </w:rPr>
      </w:pPr>
    </w:p>
    <w:p>
      <w:pPr>
        <w:ind w:left="25"/>
        <w:spacing w:after="0"/>
        <w:rPr>
          <w:sz w:val="20"/>
          <w:szCs w:val="20"/>
          <w:color w:val="auto"/>
        </w:rPr>
      </w:pPr>
      <w:r>
        <w:rPr>
          <w:rFonts w:ascii="Arial" w:cs="Arial" w:eastAsia="Arial" w:hAnsi="Arial"/>
          <w:sz w:val="14"/>
          <w:szCs w:val="14"/>
          <w:b w:val="1"/>
          <w:bCs w:val="1"/>
          <w:color w:val="auto"/>
        </w:rPr>
        <w:t>CONDENSED CONSOLIDATED BALANCE SHEETS - UNAUDITED</w:t>
      </w:r>
    </w:p>
    <w:p>
      <w:pPr>
        <w:spacing w:after="0" w:line="53" w:lineRule="exact"/>
        <w:rPr>
          <w:sz w:val="20"/>
          <w:szCs w:val="20"/>
          <w:color w:val="auto"/>
        </w:rPr>
      </w:pPr>
    </w:p>
    <w:p>
      <w:pPr>
        <w:ind w:left="25"/>
        <w:spacing w:after="0"/>
        <w:rPr>
          <w:sz w:val="20"/>
          <w:szCs w:val="20"/>
          <w:color w:val="auto"/>
        </w:rPr>
      </w:pPr>
      <w:r>
        <w:rPr>
          <w:rFonts w:ascii="Arial" w:cs="Arial" w:eastAsia="Arial" w:hAnsi="Arial"/>
          <w:sz w:val="14"/>
          <w:szCs w:val="14"/>
          <w:b w:val="1"/>
          <w:bCs w:val="1"/>
          <w:color w:val="auto"/>
        </w:rPr>
        <w:t>(U.S. dollars in millions)</w:t>
      </w:r>
    </w:p>
    <w:p>
      <w:pPr>
        <w:spacing w:after="0" w:line="243" w:lineRule="exact"/>
        <w:rPr>
          <w:sz w:val="20"/>
          <w:szCs w:val="20"/>
          <w:color w:val="auto"/>
        </w:rPr>
      </w:pPr>
    </w:p>
    <w:tbl>
      <w:tblPr>
        <w:tblLayout w:type="fixed"/>
        <w:tblInd w:w="25" w:type="dxa"/>
        <w:tblCellMar>
          <w:top w:w="0" w:type="dxa"/>
          <w:left w:w="0" w:type="dxa"/>
          <w:bottom w:w="0" w:type="dxa"/>
          <w:right w:w="0" w:type="dxa"/>
        </w:tblCellMar>
      </w:tblPr>
      <w:tr>
        <w:trPr>
          <w:trHeight w:val="198"/>
        </w:trPr>
        <w:tc>
          <w:tcPr>
            <w:tcW w:w="6960" w:type="dxa"/>
            <w:vAlign w:val="bottom"/>
          </w:tcPr>
          <w:p>
            <w:pPr>
              <w:spacing w:after="0"/>
              <w:rPr>
                <w:sz w:val="17"/>
                <w:szCs w:val="17"/>
                <w:color w:val="auto"/>
              </w:rPr>
            </w:pPr>
          </w:p>
        </w:tc>
        <w:tc>
          <w:tcPr>
            <w:tcW w:w="2300" w:type="dxa"/>
            <w:vAlign w:val="bottom"/>
            <w:gridSpan w:val="2"/>
          </w:tcPr>
          <w:p>
            <w:pPr>
              <w:ind w:left="440"/>
              <w:spacing w:after="0"/>
              <w:rPr>
                <w:sz w:val="20"/>
                <w:szCs w:val="20"/>
                <w:color w:val="auto"/>
              </w:rPr>
            </w:pPr>
            <w:r>
              <w:rPr>
                <w:rFonts w:ascii="Arial" w:cs="Arial" w:eastAsia="Arial" w:hAnsi="Arial"/>
                <w:sz w:val="14"/>
                <w:szCs w:val="14"/>
                <w:b w:val="1"/>
                <w:bCs w:val="1"/>
                <w:color w:val="auto"/>
              </w:rPr>
              <w:t>September 30, 2018</w:t>
            </w:r>
          </w:p>
        </w:tc>
        <w:tc>
          <w:tcPr>
            <w:tcW w:w="2160" w:type="dxa"/>
            <w:vAlign w:val="bottom"/>
          </w:tcPr>
          <w:p>
            <w:pPr>
              <w:jc w:val="right"/>
              <w:ind w:right="369"/>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20"/>
        </w:trPr>
        <w:tc>
          <w:tcPr>
            <w:tcW w:w="6960" w:type="dxa"/>
            <w:vAlign w:val="bottom"/>
          </w:tcPr>
          <w:p>
            <w:pPr>
              <w:ind w:left="120"/>
              <w:spacing w:after="0"/>
              <w:rPr>
                <w:sz w:val="20"/>
                <w:szCs w:val="20"/>
                <w:color w:val="auto"/>
              </w:rPr>
            </w:pPr>
            <w:r>
              <w:rPr>
                <w:rFonts w:ascii="Arial" w:cs="Arial" w:eastAsia="Arial" w:hAnsi="Arial"/>
                <w:sz w:val="14"/>
                <w:szCs w:val="14"/>
                <w:b w:val="1"/>
                <w:bCs w:val="1"/>
                <w:color w:val="auto"/>
              </w:rPr>
              <w:t>ASSETS</w:t>
            </w:r>
          </w:p>
        </w:tc>
        <w:tc>
          <w:tcPr>
            <w:tcW w:w="2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960" w:type="dxa"/>
            <w:vAlign w:val="bottom"/>
          </w:tcPr>
          <w:p>
            <w:pPr>
              <w:spacing w:after="0"/>
              <w:rPr>
                <w:sz w:val="20"/>
                <w:szCs w:val="20"/>
                <w:color w:val="auto"/>
              </w:rPr>
            </w:pPr>
            <w:r>
              <w:rPr>
                <w:rFonts w:ascii="Arial" w:cs="Arial" w:eastAsia="Arial" w:hAnsi="Arial"/>
                <w:sz w:val="14"/>
                <w:szCs w:val="14"/>
                <w:i w:val="1"/>
                <w:iCs w:val="1"/>
                <w:color w:val="auto"/>
              </w:rPr>
              <w:t>Current Assets:</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960" w:type="dxa"/>
            <w:vAlign w:val="bottom"/>
          </w:tcPr>
          <w:p>
            <w:pPr>
              <w:ind w:left="120"/>
              <w:spacing w:after="0"/>
              <w:rPr>
                <w:sz w:val="20"/>
                <w:szCs w:val="20"/>
                <w:color w:val="auto"/>
              </w:rPr>
            </w:pPr>
            <w:r>
              <w:rPr>
                <w:rFonts w:ascii="Arial" w:cs="Arial" w:eastAsia="Arial" w:hAnsi="Arial"/>
                <w:sz w:val="14"/>
                <w:szCs w:val="14"/>
                <w:color w:val="auto"/>
              </w:rPr>
              <w:t>Cash and cash equivalents</w:t>
            </w:r>
          </w:p>
        </w:tc>
        <w:tc>
          <w:tcPr>
            <w:tcW w:w="2200" w:type="dxa"/>
            <w:vAlign w:val="bottom"/>
          </w:tcPr>
          <w:p>
            <w:pPr>
              <w:jc w:val="right"/>
              <w:ind w:right="49"/>
              <w:spacing w:after="0"/>
              <w:rPr>
                <w:sz w:val="20"/>
                <w:szCs w:val="20"/>
                <w:color w:val="auto"/>
              </w:rPr>
            </w:pPr>
            <w:r>
              <w:rPr>
                <w:rFonts w:ascii="Arial" w:cs="Arial" w:eastAsia="Arial" w:hAnsi="Arial"/>
                <w:sz w:val="14"/>
                <w:szCs w:val="14"/>
                <w:color w:val="auto"/>
              </w:rPr>
              <w:t>$79.9</w:t>
            </w:r>
          </w:p>
        </w:tc>
        <w:tc>
          <w:tcPr>
            <w:tcW w:w="100" w:type="dxa"/>
            <w:vAlign w:val="bottom"/>
          </w:tcPr>
          <w:p>
            <w:pPr>
              <w:spacing w:after="0"/>
              <w:rPr>
                <w:sz w:val="20"/>
                <w:szCs w:val="20"/>
                <w:color w:val="auto"/>
              </w:rPr>
            </w:pPr>
          </w:p>
        </w:tc>
        <w:tc>
          <w:tcPr>
            <w:tcW w:w="2160" w:type="dxa"/>
            <w:vAlign w:val="bottom"/>
          </w:tcPr>
          <w:p>
            <w:pPr>
              <w:jc w:val="right"/>
              <w:ind w:right="49"/>
              <w:spacing w:after="0"/>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238"/>
        </w:trPr>
        <w:tc>
          <w:tcPr>
            <w:tcW w:w="6960" w:type="dxa"/>
            <w:vAlign w:val="bottom"/>
          </w:tcPr>
          <w:p>
            <w:pPr>
              <w:ind w:left="120"/>
              <w:spacing w:after="0"/>
              <w:rPr>
                <w:sz w:val="20"/>
                <w:szCs w:val="20"/>
                <w:color w:val="auto"/>
              </w:rPr>
            </w:pPr>
            <w:r>
              <w:rPr>
                <w:rFonts w:ascii="Arial" w:cs="Arial" w:eastAsia="Arial" w:hAnsi="Arial"/>
                <w:sz w:val="14"/>
                <w:szCs w:val="14"/>
                <w:color w:val="auto"/>
              </w:rPr>
              <w:t>Accounts receivable, net</w:t>
            </w:r>
          </w:p>
        </w:tc>
        <w:tc>
          <w:tcPr>
            <w:tcW w:w="2200" w:type="dxa"/>
            <w:vAlign w:val="bottom"/>
          </w:tcPr>
          <w:p>
            <w:pPr>
              <w:jc w:val="right"/>
              <w:ind w:right="49"/>
              <w:spacing w:after="0"/>
              <w:rPr>
                <w:sz w:val="20"/>
                <w:szCs w:val="20"/>
                <w:color w:val="auto"/>
              </w:rPr>
            </w:pPr>
            <w:r>
              <w:rPr>
                <w:rFonts w:ascii="Arial" w:cs="Arial" w:eastAsia="Arial" w:hAnsi="Arial"/>
                <w:sz w:val="14"/>
                <w:szCs w:val="14"/>
                <w:color w:val="auto"/>
              </w:rPr>
              <w:t>252.3</w:t>
            </w:r>
          </w:p>
        </w:tc>
        <w:tc>
          <w:tcPr>
            <w:tcW w:w="100" w:type="dxa"/>
            <w:vAlign w:val="bottom"/>
          </w:tcPr>
          <w:p>
            <w:pPr>
              <w:spacing w:after="0"/>
              <w:rPr>
                <w:sz w:val="20"/>
                <w:szCs w:val="20"/>
                <w:color w:val="auto"/>
              </w:rPr>
            </w:pPr>
          </w:p>
        </w:tc>
        <w:tc>
          <w:tcPr>
            <w:tcW w:w="2160" w:type="dxa"/>
            <w:vAlign w:val="bottom"/>
          </w:tcPr>
          <w:p>
            <w:pPr>
              <w:jc w:val="right"/>
              <w:ind w:right="49"/>
              <w:spacing w:after="0"/>
              <w:rPr>
                <w:sz w:val="20"/>
                <w:szCs w:val="20"/>
                <w:color w:val="auto"/>
              </w:rPr>
            </w:pPr>
            <w:r>
              <w:rPr>
                <w:rFonts w:ascii="Arial" w:cs="Arial" w:eastAsia="Arial" w:hAnsi="Arial"/>
                <w:sz w:val="14"/>
                <w:szCs w:val="14"/>
                <w:color w:val="auto"/>
              </w:rPr>
              <w:t>282.1</w:t>
            </w:r>
          </w:p>
        </w:tc>
        <w:tc>
          <w:tcPr>
            <w:tcW w:w="0" w:type="dxa"/>
            <w:vAlign w:val="bottom"/>
          </w:tcPr>
          <w:p>
            <w:pPr>
              <w:spacing w:after="0"/>
              <w:rPr>
                <w:sz w:val="1"/>
                <w:szCs w:val="1"/>
                <w:color w:val="auto"/>
              </w:rPr>
            </w:pPr>
          </w:p>
        </w:tc>
      </w:tr>
      <w:tr>
        <w:trPr>
          <w:trHeight w:val="238"/>
        </w:trPr>
        <w:tc>
          <w:tcPr>
            <w:tcW w:w="6960" w:type="dxa"/>
            <w:vAlign w:val="bottom"/>
          </w:tcPr>
          <w:p>
            <w:pPr>
              <w:ind w:left="120"/>
              <w:spacing w:after="0"/>
              <w:rPr>
                <w:sz w:val="20"/>
                <w:szCs w:val="20"/>
                <w:color w:val="auto"/>
              </w:rPr>
            </w:pPr>
            <w:r>
              <w:rPr>
                <w:rFonts w:ascii="Arial" w:cs="Arial" w:eastAsia="Arial" w:hAnsi="Arial"/>
                <w:sz w:val="14"/>
                <w:szCs w:val="14"/>
                <w:color w:val="auto"/>
              </w:rPr>
              <w:t>Inventories</w:t>
            </w:r>
          </w:p>
        </w:tc>
        <w:tc>
          <w:tcPr>
            <w:tcW w:w="2200" w:type="dxa"/>
            <w:vAlign w:val="bottom"/>
          </w:tcPr>
          <w:p>
            <w:pPr>
              <w:jc w:val="right"/>
              <w:ind w:right="49"/>
              <w:spacing w:after="0"/>
              <w:rPr>
                <w:sz w:val="20"/>
                <w:szCs w:val="20"/>
                <w:color w:val="auto"/>
              </w:rPr>
            </w:pPr>
            <w:r>
              <w:rPr>
                <w:rFonts w:ascii="Arial" w:cs="Arial" w:eastAsia="Arial" w:hAnsi="Arial"/>
                <w:sz w:val="14"/>
                <w:szCs w:val="14"/>
                <w:color w:val="auto"/>
              </w:rPr>
              <w:t>153.1</w:t>
            </w:r>
          </w:p>
        </w:tc>
        <w:tc>
          <w:tcPr>
            <w:tcW w:w="100" w:type="dxa"/>
            <w:vAlign w:val="bottom"/>
          </w:tcPr>
          <w:p>
            <w:pPr>
              <w:spacing w:after="0"/>
              <w:rPr>
                <w:sz w:val="20"/>
                <w:szCs w:val="20"/>
                <w:color w:val="auto"/>
              </w:rPr>
            </w:pPr>
          </w:p>
        </w:tc>
        <w:tc>
          <w:tcPr>
            <w:tcW w:w="2160" w:type="dxa"/>
            <w:vAlign w:val="bottom"/>
          </w:tcPr>
          <w:p>
            <w:pPr>
              <w:jc w:val="right"/>
              <w:ind w:right="49"/>
              <w:spacing w:after="0"/>
              <w:rPr>
                <w:sz w:val="20"/>
                <w:szCs w:val="20"/>
                <w:color w:val="auto"/>
              </w:rPr>
            </w:pPr>
            <w:r>
              <w:rPr>
                <w:rFonts w:ascii="Arial" w:cs="Arial" w:eastAsia="Arial" w:hAnsi="Arial"/>
                <w:sz w:val="14"/>
                <w:szCs w:val="14"/>
                <w:color w:val="auto"/>
              </w:rPr>
              <w:t>144.5</w:t>
            </w:r>
          </w:p>
        </w:tc>
        <w:tc>
          <w:tcPr>
            <w:tcW w:w="0" w:type="dxa"/>
            <w:vAlign w:val="bottom"/>
          </w:tcPr>
          <w:p>
            <w:pPr>
              <w:spacing w:after="0"/>
              <w:rPr>
                <w:sz w:val="1"/>
                <w:szCs w:val="1"/>
                <w:color w:val="auto"/>
              </w:rPr>
            </w:pPr>
          </w:p>
        </w:tc>
      </w:tr>
      <w:tr>
        <w:trPr>
          <w:trHeight w:val="238"/>
        </w:trPr>
        <w:tc>
          <w:tcPr>
            <w:tcW w:w="6960" w:type="dxa"/>
            <w:vAlign w:val="bottom"/>
          </w:tcPr>
          <w:p>
            <w:pPr>
              <w:ind w:left="120"/>
              <w:spacing w:after="0"/>
              <w:rPr>
                <w:sz w:val="20"/>
                <w:szCs w:val="20"/>
                <w:color w:val="auto"/>
              </w:rPr>
            </w:pPr>
            <w:r>
              <w:rPr>
                <w:rFonts w:ascii="Arial" w:cs="Arial" w:eastAsia="Arial" w:hAnsi="Arial"/>
                <w:sz w:val="14"/>
                <w:szCs w:val="14"/>
                <w:color w:val="auto"/>
              </w:rPr>
              <w:t>Prepaid and refundable taxes</w:t>
            </w:r>
          </w:p>
        </w:tc>
        <w:tc>
          <w:tcPr>
            <w:tcW w:w="2200" w:type="dxa"/>
            <w:vAlign w:val="bottom"/>
          </w:tcPr>
          <w:p>
            <w:pPr>
              <w:jc w:val="right"/>
              <w:ind w:right="49"/>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20"/>
                <w:szCs w:val="20"/>
                <w:color w:val="auto"/>
              </w:rPr>
            </w:pPr>
          </w:p>
        </w:tc>
        <w:tc>
          <w:tcPr>
            <w:tcW w:w="2160" w:type="dxa"/>
            <w:vAlign w:val="bottom"/>
          </w:tcPr>
          <w:p>
            <w:pPr>
              <w:jc w:val="right"/>
              <w:ind w:right="49"/>
              <w:spacing w:after="0"/>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238"/>
        </w:trPr>
        <w:tc>
          <w:tcPr>
            <w:tcW w:w="6960" w:type="dxa"/>
            <w:vAlign w:val="bottom"/>
          </w:tcPr>
          <w:p>
            <w:pPr>
              <w:ind w:left="120"/>
              <w:spacing w:after="0"/>
              <w:rPr>
                <w:sz w:val="20"/>
                <w:szCs w:val="20"/>
                <w:color w:val="auto"/>
              </w:rPr>
            </w:pPr>
            <w:r>
              <w:rPr>
                <w:rFonts w:ascii="Arial" w:cs="Arial" w:eastAsia="Arial" w:hAnsi="Arial"/>
                <w:sz w:val="14"/>
                <w:szCs w:val="14"/>
                <w:color w:val="auto"/>
              </w:rPr>
              <w:t>Assets held for sale</w:t>
            </w:r>
          </w:p>
        </w:tc>
        <w:tc>
          <w:tcPr>
            <w:tcW w:w="2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160" w:type="dxa"/>
            <w:vAlign w:val="bottom"/>
          </w:tcPr>
          <w:p>
            <w:pPr>
              <w:jc w:val="right"/>
              <w:ind w:right="49"/>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38"/>
        </w:trPr>
        <w:tc>
          <w:tcPr>
            <w:tcW w:w="6960" w:type="dxa"/>
            <w:vAlign w:val="bottom"/>
          </w:tcPr>
          <w:p>
            <w:pPr>
              <w:ind w:left="120"/>
              <w:spacing w:after="0"/>
              <w:rPr>
                <w:sz w:val="20"/>
                <w:szCs w:val="20"/>
                <w:color w:val="auto"/>
              </w:rPr>
            </w:pPr>
            <w:r>
              <w:rPr>
                <w:rFonts w:ascii="Arial" w:cs="Arial" w:eastAsia="Arial" w:hAnsi="Arial"/>
                <w:sz w:val="14"/>
                <w:szCs w:val="14"/>
                <w:color w:val="auto"/>
              </w:rPr>
              <w:t>Assets of discontinued operations</w:t>
            </w:r>
          </w:p>
        </w:tc>
        <w:tc>
          <w:tcPr>
            <w:tcW w:w="2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160" w:type="dxa"/>
            <w:vAlign w:val="bottom"/>
          </w:tcPr>
          <w:p>
            <w:pPr>
              <w:jc w:val="right"/>
              <w:ind w:right="49"/>
              <w:spacing w:after="0"/>
              <w:rPr>
                <w:sz w:val="20"/>
                <w:szCs w:val="20"/>
                <w:color w:val="auto"/>
              </w:rPr>
            </w:pPr>
            <w:r>
              <w:rPr>
                <w:rFonts w:ascii="Arial" w:cs="Arial" w:eastAsia="Arial" w:hAnsi="Arial"/>
                <w:sz w:val="14"/>
                <w:szCs w:val="14"/>
                <w:color w:val="auto"/>
              </w:rPr>
              <w:t>250.7</w:t>
            </w:r>
          </w:p>
        </w:tc>
        <w:tc>
          <w:tcPr>
            <w:tcW w:w="0" w:type="dxa"/>
            <w:vAlign w:val="bottom"/>
          </w:tcPr>
          <w:p>
            <w:pPr>
              <w:spacing w:after="0"/>
              <w:rPr>
                <w:sz w:val="1"/>
                <w:szCs w:val="1"/>
                <w:color w:val="auto"/>
              </w:rPr>
            </w:pPr>
          </w:p>
        </w:tc>
      </w:tr>
      <w:tr>
        <w:trPr>
          <w:trHeight w:val="247"/>
        </w:trPr>
        <w:tc>
          <w:tcPr>
            <w:tcW w:w="6960" w:type="dxa"/>
            <w:vAlign w:val="bottom"/>
          </w:tcPr>
          <w:p>
            <w:pPr>
              <w:ind w:left="120"/>
              <w:spacing w:after="0"/>
              <w:rPr>
                <w:sz w:val="20"/>
                <w:szCs w:val="20"/>
                <w:color w:val="auto"/>
              </w:rPr>
            </w:pPr>
            <w:r>
              <w:rPr>
                <w:rFonts w:ascii="Arial" w:cs="Arial" w:eastAsia="Arial" w:hAnsi="Arial"/>
                <w:sz w:val="14"/>
                <w:szCs w:val="14"/>
                <w:color w:val="auto"/>
              </w:rPr>
              <w:t>Prepaid expenses and other current assets</w:t>
            </w:r>
          </w:p>
        </w:tc>
        <w:tc>
          <w:tcPr>
            <w:tcW w:w="2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21"/>
                <w:szCs w:val="21"/>
                <w:color w:val="auto"/>
              </w:rPr>
            </w:pPr>
          </w:p>
        </w:tc>
        <w:tc>
          <w:tcPr>
            <w:tcW w:w="21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218"/>
        </w:trPr>
        <w:tc>
          <w:tcPr>
            <w:tcW w:w="6960" w:type="dxa"/>
            <w:vAlign w:val="bottom"/>
          </w:tcPr>
          <w:p>
            <w:pPr>
              <w:spacing w:after="0"/>
              <w:rPr>
                <w:sz w:val="20"/>
                <w:szCs w:val="20"/>
                <w:color w:val="auto"/>
              </w:rPr>
            </w:pPr>
            <w:r>
              <w:rPr>
                <w:rFonts w:ascii="Arial" w:cs="Arial" w:eastAsia="Arial" w:hAnsi="Arial"/>
                <w:sz w:val="14"/>
                <w:szCs w:val="14"/>
                <w:color w:val="auto"/>
              </w:rPr>
              <w:t>Total Current Assets</w:t>
            </w:r>
          </w:p>
        </w:tc>
        <w:tc>
          <w:tcPr>
            <w:tcW w:w="2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573.2</w:t>
            </w:r>
          </w:p>
        </w:tc>
        <w:tc>
          <w:tcPr>
            <w:tcW w:w="100" w:type="dxa"/>
            <w:vAlign w:val="bottom"/>
          </w:tcPr>
          <w:p>
            <w:pPr>
              <w:spacing w:after="0"/>
              <w:rPr>
                <w:sz w:val="18"/>
                <w:szCs w:val="18"/>
                <w:color w:val="auto"/>
              </w:rPr>
            </w:pPr>
          </w:p>
        </w:tc>
        <w:tc>
          <w:tcPr>
            <w:tcW w:w="21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869.9</w:t>
            </w:r>
          </w:p>
        </w:tc>
        <w:tc>
          <w:tcPr>
            <w:tcW w:w="0" w:type="dxa"/>
            <w:vAlign w:val="bottom"/>
          </w:tcPr>
          <w:p>
            <w:pPr>
              <w:spacing w:after="0"/>
              <w:rPr>
                <w:sz w:val="1"/>
                <w:szCs w:val="1"/>
                <w:color w:val="auto"/>
              </w:rPr>
            </w:pPr>
          </w:p>
        </w:tc>
      </w:tr>
      <w:tr>
        <w:trPr>
          <w:trHeight w:val="208"/>
        </w:trPr>
        <w:tc>
          <w:tcPr>
            <w:tcW w:w="6960" w:type="dxa"/>
            <w:vAlign w:val="bottom"/>
          </w:tcPr>
          <w:p>
            <w:pPr>
              <w:ind w:left="120"/>
              <w:spacing w:after="0"/>
              <w:rPr>
                <w:sz w:val="20"/>
                <w:szCs w:val="20"/>
                <w:color w:val="auto"/>
              </w:rPr>
            </w:pPr>
            <w:r>
              <w:rPr>
                <w:rFonts w:ascii="Arial" w:cs="Arial" w:eastAsia="Arial" w:hAnsi="Arial"/>
                <w:sz w:val="14"/>
                <w:szCs w:val="14"/>
                <w:color w:val="auto"/>
              </w:rPr>
              <w:t>Property, plant and equipment, net</w:t>
            </w:r>
          </w:p>
        </w:tc>
        <w:tc>
          <w:tcPr>
            <w:tcW w:w="2200" w:type="dxa"/>
            <w:vAlign w:val="bottom"/>
          </w:tcPr>
          <w:p>
            <w:pPr>
              <w:jc w:val="right"/>
              <w:ind w:right="49"/>
              <w:spacing w:after="0"/>
              <w:rPr>
                <w:sz w:val="20"/>
                <w:szCs w:val="20"/>
                <w:color w:val="auto"/>
              </w:rPr>
            </w:pPr>
            <w:r>
              <w:rPr>
                <w:rFonts w:ascii="Arial" w:cs="Arial" w:eastAsia="Arial" w:hAnsi="Arial"/>
                <w:sz w:val="14"/>
                <w:szCs w:val="14"/>
                <w:color w:val="auto"/>
              </w:rPr>
              <w:t>188.5</w:t>
            </w:r>
          </w:p>
        </w:tc>
        <w:tc>
          <w:tcPr>
            <w:tcW w:w="100" w:type="dxa"/>
            <w:vAlign w:val="bottom"/>
          </w:tcPr>
          <w:p>
            <w:pPr>
              <w:spacing w:after="0"/>
              <w:rPr>
                <w:sz w:val="18"/>
                <w:szCs w:val="18"/>
                <w:color w:val="auto"/>
              </w:rPr>
            </w:pPr>
          </w:p>
        </w:tc>
        <w:tc>
          <w:tcPr>
            <w:tcW w:w="2160" w:type="dxa"/>
            <w:vAlign w:val="bottom"/>
          </w:tcPr>
          <w:p>
            <w:pPr>
              <w:jc w:val="right"/>
              <w:ind w:right="49"/>
              <w:spacing w:after="0"/>
              <w:rPr>
                <w:sz w:val="20"/>
                <w:szCs w:val="20"/>
                <w:color w:val="auto"/>
              </w:rPr>
            </w:pPr>
            <w:r>
              <w:rPr>
                <w:rFonts w:ascii="Arial" w:cs="Arial" w:eastAsia="Arial" w:hAnsi="Arial"/>
                <w:sz w:val="14"/>
                <w:szCs w:val="14"/>
                <w:color w:val="auto"/>
              </w:rPr>
              <w:t>192.4</w:t>
            </w:r>
          </w:p>
        </w:tc>
        <w:tc>
          <w:tcPr>
            <w:tcW w:w="0" w:type="dxa"/>
            <w:vAlign w:val="bottom"/>
          </w:tcPr>
          <w:p>
            <w:pPr>
              <w:spacing w:after="0"/>
              <w:rPr>
                <w:sz w:val="1"/>
                <w:szCs w:val="1"/>
                <w:color w:val="auto"/>
              </w:rPr>
            </w:pPr>
          </w:p>
        </w:tc>
      </w:tr>
      <w:tr>
        <w:trPr>
          <w:trHeight w:val="238"/>
        </w:trPr>
        <w:tc>
          <w:tcPr>
            <w:tcW w:w="6960" w:type="dxa"/>
            <w:vAlign w:val="bottom"/>
          </w:tcPr>
          <w:p>
            <w:pPr>
              <w:ind w:left="120"/>
              <w:spacing w:after="0"/>
              <w:rPr>
                <w:sz w:val="20"/>
                <w:szCs w:val="20"/>
                <w:color w:val="auto"/>
              </w:rPr>
            </w:pPr>
            <w:r>
              <w:rPr>
                <w:rFonts w:ascii="Arial" w:cs="Arial" w:eastAsia="Arial" w:hAnsi="Arial"/>
                <w:sz w:val="14"/>
                <w:szCs w:val="14"/>
                <w:color w:val="auto"/>
              </w:rPr>
              <w:t>Goodwill</w:t>
            </w:r>
          </w:p>
        </w:tc>
        <w:tc>
          <w:tcPr>
            <w:tcW w:w="2200" w:type="dxa"/>
            <w:vAlign w:val="bottom"/>
          </w:tcPr>
          <w:p>
            <w:pPr>
              <w:jc w:val="right"/>
              <w:ind w:right="49"/>
              <w:spacing w:after="0"/>
              <w:rPr>
                <w:sz w:val="20"/>
                <w:szCs w:val="20"/>
                <w:color w:val="auto"/>
              </w:rPr>
            </w:pPr>
            <w:r>
              <w:rPr>
                <w:rFonts w:ascii="Arial" w:cs="Arial" w:eastAsia="Arial" w:hAnsi="Arial"/>
                <w:sz w:val="14"/>
                <w:szCs w:val="14"/>
                <w:color w:val="auto"/>
              </w:rPr>
              <w:t>969.3</w:t>
            </w:r>
          </w:p>
        </w:tc>
        <w:tc>
          <w:tcPr>
            <w:tcW w:w="100" w:type="dxa"/>
            <w:vAlign w:val="bottom"/>
          </w:tcPr>
          <w:p>
            <w:pPr>
              <w:spacing w:after="0"/>
              <w:rPr>
                <w:sz w:val="20"/>
                <w:szCs w:val="20"/>
                <w:color w:val="auto"/>
              </w:rPr>
            </w:pPr>
          </w:p>
        </w:tc>
        <w:tc>
          <w:tcPr>
            <w:tcW w:w="2160" w:type="dxa"/>
            <w:vAlign w:val="bottom"/>
          </w:tcPr>
          <w:p>
            <w:pPr>
              <w:jc w:val="right"/>
              <w:ind w:right="49"/>
              <w:spacing w:after="0"/>
              <w:rPr>
                <w:sz w:val="20"/>
                <w:szCs w:val="20"/>
                <w:color w:val="auto"/>
              </w:rPr>
            </w:pPr>
            <w:r>
              <w:rPr>
                <w:rFonts w:ascii="Arial" w:cs="Arial" w:eastAsia="Arial" w:hAnsi="Arial"/>
                <w:sz w:val="14"/>
                <w:szCs w:val="14"/>
                <w:color w:val="auto"/>
              </w:rPr>
              <w:t>784.2</w:t>
            </w:r>
          </w:p>
        </w:tc>
        <w:tc>
          <w:tcPr>
            <w:tcW w:w="0" w:type="dxa"/>
            <w:vAlign w:val="bottom"/>
          </w:tcPr>
          <w:p>
            <w:pPr>
              <w:spacing w:after="0"/>
              <w:rPr>
                <w:sz w:val="1"/>
                <w:szCs w:val="1"/>
                <w:color w:val="auto"/>
              </w:rPr>
            </w:pPr>
          </w:p>
        </w:tc>
      </w:tr>
      <w:tr>
        <w:trPr>
          <w:trHeight w:val="238"/>
        </w:trPr>
        <w:tc>
          <w:tcPr>
            <w:tcW w:w="6960" w:type="dxa"/>
            <w:vAlign w:val="bottom"/>
          </w:tcPr>
          <w:p>
            <w:pPr>
              <w:ind w:left="120"/>
              <w:spacing w:after="0"/>
              <w:rPr>
                <w:sz w:val="20"/>
                <w:szCs w:val="20"/>
                <w:color w:val="auto"/>
              </w:rPr>
            </w:pPr>
            <w:r>
              <w:rPr>
                <w:rFonts w:ascii="Arial" w:cs="Arial" w:eastAsia="Arial" w:hAnsi="Arial"/>
                <w:sz w:val="14"/>
                <w:szCs w:val="14"/>
                <w:color w:val="auto"/>
              </w:rPr>
              <w:t>Intangible assets, net</w:t>
            </w:r>
          </w:p>
        </w:tc>
        <w:tc>
          <w:tcPr>
            <w:tcW w:w="2200" w:type="dxa"/>
            <w:vAlign w:val="bottom"/>
          </w:tcPr>
          <w:p>
            <w:pPr>
              <w:jc w:val="right"/>
              <w:ind w:right="49"/>
              <w:spacing w:after="0"/>
              <w:rPr>
                <w:sz w:val="20"/>
                <w:szCs w:val="20"/>
                <w:color w:val="auto"/>
              </w:rPr>
            </w:pPr>
            <w:r>
              <w:rPr>
                <w:rFonts w:ascii="Arial" w:cs="Arial" w:eastAsia="Arial" w:hAnsi="Arial"/>
                <w:sz w:val="14"/>
                <w:szCs w:val="14"/>
                <w:color w:val="auto"/>
              </w:rPr>
              <w:t>784.3</w:t>
            </w:r>
          </w:p>
        </w:tc>
        <w:tc>
          <w:tcPr>
            <w:tcW w:w="100" w:type="dxa"/>
            <w:vAlign w:val="bottom"/>
          </w:tcPr>
          <w:p>
            <w:pPr>
              <w:spacing w:after="0"/>
              <w:rPr>
                <w:sz w:val="20"/>
                <w:szCs w:val="20"/>
                <w:color w:val="auto"/>
              </w:rPr>
            </w:pPr>
          </w:p>
        </w:tc>
        <w:tc>
          <w:tcPr>
            <w:tcW w:w="2160" w:type="dxa"/>
            <w:vAlign w:val="bottom"/>
          </w:tcPr>
          <w:p>
            <w:pPr>
              <w:jc w:val="right"/>
              <w:ind w:right="49"/>
              <w:spacing w:after="0"/>
              <w:rPr>
                <w:sz w:val="20"/>
                <w:szCs w:val="20"/>
                <w:color w:val="auto"/>
              </w:rPr>
            </w:pPr>
            <w:r>
              <w:rPr>
                <w:rFonts w:ascii="Arial" w:cs="Arial" w:eastAsia="Arial" w:hAnsi="Arial"/>
                <w:sz w:val="14"/>
                <w:szCs w:val="14"/>
                <w:color w:val="auto"/>
              </w:rPr>
              <w:t>535.4</w:t>
            </w:r>
          </w:p>
        </w:tc>
        <w:tc>
          <w:tcPr>
            <w:tcW w:w="0" w:type="dxa"/>
            <w:vAlign w:val="bottom"/>
          </w:tcPr>
          <w:p>
            <w:pPr>
              <w:spacing w:after="0"/>
              <w:rPr>
                <w:sz w:val="1"/>
                <w:szCs w:val="1"/>
                <w:color w:val="auto"/>
              </w:rPr>
            </w:pPr>
          </w:p>
        </w:tc>
      </w:tr>
      <w:tr>
        <w:trPr>
          <w:trHeight w:val="238"/>
        </w:trPr>
        <w:tc>
          <w:tcPr>
            <w:tcW w:w="6960" w:type="dxa"/>
            <w:vAlign w:val="bottom"/>
          </w:tcPr>
          <w:p>
            <w:pPr>
              <w:ind w:left="120"/>
              <w:spacing w:after="0"/>
              <w:rPr>
                <w:sz w:val="20"/>
                <w:szCs w:val="20"/>
                <w:color w:val="auto"/>
              </w:rPr>
            </w:pPr>
            <w:r>
              <w:rPr>
                <w:rFonts w:ascii="Arial" w:cs="Arial" w:eastAsia="Arial" w:hAnsi="Arial"/>
                <w:sz w:val="14"/>
                <w:szCs w:val="14"/>
                <w:color w:val="auto"/>
              </w:rPr>
              <w:t>Investments</w:t>
            </w:r>
          </w:p>
        </w:tc>
        <w:tc>
          <w:tcPr>
            <w:tcW w:w="2200" w:type="dxa"/>
            <w:vAlign w:val="bottom"/>
          </w:tcPr>
          <w:p>
            <w:pPr>
              <w:jc w:val="right"/>
              <w:ind w:right="49"/>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20"/>
                <w:szCs w:val="20"/>
                <w:color w:val="auto"/>
              </w:rPr>
            </w:pPr>
          </w:p>
        </w:tc>
        <w:tc>
          <w:tcPr>
            <w:tcW w:w="2160" w:type="dxa"/>
            <w:vAlign w:val="bottom"/>
          </w:tcPr>
          <w:p>
            <w:pPr>
              <w:jc w:val="right"/>
              <w:ind w:right="49"/>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238"/>
        </w:trPr>
        <w:tc>
          <w:tcPr>
            <w:tcW w:w="6960" w:type="dxa"/>
            <w:vAlign w:val="bottom"/>
          </w:tcPr>
          <w:p>
            <w:pPr>
              <w:ind w:left="120"/>
              <w:spacing w:after="0"/>
              <w:rPr>
                <w:sz w:val="20"/>
                <w:szCs w:val="20"/>
                <w:color w:val="auto"/>
              </w:rPr>
            </w:pPr>
            <w:r>
              <w:rPr>
                <w:rFonts w:ascii="Arial" w:cs="Arial" w:eastAsia="Arial" w:hAnsi="Arial"/>
                <w:sz w:val="14"/>
                <w:szCs w:val="14"/>
                <w:color w:val="auto"/>
              </w:rPr>
              <w:t>Deferred tax assets, net</w:t>
            </w:r>
          </w:p>
        </w:tc>
        <w:tc>
          <w:tcPr>
            <w:tcW w:w="2200" w:type="dxa"/>
            <w:vAlign w:val="bottom"/>
          </w:tcPr>
          <w:p>
            <w:pPr>
              <w:jc w:val="right"/>
              <w:ind w:right="49"/>
              <w:spacing w:after="0"/>
              <w:rPr>
                <w:sz w:val="20"/>
                <w:szCs w:val="20"/>
                <w:color w:val="auto"/>
              </w:rPr>
            </w:pPr>
            <w:r>
              <w:rPr>
                <w:rFonts w:ascii="Arial" w:cs="Arial" w:eastAsia="Arial" w:hAnsi="Arial"/>
                <w:sz w:val="14"/>
                <w:szCs w:val="14"/>
                <w:color w:val="auto"/>
              </w:rPr>
              <w:t>65.8</w:t>
            </w:r>
          </w:p>
        </w:tc>
        <w:tc>
          <w:tcPr>
            <w:tcW w:w="100" w:type="dxa"/>
            <w:vAlign w:val="bottom"/>
          </w:tcPr>
          <w:p>
            <w:pPr>
              <w:spacing w:after="0"/>
              <w:rPr>
                <w:sz w:val="20"/>
                <w:szCs w:val="20"/>
                <w:color w:val="auto"/>
              </w:rPr>
            </w:pPr>
          </w:p>
        </w:tc>
        <w:tc>
          <w:tcPr>
            <w:tcW w:w="2160" w:type="dxa"/>
            <w:vAlign w:val="bottom"/>
          </w:tcPr>
          <w:p>
            <w:pPr>
              <w:jc w:val="right"/>
              <w:ind w:right="49"/>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47"/>
        </w:trPr>
        <w:tc>
          <w:tcPr>
            <w:tcW w:w="6960" w:type="dxa"/>
            <w:vAlign w:val="bottom"/>
          </w:tcPr>
          <w:p>
            <w:pPr>
              <w:ind w:left="120"/>
              <w:spacing w:after="0"/>
              <w:rPr>
                <w:sz w:val="20"/>
                <w:szCs w:val="20"/>
                <w:color w:val="auto"/>
              </w:rPr>
            </w:pPr>
            <w:r>
              <w:rPr>
                <w:rFonts w:ascii="Arial" w:cs="Arial" w:eastAsia="Arial" w:hAnsi="Arial"/>
                <w:sz w:val="14"/>
                <w:szCs w:val="14"/>
                <w:color w:val="auto"/>
              </w:rPr>
              <w:t>Other assets</w:t>
            </w:r>
          </w:p>
        </w:tc>
        <w:tc>
          <w:tcPr>
            <w:tcW w:w="2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1"/>
                <w:szCs w:val="21"/>
                <w:color w:val="auto"/>
              </w:rPr>
            </w:pPr>
          </w:p>
        </w:tc>
        <w:tc>
          <w:tcPr>
            <w:tcW w:w="21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76.0</w:t>
            </w:r>
          </w:p>
        </w:tc>
        <w:tc>
          <w:tcPr>
            <w:tcW w:w="0" w:type="dxa"/>
            <w:vAlign w:val="bottom"/>
          </w:tcPr>
          <w:p>
            <w:pPr>
              <w:spacing w:after="0"/>
              <w:rPr>
                <w:sz w:val="1"/>
                <w:szCs w:val="1"/>
                <w:color w:val="auto"/>
              </w:rPr>
            </w:pPr>
          </w:p>
        </w:tc>
      </w:tr>
      <w:tr>
        <w:trPr>
          <w:trHeight w:val="232"/>
        </w:trPr>
        <w:tc>
          <w:tcPr>
            <w:tcW w:w="6960" w:type="dxa"/>
            <w:vAlign w:val="bottom"/>
          </w:tcPr>
          <w:p>
            <w:pPr>
              <w:spacing w:after="0"/>
              <w:rPr>
                <w:sz w:val="20"/>
                <w:szCs w:val="20"/>
                <w:color w:val="auto"/>
              </w:rPr>
            </w:pPr>
            <w:r>
              <w:rPr>
                <w:rFonts w:ascii="Arial" w:cs="Arial" w:eastAsia="Arial" w:hAnsi="Arial"/>
                <w:sz w:val="14"/>
                <w:szCs w:val="14"/>
                <w:color w:val="auto"/>
              </w:rPr>
              <w:t>Total Assets</w:t>
            </w:r>
          </w:p>
        </w:tc>
        <w:tc>
          <w:tcPr>
            <w:tcW w:w="2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$2,610.7</w:t>
            </w:r>
          </w:p>
        </w:tc>
        <w:tc>
          <w:tcPr>
            <w:tcW w:w="100" w:type="dxa"/>
            <w:vAlign w:val="bottom"/>
          </w:tcPr>
          <w:p>
            <w:pPr>
              <w:spacing w:after="0"/>
              <w:rPr>
                <w:sz w:val="20"/>
                <w:szCs w:val="20"/>
                <w:color w:val="auto"/>
              </w:rPr>
            </w:pPr>
          </w:p>
        </w:tc>
        <w:tc>
          <w:tcPr>
            <w:tcW w:w="21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$2,503.9</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LIABILITIES AND STOCKHOLDERS' EQUITY</w:t>
            </w: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6960" w:type="dxa"/>
            <w:vAlign w:val="bottom"/>
            <w:vMerge w:val="continue"/>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960" w:type="dxa"/>
            <w:vAlign w:val="bottom"/>
          </w:tcPr>
          <w:p>
            <w:pPr>
              <w:spacing w:after="0"/>
              <w:rPr>
                <w:sz w:val="20"/>
                <w:szCs w:val="20"/>
                <w:color w:val="auto"/>
              </w:rPr>
            </w:pPr>
            <w:r>
              <w:rPr>
                <w:rFonts w:ascii="Arial" w:cs="Arial" w:eastAsia="Arial" w:hAnsi="Arial"/>
                <w:sz w:val="14"/>
                <w:szCs w:val="14"/>
                <w:i w:val="1"/>
                <w:iCs w:val="1"/>
                <w:color w:val="auto"/>
              </w:rPr>
              <w:t>Current Liabilities:</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960" w:type="dxa"/>
            <w:vAlign w:val="bottom"/>
          </w:tcPr>
          <w:p>
            <w:pPr>
              <w:ind w:left="120"/>
              <w:spacing w:after="0"/>
              <w:rPr>
                <w:sz w:val="20"/>
                <w:szCs w:val="20"/>
                <w:color w:val="auto"/>
              </w:rPr>
            </w:pPr>
            <w:r>
              <w:rPr>
                <w:rFonts w:ascii="Arial" w:cs="Arial" w:eastAsia="Arial" w:hAnsi="Arial"/>
                <w:sz w:val="14"/>
                <w:szCs w:val="14"/>
                <w:color w:val="auto"/>
              </w:rPr>
              <w:t>Current debt obligations</w:t>
            </w:r>
          </w:p>
        </w:tc>
        <w:tc>
          <w:tcPr>
            <w:tcW w:w="2200" w:type="dxa"/>
            <w:vAlign w:val="bottom"/>
          </w:tcPr>
          <w:p>
            <w:pPr>
              <w:jc w:val="right"/>
              <w:ind w:right="49"/>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20"/>
                <w:szCs w:val="20"/>
                <w:color w:val="auto"/>
              </w:rPr>
            </w:pPr>
          </w:p>
        </w:tc>
        <w:tc>
          <w:tcPr>
            <w:tcW w:w="2160" w:type="dxa"/>
            <w:vAlign w:val="bottom"/>
          </w:tcPr>
          <w:p>
            <w:pPr>
              <w:jc w:val="right"/>
              <w:ind w:right="49"/>
              <w:spacing w:after="0"/>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238"/>
        </w:trPr>
        <w:tc>
          <w:tcPr>
            <w:tcW w:w="6960" w:type="dxa"/>
            <w:vAlign w:val="bottom"/>
          </w:tcPr>
          <w:p>
            <w:pPr>
              <w:ind w:left="120"/>
              <w:spacing w:after="0"/>
              <w:rPr>
                <w:sz w:val="20"/>
                <w:szCs w:val="20"/>
                <w:color w:val="auto"/>
              </w:rPr>
            </w:pPr>
            <w:r>
              <w:rPr>
                <w:rFonts w:ascii="Arial" w:cs="Arial" w:eastAsia="Arial" w:hAnsi="Arial"/>
                <w:sz w:val="14"/>
                <w:szCs w:val="14"/>
                <w:color w:val="auto"/>
              </w:rPr>
              <w:t>Accounts payable</w:t>
            </w:r>
          </w:p>
        </w:tc>
        <w:tc>
          <w:tcPr>
            <w:tcW w:w="2200" w:type="dxa"/>
            <w:vAlign w:val="bottom"/>
          </w:tcPr>
          <w:p>
            <w:pPr>
              <w:jc w:val="right"/>
              <w:ind w:right="49"/>
              <w:spacing w:after="0"/>
              <w:rPr>
                <w:sz w:val="20"/>
                <w:szCs w:val="20"/>
                <w:color w:val="auto"/>
              </w:rPr>
            </w:pPr>
            <w:r>
              <w:rPr>
                <w:rFonts w:ascii="Arial" w:cs="Arial" w:eastAsia="Arial" w:hAnsi="Arial"/>
                <w:sz w:val="14"/>
                <w:szCs w:val="14"/>
                <w:color w:val="auto"/>
              </w:rPr>
              <w:t>88.9</w:t>
            </w:r>
          </w:p>
        </w:tc>
        <w:tc>
          <w:tcPr>
            <w:tcW w:w="100" w:type="dxa"/>
            <w:vAlign w:val="bottom"/>
          </w:tcPr>
          <w:p>
            <w:pPr>
              <w:spacing w:after="0"/>
              <w:rPr>
                <w:sz w:val="20"/>
                <w:szCs w:val="20"/>
                <w:color w:val="auto"/>
              </w:rPr>
            </w:pPr>
          </w:p>
        </w:tc>
        <w:tc>
          <w:tcPr>
            <w:tcW w:w="2160" w:type="dxa"/>
            <w:vAlign w:val="bottom"/>
          </w:tcPr>
          <w:p>
            <w:pPr>
              <w:jc w:val="right"/>
              <w:ind w:right="49"/>
              <w:spacing w:after="0"/>
              <w:rPr>
                <w:sz w:val="20"/>
                <w:szCs w:val="20"/>
                <w:color w:val="auto"/>
              </w:rPr>
            </w:pPr>
            <w:r>
              <w:rPr>
                <w:rFonts w:ascii="Arial" w:cs="Arial" w:eastAsia="Arial" w:hAnsi="Arial"/>
                <w:sz w:val="14"/>
                <w:szCs w:val="14"/>
                <w:color w:val="auto"/>
              </w:rPr>
              <w:t>85.9</w:t>
            </w:r>
          </w:p>
        </w:tc>
        <w:tc>
          <w:tcPr>
            <w:tcW w:w="0" w:type="dxa"/>
            <w:vAlign w:val="bottom"/>
          </w:tcPr>
          <w:p>
            <w:pPr>
              <w:spacing w:after="0"/>
              <w:rPr>
                <w:sz w:val="1"/>
                <w:szCs w:val="1"/>
                <w:color w:val="auto"/>
              </w:rPr>
            </w:pPr>
          </w:p>
        </w:tc>
      </w:tr>
      <w:tr>
        <w:trPr>
          <w:trHeight w:val="238"/>
        </w:trPr>
        <w:tc>
          <w:tcPr>
            <w:tcW w:w="6960" w:type="dxa"/>
            <w:vAlign w:val="bottom"/>
          </w:tcPr>
          <w:p>
            <w:pPr>
              <w:ind w:left="120"/>
              <w:spacing w:after="0"/>
              <w:rPr>
                <w:sz w:val="20"/>
                <w:szCs w:val="20"/>
                <w:color w:val="auto"/>
              </w:rPr>
            </w:pPr>
            <w:r>
              <w:rPr>
                <w:rFonts w:ascii="Arial" w:cs="Arial" w:eastAsia="Arial" w:hAnsi="Arial"/>
                <w:sz w:val="14"/>
                <w:szCs w:val="14"/>
                <w:color w:val="auto"/>
              </w:rPr>
              <w:t>Accrued liabilities and other</w:t>
            </w:r>
          </w:p>
        </w:tc>
        <w:tc>
          <w:tcPr>
            <w:tcW w:w="2200" w:type="dxa"/>
            <w:vAlign w:val="bottom"/>
          </w:tcPr>
          <w:p>
            <w:pPr>
              <w:jc w:val="right"/>
              <w:ind w:right="49"/>
              <w:spacing w:after="0"/>
              <w:rPr>
                <w:sz w:val="20"/>
                <w:szCs w:val="20"/>
                <w:color w:val="auto"/>
              </w:rPr>
            </w:pPr>
            <w:r>
              <w:rPr>
                <w:rFonts w:ascii="Arial" w:cs="Arial" w:eastAsia="Arial" w:hAnsi="Arial"/>
                <w:sz w:val="14"/>
                <w:szCs w:val="14"/>
                <w:color w:val="auto"/>
              </w:rPr>
              <w:t>118.7</w:t>
            </w:r>
          </w:p>
        </w:tc>
        <w:tc>
          <w:tcPr>
            <w:tcW w:w="100" w:type="dxa"/>
            <w:vAlign w:val="bottom"/>
          </w:tcPr>
          <w:p>
            <w:pPr>
              <w:spacing w:after="0"/>
              <w:rPr>
                <w:sz w:val="20"/>
                <w:szCs w:val="20"/>
                <w:color w:val="auto"/>
              </w:rPr>
            </w:pPr>
          </w:p>
        </w:tc>
        <w:tc>
          <w:tcPr>
            <w:tcW w:w="2160" w:type="dxa"/>
            <w:vAlign w:val="bottom"/>
          </w:tcPr>
          <w:p>
            <w:pPr>
              <w:jc w:val="right"/>
              <w:ind w:right="49"/>
              <w:spacing w:after="0"/>
              <w:rPr>
                <w:sz w:val="20"/>
                <w:szCs w:val="20"/>
                <w:color w:val="auto"/>
              </w:rPr>
            </w:pPr>
            <w:r>
              <w:rPr>
                <w:rFonts w:ascii="Arial" w:cs="Arial" w:eastAsia="Arial" w:hAnsi="Arial"/>
                <w:sz w:val="14"/>
                <w:szCs w:val="14"/>
                <w:color w:val="auto"/>
              </w:rPr>
              <w:t>78.9</w:t>
            </w:r>
          </w:p>
        </w:tc>
        <w:tc>
          <w:tcPr>
            <w:tcW w:w="0" w:type="dxa"/>
            <w:vAlign w:val="bottom"/>
          </w:tcPr>
          <w:p>
            <w:pPr>
              <w:spacing w:after="0"/>
              <w:rPr>
                <w:sz w:val="1"/>
                <w:szCs w:val="1"/>
                <w:color w:val="auto"/>
              </w:rPr>
            </w:pPr>
          </w:p>
        </w:tc>
      </w:tr>
      <w:tr>
        <w:trPr>
          <w:trHeight w:val="238"/>
        </w:trPr>
        <w:tc>
          <w:tcPr>
            <w:tcW w:w="6960" w:type="dxa"/>
            <w:vAlign w:val="bottom"/>
          </w:tcPr>
          <w:p>
            <w:pPr>
              <w:ind w:left="120"/>
              <w:spacing w:after="0"/>
              <w:rPr>
                <w:sz w:val="20"/>
                <w:szCs w:val="20"/>
                <w:color w:val="auto"/>
              </w:rPr>
            </w:pPr>
            <w:r>
              <w:rPr>
                <w:rFonts w:ascii="Arial" w:cs="Arial" w:eastAsia="Arial" w:hAnsi="Arial"/>
                <w:sz w:val="14"/>
                <w:szCs w:val="14"/>
                <w:color w:val="auto"/>
              </w:rPr>
              <w:t>Taxes payable</w:t>
            </w:r>
          </w:p>
        </w:tc>
        <w:tc>
          <w:tcPr>
            <w:tcW w:w="2200" w:type="dxa"/>
            <w:vAlign w:val="bottom"/>
          </w:tcPr>
          <w:p>
            <w:pPr>
              <w:jc w:val="right"/>
              <w:ind w:right="49"/>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20"/>
                <w:szCs w:val="20"/>
                <w:color w:val="auto"/>
              </w:rPr>
            </w:pPr>
          </w:p>
        </w:tc>
        <w:tc>
          <w:tcPr>
            <w:tcW w:w="2160" w:type="dxa"/>
            <w:vAlign w:val="bottom"/>
          </w:tcPr>
          <w:p>
            <w:pPr>
              <w:jc w:val="right"/>
              <w:ind w:right="49"/>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38"/>
        </w:trPr>
        <w:tc>
          <w:tcPr>
            <w:tcW w:w="6960" w:type="dxa"/>
            <w:vAlign w:val="bottom"/>
          </w:tcPr>
          <w:p>
            <w:pPr>
              <w:ind w:left="120"/>
              <w:spacing w:after="0"/>
              <w:rPr>
                <w:sz w:val="20"/>
                <w:szCs w:val="20"/>
                <w:color w:val="auto"/>
              </w:rPr>
            </w:pPr>
            <w:r>
              <w:rPr>
                <w:rFonts w:ascii="Arial" w:cs="Arial" w:eastAsia="Arial" w:hAnsi="Arial"/>
                <w:sz w:val="14"/>
                <w:szCs w:val="14"/>
                <w:color w:val="auto"/>
              </w:rPr>
              <w:t>Accrued employee compensation and related benefits</w:t>
            </w:r>
          </w:p>
        </w:tc>
        <w:tc>
          <w:tcPr>
            <w:tcW w:w="2200" w:type="dxa"/>
            <w:vAlign w:val="bottom"/>
          </w:tcPr>
          <w:p>
            <w:pPr>
              <w:jc w:val="right"/>
              <w:ind w:right="49"/>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20"/>
                <w:szCs w:val="20"/>
                <w:color w:val="auto"/>
              </w:rPr>
            </w:pPr>
          </w:p>
        </w:tc>
        <w:tc>
          <w:tcPr>
            <w:tcW w:w="2160" w:type="dxa"/>
            <w:vAlign w:val="bottom"/>
          </w:tcPr>
          <w:p>
            <w:pPr>
              <w:jc w:val="right"/>
              <w:ind w:right="49"/>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247"/>
        </w:trPr>
        <w:tc>
          <w:tcPr>
            <w:tcW w:w="6960" w:type="dxa"/>
            <w:vAlign w:val="bottom"/>
          </w:tcPr>
          <w:p>
            <w:pPr>
              <w:ind w:left="120"/>
              <w:spacing w:after="0"/>
              <w:rPr>
                <w:sz w:val="20"/>
                <w:szCs w:val="20"/>
                <w:color w:val="auto"/>
              </w:rPr>
            </w:pPr>
            <w:r>
              <w:rPr>
                <w:rFonts w:ascii="Arial" w:cs="Arial" w:eastAsia="Arial" w:hAnsi="Arial"/>
                <w:sz w:val="14"/>
                <w:szCs w:val="14"/>
                <w:color w:val="auto"/>
              </w:rPr>
              <w:t>Liabilities of discontinued operations</w:t>
            </w:r>
          </w:p>
        </w:tc>
        <w:tc>
          <w:tcPr>
            <w:tcW w:w="2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160" w:type="dxa"/>
            <w:vAlign w:val="bottom"/>
          </w:tcPr>
          <w:p>
            <w:pPr>
              <w:jc w:val="right"/>
              <w:ind w:right="49"/>
              <w:spacing w:after="0"/>
              <w:rPr>
                <w:sz w:val="20"/>
                <w:szCs w:val="20"/>
                <w:color w:val="auto"/>
              </w:rPr>
            </w:pPr>
            <w:r>
              <w:rPr>
                <w:rFonts w:ascii="Arial" w:cs="Arial" w:eastAsia="Arial" w:hAnsi="Arial"/>
                <w:sz w:val="14"/>
                <w:szCs w:val="14"/>
                <w:color w:val="auto"/>
              </w:rPr>
              <w:t>78.1</w:t>
            </w:r>
          </w:p>
        </w:tc>
        <w:tc>
          <w:tcPr>
            <w:tcW w:w="0" w:type="dxa"/>
            <w:vAlign w:val="bottom"/>
          </w:tcPr>
          <w:p>
            <w:pPr>
              <w:spacing w:after="0"/>
              <w:rPr>
                <w:sz w:val="1"/>
                <w:szCs w:val="1"/>
                <w:color w:val="auto"/>
              </w:rPr>
            </w:pPr>
          </w:p>
        </w:tc>
      </w:tr>
      <w:tr>
        <w:trPr>
          <w:trHeight w:val="218"/>
        </w:trPr>
        <w:tc>
          <w:tcPr>
            <w:tcW w:w="696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347.1</w:t>
            </w:r>
          </w:p>
        </w:tc>
        <w:tc>
          <w:tcPr>
            <w:tcW w:w="100" w:type="dxa"/>
            <w:vAlign w:val="bottom"/>
          </w:tcPr>
          <w:p>
            <w:pPr>
              <w:spacing w:after="0"/>
              <w:rPr>
                <w:sz w:val="18"/>
                <w:szCs w:val="18"/>
                <w:color w:val="auto"/>
              </w:rPr>
            </w:pPr>
          </w:p>
        </w:tc>
        <w:tc>
          <w:tcPr>
            <w:tcW w:w="2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406.0</w:t>
            </w:r>
          </w:p>
        </w:tc>
        <w:tc>
          <w:tcPr>
            <w:tcW w:w="0" w:type="dxa"/>
            <w:vAlign w:val="bottom"/>
          </w:tcPr>
          <w:p>
            <w:pPr>
              <w:spacing w:after="0"/>
              <w:rPr>
                <w:sz w:val="1"/>
                <w:szCs w:val="1"/>
                <w:color w:val="auto"/>
              </w:rPr>
            </w:pPr>
          </w:p>
        </w:tc>
      </w:tr>
      <w:tr>
        <w:trPr>
          <w:trHeight w:val="208"/>
        </w:trPr>
        <w:tc>
          <w:tcPr>
            <w:tcW w:w="6960" w:type="dxa"/>
            <w:vAlign w:val="bottom"/>
          </w:tcPr>
          <w:p>
            <w:pPr>
              <w:ind w:left="120"/>
              <w:spacing w:after="0"/>
              <w:rPr>
                <w:sz w:val="20"/>
                <w:szCs w:val="20"/>
                <w:color w:val="auto"/>
              </w:rPr>
            </w:pPr>
            <w:r>
              <w:rPr>
                <w:rFonts w:ascii="Arial" w:cs="Arial" w:eastAsia="Arial" w:hAnsi="Arial"/>
                <w:sz w:val="14"/>
                <w:szCs w:val="14"/>
                <w:color w:val="auto"/>
              </w:rPr>
              <w:t>Long-term debt obligations</w:t>
            </w:r>
          </w:p>
        </w:tc>
        <w:tc>
          <w:tcPr>
            <w:tcW w:w="2200" w:type="dxa"/>
            <w:vAlign w:val="bottom"/>
          </w:tcPr>
          <w:p>
            <w:pPr>
              <w:jc w:val="right"/>
              <w:ind w:right="49"/>
              <w:spacing w:after="0"/>
              <w:rPr>
                <w:sz w:val="20"/>
                <w:szCs w:val="20"/>
                <w:color w:val="auto"/>
              </w:rPr>
            </w:pPr>
            <w:r>
              <w:rPr>
                <w:rFonts w:ascii="Arial" w:cs="Arial" w:eastAsia="Arial" w:hAnsi="Arial"/>
                <w:sz w:val="14"/>
                <w:szCs w:val="14"/>
                <w:color w:val="auto"/>
              </w:rPr>
              <w:t>108.1</w:t>
            </w:r>
          </w:p>
        </w:tc>
        <w:tc>
          <w:tcPr>
            <w:tcW w:w="100" w:type="dxa"/>
            <w:vAlign w:val="bottom"/>
          </w:tcPr>
          <w:p>
            <w:pPr>
              <w:spacing w:after="0"/>
              <w:rPr>
                <w:sz w:val="18"/>
                <w:szCs w:val="18"/>
                <w:color w:val="auto"/>
              </w:rPr>
            </w:pPr>
          </w:p>
        </w:tc>
        <w:tc>
          <w:tcPr>
            <w:tcW w:w="2160" w:type="dxa"/>
            <w:vAlign w:val="bottom"/>
          </w:tcPr>
          <w:p>
            <w:pPr>
              <w:jc w:val="right"/>
              <w:ind w:right="49"/>
              <w:spacing w:after="0"/>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238"/>
        </w:trPr>
        <w:tc>
          <w:tcPr>
            <w:tcW w:w="6960" w:type="dxa"/>
            <w:vAlign w:val="bottom"/>
          </w:tcPr>
          <w:p>
            <w:pPr>
              <w:ind w:left="120"/>
              <w:spacing w:after="0"/>
              <w:rPr>
                <w:sz w:val="20"/>
                <w:szCs w:val="20"/>
                <w:color w:val="auto"/>
              </w:rPr>
            </w:pPr>
            <w:r>
              <w:rPr>
                <w:rFonts w:ascii="Arial" w:cs="Arial" w:eastAsia="Arial" w:hAnsi="Arial"/>
                <w:sz w:val="14"/>
                <w:szCs w:val="14"/>
                <w:color w:val="auto"/>
              </w:rPr>
              <w:t>Contingent consideration</w:t>
            </w:r>
          </w:p>
        </w:tc>
        <w:tc>
          <w:tcPr>
            <w:tcW w:w="2200" w:type="dxa"/>
            <w:vAlign w:val="bottom"/>
          </w:tcPr>
          <w:p>
            <w:pPr>
              <w:jc w:val="right"/>
              <w:ind w:right="49"/>
              <w:spacing w:after="0"/>
              <w:rPr>
                <w:sz w:val="20"/>
                <w:szCs w:val="20"/>
                <w:color w:val="auto"/>
              </w:rPr>
            </w:pPr>
            <w:r>
              <w:rPr>
                <w:rFonts w:ascii="Arial" w:cs="Arial" w:eastAsia="Arial" w:hAnsi="Arial"/>
                <w:sz w:val="14"/>
                <w:szCs w:val="14"/>
                <w:color w:val="auto"/>
              </w:rPr>
              <w:t>164.6</w:t>
            </w:r>
          </w:p>
        </w:tc>
        <w:tc>
          <w:tcPr>
            <w:tcW w:w="100" w:type="dxa"/>
            <w:vAlign w:val="bottom"/>
          </w:tcPr>
          <w:p>
            <w:pPr>
              <w:spacing w:after="0"/>
              <w:rPr>
                <w:sz w:val="20"/>
                <w:szCs w:val="20"/>
                <w:color w:val="auto"/>
              </w:rPr>
            </w:pPr>
          </w:p>
        </w:tc>
        <w:tc>
          <w:tcPr>
            <w:tcW w:w="2160" w:type="dxa"/>
            <w:vAlign w:val="bottom"/>
          </w:tcPr>
          <w:p>
            <w:pPr>
              <w:jc w:val="right"/>
              <w:ind w:right="49"/>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238"/>
        </w:trPr>
        <w:tc>
          <w:tcPr>
            <w:tcW w:w="6960" w:type="dxa"/>
            <w:vAlign w:val="bottom"/>
          </w:tcPr>
          <w:p>
            <w:pPr>
              <w:ind w:left="120"/>
              <w:spacing w:after="0"/>
              <w:rPr>
                <w:sz w:val="20"/>
                <w:szCs w:val="20"/>
                <w:color w:val="auto"/>
              </w:rPr>
            </w:pPr>
            <w:r>
              <w:rPr>
                <w:rFonts w:ascii="Arial" w:cs="Arial" w:eastAsia="Arial" w:hAnsi="Arial"/>
                <w:sz w:val="14"/>
                <w:szCs w:val="14"/>
                <w:color w:val="auto"/>
              </w:rPr>
              <w:t>Deferred income taxes liability</w:t>
            </w:r>
          </w:p>
        </w:tc>
        <w:tc>
          <w:tcPr>
            <w:tcW w:w="2200" w:type="dxa"/>
            <w:vAlign w:val="bottom"/>
          </w:tcPr>
          <w:p>
            <w:pPr>
              <w:jc w:val="right"/>
              <w:ind w:right="49"/>
              <w:spacing w:after="0"/>
              <w:rPr>
                <w:sz w:val="20"/>
                <w:szCs w:val="20"/>
                <w:color w:val="auto"/>
              </w:rPr>
            </w:pPr>
            <w:r>
              <w:rPr>
                <w:rFonts w:ascii="Arial" w:cs="Arial" w:eastAsia="Arial" w:hAnsi="Arial"/>
                <w:sz w:val="14"/>
                <w:szCs w:val="14"/>
                <w:color w:val="auto"/>
              </w:rPr>
              <w:t>150.1</w:t>
            </w:r>
          </w:p>
        </w:tc>
        <w:tc>
          <w:tcPr>
            <w:tcW w:w="100" w:type="dxa"/>
            <w:vAlign w:val="bottom"/>
          </w:tcPr>
          <w:p>
            <w:pPr>
              <w:spacing w:after="0"/>
              <w:rPr>
                <w:sz w:val="20"/>
                <w:szCs w:val="20"/>
                <w:color w:val="auto"/>
              </w:rPr>
            </w:pPr>
          </w:p>
        </w:tc>
        <w:tc>
          <w:tcPr>
            <w:tcW w:w="2160" w:type="dxa"/>
            <w:vAlign w:val="bottom"/>
          </w:tcPr>
          <w:p>
            <w:pPr>
              <w:jc w:val="right"/>
              <w:ind w:right="49"/>
              <w:spacing w:after="0"/>
              <w:rPr>
                <w:sz w:val="20"/>
                <w:szCs w:val="20"/>
                <w:color w:val="auto"/>
              </w:rPr>
            </w:pPr>
            <w:r>
              <w:rPr>
                <w:rFonts w:ascii="Arial" w:cs="Arial" w:eastAsia="Arial" w:hAnsi="Arial"/>
                <w:sz w:val="14"/>
                <w:szCs w:val="14"/>
                <w:color w:val="auto"/>
              </w:rPr>
              <w:t>123.3</w:t>
            </w:r>
          </w:p>
        </w:tc>
        <w:tc>
          <w:tcPr>
            <w:tcW w:w="0" w:type="dxa"/>
            <w:vAlign w:val="bottom"/>
          </w:tcPr>
          <w:p>
            <w:pPr>
              <w:spacing w:after="0"/>
              <w:rPr>
                <w:sz w:val="1"/>
                <w:szCs w:val="1"/>
                <w:color w:val="auto"/>
              </w:rPr>
            </w:pPr>
          </w:p>
        </w:tc>
      </w:tr>
      <w:tr>
        <w:trPr>
          <w:trHeight w:val="238"/>
        </w:trPr>
        <w:tc>
          <w:tcPr>
            <w:tcW w:w="6960" w:type="dxa"/>
            <w:vAlign w:val="bottom"/>
          </w:tcPr>
          <w:p>
            <w:pPr>
              <w:ind w:left="120"/>
              <w:spacing w:after="0"/>
              <w:rPr>
                <w:sz w:val="20"/>
                <w:szCs w:val="20"/>
                <w:color w:val="auto"/>
              </w:rPr>
            </w:pPr>
            <w:r>
              <w:rPr>
                <w:rFonts w:ascii="Arial" w:cs="Arial" w:eastAsia="Arial" w:hAnsi="Arial"/>
                <w:sz w:val="14"/>
                <w:szCs w:val="14"/>
                <w:color w:val="auto"/>
              </w:rPr>
              <w:t>Long-term employee compensation and related benefits</w:t>
            </w:r>
          </w:p>
        </w:tc>
        <w:tc>
          <w:tcPr>
            <w:tcW w:w="2200" w:type="dxa"/>
            <w:vAlign w:val="bottom"/>
          </w:tcPr>
          <w:p>
            <w:pPr>
              <w:jc w:val="right"/>
              <w:ind w:right="49"/>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20"/>
                <w:szCs w:val="20"/>
                <w:color w:val="auto"/>
              </w:rPr>
            </w:pPr>
          </w:p>
        </w:tc>
        <w:tc>
          <w:tcPr>
            <w:tcW w:w="2160" w:type="dxa"/>
            <w:vAlign w:val="bottom"/>
          </w:tcPr>
          <w:p>
            <w:pPr>
              <w:jc w:val="right"/>
              <w:ind w:right="49"/>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47"/>
        </w:trPr>
        <w:tc>
          <w:tcPr>
            <w:tcW w:w="6960" w:type="dxa"/>
            <w:vAlign w:val="bottom"/>
          </w:tcPr>
          <w:p>
            <w:pPr>
              <w:ind w:left="120"/>
              <w:spacing w:after="0"/>
              <w:rPr>
                <w:sz w:val="20"/>
                <w:szCs w:val="20"/>
                <w:color w:val="auto"/>
              </w:rPr>
            </w:pPr>
            <w:r>
              <w:rPr>
                <w:rFonts w:ascii="Arial" w:cs="Arial" w:eastAsia="Arial" w:hAnsi="Arial"/>
                <w:sz w:val="14"/>
                <w:szCs w:val="14"/>
                <w:color w:val="auto"/>
              </w:rPr>
              <w:t>Other long-term liabilities</w:t>
            </w:r>
          </w:p>
        </w:tc>
        <w:tc>
          <w:tcPr>
            <w:tcW w:w="2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1"/>
                <w:szCs w:val="21"/>
                <w:color w:val="auto"/>
              </w:rPr>
            </w:pPr>
          </w:p>
        </w:tc>
        <w:tc>
          <w:tcPr>
            <w:tcW w:w="21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18"/>
        </w:trPr>
        <w:tc>
          <w:tcPr>
            <w:tcW w:w="6960" w:type="dxa"/>
            <w:vAlign w:val="bottom"/>
          </w:tcPr>
          <w:p>
            <w:pPr>
              <w:spacing w:after="0"/>
              <w:rPr>
                <w:sz w:val="20"/>
                <w:szCs w:val="20"/>
                <w:color w:val="auto"/>
              </w:rPr>
            </w:pPr>
            <w:r>
              <w:rPr>
                <w:rFonts w:ascii="Arial" w:cs="Arial" w:eastAsia="Arial" w:hAnsi="Arial"/>
                <w:sz w:val="14"/>
                <w:szCs w:val="14"/>
                <w:color w:val="auto"/>
              </w:rPr>
              <w:t>Total Liabilities</w:t>
            </w:r>
          </w:p>
        </w:tc>
        <w:tc>
          <w:tcPr>
            <w:tcW w:w="2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825.7</w:t>
            </w:r>
          </w:p>
        </w:tc>
        <w:tc>
          <w:tcPr>
            <w:tcW w:w="100" w:type="dxa"/>
            <w:vAlign w:val="bottom"/>
          </w:tcPr>
          <w:p>
            <w:pPr>
              <w:spacing w:after="0"/>
              <w:rPr>
                <w:sz w:val="18"/>
                <w:szCs w:val="18"/>
                <w:color w:val="auto"/>
              </w:rPr>
            </w:pPr>
          </w:p>
        </w:tc>
        <w:tc>
          <w:tcPr>
            <w:tcW w:w="21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688.6</w:t>
            </w:r>
          </w:p>
        </w:tc>
        <w:tc>
          <w:tcPr>
            <w:tcW w:w="0" w:type="dxa"/>
            <w:vAlign w:val="bottom"/>
          </w:tcPr>
          <w:p>
            <w:pPr>
              <w:spacing w:after="0"/>
              <w:rPr>
                <w:sz w:val="1"/>
                <w:szCs w:val="1"/>
                <w:color w:val="auto"/>
              </w:rPr>
            </w:pPr>
          </w:p>
        </w:tc>
      </w:tr>
      <w:tr>
        <w:trPr>
          <w:trHeight w:val="218"/>
        </w:trPr>
        <w:tc>
          <w:tcPr>
            <w:tcW w:w="696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1,785.0</w:t>
            </w:r>
          </w:p>
        </w:tc>
        <w:tc>
          <w:tcPr>
            <w:tcW w:w="100" w:type="dxa"/>
            <w:vAlign w:val="bottom"/>
          </w:tcPr>
          <w:p>
            <w:pPr>
              <w:spacing w:after="0"/>
              <w:rPr>
                <w:sz w:val="18"/>
                <w:szCs w:val="18"/>
                <w:color w:val="auto"/>
              </w:rPr>
            </w:pPr>
          </w:p>
        </w:tc>
        <w:tc>
          <w:tcPr>
            <w:tcW w:w="21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1,815.3</w:t>
            </w:r>
          </w:p>
        </w:tc>
        <w:tc>
          <w:tcPr>
            <w:tcW w:w="0" w:type="dxa"/>
            <w:vAlign w:val="bottom"/>
          </w:tcPr>
          <w:p>
            <w:pPr>
              <w:spacing w:after="0"/>
              <w:rPr>
                <w:sz w:val="1"/>
                <w:szCs w:val="1"/>
                <w:color w:val="auto"/>
              </w:rPr>
            </w:pPr>
          </w:p>
        </w:tc>
      </w:tr>
      <w:tr>
        <w:trPr>
          <w:trHeight w:val="235"/>
        </w:trPr>
        <w:tc>
          <w:tcPr>
            <w:tcW w:w="696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2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$2,610.7</w:t>
            </w:r>
          </w:p>
        </w:tc>
        <w:tc>
          <w:tcPr>
            <w:tcW w:w="100" w:type="dxa"/>
            <w:vAlign w:val="bottom"/>
          </w:tcPr>
          <w:p>
            <w:pPr>
              <w:spacing w:after="0"/>
              <w:rPr>
                <w:sz w:val="20"/>
                <w:szCs w:val="20"/>
                <w:color w:val="auto"/>
              </w:rPr>
            </w:pPr>
          </w:p>
        </w:tc>
        <w:tc>
          <w:tcPr>
            <w:tcW w:w="21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$2,503.9</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05" w:hanging="105"/>
        <w:spacing w:after="0"/>
        <w:tabs>
          <w:tab w:leader="none" w:pos="105" w:val="left"/>
        </w:tabs>
        <w:numPr>
          <w:ilvl w:val="0"/>
          <w:numId w:val="13"/>
        </w:numPr>
        <w:rPr>
          <w:rFonts w:ascii="Arial" w:cs="Arial" w:eastAsia="Arial" w:hAnsi="Arial"/>
          <w:sz w:val="13"/>
          <w:szCs w:val="13"/>
          <w:color w:val="auto"/>
        </w:rPr>
      </w:pPr>
      <w:r>
        <w:rPr>
          <w:rFonts w:ascii="Arial" w:cs="Arial" w:eastAsia="Arial" w:hAnsi="Arial"/>
          <w:sz w:val="13"/>
          <w:szCs w:val="13"/>
          <w:color w:val="auto"/>
        </w:rPr>
        <w:t>Numbers may not add up precisely due to rounding.</w:t>
      </w:r>
    </w:p>
    <w:p>
      <w:pPr>
        <w:spacing w:after="0" w:line="221"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445"/>
          </w:cols>
          <w:pgMar w:left="235" w:top="706" w:right="21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LIVANOVA PLC AND SUBSIDIARIES</w:t>
      </w:r>
    </w:p>
    <w:p>
      <w:pPr>
        <w:spacing w:after="0" w:line="42" w:lineRule="exact"/>
        <w:rPr>
          <w:sz w:val="20"/>
          <w:szCs w:val="20"/>
          <w:color w:val="auto"/>
        </w:rPr>
      </w:pPr>
    </w:p>
    <w:p>
      <w:pPr>
        <w:ind w:right="4460"/>
        <w:spacing w:after="0" w:line="311" w:lineRule="auto"/>
        <w:rPr>
          <w:sz w:val="20"/>
          <w:szCs w:val="20"/>
          <w:color w:val="auto"/>
        </w:rPr>
      </w:pPr>
      <w:r>
        <w:rPr>
          <w:rFonts w:ascii="Arial" w:cs="Arial" w:eastAsia="Arial" w:hAnsi="Arial"/>
          <w:sz w:val="17"/>
          <w:szCs w:val="17"/>
          <w:b w:val="1"/>
          <w:bCs w:val="1"/>
          <w:color w:val="auto"/>
        </w:rPr>
        <w:t>CONDENSED CONSOLIDATED STATEMENTS OF CASH FLOWS - UNAUDITED (U.S. dollars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420" w:type="dxa"/>
            <w:vAlign w:val="bottom"/>
          </w:tcPr>
          <w:p>
            <w:pPr>
              <w:spacing w:after="0"/>
              <w:rPr>
                <w:sz w:val="17"/>
                <w:szCs w:val="17"/>
                <w:color w:val="auto"/>
              </w:rPr>
            </w:pPr>
          </w:p>
        </w:tc>
        <w:tc>
          <w:tcPr>
            <w:tcW w:w="3480" w:type="dxa"/>
            <w:vAlign w:val="bottom"/>
            <w:tcBorders>
              <w:bottom w:val="single" w:sz="8" w:color="auto"/>
            </w:tcBorders>
            <w:gridSpan w:val="3"/>
          </w:tcPr>
          <w:p>
            <w:pPr>
              <w:jc w:val="right"/>
              <w:ind w:right="489"/>
              <w:spacing w:after="0"/>
              <w:rPr>
                <w:sz w:val="20"/>
                <w:szCs w:val="20"/>
                <w:color w:val="auto"/>
              </w:rPr>
            </w:pPr>
            <w:r>
              <w:rPr>
                <w:rFonts w:ascii="Arial" w:cs="Arial" w:eastAsia="Arial" w:hAnsi="Arial"/>
                <w:sz w:val="14"/>
                <w:szCs w:val="14"/>
                <w:b w:val="1"/>
                <w:bCs w:val="1"/>
                <w:color w:val="auto"/>
              </w:rPr>
              <w:t>Nine Months Ended September 30,</w:t>
            </w:r>
          </w:p>
        </w:tc>
      </w:tr>
      <w:tr>
        <w:trPr>
          <w:trHeight w:val="230"/>
        </w:trPr>
        <w:tc>
          <w:tcPr>
            <w:tcW w:w="7420" w:type="dxa"/>
            <w:vAlign w:val="bottom"/>
          </w:tcPr>
          <w:p>
            <w:pPr>
              <w:spacing w:after="0"/>
              <w:rPr>
                <w:sz w:val="20"/>
                <w:szCs w:val="20"/>
                <w:color w:val="auto"/>
              </w:rPr>
            </w:pPr>
            <w:r>
              <w:rPr>
                <w:rFonts w:ascii="Arial" w:cs="Arial" w:eastAsia="Arial" w:hAnsi="Arial"/>
                <w:sz w:val="14"/>
                <w:szCs w:val="14"/>
                <w:b w:val="1"/>
                <w:bCs w:val="1"/>
                <w:color w:val="auto"/>
              </w:rPr>
              <w:t>Operating Activities:</w:t>
            </w:r>
          </w:p>
        </w:tc>
        <w:tc>
          <w:tcPr>
            <w:tcW w:w="164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162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2017</w:t>
            </w:r>
          </w:p>
        </w:tc>
      </w:tr>
      <w:tr>
        <w:trPr>
          <w:trHeight w:val="220"/>
        </w:trPr>
        <w:tc>
          <w:tcPr>
            <w:tcW w:w="742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$21.2</w:t>
            </w:r>
          </w:p>
        </w:tc>
        <w:tc>
          <w:tcPr>
            <w:tcW w:w="220" w:type="dxa"/>
            <w:vAlign w:val="bottom"/>
          </w:tcPr>
          <w:p>
            <w:pPr>
              <w:spacing w:after="0"/>
              <w:rPr>
                <w:sz w:val="19"/>
                <w:szCs w:val="19"/>
                <w:color w:val="auto"/>
              </w:rPr>
            </w:pPr>
          </w:p>
        </w:tc>
        <w:tc>
          <w:tcPr>
            <w:tcW w:w="1620" w:type="dxa"/>
            <w:vAlign w:val="bottom"/>
          </w:tcPr>
          <w:p>
            <w:pPr>
              <w:jc w:val="right"/>
              <w:ind w:right="29"/>
              <w:spacing w:after="0"/>
              <w:rPr>
                <w:sz w:val="20"/>
                <w:szCs w:val="20"/>
                <w:color w:val="auto"/>
              </w:rPr>
            </w:pPr>
            <w:r>
              <w:rPr>
                <w:rFonts w:ascii="Arial" w:cs="Arial" w:eastAsia="Arial" w:hAnsi="Arial"/>
                <w:sz w:val="14"/>
                <w:szCs w:val="14"/>
                <w:color w:val="auto"/>
              </w:rPr>
              <w:t>$86.6</w:t>
            </w:r>
          </w:p>
        </w:tc>
      </w:tr>
      <w:tr>
        <w:trPr>
          <w:trHeight w:val="238"/>
        </w:trPr>
        <w:tc>
          <w:tcPr>
            <w:tcW w:w="7420" w:type="dxa"/>
            <w:vAlign w:val="bottom"/>
          </w:tcPr>
          <w:p>
            <w:pPr>
              <w:spacing w:after="0"/>
              <w:rPr>
                <w:sz w:val="20"/>
                <w:szCs w:val="20"/>
                <w:color w:val="auto"/>
              </w:rPr>
            </w:pPr>
            <w:r>
              <w:rPr>
                <w:rFonts w:ascii="Arial" w:cs="Arial" w:eastAsia="Arial" w:hAnsi="Arial"/>
                <w:sz w:val="14"/>
                <w:szCs w:val="14"/>
                <w:color w:val="auto"/>
              </w:rPr>
              <w:t>Non-cash items included in net income:</w:t>
            </w: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7420" w:type="dxa"/>
            <w:vAlign w:val="bottom"/>
          </w:tcPr>
          <w:p>
            <w:pPr>
              <w:ind w:left="320"/>
              <w:spacing w:after="0"/>
              <w:rPr>
                <w:sz w:val="20"/>
                <w:szCs w:val="20"/>
                <w:color w:val="auto"/>
              </w:rPr>
            </w:pPr>
            <w:r>
              <w:rPr>
                <w:rFonts w:ascii="Arial" w:cs="Arial" w:eastAsia="Arial" w:hAnsi="Arial"/>
                <w:sz w:val="14"/>
                <w:szCs w:val="14"/>
                <w:color w:val="auto"/>
              </w:rPr>
              <w:t>Depreciation</w:t>
            </w: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25.0</w:t>
            </w:r>
          </w:p>
        </w:tc>
        <w:tc>
          <w:tcPr>
            <w:tcW w:w="220" w:type="dxa"/>
            <w:vAlign w:val="bottom"/>
          </w:tcPr>
          <w:p>
            <w:pPr>
              <w:spacing w:after="0"/>
              <w:rPr>
                <w:sz w:val="20"/>
                <w:szCs w:val="20"/>
                <w:color w:val="auto"/>
              </w:rPr>
            </w:pPr>
          </w:p>
        </w:tc>
        <w:tc>
          <w:tcPr>
            <w:tcW w:w="1620" w:type="dxa"/>
            <w:vAlign w:val="bottom"/>
          </w:tcPr>
          <w:p>
            <w:pPr>
              <w:jc w:val="right"/>
              <w:ind w:right="29"/>
              <w:spacing w:after="0"/>
              <w:rPr>
                <w:sz w:val="20"/>
                <w:szCs w:val="20"/>
                <w:color w:val="auto"/>
              </w:rPr>
            </w:pPr>
            <w:r>
              <w:rPr>
                <w:rFonts w:ascii="Arial" w:cs="Arial" w:eastAsia="Arial" w:hAnsi="Arial"/>
                <w:sz w:val="14"/>
                <w:szCs w:val="14"/>
                <w:color w:val="auto"/>
              </w:rPr>
              <w:t>27.9</w:t>
            </w:r>
          </w:p>
        </w:tc>
      </w:tr>
      <w:tr>
        <w:trPr>
          <w:trHeight w:val="238"/>
        </w:trPr>
        <w:tc>
          <w:tcPr>
            <w:tcW w:w="7420" w:type="dxa"/>
            <w:vAlign w:val="bottom"/>
          </w:tcPr>
          <w:p>
            <w:pPr>
              <w:ind w:left="320"/>
              <w:spacing w:after="0"/>
              <w:rPr>
                <w:sz w:val="20"/>
                <w:szCs w:val="20"/>
                <w:color w:val="auto"/>
              </w:rPr>
            </w:pPr>
            <w:r>
              <w:rPr>
                <w:rFonts w:ascii="Arial" w:cs="Arial" w:eastAsia="Arial" w:hAnsi="Arial"/>
                <w:sz w:val="14"/>
                <w:szCs w:val="14"/>
                <w:color w:val="auto"/>
              </w:rPr>
              <w:t>Amortization</w:t>
            </w: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28.1</w:t>
            </w:r>
          </w:p>
        </w:tc>
        <w:tc>
          <w:tcPr>
            <w:tcW w:w="220" w:type="dxa"/>
            <w:vAlign w:val="bottom"/>
          </w:tcPr>
          <w:p>
            <w:pPr>
              <w:spacing w:after="0"/>
              <w:rPr>
                <w:sz w:val="20"/>
                <w:szCs w:val="20"/>
                <w:color w:val="auto"/>
              </w:rPr>
            </w:pPr>
          </w:p>
        </w:tc>
        <w:tc>
          <w:tcPr>
            <w:tcW w:w="1620" w:type="dxa"/>
            <w:vAlign w:val="bottom"/>
          </w:tcPr>
          <w:p>
            <w:pPr>
              <w:jc w:val="right"/>
              <w:ind w:right="29"/>
              <w:spacing w:after="0"/>
              <w:rPr>
                <w:sz w:val="20"/>
                <w:szCs w:val="20"/>
                <w:color w:val="auto"/>
              </w:rPr>
            </w:pPr>
            <w:r>
              <w:rPr>
                <w:rFonts w:ascii="Arial" w:cs="Arial" w:eastAsia="Arial" w:hAnsi="Arial"/>
                <w:sz w:val="14"/>
                <w:szCs w:val="14"/>
                <w:color w:val="auto"/>
              </w:rPr>
              <w:t>35.4</w:t>
            </w:r>
          </w:p>
        </w:tc>
      </w:tr>
      <w:tr>
        <w:trPr>
          <w:trHeight w:val="238"/>
        </w:trPr>
        <w:tc>
          <w:tcPr>
            <w:tcW w:w="7420" w:type="dxa"/>
            <w:vAlign w:val="bottom"/>
          </w:tcPr>
          <w:p>
            <w:pPr>
              <w:ind w:left="320"/>
              <w:spacing w:after="0"/>
              <w:rPr>
                <w:sz w:val="20"/>
                <w:szCs w:val="20"/>
                <w:color w:val="auto"/>
              </w:rPr>
            </w:pPr>
            <w:r>
              <w:rPr>
                <w:rFonts w:ascii="Arial" w:cs="Arial" w:eastAsia="Arial" w:hAnsi="Arial"/>
                <w:sz w:val="14"/>
                <w:szCs w:val="14"/>
                <w:color w:val="auto"/>
              </w:rPr>
              <w:t>Stock-based compensation</w:t>
            </w: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21.4</w:t>
            </w:r>
          </w:p>
        </w:tc>
        <w:tc>
          <w:tcPr>
            <w:tcW w:w="220" w:type="dxa"/>
            <w:vAlign w:val="bottom"/>
          </w:tcPr>
          <w:p>
            <w:pPr>
              <w:spacing w:after="0"/>
              <w:rPr>
                <w:sz w:val="20"/>
                <w:szCs w:val="20"/>
                <w:color w:val="auto"/>
              </w:rPr>
            </w:pPr>
          </w:p>
        </w:tc>
        <w:tc>
          <w:tcPr>
            <w:tcW w:w="1620" w:type="dxa"/>
            <w:vAlign w:val="bottom"/>
          </w:tcPr>
          <w:p>
            <w:pPr>
              <w:jc w:val="right"/>
              <w:ind w:right="29"/>
              <w:spacing w:after="0"/>
              <w:rPr>
                <w:sz w:val="20"/>
                <w:szCs w:val="20"/>
                <w:color w:val="auto"/>
              </w:rPr>
            </w:pPr>
            <w:r>
              <w:rPr>
                <w:rFonts w:ascii="Arial" w:cs="Arial" w:eastAsia="Arial" w:hAnsi="Arial"/>
                <w:sz w:val="14"/>
                <w:szCs w:val="14"/>
                <w:color w:val="auto"/>
              </w:rPr>
              <w:t>14.3</w:t>
            </w:r>
          </w:p>
        </w:tc>
      </w:tr>
      <w:tr>
        <w:trPr>
          <w:trHeight w:val="238"/>
        </w:trPr>
        <w:tc>
          <w:tcPr>
            <w:tcW w:w="7420" w:type="dxa"/>
            <w:vAlign w:val="bottom"/>
          </w:tcPr>
          <w:p>
            <w:pPr>
              <w:ind w:left="320"/>
              <w:spacing w:after="0"/>
              <w:rPr>
                <w:sz w:val="20"/>
                <w:szCs w:val="20"/>
                <w:color w:val="auto"/>
              </w:rPr>
            </w:pPr>
            <w:r>
              <w:rPr>
                <w:rFonts w:ascii="Arial" w:cs="Arial" w:eastAsia="Arial" w:hAnsi="Arial"/>
                <w:sz w:val="14"/>
                <w:szCs w:val="14"/>
                <w:color w:val="auto"/>
              </w:rPr>
              <w:t>Deferred income tax benefit</w:t>
            </w:r>
          </w:p>
        </w:tc>
        <w:tc>
          <w:tcPr>
            <w:tcW w:w="1640" w:type="dxa"/>
            <w:vAlign w:val="bottom"/>
          </w:tcPr>
          <w:p>
            <w:pPr>
              <w:jc w:val="right"/>
              <w:spacing w:after="0"/>
              <w:rPr>
                <w:sz w:val="20"/>
                <w:szCs w:val="20"/>
                <w:color w:val="auto"/>
              </w:rPr>
            </w:pPr>
            <w:r>
              <w:rPr>
                <w:rFonts w:ascii="Arial" w:cs="Arial" w:eastAsia="Arial" w:hAnsi="Arial"/>
                <w:sz w:val="14"/>
                <w:szCs w:val="14"/>
                <w:color w:val="auto"/>
              </w:rPr>
              <w:t>(13.5)</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(27.3)</w:t>
            </w:r>
          </w:p>
        </w:tc>
      </w:tr>
      <w:tr>
        <w:trPr>
          <w:trHeight w:val="238"/>
        </w:trPr>
        <w:tc>
          <w:tcPr>
            <w:tcW w:w="7420" w:type="dxa"/>
            <w:vAlign w:val="bottom"/>
          </w:tcPr>
          <w:p>
            <w:pPr>
              <w:ind w:left="320"/>
              <w:spacing w:after="0"/>
              <w:rPr>
                <w:sz w:val="20"/>
                <w:szCs w:val="20"/>
                <w:color w:val="auto"/>
              </w:rPr>
            </w:pPr>
            <w:r>
              <w:rPr>
                <w:rFonts w:ascii="Arial" w:cs="Arial" w:eastAsia="Arial" w:hAnsi="Arial"/>
                <w:sz w:val="14"/>
                <w:szCs w:val="14"/>
                <w:color w:val="auto"/>
              </w:rPr>
              <w:t>Losses from equity method investments</w:t>
            </w: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20"/>
                <w:szCs w:val="20"/>
                <w:color w:val="auto"/>
              </w:rPr>
            </w:pPr>
          </w:p>
        </w:tc>
        <w:tc>
          <w:tcPr>
            <w:tcW w:w="1620" w:type="dxa"/>
            <w:vAlign w:val="bottom"/>
          </w:tcPr>
          <w:p>
            <w:pPr>
              <w:jc w:val="right"/>
              <w:ind w:right="29"/>
              <w:spacing w:after="0"/>
              <w:rPr>
                <w:sz w:val="20"/>
                <w:szCs w:val="20"/>
                <w:color w:val="auto"/>
              </w:rPr>
            </w:pPr>
            <w:r>
              <w:rPr>
                <w:rFonts w:ascii="Arial" w:cs="Arial" w:eastAsia="Arial" w:hAnsi="Arial"/>
                <w:sz w:val="14"/>
                <w:szCs w:val="14"/>
                <w:color w:val="auto"/>
              </w:rPr>
              <w:t>20.1</w:t>
            </w:r>
          </w:p>
        </w:tc>
      </w:tr>
      <w:tr>
        <w:trPr>
          <w:trHeight w:val="238"/>
        </w:trPr>
        <w:tc>
          <w:tcPr>
            <w:tcW w:w="7420" w:type="dxa"/>
            <w:vAlign w:val="bottom"/>
          </w:tcPr>
          <w:p>
            <w:pPr>
              <w:ind w:left="320"/>
              <w:spacing w:after="0"/>
              <w:rPr>
                <w:sz w:val="20"/>
                <w:szCs w:val="20"/>
                <w:color w:val="auto"/>
              </w:rPr>
            </w:pPr>
            <w:r>
              <w:rPr>
                <w:rFonts w:ascii="Arial" w:cs="Arial" w:eastAsia="Arial" w:hAnsi="Arial"/>
                <w:sz w:val="14"/>
                <w:szCs w:val="14"/>
                <w:color w:val="auto"/>
              </w:rPr>
              <w:t>Gain on acquisitions</w:t>
            </w:r>
          </w:p>
        </w:tc>
        <w:tc>
          <w:tcPr>
            <w:tcW w:w="1640" w:type="dxa"/>
            <w:vAlign w:val="bottom"/>
          </w:tcPr>
          <w:p>
            <w:pPr>
              <w:jc w:val="right"/>
              <w:spacing w:after="0"/>
              <w:rPr>
                <w:sz w:val="20"/>
                <w:szCs w:val="20"/>
                <w:color w:val="auto"/>
              </w:rPr>
            </w:pPr>
            <w:r>
              <w:rPr>
                <w:rFonts w:ascii="Arial" w:cs="Arial" w:eastAsia="Arial" w:hAnsi="Arial"/>
                <w:sz w:val="14"/>
                <w:szCs w:val="14"/>
                <w:color w:val="auto"/>
              </w:rPr>
              <w:t>(11.5)</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(39.4)</w:t>
            </w:r>
          </w:p>
        </w:tc>
      </w:tr>
      <w:tr>
        <w:trPr>
          <w:trHeight w:val="238"/>
        </w:trPr>
        <w:tc>
          <w:tcPr>
            <w:tcW w:w="7420" w:type="dxa"/>
            <w:vAlign w:val="bottom"/>
          </w:tcPr>
          <w:p>
            <w:pPr>
              <w:ind w:left="320"/>
              <w:spacing w:after="0"/>
              <w:rPr>
                <w:sz w:val="20"/>
                <w:szCs w:val="20"/>
                <w:color w:val="auto"/>
              </w:rPr>
            </w:pPr>
            <w:r>
              <w:rPr>
                <w:rFonts w:ascii="Arial" w:cs="Arial" w:eastAsia="Arial" w:hAnsi="Arial"/>
                <w:sz w:val="14"/>
                <w:szCs w:val="14"/>
                <w:color w:val="auto"/>
              </w:rPr>
              <w:t>Impairment of property, plant and equipment</w:t>
            </w: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0.5</w:t>
            </w:r>
          </w:p>
        </w:tc>
        <w:tc>
          <w:tcPr>
            <w:tcW w:w="220" w:type="dxa"/>
            <w:vAlign w:val="bottom"/>
          </w:tcPr>
          <w:p>
            <w:pPr>
              <w:spacing w:after="0"/>
              <w:rPr>
                <w:sz w:val="20"/>
                <w:szCs w:val="20"/>
                <w:color w:val="auto"/>
              </w:rPr>
            </w:pPr>
          </w:p>
        </w:tc>
        <w:tc>
          <w:tcPr>
            <w:tcW w:w="1620" w:type="dxa"/>
            <w:vAlign w:val="bottom"/>
          </w:tcPr>
          <w:p>
            <w:pPr>
              <w:jc w:val="right"/>
              <w:ind w:right="29"/>
              <w:spacing w:after="0"/>
              <w:rPr>
                <w:sz w:val="20"/>
                <w:szCs w:val="20"/>
                <w:color w:val="auto"/>
              </w:rPr>
            </w:pPr>
            <w:r>
              <w:rPr>
                <w:rFonts w:ascii="Arial" w:cs="Arial" w:eastAsia="Arial" w:hAnsi="Arial"/>
                <w:sz w:val="14"/>
                <w:szCs w:val="14"/>
                <w:color w:val="auto"/>
              </w:rPr>
              <w:t>4.6</w:t>
            </w:r>
          </w:p>
        </w:tc>
      </w:tr>
      <w:tr>
        <w:trPr>
          <w:trHeight w:val="238"/>
        </w:trPr>
        <w:tc>
          <w:tcPr>
            <w:tcW w:w="7420" w:type="dxa"/>
            <w:vAlign w:val="bottom"/>
          </w:tcPr>
          <w:p>
            <w:pPr>
              <w:ind w:left="320"/>
              <w:spacing w:after="0"/>
              <w:rPr>
                <w:sz w:val="20"/>
                <w:szCs w:val="20"/>
                <w:color w:val="auto"/>
              </w:rPr>
            </w:pPr>
            <w:r>
              <w:rPr>
                <w:rFonts w:ascii="Arial" w:cs="Arial" w:eastAsia="Arial" w:hAnsi="Arial"/>
                <w:sz w:val="14"/>
                <w:szCs w:val="14"/>
                <w:color w:val="auto"/>
              </w:rPr>
              <w:t>Amortization of income taxes payable on inter-company transfers of property</w:t>
            </w: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4.2</w:t>
            </w:r>
          </w:p>
        </w:tc>
        <w:tc>
          <w:tcPr>
            <w:tcW w:w="220" w:type="dxa"/>
            <w:vAlign w:val="bottom"/>
          </w:tcPr>
          <w:p>
            <w:pPr>
              <w:spacing w:after="0"/>
              <w:rPr>
                <w:sz w:val="20"/>
                <w:szCs w:val="20"/>
                <w:color w:val="auto"/>
              </w:rPr>
            </w:pPr>
          </w:p>
        </w:tc>
        <w:tc>
          <w:tcPr>
            <w:tcW w:w="1620" w:type="dxa"/>
            <w:vAlign w:val="bottom"/>
          </w:tcPr>
          <w:p>
            <w:pPr>
              <w:jc w:val="right"/>
              <w:ind w:right="29"/>
              <w:spacing w:after="0"/>
              <w:rPr>
                <w:sz w:val="20"/>
                <w:szCs w:val="20"/>
                <w:color w:val="auto"/>
              </w:rPr>
            </w:pPr>
            <w:r>
              <w:rPr>
                <w:rFonts w:ascii="Arial" w:cs="Arial" w:eastAsia="Arial" w:hAnsi="Arial"/>
                <w:sz w:val="14"/>
                <w:szCs w:val="14"/>
                <w:color w:val="auto"/>
              </w:rPr>
              <w:t>23.8</w:t>
            </w:r>
          </w:p>
        </w:tc>
      </w:tr>
      <w:tr>
        <w:trPr>
          <w:trHeight w:val="238"/>
        </w:trPr>
        <w:tc>
          <w:tcPr>
            <w:tcW w:w="7420" w:type="dxa"/>
            <w:vAlign w:val="bottom"/>
          </w:tcPr>
          <w:p>
            <w:pPr>
              <w:ind w:left="320"/>
              <w:spacing w:after="0"/>
              <w:rPr>
                <w:sz w:val="20"/>
                <w:szCs w:val="20"/>
                <w:color w:val="auto"/>
              </w:rPr>
            </w:pPr>
            <w:r>
              <w:rPr>
                <w:rFonts w:ascii="Arial" w:cs="Arial" w:eastAsia="Arial" w:hAnsi="Arial"/>
                <w:sz w:val="14"/>
                <w:szCs w:val="14"/>
                <w:color w:val="auto"/>
              </w:rPr>
              <w:t>Other</w:t>
            </w:r>
          </w:p>
        </w:tc>
        <w:tc>
          <w:tcPr>
            <w:tcW w:w="1640" w:type="dxa"/>
            <w:vAlign w:val="bottom"/>
          </w:tcPr>
          <w:p>
            <w:pPr>
              <w:jc w:val="right"/>
              <w:spacing w:after="0"/>
              <w:rPr>
                <w:sz w:val="20"/>
                <w:szCs w:val="20"/>
                <w:color w:val="auto"/>
              </w:rPr>
            </w:pPr>
            <w:r>
              <w:rPr>
                <w:rFonts w:ascii="Arial" w:cs="Arial" w:eastAsia="Arial" w:hAnsi="Arial"/>
                <w:sz w:val="14"/>
                <w:szCs w:val="14"/>
                <w:color w:val="auto"/>
              </w:rPr>
              <w:t>(1.9)</w:t>
            </w:r>
          </w:p>
        </w:tc>
        <w:tc>
          <w:tcPr>
            <w:tcW w:w="220" w:type="dxa"/>
            <w:vAlign w:val="bottom"/>
          </w:tcPr>
          <w:p>
            <w:pPr>
              <w:spacing w:after="0"/>
              <w:rPr>
                <w:sz w:val="20"/>
                <w:szCs w:val="20"/>
                <w:color w:val="auto"/>
              </w:rPr>
            </w:pPr>
          </w:p>
        </w:tc>
        <w:tc>
          <w:tcPr>
            <w:tcW w:w="1620" w:type="dxa"/>
            <w:vAlign w:val="bottom"/>
          </w:tcPr>
          <w:p>
            <w:pPr>
              <w:jc w:val="right"/>
              <w:ind w:right="29"/>
              <w:spacing w:after="0"/>
              <w:rPr>
                <w:sz w:val="20"/>
                <w:szCs w:val="20"/>
                <w:color w:val="auto"/>
              </w:rPr>
            </w:pPr>
            <w:r>
              <w:rPr>
                <w:rFonts w:ascii="Arial" w:cs="Arial" w:eastAsia="Arial" w:hAnsi="Arial"/>
                <w:sz w:val="14"/>
                <w:szCs w:val="14"/>
                <w:color w:val="auto"/>
              </w:rPr>
              <w:t>3.4</w:t>
            </w:r>
          </w:p>
        </w:tc>
      </w:tr>
      <w:tr>
        <w:trPr>
          <w:trHeight w:val="238"/>
        </w:trPr>
        <w:tc>
          <w:tcPr>
            <w:tcW w:w="7420" w:type="dxa"/>
            <w:vAlign w:val="bottom"/>
          </w:tcPr>
          <w:p>
            <w:pPr>
              <w:spacing w:after="0"/>
              <w:rPr>
                <w:sz w:val="20"/>
                <w:szCs w:val="20"/>
                <w:color w:val="auto"/>
              </w:rPr>
            </w:pPr>
            <w:r>
              <w:rPr>
                <w:rFonts w:ascii="Arial" w:cs="Arial" w:eastAsia="Arial" w:hAnsi="Arial"/>
                <w:sz w:val="14"/>
                <w:szCs w:val="14"/>
                <w:b w:val="1"/>
                <w:bCs w:val="1"/>
                <w:color w:val="auto"/>
              </w:rPr>
              <w:t>Changes in operating assets and liabilities:</w:t>
            </w: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7420" w:type="dxa"/>
            <w:vAlign w:val="bottom"/>
          </w:tcPr>
          <w:p>
            <w:pPr>
              <w:ind w:left="320"/>
              <w:spacing w:after="0"/>
              <w:rPr>
                <w:sz w:val="20"/>
                <w:szCs w:val="20"/>
                <w:color w:val="auto"/>
              </w:rPr>
            </w:pPr>
            <w:r>
              <w:rPr>
                <w:rFonts w:ascii="Arial" w:cs="Arial" w:eastAsia="Arial" w:hAnsi="Arial"/>
                <w:sz w:val="14"/>
                <w:szCs w:val="14"/>
                <w:color w:val="auto"/>
              </w:rPr>
              <w:t>Accounts receivable, net</w:t>
            </w: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30.5</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(19.1)</w:t>
            </w:r>
          </w:p>
        </w:tc>
      </w:tr>
      <w:tr>
        <w:trPr>
          <w:trHeight w:val="238"/>
        </w:trPr>
        <w:tc>
          <w:tcPr>
            <w:tcW w:w="7420" w:type="dxa"/>
            <w:vAlign w:val="bottom"/>
          </w:tcPr>
          <w:p>
            <w:pPr>
              <w:ind w:left="320"/>
              <w:spacing w:after="0"/>
              <w:rPr>
                <w:sz w:val="20"/>
                <w:szCs w:val="20"/>
                <w:color w:val="auto"/>
              </w:rPr>
            </w:pPr>
            <w:r>
              <w:rPr>
                <w:rFonts w:ascii="Arial" w:cs="Arial" w:eastAsia="Arial" w:hAnsi="Arial"/>
                <w:sz w:val="14"/>
                <w:szCs w:val="14"/>
                <w:color w:val="auto"/>
              </w:rPr>
              <w:t>Inventories</w:t>
            </w:r>
          </w:p>
        </w:tc>
        <w:tc>
          <w:tcPr>
            <w:tcW w:w="1640" w:type="dxa"/>
            <w:vAlign w:val="bottom"/>
          </w:tcPr>
          <w:p>
            <w:pPr>
              <w:jc w:val="right"/>
              <w:spacing w:after="0"/>
              <w:rPr>
                <w:sz w:val="20"/>
                <w:szCs w:val="20"/>
                <w:color w:val="auto"/>
              </w:rPr>
            </w:pPr>
            <w:r>
              <w:rPr>
                <w:rFonts w:ascii="Arial" w:cs="Arial" w:eastAsia="Arial" w:hAnsi="Arial"/>
                <w:sz w:val="14"/>
                <w:szCs w:val="14"/>
                <w:color w:val="auto"/>
              </w:rPr>
              <w:t>(7.6)</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(11.0)</w:t>
            </w:r>
          </w:p>
        </w:tc>
      </w:tr>
      <w:tr>
        <w:trPr>
          <w:trHeight w:val="238"/>
        </w:trPr>
        <w:tc>
          <w:tcPr>
            <w:tcW w:w="7420" w:type="dxa"/>
            <w:vAlign w:val="bottom"/>
          </w:tcPr>
          <w:p>
            <w:pPr>
              <w:ind w:left="320"/>
              <w:spacing w:after="0"/>
              <w:rPr>
                <w:sz w:val="20"/>
                <w:szCs w:val="20"/>
                <w:color w:val="auto"/>
              </w:rPr>
            </w:pPr>
            <w:r>
              <w:rPr>
                <w:rFonts w:ascii="Arial" w:cs="Arial" w:eastAsia="Arial" w:hAnsi="Arial"/>
                <w:sz w:val="14"/>
                <w:szCs w:val="14"/>
                <w:color w:val="auto"/>
              </w:rPr>
              <w:t>Other current and non-current assets</w:t>
            </w:r>
          </w:p>
        </w:tc>
        <w:tc>
          <w:tcPr>
            <w:tcW w:w="1640" w:type="dxa"/>
            <w:vAlign w:val="bottom"/>
          </w:tcPr>
          <w:p>
            <w:pPr>
              <w:jc w:val="right"/>
              <w:spacing w:after="0"/>
              <w:rPr>
                <w:sz w:val="20"/>
                <w:szCs w:val="20"/>
                <w:color w:val="auto"/>
              </w:rPr>
            </w:pPr>
            <w:r>
              <w:rPr>
                <w:rFonts w:ascii="Arial" w:cs="Arial" w:eastAsia="Arial" w:hAnsi="Arial"/>
                <w:sz w:val="14"/>
                <w:szCs w:val="14"/>
                <w:color w:val="auto"/>
              </w:rPr>
              <w:t>(16.8)</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(17.8)</w:t>
            </w:r>
          </w:p>
        </w:tc>
      </w:tr>
      <w:tr>
        <w:trPr>
          <w:trHeight w:val="238"/>
        </w:trPr>
        <w:tc>
          <w:tcPr>
            <w:tcW w:w="7420" w:type="dxa"/>
            <w:vAlign w:val="bottom"/>
          </w:tcPr>
          <w:p>
            <w:pPr>
              <w:ind w:left="320"/>
              <w:spacing w:after="0"/>
              <w:rPr>
                <w:sz w:val="20"/>
                <w:szCs w:val="20"/>
                <w:color w:val="auto"/>
              </w:rPr>
            </w:pPr>
            <w:r>
              <w:rPr>
                <w:rFonts w:ascii="Arial" w:cs="Arial" w:eastAsia="Arial" w:hAnsi="Arial"/>
                <w:sz w:val="14"/>
                <w:szCs w:val="14"/>
                <w:color w:val="auto"/>
              </w:rPr>
              <w:t>Accounts payable and accrued current and non-current liabilities</w:t>
            </w: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17.9</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247"/>
        </w:trPr>
        <w:tc>
          <w:tcPr>
            <w:tcW w:w="7420" w:type="dxa"/>
            <w:vAlign w:val="bottom"/>
          </w:tcPr>
          <w:p>
            <w:pPr>
              <w:ind w:left="320"/>
              <w:spacing w:after="0"/>
              <w:rPr>
                <w:sz w:val="20"/>
                <w:szCs w:val="20"/>
                <w:color w:val="auto"/>
              </w:rPr>
            </w:pPr>
            <w:r>
              <w:rPr>
                <w:rFonts w:ascii="Arial" w:cs="Arial" w:eastAsia="Arial" w:hAnsi="Arial"/>
                <w:sz w:val="14"/>
                <w:szCs w:val="14"/>
                <w:color w:val="auto"/>
              </w:rPr>
              <w:t>Restructuring reserve</w:t>
            </w:r>
          </w:p>
        </w:tc>
        <w:tc>
          <w:tcPr>
            <w:tcW w:w="1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0.4</w:t>
            </w:r>
          </w:p>
        </w:tc>
        <w:tc>
          <w:tcPr>
            <w:tcW w:w="220" w:type="dxa"/>
            <w:vAlign w:val="bottom"/>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r>
      <w:tr>
        <w:trPr>
          <w:trHeight w:val="218"/>
        </w:trPr>
        <w:tc>
          <w:tcPr>
            <w:tcW w:w="7420" w:type="dxa"/>
            <w:vAlign w:val="bottom"/>
          </w:tcPr>
          <w:p>
            <w:pPr>
              <w:ind w:left="440"/>
              <w:spacing w:after="0"/>
              <w:rPr>
                <w:sz w:val="20"/>
                <w:szCs w:val="20"/>
                <w:color w:val="auto"/>
              </w:rPr>
            </w:pPr>
            <w:r>
              <w:rPr>
                <w:rFonts w:ascii="Arial" w:cs="Arial" w:eastAsia="Arial" w:hAnsi="Arial"/>
                <w:sz w:val="14"/>
                <w:szCs w:val="14"/>
                <w:b w:val="1"/>
                <w:bCs w:val="1"/>
                <w:color w:val="auto"/>
              </w:rPr>
              <w:t>Net cash provided by operating activities</w:t>
            </w:r>
          </w:p>
        </w:tc>
        <w:tc>
          <w:tcPr>
            <w:tcW w:w="1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99.6</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73.7</w:t>
            </w:r>
          </w:p>
        </w:tc>
      </w:tr>
      <w:tr>
        <w:trPr>
          <w:trHeight w:val="339"/>
        </w:trPr>
        <w:tc>
          <w:tcPr>
            <w:tcW w:w="742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38"/>
        </w:trPr>
        <w:tc>
          <w:tcPr>
            <w:tcW w:w="7420" w:type="dxa"/>
            <w:vAlign w:val="bottom"/>
          </w:tcPr>
          <w:p>
            <w:pPr>
              <w:ind w:left="320"/>
              <w:spacing w:after="0"/>
              <w:rPr>
                <w:sz w:val="20"/>
                <w:szCs w:val="20"/>
                <w:color w:val="auto"/>
              </w:rPr>
            </w:pPr>
            <w:r>
              <w:rPr>
                <w:rFonts w:ascii="Arial" w:cs="Arial" w:eastAsia="Arial" w:hAnsi="Arial"/>
                <w:sz w:val="14"/>
                <w:szCs w:val="14"/>
                <w:color w:val="auto"/>
              </w:rPr>
              <w:t>Acquisitions, net of cash acquired</w:t>
            </w:r>
          </w:p>
        </w:tc>
        <w:tc>
          <w:tcPr>
            <w:tcW w:w="1640" w:type="dxa"/>
            <w:vAlign w:val="bottom"/>
          </w:tcPr>
          <w:p>
            <w:pPr>
              <w:jc w:val="right"/>
              <w:spacing w:after="0"/>
              <w:rPr>
                <w:sz w:val="20"/>
                <w:szCs w:val="20"/>
                <w:color w:val="auto"/>
              </w:rPr>
            </w:pPr>
            <w:r>
              <w:rPr>
                <w:rFonts w:ascii="Arial" w:cs="Arial" w:eastAsia="Arial" w:hAnsi="Arial"/>
                <w:sz w:val="14"/>
                <w:szCs w:val="14"/>
                <w:color w:val="auto"/>
              </w:rPr>
              <w:t>(279.9)</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(14.2)</w:t>
            </w:r>
          </w:p>
        </w:tc>
      </w:tr>
      <w:tr>
        <w:trPr>
          <w:trHeight w:val="238"/>
        </w:trPr>
        <w:tc>
          <w:tcPr>
            <w:tcW w:w="7420" w:type="dxa"/>
            <w:vAlign w:val="bottom"/>
          </w:tcPr>
          <w:p>
            <w:pPr>
              <w:ind w:left="320"/>
              <w:spacing w:after="0"/>
              <w:rPr>
                <w:sz w:val="20"/>
                <w:szCs w:val="20"/>
                <w:color w:val="auto"/>
              </w:rPr>
            </w:pPr>
            <w:r>
              <w:rPr>
                <w:rFonts w:ascii="Arial" w:cs="Arial" w:eastAsia="Arial" w:hAnsi="Arial"/>
                <w:sz w:val="14"/>
                <w:szCs w:val="14"/>
                <w:color w:val="auto"/>
              </w:rPr>
              <w:t>Purchases of property, plant and equipment and other</w:t>
            </w:r>
          </w:p>
        </w:tc>
        <w:tc>
          <w:tcPr>
            <w:tcW w:w="1640" w:type="dxa"/>
            <w:vAlign w:val="bottom"/>
          </w:tcPr>
          <w:p>
            <w:pPr>
              <w:jc w:val="right"/>
              <w:spacing w:after="0"/>
              <w:rPr>
                <w:sz w:val="20"/>
                <w:szCs w:val="20"/>
                <w:color w:val="auto"/>
              </w:rPr>
            </w:pPr>
            <w:r>
              <w:rPr>
                <w:rFonts w:ascii="Arial" w:cs="Arial" w:eastAsia="Arial" w:hAnsi="Arial"/>
                <w:sz w:val="14"/>
                <w:szCs w:val="14"/>
                <w:color w:val="auto"/>
              </w:rPr>
              <w:t>(25.1)</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(24.0)</w:t>
            </w:r>
          </w:p>
        </w:tc>
      </w:tr>
      <w:tr>
        <w:trPr>
          <w:trHeight w:val="238"/>
        </w:trPr>
        <w:tc>
          <w:tcPr>
            <w:tcW w:w="7420" w:type="dxa"/>
            <w:vAlign w:val="bottom"/>
          </w:tcPr>
          <w:p>
            <w:pPr>
              <w:ind w:left="320"/>
              <w:spacing w:after="0"/>
              <w:rPr>
                <w:sz w:val="20"/>
                <w:szCs w:val="20"/>
                <w:color w:val="auto"/>
              </w:rPr>
            </w:pPr>
            <w:r>
              <w:rPr>
                <w:rFonts w:ascii="Arial" w:cs="Arial" w:eastAsia="Arial" w:hAnsi="Arial"/>
                <w:sz w:val="14"/>
                <w:szCs w:val="14"/>
                <w:color w:val="auto"/>
              </w:rPr>
              <w:t>Proceeds from the sale of CRM business franchise</w:t>
            </w: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186.7</w:t>
            </w:r>
          </w:p>
        </w:tc>
        <w:tc>
          <w:tcPr>
            <w:tcW w:w="220" w:type="dxa"/>
            <w:vAlign w:val="bottom"/>
          </w:tcPr>
          <w:p>
            <w:pPr>
              <w:spacing w:after="0"/>
              <w:rPr>
                <w:sz w:val="20"/>
                <w:szCs w:val="20"/>
                <w:color w:val="auto"/>
              </w:rPr>
            </w:pPr>
          </w:p>
        </w:tc>
        <w:tc>
          <w:tcPr>
            <w:tcW w:w="16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38"/>
        </w:trPr>
        <w:tc>
          <w:tcPr>
            <w:tcW w:w="7420" w:type="dxa"/>
            <w:vAlign w:val="bottom"/>
          </w:tcPr>
          <w:p>
            <w:pPr>
              <w:ind w:left="320"/>
              <w:spacing w:after="0"/>
              <w:rPr>
                <w:sz w:val="20"/>
                <w:szCs w:val="20"/>
                <w:color w:val="auto"/>
              </w:rPr>
            </w:pPr>
            <w:r>
              <w:rPr>
                <w:rFonts w:ascii="Arial" w:cs="Arial" w:eastAsia="Arial" w:hAnsi="Arial"/>
                <w:sz w:val="14"/>
                <w:szCs w:val="14"/>
                <w:color w:val="auto"/>
              </w:rPr>
              <w:t>Proceeds from asset sales</w:t>
            </w: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13.9</w:t>
            </w:r>
          </w:p>
        </w:tc>
        <w:tc>
          <w:tcPr>
            <w:tcW w:w="220" w:type="dxa"/>
            <w:vAlign w:val="bottom"/>
          </w:tcPr>
          <w:p>
            <w:pPr>
              <w:spacing w:after="0"/>
              <w:rPr>
                <w:sz w:val="20"/>
                <w:szCs w:val="20"/>
                <w:color w:val="auto"/>
              </w:rPr>
            </w:pPr>
          </w:p>
        </w:tc>
        <w:tc>
          <w:tcPr>
            <w:tcW w:w="1620" w:type="dxa"/>
            <w:vAlign w:val="bottom"/>
          </w:tcPr>
          <w:p>
            <w:pPr>
              <w:jc w:val="right"/>
              <w:ind w:right="29"/>
              <w:spacing w:after="0"/>
              <w:rPr>
                <w:sz w:val="20"/>
                <w:szCs w:val="20"/>
                <w:color w:val="auto"/>
              </w:rPr>
            </w:pPr>
            <w:r>
              <w:rPr>
                <w:rFonts w:ascii="Arial" w:cs="Arial" w:eastAsia="Arial" w:hAnsi="Arial"/>
                <w:sz w:val="14"/>
                <w:szCs w:val="14"/>
                <w:color w:val="auto"/>
              </w:rPr>
              <w:t>5.3</w:t>
            </w:r>
          </w:p>
        </w:tc>
      </w:tr>
      <w:tr>
        <w:trPr>
          <w:trHeight w:val="238"/>
        </w:trPr>
        <w:tc>
          <w:tcPr>
            <w:tcW w:w="7420" w:type="dxa"/>
            <w:vAlign w:val="bottom"/>
          </w:tcPr>
          <w:p>
            <w:pPr>
              <w:ind w:left="320"/>
              <w:spacing w:after="0"/>
              <w:rPr>
                <w:sz w:val="20"/>
                <w:szCs w:val="20"/>
                <w:color w:val="auto"/>
              </w:rPr>
            </w:pPr>
            <w:r>
              <w:rPr>
                <w:rFonts w:ascii="Arial" w:cs="Arial" w:eastAsia="Arial" w:hAnsi="Arial"/>
                <w:sz w:val="14"/>
                <w:szCs w:val="14"/>
                <w:color w:val="auto"/>
              </w:rPr>
              <w:t>Proceeds from sale of investment</w:t>
            </w:r>
          </w:p>
        </w:tc>
        <w:tc>
          <w:tcPr>
            <w:tcW w:w="18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9"/>
              <w:spacing w:after="0"/>
              <w:rPr>
                <w:sz w:val="20"/>
                <w:szCs w:val="20"/>
                <w:color w:val="auto"/>
              </w:rPr>
            </w:pPr>
            <w:r>
              <w:rPr>
                <w:rFonts w:ascii="Arial" w:cs="Arial" w:eastAsia="Arial" w:hAnsi="Arial"/>
                <w:sz w:val="14"/>
                <w:szCs w:val="14"/>
                <w:color w:val="auto"/>
              </w:rPr>
              <w:t>3.2</w:t>
            </w:r>
          </w:p>
        </w:tc>
      </w:tr>
      <w:tr>
        <w:trPr>
          <w:trHeight w:val="238"/>
        </w:trPr>
        <w:tc>
          <w:tcPr>
            <w:tcW w:w="7420" w:type="dxa"/>
            <w:vAlign w:val="bottom"/>
          </w:tcPr>
          <w:p>
            <w:pPr>
              <w:ind w:left="320"/>
              <w:spacing w:after="0"/>
              <w:rPr>
                <w:sz w:val="20"/>
                <w:szCs w:val="20"/>
                <w:color w:val="auto"/>
              </w:rPr>
            </w:pPr>
            <w:r>
              <w:rPr>
                <w:rFonts w:ascii="Arial" w:cs="Arial" w:eastAsia="Arial" w:hAnsi="Arial"/>
                <w:sz w:val="14"/>
                <w:szCs w:val="14"/>
                <w:color w:val="auto"/>
              </w:rPr>
              <w:t>Loans to investees</w:t>
            </w:r>
          </w:p>
        </w:tc>
        <w:tc>
          <w:tcPr>
            <w:tcW w:w="18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47"/>
        </w:trPr>
        <w:tc>
          <w:tcPr>
            <w:tcW w:w="7420" w:type="dxa"/>
            <w:vAlign w:val="bottom"/>
          </w:tcPr>
          <w:p>
            <w:pPr>
              <w:ind w:left="320"/>
              <w:spacing w:after="0"/>
              <w:rPr>
                <w:sz w:val="20"/>
                <w:szCs w:val="20"/>
                <w:color w:val="auto"/>
              </w:rPr>
            </w:pPr>
            <w:r>
              <w:rPr>
                <w:rFonts w:ascii="Arial" w:cs="Arial" w:eastAsia="Arial" w:hAnsi="Arial"/>
                <w:sz w:val="14"/>
                <w:szCs w:val="14"/>
                <w:color w:val="auto"/>
              </w:rPr>
              <w:t>Purchases of investments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220" w:type="dxa"/>
            <w:vAlign w:val="bottom"/>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r>
      <w:tr>
        <w:trPr>
          <w:trHeight w:val="218"/>
        </w:trPr>
        <w:tc>
          <w:tcPr>
            <w:tcW w:w="7420" w:type="dxa"/>
            <w:vAlign w:val="bottom"/>
          </w:tcPr>
          <w:p>
            <w:pPr>
              <w:ind w:left="440"/>
              <w:spacing w:after="0"/>
              <w:rPr>
                <w:sz w:val="20"/>
                <w:szCs w:val="20"/>
                <w:color w:val="auto"/>
              </w:rPr>
            </w:pPr>
            <w:r>
              <w:rPr>
                <w:rFonts w:ascii="Arial" w:cs="Arial" w:eastAsia="Arial" w:hAnsi="Arial"/>
                <w:sz w:val="14"/>
                <w:szCs w:val="14"/>
                <w:b w:val="1"/>
                <w:bCs w:val="1"/>
                <w:color w:val="auto"/>
              </w:rPr>
              <w:t>Net cash used in investing activities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(107.4)</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(41.8)</w:t>
            </w:r>
          </w:p>
        </w:tc>
      </w:tr>
      <w:tr>
        <w:trPr>
          <w:trHeight w:val="339"/>
        </w:trPr>
        <w:tc>
          <w:tcPr>
            <w:tcW w:w="742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38"/>
        </w:trPr>
        <w:tc>
          <w:tcPr>
            <w:tcW w:w="7420" w:type="dxa"/>
            <w:vAlign w:val="bottom"/>
          </w:tcPr>
          <w:p>
            <w:pPr>
              <w:ind w:left="320"/>
              <w:spacing w:after="0"/>
              <w:rPr>
                <w:sz w:val="20"/>
                <w:szCs w:val="20"/>
                <w:color w:val="auto"/>
              </w:rPr>
            </w:pPr>
            <w:r>
              <w:rPr>
                <w:rFonts w:ascii="Arial" w:cs="Arial" w:eastAsia="Arial" w:hAnsi="Arial"/>
                <w:sz w:val="14"/>
                <w:szCs w:val="14"/>
                <w:color w:val="auto"/>
              </w:rPr>
              <w:t>Change in short-term borrowing, net</w:t>
            </w:r>
          </w:p>
        </w:tc>
        <w:tc>
          <w:tcPr>
            <w:tcW w:w="1640" w:type="dxa"/>
            <w:vAlign w:val="bottom"/>
          </w:tcPr>
          <w:p>
            <w:pPr>
              <w:jc w:val="right"/>
              <w:spacing w:after="0"/>
              <w:rPr>
                <w:sz w:val="20"/>
                <w:szCs w:val="20"/>
                <w:color w:val="auto"/>
              </w:rPr>
            </w:pPr>
            <w:r>
              <w:rPr>
                <w:rFonts w:ascii="Arial" w:cs="Arial" w:eastAsia="Arial" w:hAnsi="Arial"/>
                <w:sz w:val="14"/>
                <w:szCs w:val="14"/>
                <w:color w:val="auto"/>
              </w:rPr>
              <w:t>(31.3)</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(18.1)</w:t>
            </w:r>
          </w:p>
        </w:tc>
      </w:tr>
      <w:tr>
        <w:trPr>
          <w:trHeight w:val="238"/>
        </w:trPr>
        <w:tc>
          <w:tcPr>
            <w:tcW w:w="7420" w:type="dxa"/>
            <w:vAlign w:val="bottom"/>
          </w:tcPr>
          <w:p>
            <w:pPr>
              <w:ind w:left="320"/>
              <w:spacing w:after="0"/>
              <w:rPr>
                <w:sz w:val="20"/>
                <w:szCs w:val="20"/>
                <w:color w:val="auto"/>
              </w:rPr>
            </w:pPr>
            <w:r>
              <w:rPr>
                <w:rFonts w:ascii="Arial" w:cs="Arial" w:eastAsia="Arial" w:hAnsi="Arial"/>
                <w:sz w:val="14"/>
                <w:szCs w:val="14"/>
                <w:color w:val="auto"/>
              </w:rPr>
              <w:t>Proceeds from short-term borrowing (maturities greater than 90 days)</w:t>
            </w: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240.0</w:t>
            </w:r>
          </w:p>
        </w:tc>
        <w:tc>
          <w:tcPr>
            <w:tcW w:w="220" w:type="dxa"/>
            <w:vAlign w:val="bottom"/>
          </w:tcPr>
          <w:p>
            <w:pPr>
              <w:spacing w:after="0"/>
              <w:rPr>
                <w:sz w:val="20"/>
                <w:szCs w:val="20"/>
                <w:color w:val="auto"/>
              </w:rPr>
            </w:pPr>
          </w:p>
        </w:tc>
        <w:tc>
          <w:tcPr>
            <w:tcW w:w="1620" w:type="dxa"/>
            <w:vAlign w:val="bottom"/>
          </w:tcPr>
          <w:p>
            <w:pPr>
              <w:jc w:val="right"/>
              <w:ind w:right="29"/>
              <w:spacing w:after="0"/>
              <w:rPr>
                <w:sz w:val="20"/>
                <w:szCs w:val="20"/>
                <w:color w:val="auto"/>
              </w:rPr>
            </w:pPr>
            <w:r>
              <w:rPr>
                <w:rFonts w:ascii="Arial" w:cs="Arial" w:eastAsia="Arial" w:hAnsi="Arial"/>
                <w:sz w:val="14"/>
                <w:szCs w:val="14"/>
                <w:color w:val="auto"/>
              </w:rPr>
              <w:t>20.0</w:t>
            </w:r>
          </w:p>
        </w:tc>
      </w:tr>
      <w:tr>
        <w:trPr>
          <w:trHeight w:val="238"/>
        </w:trPr>
        <w:tc>
          <w:tcPr>
            <w:tcW w:w="7420" w:type="dxa"/>
            <w:vAlign w:val="bottom"/>
          </w:tcPr>
          <w:p>
            <w:pPr>
              <w:ind w:left="320"/>
              <w:spacing w:after="0"/>
              <w:rPr>
                <w:sz w:val="20"/>
                <w:szCs w:val="20"/>
                <w:color w:val="auto"/>
              </w:rPr>
            </w:pPr>
            <w:r>
              <w:rPr>
                <w:rFonts w:ascii="Arial" w:cs="Arial" w:eastAsia="Arial" w:hAnsi="Arial"/>
                <w:sz w:val="14"/>
                <w:szCs w:val="14"/>
                <w:color w:val="auto"/>
              </w:rPr>
              <w:t>Repayment of short-term borrowing (maturities greater than 90 days)</w:t>
            </w:r>
          </w:p>
        </w:tc>
        <w:tc>
          <w:tcPr>
            <w:tcW w:w="1640" w:type="dxa"/>
            <w:vAlign w:val="bottom"/>
          </w:tcPr>
          <w:p>
            <w:pPr>
              <w:jc w:val="right"/>
              <w:spacing w:after="0"/>
              <w:rPr>
                <w:sz w:val="20"/>
                <w:szCs w:val="20"/>
                <w:color w:val="auto"/>
              </w:rPr>
            </w:pPr>
            <w:r>
              <w:rPr>
                <w:rFonts w:ascii="Arial" w:cs="Arial" w:eastAsia="Arial" w:hAnsi="Arial"/>
                <w:sz w:val="14"/>
                <w:szCs w:val="14"/>
                <w:color w:val="auto"/>
              </w:rPr>
              <w:t>(240.0)</w:t>
            </w:r>
          </w:p>
        </w:tc>
        <w:tc>
          <w:tcPr>
            <w:tcW w:w="220" w:type="dxa"/>
            <w:vAlign w:val="bottom"/>
          </w:tcPr>
          <w:p>
            <w:pPr>
              <w:spacing w:after="0"/>
              <w:rPr>
                <w:sz w:val="20"/>
                <w:szCs w:val="20"/>
                <w:color w:val="auto"/>
              </w:rPr>
            </w:pPr>
          </w:p>
        </w:tc>
        <w:tc>
          <w:tcPr>
            <w:tcW w:w="16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38"/>
        </w:trPr>
        <w:tc>
          <w:tcPr>
            <w:tcW w:w="7420" w:type="dxa"/>
            <w:vAlign w:val="bottom"/>
          </w:tcPr>
          <w:p>
            <w:pPr>
              <w:ind w:left="320"/>
              <w:spacing w:after="0"/>
              <w:rPr>
                <w:sz w:val="20"/>
                <w:szCs w:val="20"/>
                <w:color w:val="auto"/>
              </w:rPr>
            </w:pPr>
            <w:r>
              <w:rPr>
                <w:rFonts w:ascii="Arial" w:cs="Arial" w:eastAsia="Arial" w:hAnsi="Arial"/>
                <w:sz w:val="14"/>
                <w:szCs w:val="14"/>
                <w:color w:val="auto"/>
              </w:rPr>
              <w:t>Proceeds from long-term debt obligations</w:t>
            </w: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60.0</w:t>
            </w:r>
          </w:p>
        </w:tc>
        <w:tc>
          <w:tcPr>
            <w:tcW w:w="220" w:type="dxa"/>
            <w:vAlign w:val="bottom"/>
          </w:tcPr>
          <w:p>
            <w:pPr>
              <w:spacing w:after="0"/>
              <w:rPr>
                <w:sz w:val="20"/>
                <w:szCs w:val="20"/>
                <w:color w:val="auto"/>
              </w:rPr>
            </w:pPr>
          </w:p>
        </w:tc>
        <w:tc>
          <w:tcPr>
            <w:tcW w:w="16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38"/>
        </w:trPr>
        <w:tc>
          <w:tcPr>
            <w:tcW w:w="7420" w:type="dxa"/>
            <w:vAlign w:val="bottom"/>
          </w:tcPr>
          <w:p>
            <w:pPr>
              <w:ind w:left="320"/>
              <w:spacing w:after="0"/>
              <w:rPr>
                <w:sz w:val="20"/>
                <w:szCs w:val="20"/>
                <w:color w:val="auto"/>
              </w:rPr>
            </w:pPr>
            <w:r>
              <w:rPr>
                <w:rFonts w:ascii="Arial" w:cs="Arial" w:eastAsia="Arial" w:hAnsi="Arial"/>
                <w:sz w:val="14"/>
                <w:szCs w:val="14"/>
                <w:color w:val="auto"/>
              </w:rPr>
              <w:t>Repayment of long-term debt obligations</w:t>
            </w:r>
          </w:p>
        </w:tc>
        <w:tc>
          <w:tcPr>
            <w:tcW w:w="1640" w:type="dxa"/>
            <w:vAlign w:val="bottom"/>
          </w:tcPr>
          <w:p>
            <w:pPr>
              <w:jc w:val="right"/>
              <w:spacing w:after="0"/>
              <w:rPr>
                <w:sz w:val="20"/>
                <w:szCs w:val="20"/>
                <w:color w:val="auto"/>
              </w:rPr>
            </w:pPr>
            <w:r>
              <w:rPr>
                <w:rFonts w:ascii="Arial" w:cs="Arial" w:eastAsia="Arial" w:hAnsi="Arial"/>
                <w:sz w:val="14"/>
                <w:szCs w:val="14"/>
                <w:color w:val="auto"/>
              </w:rPr>
              <w:t>(12.3)</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(11.6)</w:t>
            </w:r>
          </w:p>
        </w:tc>
      </w:tr>
      <w:tr>
        <w:trPr>
          <w:trHeight w:val="238"/>
        </w:trPr>
        <w:tc>
          <w:tcPr>
            <w:tcW w:w="7420" w:type="dxa"/>
            <w:vAlign w:val="bottom"/>
          </w:tcPr>
          <w:p>
            <w:pPr>
              <w:ind w:left="320"/>
              <w:spacing w:after="0"/>
              <w:rPr>
                <w:sz w:val="20"/>
                <w:szCs w:val="20"/>
                <w:color w:val="auto"/>
              </w:rPr>
            </w:pPr>
            <w:r>
              <w:rPr>
                <w:rFonts w:ascii="Arial" w:cs="Arial" w:eastAsia="Arial" w:hAnsi="Arial"/>
                <w:sz w:val="14"/>
                <w:szCs w:val="14"/>
                <w:color w:val="auto"/>
              </w:rPr>
              <w:t>Proceeds from exercise of stock options</w:t>
            </w: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4.2</w:t>
            </w:r>
          </w:p>
        </w:tc>
        <w:tc>
          <w:tcPr>
            <w:tcW w:w="220" w:type="dxa"/>
            <w:vAlign w:val="bottom"/>
          </w:tcPr>
          <w:p>
            <w:pPr>
              <w:spacing w:after="0"/>
              <w:rPr>
                <w:sz w:val="20"/>
                <w:szCs w:val="20"/>
                <w:color w:val="auto"/>
              </w:rPr>
            </w:pPr>
          </w:p>
        </w:tc>
        <w:tc>
          <w:tcPr>
            <w:tcW w:w="1620" w:type="dxa"/>
            <w:vAlign w:val="bottom"/>
          </w:tcPr>
          <w:p>
            <w:pPr>
              <w:jc w:val="right"/>
              <w:ind w:right="29"/>
              <w:spacing w:after="0"/>
              <w:rPr>
                <w:sz w:val="20"/>
                <w:szCs w:val="20"/>
                <w:color w:val="auto"/>
              </w:rPr>
            </w:pPr>
            <w:r>
              <w:rPr>
                <w:rFonts w:ascii="Arial" w:cs="Arial" w:eastAsia="Arial" w:hAnsi="Arial"/>
                <w:sz w:val="14"/>
                <w:szCs w:val="14"/>
                <w:color w:val="auto"/>
              </w:rPr>
              <w:t>3.2</w:t>
            </w:r>
          </w:p>
        </w:tc>
      </w:tr>
      <w:tr>
        <w:trPr>
          <w:trHeight w:val="238"/>
        </w:trPr>
        <w:tc>
          <w:tcPr>
            <w:tcW w:w="7420" w:type="dxa"/>
            <w:vAlign w:val="bottom"/>
          </w:tcPr>
          <w:p>
            <w:pPr>
              <w:ind w:left="320"/>
              <w:spacing w:after="0"/>
              <w:rPr>
                <w:sz w:val="20"/>
                <w:szCs w:val="20"/>
                <w:color w:val="auto"/>
              </w:rPr>
            </w:pPr>
            <w:r>
              <w:rPr>
                <w:rFonts w:ascii="Arial" w:cs="Arial" w:eastAsia="Arial" w:hAnsi="Arial"/>
                <w:sz w:val="14"/>
                <w:szCs w:val="14"/>
                <w:color w:val="auto"/>
              </w:rPr>
              <w:t>Payment of deferred consideration - acquisition of Caisson Interventional, LLC</w:t>
            </w:r>
          </w:p>
        </w:tc>
        <w:tc>
          <w:tcPr>
            <w:tcW w:w="1640" w:type="dxa"/>
            <w:vAlign w:val="bottom"/>
          </w:tcPr>
          <w:p>
            <w:pPr>
              <w:jc w:val="right"/>
              <w:spacing w:after="0"/>
              <w:rPr>
                <w:sz w:val="20"/>
                <w:szCs w:val="20"/>
                <w:color w:val="auto"/>
              </w:rPr>
            </w:pPr>
            <w:r>
              <w:rPr>
                <w:rFonts w:ascii="Arial" w:cs="Arial" w:eastAsia="Arial" w:hAnsi="Arial"/>
                <w:sz w:val="14"/>
                <w:szCs w:val="14"/>
                <w:color w:val="auto"/>
              </w:rPr>
              <w:t>(14.1)</w:t>
            </w:r>
          </w:p>
        </w:tc>
        <w:tc>
          <w:tcPr>
            <w:tcW w:w="220" w:type="dxa"/>
            <w:vAlign w:val="bottom"/>
          </w:tcPr>
          <w:p>
            <w:pPr>
              <w:spacing w:after="0"/>
              <w:rPr>
                <w:sz w:val="20"/>
                <w:szCs w:val="20"/>
                <w:color w:val="auto"/>
              </w:rPr>
            </w:pPr>
          </w:p>
        </w:tc>
        <w:tc>
          <w:tcPr>
            <w:tcW w:w="16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38"/>
        </w:trPr>
        <w:tc>
          <w:tcPr>
            <w:tcW w:w="7420" w:type="dxa"/>
            <w:vAlign w:val="bottom"/>
          </w:tcPr>
          <w:p>
            <w:pPr>
              <w:ind w:left="320"/>
              <w:spacing w:after="0"/>
              <w:rPr>
                <w:sz w:val="20"/>
                <w:szCs w:val="20"/>
                <w:color w:val="auto"/>
              </w:rPr>
            </w:pPr>
            <w:r>
              <w:rPr>
                <w:rFonts w:ascii="Arial" w:cs="Arial" w:eastAsia="Arial" w:hAnsi="Arial"/>
                <w:sz w:val="14"/>
                <w:szCs w:val="14"/>
                <w:color w:val="auto"/>
              </w:rPr>
              <w:t>Shares repurchased from employees for minimum tax withholding</w:t>
            </w:r>
          </w:p>
        </w:tc>
        <w:tc>
          <w:tcPr>
            <w:tcW w:w="1640" w:type="dxa"/>
            <w:vAlign w:val="bottom"/>
          </w:tcPr>
          <w:p>
            <w:pPr>
              <w:jc w:val="right"/>
              <w:spacing w:after="0"/>
              <w:rPr>
                <w:sz w:val="20"/>
                <w:szCs w:val="20"/>
                <w:color w:val="auto"/>
              </w:rPr>
            </w:pPr>
            <w:r>
              <w:rPr>
                <w:rFonts w:ascii="Arial" w:cs="Arial" w:eastAsia="Arial" w:hAnsi="Arial"/>
                <w:sz w:val="14"/>
                <w:szCs w:val="14"/>
                <w:color w:val="auto"/>
              </w:rPr>
              <w:t>(8.6)</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47"/>
        </w:trPr>
        <w:tc>
          <w:tcPr>
            <w:tcW w:w="7420" w:type="dxa"/>
            <w:vAlign w:val="bottom"/>
          </w:tcPr>
          <w:p>
            <w:pPr>
              <w:ind w:left="320"/>
              <w:spacing w:after="0"/>
              <w:rPr>
                <w:sz w:val="20"/>
                <w:szCs w:val="20"/>
                <w:color w:val="auto"/>
              </w:rPr>
            </w:pPr>
            <w:r>
              <w:rPr>
                <w:rFonts w:ascii="Arial" w:cs="Arial" w:eastAsia="Arial" w:hAnsi="Arial"/>
                <w:sz w:val="14"/>
                <w:szCs w:val="14"/>
                <w:color w:val="auto"/>
              </w:rPr>
              <w:t>Other</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220" w:type="dxa"/>
            <w:vAlign w:val="bottom"/>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r>
      <w:tr>
        <w:trPr>
          <w:trHeight w:val="218"/>
        </w:trPr>
        <w:tc>
          <w:tcPr>
            <w:tcW w:w="7420" w:type="dxa"/>
            <w:vAlign w:val="bottom"/>
          </w:tcPr>
          <w:p>
            <w:pPr>
              <w:ind w:left="440"/>
              <w:spacing w:after="0"/>
              <w:rPr>
                <w:sz w:val="20"/>
                <w:szCs w:val="20"/>
                <w:color w:val="auto"/>
              </w:rPr>
            </w:pPr>
            <w:r>
              <w:rPr>
                <w:rFonts w:ascii="Arial" w:cs="Arial" w:eastAsia="Arial" w:hAnsi="Arial"/>
                <w:sz w:val="14"/>
                <w:szCs w:val="14"/>
                <w:b w:val="1"/>
                <w:bCs w:val="1"/>
                <w:color w:val="auto"/>
              </w:rPr>
              <w:t>Net cash used in financing activities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w:t>
            </w:r>
          </w:p>
        </w:tc>
      </w:tr>
      <w:tr>
        <w:trPr>
          <w:trHeight w:val="337"/>
        </w:trPr>
        <w:tc>
          <w:tcPr>
            <w:tcW w:w="742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3.5</w:t>
            </w:r>
          </w:p>
        </w:tc>
      </w:tr>
      <w:tr>
        <w:trPr>
          <w:trHeight w:val="208"/>
        </w:trPr>
        <w:tc>
          <w:tcPr>
            <w:tcW w:w="7420" w:type="dxa"/>
            <w:vAlign w:val="bottom"/>
          </w:tcPr>
          <w:p>
            <w:pPr>
              <w:ind w:left="440"/>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(13.7)</w:t>
            </w:r>
          </w:p>
        </w:tc>
        <w:tc>
          <w:tcPr>
            <w:tcW w:w="220" w:type="dxa"/>
            <w:vAlign w:val="bottom"/>
          </w:tcPr>
          <w:p>
            <w:pPr>
              <w:spacing w:after="0"/>
              <w:rPr>
                <w:sz w:val="18"/>
                <w:szCs w:val="18"/>
                <w:color w:val="auto"/>
              </w:rPr>
            </w:pPr>
          </w:p>
        </w:tc>
        <w:tc>
          <w:tcPr>
            <w:tcW w:w="1620" w:type="dxa"/>
            <w:vAlign w:val="bottom"/>
          </w:tcPr>
          <w:p>
            <w:pPr>
              <w:jc w:val="right"/>
              <w:ind w:right="29"/>
              <w:spacing w:after="0"/>
              <w:rPr>
                <w:sz w:val="20"/>
                <w:szCs w:val="20"/>
                <w:color w:val="auto"/>
              </w:rPr>
            </w:pPr>
            <w:r>
              <w:rPr>
                <w:rFonts w:ascii="Arial" w:cs="Arial" w:eastAsia="Arial" w:hAnsi="Arial"/>
                <w:sz w:val="14"/>
                <w:szCs w:val="14"/>
                <w:b w:val="1"/>
                <w:bCs w:val="1"/>
                <w:color w:val="auto"/>
              </w:rPr>
              <w:t>25.4</w:t>
            </w:r>
          </w:p>
        </w:tc>
      </w:tr>
      <w:tr>
        <w:trPr>
          <w:trHeight w:val="354"/>
        </w:trPr>
        <w:tc>
          <w:tcPr>
            <w:tcW w:w="742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1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93.6</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39.8</w:t>
            </w:r>
          </w:p>
        </w:tc>
      </w:tr>
      <w:tr>
        <w:trPr>
          <w:trHeight w:val="235"/>
        </w:trPr>
        <w:tc>
          <w:tcPr>
            <w:tcW w:w="7420" w:type="dxa"/>
            <w:vAlign w:val="bottom"/>
          </w:tcPr>
          <w:p>
            <w:pPr>
              <w:spacing w:after="0"/>
              <w:rPr>
                <w:sz w:val="20"/>
                <w:szCs w:val="20"/>
                <w:color w:val="auto"/>
              </w:rPr>
            </w:pPr>
            <w:r>
              <w:rPr>
                <w:rFonts w:ascii="Arial" w:cs="Arial" w:eastAsia="Arial" w:hAnsi="Arial"/>
                <w:sz w:val="14"/>
                <w:szCs w:val="14"/>
                <w:b w:val="1"/>
                <w:bCs w:val="1"/>
                <w:color w:val="auto"/>
              </w:rPr>
              <w:t>Cash and cash equivalents at end of period</w:t>
            </w:r>
          </w:p>
        </w:tc>
        <w:tc>
          <w:tcPr>
            <w:tcW w:w="1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$79.9</w:t>
            </w:r>
          </w:p>
        </w:tc>
        <w:tc>
          <w:tcPr>
            <w:tcW w:w="220" w:type="dxa"/>
            <w:vAlign w:val="bottom"/>
          </w:tcPr>
          <w:p>
            <w:pPr>
              <w:spacing w:after="0"/>
              <w:rPr>
                <w:sz w:val="20"/>
                <w:szCs w:val="20"/>
                <w:color w:val="auto"/>
              </w:rPr>
            </w:pPr>
          </w:p>
        </w:tc>
        <w:tc>
          <w:tcPr>
            <w:tcW w:w="1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$65.2</w:t>
            </w:r>
          </w:p>
        </w:tc>
      </w:tr>
      <w:tr>
        <w:trPr>
          <w:trHeight w:val="20"/>
        </w:trPr>
        <w:tc>
          <w:tcPr>
            <w:tcW w:w="74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Numbers may not add up precisely due to rounding.</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19</w:t>
      </w:r>
    </w:p>
    <w:sectPr>
      <w:pgSz w:w="11900" w:h="16838" w:orient="portrait"/>
      <w:cols w:equalWidth="0" w:num="1">
        <w:col w:w="10900"/>
      </w:cols>
      <w:pgMar w:left="520" w:top="69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Letter"/>
      <w:start w:val="4"/>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upperLetter"/>
      <w:start w:val="1"/>
    </w:lvl>
  </w:abstractNum>
  <w:abstractNum w:abstractNumId="9">
    <w:nsid w:val="1190CDE7"/>
    <w:multiLevelType w:val="hybridMultilevel"/>
    <w:lvl w:ilvl="0">
      <w:lvlJc w:val="left"/>
      <w:lvlText w:val="(%1)"/>
      <w:numFmt w:val="upperLetter"/>
      <w:start w:val="1"/>
    </w:lvl>
  </w:abstractNum>
  <w:abstractNum w:abstractNumId="10">
    <w:nsid w:val="66EF438D"/>
    <w:multiLevelType w:val="hybridMultilevel"/>
    <w:lvl w:ilvl="0">
      <w:lvlJc w:val="left"/>
      <w:lvlText w:val="(%1)"/>
      <w:numFmt w:val="upperLetter"/>
      <w:start w:val="1"/>
    </w:lvl>
  </w:abstractNum>
  <w:abstractNum w:abstractNumId="11">
    <w:nsid w:val="140E0F76"/>
    <w:multiLevelType w:val="hybridMultilevel"/>
    <w:lvl w:ilvl="0">
      <w:lvlJc w:val="left"/>
      <w:lvlText w:val="(%1)"/>
      <w:numFmt w:val="upperLetter"/>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2019-12-28T18:44:12Z</dcterms:created>
  <dcterms:modified xsi:type="dcterms:W3CDTF">2019-12-28T18:44:12Z</dcterms:modified>
</cp:coreProperties>
</file>