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37"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13, 2022, LivaNova PLC (the “Company”) announced that Keyna Skeffington, General Counsel and Corporate Secretary, has announced her intent to retire. Ms. Skeffington joined the Company and has served as the Company’s Senior Vice President and General Counsel since 2017.</w:t>
      </w:r>
    </w:p>
    <w:p>
      <w:pPr>
        <w:spacing w:after="0" w:line="18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connection with Ms. Skeffington’s upcoming retirement, the Company and Ms. Skeffington entered into a Retirement Agreement (the “Retirement Agreement”) providing that her employment with the Company shall terminate on June 30, 2023, or such other date as agreed between the parties in light of their mutual desire to identify a successor and effectuate an orderly transition. Per the terms of the Retirement Agreement, Ms. Skeffington will be entitled to relocation services up to a maximum cost of £50,000 and to professional tax services for the 2022/2023 and 2023/2024 UK tax years, as well as reimbursement for attorney’s fees in connection with the review of the Retirement Agreement. After Ms. Skeffington’s successor has been identified and has assumed the responsibilities of the General Counsel, Ms. Skeffington and the Company will agree on a date to commence garden leave, during which time Ms. Skeffington shall continue to be paid at her regular rates of remuneration, but shall not be required to perform any duties. Upon termination of her employment, any outstanding and unvested equity awards that Ms. Skeffington holds will continue to vest pursuant to the terms of their respective award agreements. In consideration for the benefits provided by the Company, Ms. Skeffington has released the Company from any claims that she might have.</w:t>
      </w:r>
    </w:p>
    <w:p>
      <w:pPr>
        <w:spacing w:after="0" w:line="21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description of the Retirement Agreement is a summary only and is qualified by reference to the Retirement Agreement, which will be filed with the Company's 10-Q for the period ending June 30, 2022.</w:t>
      </w:r>
    </w:p>
    <w:p>
      <w:pPr>
        <w:spacing w:after="0" w:line="18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At the Company’s Annual General Meeting (“AGM”) held on June 13, 2022, the Company’s shareholders approved the LivaNova PLC 2022 Incentive Award Plan and the French sub-plan thereof (the “2022 Plan”). The 2022 Plan was previously approved by the Company’s Board of Directors (“Board”) on April 20, 2022, subject to shareholder approval. The 2022 Plan has been established to replace, on a prospective basis, the 2015 Incentive Award Plan (the “2015 Plan”), as amended, in respect of grants made to our employees and executives. Following approval of the 2022 Plan at the AGM, the 2022 Plan and the amended 2015 Plan are effective and all other equity plans maintained by the Company, including legacy plans of Sorin and Cyberonics, will be terminated, provided that any outstanding awards will continue to remain in full force and effect. The 2015 Plan was previously approved by shareholders and expires on October 16, 2025. On April 20, 2022, subject to approval of the 2022 Plan, the 2015 Plan was amended to limit the number of shares which may be issued or transferred pursuant to awards granted on or after the AGM to 50,000 and to limit, as of the AGM, the persons who qualify as eligible individuals under the 2015 Plan to non-employee directors.</w:t>
      </w:r>
    </w:p>
    <w:p>
      <w:pPr>
        <w:spacing w:after="0" w:line="21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2022 Plan authorizes discretionary grants of equity-based awards, including, without limitation, non-qualified stock options, incentive stock options, restricted stock, restricted stock units, stock appreciation rights, dividend equivalents and other stock or cash-based awards. The 2022 Plan will be administered by the compensation committee of the Board.</w:t>
      </w:r>
    </w:p>
    <w:p>
      <w:pPr>
        <w:spacing w:after="0" w:line="20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A total of 3,100,000 ordinary shares is available for grants under the 2022 Plan consisting of (i) 1,900,000 shares pursuant to stock options or stock appreciation rights; and (ii) 1,200,000 shares pursuant to awards other than options or stock appreciation rights. The number of shares available for grant is subject to adjustment under certain circumstances described in the 2022 Plan. Shareholders also approved the French sub-plan of the 2022 Plan in order to grant Restricted Stock Units to eligible French employees.</w:t>
      </w:r>
    </w:p>
    <w:p>
      <w:pPr>
        <w:spacing w:after="0" w:line="20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Board or compensation committee may terminate or amend the 2022 Plan at any time; provided, however, that amendment of the 2022 Plan will be subject to stockholder approval in certain circumstances. The 2022 Plan will expire and no grants will be made thereunder on or after the tenth anniversary of the original effective date of the 2022 Plan, June 13, 2032.</w:t>
      </w:r>
    </w:p>
    <w:p>
      <w:pPr>
        <w:spacing w:after="0" w:line="21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This description of the 2022 Plan is a summary only and is qualified by reference to the 2022 Plan, which will be filed with the Company's 10-Q for the period ending June 30, 2022. A more complete description of the terms of the 2022 Plan can be found under “Item 4 - Approval of the LivaNova PLC 2022 Incentive Award Plan and the French sub-plan thereof” in the Company’s definitive proxy statement filed with the Securities and Exchange Commission on April 29, 2022, (the “2022 Proxy Statement”) which description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held its 2022 Annual General Meeting of shareholders (“AGM”) June 13, 2022. A total of 46,570,835 of the Company’s ordinary shares, representing approximately 87% of the shares outstanding and eligible to vote and constituting a quorum, were represented virtually or by proxy at the AGM.</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the Company’s AGM, LivaNova’s shareholders considered 11 proposals as more fully described in the Company’s 2022 Proxy Statement and as summarized below. Each of the resolutions 1-11 was adopted. The number of votes for and against, as well as the number of abstentions and broker non-votes are set forth below.</w:t>
      </w:r>
    </w:p>
    <w:p>
      <w:pPr>
        <w:spacing w:after="0" w:line="190" w:lineRule="exact"/>
        <w:rPr>
          <w:sz w:val="20"/>
          <w:szCs w:val="20"/>
          <w:color w:val="auto"/>
        </w:rPr>
      </w:pPr>
    </w:p>
    <w:p>
      <w:pPr>
        <w:ind w:firstLine="8"/>
        <w:spacing w:after="0" w:line="266" w:lineRule="auto"/>
        <w:tabs>
          <w:tab w:leader="none" w:pos="3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elect, by separate resolutions, each of the following nine (9) directors for a term expiring at the AGM to be held in 2023. All nominees were elected.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Francesco Bianchi</w:t>
            </w:r>
          </w:p>
        </w:tc>
        <w:tc>
          <w:tcPr>
            <w:tcW w:w="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42,735,626</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1,153,304</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40,848</w:t>
            </w: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2,641,057</w:t>
            </w:r>
          </w:p>
        </w:tc>
        <w:tc>
          <w:tcPr>
            <w:tcW w:w="0" w:type="dxa"/>
            <w:vAlign w:val="bottom"/>
          </w:tcPr>
          <w:p>
            <w:pPr>
              <w:spacing w:after="0"/>
              <w:rPr>
                <w:sz w:val="1"/>
                <w:szCs w:val="1"/>
                <w:color w:val="auto"/>
              </w:rPr>
            </w:pPr>
          </w:p>
        </w:tc>
      </w:tr>
      <w:tr>
        <w:trPr>
          <w:trHeight w:val="54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Ms. Stacy Enxing Seng</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42,037,434</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1,862,370</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29,974</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2,641,057</w:t>
            </w:r>
          </w:p>
        </w:tc>
        <w:tc>
          <w:tcPr>
            <w:tcW w:w="0" w:type="dxa"/>
            <w:vAlign w:val="bottom"/>
          </w:tcPr>
          <w:p>
            <w:pPr>
              <w:spacing w:after="0"/>
              <w:rPr>
                <w:sz w:val="1"/>
                <w:szCs w:val="1"/>
                <w:color w:val="auto"/>
              </w:rPr>
            </w:pPr>
          </w:p>
        </w:tc>
      </w:tr>
      <w:tr>
        <w:trPr>
          <w:trHeight w:val="527"/>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William A. Kozy</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43,795,408</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101,945</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32,425</w:t>
            </w:r>
          </w:p>
        </w:tc>
        <w:tc>
          <w:tcPr>
            <w:tcW w:w="140" w:type="dxa"/>
            <w:vAlign w:val="bottom"/>
            <w:gridSpan w:val="2"/>
            <w:vMerge w:val="continue"/>
          </w:tcPr>
          <w:p>
            <w:pPr>
              <w:spacing w:after="0"/>
              <w:rPr>
                <w:sz w:val="20"/>
                <w:szCs w:val="20"/>
                <w:color w:val="auto"/>
              </w:rPr>
            </w:pPr>
          </w:p>
        </w:tc>
        <w:tc>
          <w:tcPr>
            <w:tcW w:w="2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2,641,057</w:t>
            </w:r>
          </w:p>
        </w:tc>
        <w:tc>
          <w:tcPr>
            <w:tcW w:w="0" w:type="dxa"/>
            <w:vAlign w:val="bottom"/>
          </w:tcPr>
          <w:p>
            <w:pPr>
              <w:spacing w:after="0"/>
              <w:rPr>
                <w:sz w:val="1"/>
                <w:szCs w:val="1"/>
                <w:color w:val="auto"/>
              </w:rPr>
            </w:pPr>
          </w:p>
        </w:tc>
      </w:tr>
      <w:tr>
        <w:trPr>
          <w:trHeight w:val="54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Damien McDonald</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42,859,335</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1,041,579</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28,864</w:t>
            </w:r>
          </w:p>
        </w:tc>
        <w:tc>
          <w:tcPr>
            <w:tcW w:w="140" w:type="dxa"/>
            <w:vAlign w:val="bottom"/>
            <w:gridSpan w:val="2"/>
            <w:vMerge w:val="continue"/>
          </w:tcPr>
          <w:p>
            <w:pPr>
              <w:spacing w:after="0"/>
              <w:rPr>
                <w:sz w:val="20"/>
                <w:szCs w:val="20"/>
                <w:color w:val="auto"/>
              </w:rPr>
            </w:pPr>
          </w:p>
        </w:tc>
        <w:tc>
          <w:tcPr>
            <w:tcW w:w="2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2,641,057</w:t>
            </w:r>
          </w:p>
        </w:tc>
        <w:tc>
          <w:tcPr>
            <w:tcW w:w="0" w:type="dxa"/>
            <w:vAlign w:val="bottom"/>
          </w:tcPr>
          <w:p>
            <w:pPr>
              <w:spacing w:after="0"/>
              <w:rPr>
                <w:sz w:val="1"/>
                <w:szCs w:val="1"/>
                <w:color w:val="auto"/>
              </w:rPr>
            </w:pPr>
          </w:p>
        </w:tc>
      </w:tr>
      <w:tr>
        <w:trPr>
          <w:trHeight w:val="54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Daniel J. Moore</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42,163,454</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1,736,363</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29,961</w:t>
            </w:r>
          </w:p>
        </w:tc>
        <w:tc>
          <w:tcPr>
            <w:tcW w:w="140" w:type="dxa"/>
            <w:vAlign w:val="bottom"/>
            <w:gridSpan w:val="2"/>
            <w:vMerge w:val="continue"/>
          </w:tcPr>
          <w:p>
            <w:pPr>
              <w:spacing w:after="0"/>
              <w:rPr>
                <w:sz w:val="20"/>
                <w:szCs w:val="20"/>
                <w:color w:val="auto"/>
              </w:rPr>
            </w:pPr>
          </w:p>
        </w:tc>
        <w:tc>
          <w:tcPr>
            <w:tcW w:w="2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2,641,057</w:t>
            </w:r>
          </w:p>
        </w:tc>
        <w:tc>
          <w:tcPr>
            <w:tcW w:w="0" w:type="dxa"/>
            <w:vAlign w:val="bottom"/>
          </w:tcPr>
          <w:p>
            <w:pPr>
              <w:spacing w:after="0"/>
              <w:rPr>
                <w:sz w:val="1"/>
                <w:szCs w:val="1"/>
                <w:color w:val="auto"/>
              </w:rPr>
            </w:pPr>
          </w:p>
        </w:tc>
      </w:tr>
      <w:tr>
        <w:trPr>
          <w:trHeight w:val="526"/>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Dr. Sharon O’Kane</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42,173,688</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1,726,216</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29,874</w:t>
            </w:r>
          </w:p>
        </w:tc>
        <w:tc>
          <w:tcPr>
            <w:tcW w:w="140" w:type="dxa"/>
            <w:vAlign w:val="bottom"/>
            <w:gridSpan w:val="2"/>
            <w:vMerge w:val="continue"/>
          </w:tcPr>
          <w:p>
            <w:pPr>
              <w:spacing w:after="0"/>
              <w:rPr>
                <w:sz w:val="20"/>
                <w:szCs w:val="20"/>
                <w:color w:val="auto"/>
              </w:rPr>
            </w:pPr>
          </w:p>
        </w:tc>
        <w:tc>
          <w:tcPr>
            <w:tcW w:w="2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2,641,057</w:t>
            </w:r>
          </w:p>
        </w:tc>
        <w:tc>
          <w:tcPr>
            <w:tcW w:w="0" w:type="dxa"/>
            <w:vAlign w:val="bottom"/>
          </w:tcPr>
          <w:p>
            <w:pPr>
              <w:spacing w:after="0"/>
              <w:rPr>
                <w:sz w:val="1"/>
                <w:szCs w:val="1"/>
                <w:color w:val="auto"/>
              </w:rPr>
            </w:pPr>
          </w:p>
        </w:tc>
      </w:tr>
      <w:tr>
        <w:trPr>
          <w:trHeight w:val="22"/>
        </w:trPr>
        <w:tc>
          <w:tcPr>
            <w:tcW w:w="27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8"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Ms. Andrea L. Saia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6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43,291,597</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608,307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5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29,874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2,641,057</w:t>
            </w:r>
          </w:p>
        </w:tc>
        <w:tc>
          <w:tcPr>
            <w:tcW w:w="0" w:type="dxa"/>
            <w:vAlign w:val="bottom"/>
          </w:tcPr>
          <w:p>
            <w:pPr>
              <w:spacing w:after="0"/>
              <w:rPr>
                <w:sz w:val="1"/>
                <w:szCs w:val="1"/>
                <w:color w:val="auto"/>
              </w:rPr>
            </w:pPr>
          </w:p>
        </w:tc>
      </w:tr>
      <w:tr>
        <w:trPr>
          <w:trHeight w:val="54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Mr. Todd Schermerhorn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43,833,207</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63,137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5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33,434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2,641,057</w:t>
            </w:r>
          </w:p>
        </w:tc>
        <w:tc>
          <w:tcPr>
            <w:tcW w:w="0" w:type="dxa"/>
            <w:vAlign w:val="bottom"/>
          </w:tcPr>
          <w:p>
            <w:pPr>
              <w:spacing w:after="0"/>
              <w:rPr>
                <w:sz w:val="1"/>
                <w:szCs w:val="1"/>
                <w:color w:val="auto"/>
              </w:rPr>
            </w:pPr>
          </w:p>
        </w:tc>
      </w:tr>
      <w:tr>
        <w:trPr>
          <w:trHeight w:val="52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Mr. Peter Wilver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43,321,299</w:t>
            </w:r>
          </w:p>
        </w:tc>
        <w:tc>
          <w:tcPr>
            <w:tcW w:w="10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266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535,689</w:t>
            </w:r>
          </w:p>
        </w:tc>
        <w:tc>
          <w:tcPr>
            <w:tcW w:w="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70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72,790</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80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2,641,057</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Ordinary resolution to approve, on an advisory basis LivaNova’s compensation of its Named Executive Officers (“U.S. Say-on-Pay”).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39,572,211</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4,328,409</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29,158</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2,641,057</w:t>
            </w:r>
          </w:p>
        </w:tc>
        <w:tc>
          <w:tcPr>
            <w:tcW w:w="0" w:type="dxa"/>
            <w:vAlign w:val="bottom"/>
          </w:tcPr>
          <w:p>
            <w:pPr>
              <w:spacing w:after="0"/>
              <w:rPr>
                <w:sz w:val="1"/>
                <w:szCs w:val="1"/>
                <w:color w:val="auto"/>
              </w:rPr>
            </w:pPr>
          </w:p>
        </w:tc>
      </w:tr>
      <w:tr>
        <w:trPr>
          <w:trHeight w:val="22"/>
        </w:trPr>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8"/>
        <w:spacing w:after="0" w:line="266" w:lineRule="auto"/>
        <w:tabs>
          <w:tab w:leader="none" w:pos="4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ratify the appointment of PricewaterhouseCoopers LLP, a Delaware limited liability partnership ("PwC USA"), as the Company’s independent registered public accounting firm.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46,513,769</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24,917</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32,149</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Ordinary resolution to approve the LivaNova PLC 2022 Incentive Award Plan and the French sub-plan thereof.</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42,785,203</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1,127,481</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17,094</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2,641,057</w:t>
            </w:r>
          </w:p>
        </w:tc>
        <w:tc>
          <w:tcPr>
            <w:tcW w:w="0" w:type="dxa"/>
            <w:vAlign w:val="bottom"/>
          </w:tcPr>
          <w:p>
            <w:pPr>
              <w:spacing w:after="0"/>
              <w:rPr>
                <w:sz w:val="1"/>
                <w:szCs w:val="1"/>
                <w:color w:val="auto"/>
              </w:rPr>
            </w:pPr>
          </w:p>
        </w:tc>
      </w:tr>
      <w:tr>
        <w:trPr>
          <w:trHeight w:val="22"/>
        </w:trPr>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8"/>
        <w:spacing w:after="0" w:line="250"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generally and unconditionally authorize the directors, for purposes of section 551 of the Companies Act 2006 (the “Companies Act”) to exercise all powers of the Company to allot shares in the Company and to grant rights to subscribe for, or to convert any security into, shares in the Company up to an aggregate nominal amount of £17,635,220,</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provided that:</w:t>
      </w:r>
    </w:p>
    <w:p>
      <w:pPr>
        <w:sectPr>
          <w:pgSz w:w="11900" w:h="16838" w:orient="portrait"/>
          <w:cols w:equalWidth="0" w:num="1">
            <w:col w:w="11240"/>
          </w:cols>
          <w:pgMar w:left="320" w:top="1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type w:val="continuous"/>
        </w:sectPr>
      </w:pPr>
    </w:p>
    <w:bookmarkStart w:id="4" w:name="page5"/>
    <w:bookmarkEnd w:id="4"/>
    <w:p>
      <w:pPr>
        <w:ind w:right="60" w:firstLine="332"/>
        <w:spacing w:after="0" w:line="242" w:lineRule="auto"/>
        <w:tabs>
          <w:tab w:leader="none" w:pos="7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p>
    <w:p>
      <w:pPr>
        <w:spacing w:after="0" w:line="211" w:lineRule="exact"/>
        <w:rPr>
          <w:rFonts w:ascii="Times New Roman" w:cs="Times New Roman" w:eastAsia="Times New Roman" w:hAnsi="Times New Roman"/>
          <w:sz w:val="18"/>
          <w:szCs w:val="18"/>
          <w:color w:val="auto"/>
        </w:rPr>
      </w:pPr>
    </w:p>
    <w:p>
      <w:pPr>
        <w:jc w:val="both"/>
        <w:ind w:right="140" w:firstLine="332"/>
        <w:spacing w:after="0" w:line="242" w:lineRule="auto"/>
        <w:tabs>
          <w:tab w:leader="none" w:pos="7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42,970,911</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937,379</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21,488</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2,641,057</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firstLine="8"/>
        <w:spacing w:after="0" w:line="242"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Resolution subject to the passing of resolution 5 and in accordance with sections 570 and 573 of the Companies Act, to empower the directors generally to allot equity securities (as defined in section 560 of the Companies Act) for cash pursuant to the authority conferred by resolution 5,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w:t>
      </w:r>
    </w:p>
    <w:p>
      <w:pPr>
        <w:spacing w:after="0" w:line="212"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an aggregate nominal amount of £2,672,003 for any purpose; and</w:t>
      </w:r>
    </w:p>
    <w:p>
      <w:pPr>
        <w:spacing w:after="0" w:line="238" w:lineRule="exact"/>
        <w:rPr>
          <w:rFonts w:ascii="Times New Roman" w:cs="Times New Roman" w:eastAsia="Times New Roman" w:hAnsi="Times New Roman"/>
          <w:sz w:val="18"/>
          <w:szCs w:val="18"/>
          <w:color w:val="auto"/>
        </w:rPr>
      </w:pPr>
    </w:p>
    <w:p>
      <w:pPr>
        <w:ind w:right="60" w:firstLine="8"/>
        <w:spacing w:after="0" w:line="250" w:lineRule="auto"/>
        <w:tabs>
          <w:tab w:leader="none" w:pos="3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amount set out under (a) above), up to an aggregate nominal amount of £2,672,003 to be used only for the purposes of financing an acquisition or other capital 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w:t>
      </w:r>
    </w:p>
    <w:p>
      <w:pPr>
        <w:spacing w:after="0" w:line="239" w:lineRule="exact"/>
        <w:rPr>
          <w:sz w:val="20"/>
          <w:szCs w:val="20"/>
          <w:color w:val="auto"/>
        </w:rPr>
      </w:pPr>
    </w:p>
    <w:p>
      <w:pPr>
        <w:ind w:right="40" w:firstLine="332"/>
        <w:spacing w:after="0" w:line="242" w:lineRule="auto"/>
        <w:tabs>
          <w:tab w:leader="none" w:pos="7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w:t>
      </w:r>
    </w:p>
    <w:p>
      <w:pPr>
        <w:spacing w:after="0" w:line="211" w:lineRule="exact"/>
        <w:rPr>
          <w:rFonts w:ascii="Times New Roman" w:cs="Times New Roman" w:eastAsia="Times New Roman" w:hAnsi="Times New Roman"/>
          <w:sz w:val="18"/>
          <w:szCs w:val="18"/>
          <w:color w:val="auto"/>
        </w:rPr>
      </w:pPr>
    </w:p>
    <w:p>
      <w:pPr>
        <w:ind w:right="80" w:firstLine="332"/>
        <w:spacing w:after="0" w:line="250" w:lineRule="auto"/>
        <w:tabs>
          <w:tab w:leader="none" w:pos="7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replaces (except for any power conferred by resolution 5)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43,813,026</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99,104</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17,648</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2,641,057</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8"/>
        <w:spacing w:after="0" w:line="266"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approve, on an advisory basis, the United Kingdom (“UK”) directors’ remuneration report in the form set out in the Company’s UK annual report and accounts for the period ended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42,298,430</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1,601,234</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30,114</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2,641,057</w:t>
            </w:r>
          </w:p>
        </w:tc>
        <w:tc>
          <w:tcPr>
            <w:tcW w:w="0" w:type="dxa"/>
            <w:vAlign w:val="bottom"/>
          </w:tcPr>
          <w:p>
            <w:pPr>
              <w:spacing w:after="0"/>
              <w:rPr>
                <w:sz w:val="1"/>
                <w:szCs w:val="1"/>
                <w:color w:val="auto"/>
              </w:rPr>
            </w:pPr>
          </w:p>
        </w:tc>
      </w:tr>
      <w:tr>
        <w:trPr>
          <w:trHeight w:val="22"/>
        </w:trPr>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spacing w:after="0"/>
        <w:tabs>
          <w:tab w:leader="none" w:pos="300" w:val="left"/>
        </w:tabs>
        <w:rPr>
          <w:sz w:val="20"/>
          <w:szCs w:val="20"/>
          <w:color w:val="auto"/>
        </w:rPr>
      </w:pPr>
      <w:r>
        <w:rPr>
          <w:rFonts w:ascii="Times New Roman" w:cs="Times New Roman" w:eastAsia="Times New Roman" w:hAnsi="Times New Roman"/>
          <w:sz w:val="18"/>
          <w:szCs w:val="18"/>
          <w:color w:val="auto"/>
        </w:rPr>
        <w:t>8.</w:t>
        <w:tab/>
        <w:t>Ordinary resolution to approve the directors’ remuneration policy contained in the directors’ remuneration report as set forth in the UK Annual Report.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43,264,007</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635,048</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30,723</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2,641,057</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8"/>
        <w:spacing w:after="0" w:line="266" w:lineRule="auto"/>
        <w:tabs>
          <w:tab w:leader="none" w:pos="3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receive and adopt the Company’s audited UK statutory accounts for the year ended December 31, 2021, together with the reports of the directors and the auditors thereon.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46,372,411</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45,042</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153,382</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8"/>
        <w:spacing w:after="0" w:line="266" w:lineRule="auto"/>
        <w:tabs>
          <w:tab w:leader="none" w:pos="4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re-appoint PricewaterhouseCoopers LLP, a limited liability partnership organized under the laws of England, as the Company’s UK statutory auditor.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46,533,258</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7,367</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30,210</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8"/>
        <w:spacing w:after="0" w:line="266" w:lineRule="auto"/>
        <w:tabs>
          <w:tab w:leader="none" w:pos="4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authorize the directors and/or the Audit and Compliance Committee to determine the remuneration of the Company’s UK statutory auditor.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43,886,501</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12,844</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30,433</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2,641,057</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1560" w:hanging="1534"/>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480"/>
        <w:spacing w:after="0"/>
        <w:tabs>
          <w:tab w:leader="none" w:pos="5300" w:val="left"/>
        </w:tabs>
        <w:rPr>
          <w:sz w:val="20"/>
          <w:szCs w:val="20"/>
          <w:color w:val="auto"/>
        </w:rPr>
      </w:pPr>
      <w:r>
        <w:rPr>
          <w:rFonts w:ascii="Times New Roman" w:cs="Times New Roman" w:eastAsia="Times New Roman" w:hAnsi="Times New Roman"/>
          <w:sz w:val="18"/>
          <w:szCs w:val="18"/>
          <w:color w:val="auto"/>
        </w:rPr>
        <w:t>Date: June 14, 2022</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Keyna Skeffington</w:t>
      </w:r>
    </w:p>
    <w:p>
      <w:pPr>
        <w:spacing w:after="0" w:line="63" w:lineRule="exact"/>
        <w:rPr>
          <w:sz w:val="20"/>
          <w:szCs w:val="20"/>
          <w:color w:val="auto"/>
        </w:rPr>
      </w:pPr>
    </w:p>
    <w:p>
      <w:pPr>
        <w:jc w:val="right"/>
        <w:ind w:right="3420"/>
        <w:spacing w:after="0"/>
        <w:rPr>
          <w:sz w:val="20"/>
          <w:szCs w:val="20"/>
          <w:color w:val="auto"/>
        </w:rPr>
      </w:pPr>
      <w:r>
        <w:rPr>
          <w:rFonts w:ascii="Times New Roman" w:cs="Times New Roman" w:eastAsia="Times New Roman" w:hAnsi="Times New Roman"/>
          <w:sz w:val="18"/>
          <w:szCs w:val="18"/>
          <w:color w:val="auto"/>
        </w:rPr>
        <w:t>Name: Keyna Skeffington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980"/>
      </w:cols>
      <w:pgMar w:left="320" w:top="10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upperLetter"/>
      <w:start w:val="1"/>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upperLetter"/>
      <w:start w:val="1"/>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lowerLetter"/>
      <w:start w:val="4"/>
    </w:lvl>
  </w:abstractNum>
  <w:abstractNum w:abstractNumId="13">
    <w:nsid w:val="DED7263"/>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2022-06-14T15:23:03Z</dcterms:created>
  <dcterms:modified xsi:type="dcterms:W3CDTF">2022-06-14T15:23:03Z</dcterms:modified>
</cp:coreProperties>
</file>