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August 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660"/>
        <w:spacing w:after="0"/>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o</w:t>
      </w: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ind w:left="11260"/>
        <w:spacing w:after="0"/>
        <w:rPr>
          <w:sz w:val="20"/>
          <w:szCs w:val="20"/>
          <w:color w:val="auto"/>
        </w:rPr>
      </w:pP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August 1, 2018, LivaNova PLC (the “Company”) issued a press release announcing financial results for the second quarter 2018. The Company will host a business update conference call and webcast today, 1:00 p.m. London time (8:00 a.m. Eastern Daylight Time), during which the Company will discuss the financial results. The audio webcast is accessible through the Investor Relations section of the LivaNova corporate website at www.livanova.com. A copy of the Company’s press release is furnished as Exhibit 99.1 on this Current Report on Form 8-K.</w:t>
      </w:r>
    </w:p>
    <w:p>
      <w:pPr>
        <w:spacing w:after="0" w:line="171"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information in Item 2.02 of this report is being furnished, not filed, for purposes of Section 18 of the Securities Exchange Act of 1934, as amended, and pursuant to General Instruction B.2 of Form 8-K, will not be incorporated by reference into any filing under the Securities Act of 1933, as amended, unless specifically identified therein.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tab/>
        <w:t>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4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4460" w:type="dxa"/>
            <w:vAlign w:val="bottom"/>
            <w:gridSpan w:val="4"/>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600" w:type="dxa"/>
            <w:vAlign w:val="bottom"/>
            <w:gridSpan w:val="2"/>
          </w:tcPr>
          <w:p>
            <w:pPr>
              <w:ind w:left="40"/>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4"/>
          </w:tcPr>
          <w:p>
            <w:pPr>
              <w:ind w:left="20"/>
              <w:spacing w:after="0"/>
              <w:rPr>
                <w:sz w:val="20"/>
                <w:szCs w:val="20"/>
                <w:color w:val="auto"/>
              </w:rPr>
            </w:pPr>
            <w:r>
              <w:rPr>
                <w:rFonts w:ascii="Arial" w:cs="Arial" w:eastAsia="Arial" w:hAnsi="Arial"/>
                <w:sz w:val="18"/>
                <w:szCs w:val="18"/>
                <w:color w:val="auto"/>
                <w:w w:val="89"/>
              </w:rPr>
              <w:t>Press Release issued by LivaNova PLC dated August 1, 2018</w:t>
            </w:r>
          </w:p>
        </w:tc>
      </w:tr>
      <w:tr>
        <w:trPr>
          <w:trHeight w:val="635"/>
        </w:trPr>
        <w:tc>
          <w:tcPr>
            <w:tcW w:w="1500" w:type="dxa"/>
            <w:vAlign w:val="bottom"/>
            <w:gridSpan w:val="5"/>
          </w:tcPr>
          <w:p>
            <w:pPr>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4"/>
        </w:trPr>
        <w:tc>
          <w:tcPr>
            <w:tcW w:w="40" w:type="dxa"/>
            <w:vAlign w:val="bottom"/>
            <w:tcBorders>
              <w:top w:val="single" w:sz="8" w:color="auto"/>
            </w:tcBorders>
          </w:tcPr>
          <w:p>
            <w:pPr>
              <w:spacing w:after="0"/>
              <w:rPr>
                <w:sz w:val="24"/>
                <w:szCs w:val="24"/>
                <w:color w:val="auto"/>
              </w:rPr>
            </w:pPr>
          </w:p>
        </w:tc>
        <w:tc>
          <w:tcPr>
            <w:tcW w:w="8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Description</w:t>
            </w:r>
          </w:p>
        </w:tc>
        <w:tc>
          <w:tcPr>
            <w:tcW w:w="3540" w:type="dxa"/>
            <w:vAlign w:val="bottom"/>
            <w:gridSpan w:val="2"/>
          </w:tcPr>
          <w:p>
            <w:pPr>
              <w:spacing w:after="0"/>
              <w:rPr>
                <w:sz w:val="24"/>
                <w:szCs w:val="24"/>
                <w:color w:val="auto"/>
              </w:rPr>
            </w:pPr>
          </w:p>
        </w:tc>
      </w:tr>
      <w:tr>
        <w:trPr>
          <w:trHeight w:val="547"/>
        </w:trPr>
        <w:tc>
          <w:tcPr>
            <w:tcW w:w="600" w:type="dxa"/>
            <w:vAlign w:val="bottom"/>
            <w:gridSpan w:val="2"/>
          </w:tcPr>
          <w:p>
            <w:pPr>
              <w:ind w:left="40"/>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issued by LivaNova PLC dated August 1, 2018</w:t>
              </w:r>
            </w:hyperlink>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- 2 -</w:t>
      </w:r>
    </w:p>
    <w:p>
      <w:pPr>
        <w:sectPr>
          <w:pgSz w:w="11900" w:h="16838" w:orient="portrait"/>
          <w:cols w:equalWidth="0" w:num="1">
            <w:col w:w="11360"/>
          </w:cols>
          <w:pgMar w:left="240" w:top="364" w:right="2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- 3 -</w:t>
      </w:r>
    </w:p>
    <w:p>
      <w:pPr>
        <w:sectPr>
          <w:pgSz w:w="11900" w:h="16838" w:orient="portrait"/>
          <w:cols w:equalWidth="0" w:num="1">
            <w:col w:w="11000"/>
          </w:cols>
          <w:pgMar w:left="240" w:top="364" w:right="659" w:bottom="1440" w:gutter="0" w:footer="0" w:header="0"/>
        </w:sectPr>
      </w:pPr>
    </w:p>
    <w:bookmarkStart w:id="3" w:name="page4"/>
    <w:bookmarkEnd w:id="3"/>
    <w:p>
      <w:pPr>
        <w:jc w:val="right"/>
        <w:spacing w:after="0"/>
        <w:rPr>
          <w:rFonts w:ascii="Arial" w:cs="Arial" w:eastAsia="Arial" w:hAnsi="Arial"/>
          <w:sz w:val="20"/>
          <w:szCs w:val="20"/>
          <w:b w:val="1"/>
          <w:bCs w:val="1"/>
          <w:u w:val="single" w:color="auto"/>
          <w:color w:val="0000FF"/>
        </w:rPr>
      </w:pPr>
      <w:hyperlink w:anchor="page1">
        <w:r>
          <w:rPr>
            <w:rFonts w:ascii="Arial" w:cs="Arial" w:eastAsia="Arial" w:hAnsi="Arial"/>
            <w:sz w:val="20"/>
            <w:szCs w:val="20"/>
            <w:b w:val="1"/>
            <w:bCs w:val="1"/>
            <w:u w:val="single" w:color="auto"/>
            <w:color w:val="0000FF"/>
          </w:rPr>
          <w:t>EXHIBIT 99.1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680845" cy="48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84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20"/>
          <w:szCs w:val="20"/>
          <w:color w:val="FF5C39"/>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5C39"/>
        </w:rPr>
        <w:t>LivaNova Reports Second Quarter 2018 Results</w:t>
      </w:r>
    </w:p>
    <w:p>
      <w:pPr>
        <w:spacing w:after="0" w:line="341" w:lineRule="exact"/>
        <w:rPr>
          <w:sz w:val="20"/>
          <w:szCs w:val="20"/>
          <w:color w:val="auto"/>
        </w:rPr>
      </w:pPr>
    </w:p>
    <w:p>
      <w:pPr>
        <w:jc w:val="both"/>
        <w:spacing w:after="0" w:line="398" w:lineRule="auto"/>
        <w:rPr>
          <w:sz w:val="20"/>
          <w:szCs w:val="20"/>
          <w:color w:val="auto"/>
        </w:rPr>
      </w:pPr>
      <w:r>
        <w:rPr>
          <w:rFonts w:ascii="Arial" w:cs="Arial" w:eastAsia="Arial" w:hAnsi="Arial"/>
          <w:sz w:val="20"/>
          <w:szCs w:val="20"/>
          <w:b w:val="1"/>
          <w:bCs w:val="1"/>
          <w:color w:val="auto"/>
        </w:rPr>
        <w:t xml:space="preserve">London, August 1, 2018 – </w:t>
      </w:r>
      <w:r>
        <w:rPr>
          <w:rFonts w:ascii="Arial" w:cs="Arial" w:eastAsia="Arial" w:hAnsi="Arial"/>
          <w:sz w:val="20"/>
          <w:szCs w:val="20"/>
          <w:color w:val="auto"/>
        </w:rPr>
        <w:t>LivaNova PLC (NASDAQ:LIVN), a market-leading medical technology and innovation company, today</w:t>
      </w:r>
      <w:r>
        <w:rPr>
          <w:rFonts w:ascii="Arial" w:cs="Arial" w:eastAsia="Arial" w:hAnsi="Arial"/>
          <w:sz w:val="20"/>
          <w:szCs w:val="20"/>
          <w:b w:val="1"/>
          <w:bCs w:val="1"/>
          <w:color w:val="auto"/>
        </w:rPr>
        <w:t xml:space="preserve"> </w:t>
      </w:r>
      <w:r>
        <w:rPr>
          <w:rFonts w:ascii="Arial" w:cs="Arial" w:eastAsia="Arial" w:hAnsi="Arial"/>
          <w:sz w:val="20"/>
          <w:szCs w:val="20"/>
          <w:color w:val="auto"/>
        </w:rPr>
        <w:t>reported results for the quarter ended June 30, 2018.</w:t>
      </w:r>
    </w:p>
    <w:p>
      <w:pPr>
        <w:spacing w:after="0" w:line="315" w:lineRule="exact"/>
        <w:rPr>
          <w:sz w:val="20"/>
          <w:szCs w:val="20"/>
          <w:color w:val="auto"/>
        </w:rPr>
      </w:pPr>
    </w:p>
    <w:p>
      <w:pPr>
        <w:jc w:val="both"/>
        <w:spacing w:after="0" w:line="346" w:lineRule="auto"/>
        <w:rPr>
          <w:sz w:val="20"/>
          <w:szCs w:val="20"/>
          <w:color w:val="auto"/>
        </w:rPr>
      </w:pPr>
      <w:r>
        <w:rPr>
          <w:rFonts w:ascii="Arial" w:cs="Arial" w:eastAsia="Arial" w:hAnsi="Arial"/>
          <w:sz w:val="20"/>
          <w:szCs w:val="20"/>
          <w:color w:val="auto"/>
        </w:rPr>
        <w:t>For the second quarter of 2018, worldwide sales from continuing operations were $287.5 million, an increase of 12.4 percent on a reported basis and an increase of 10.2 percent on a constant currency basis, as compared to the same quarter of the previous year. On an underlying basis, second quarter sales grew 8.7 percent</w:t>
      </w:r>
      <w:r>
        <w:rPr>
          <w:rFonts w:ascii="Arial" w:cs="Arial" w:eastAsia="Arial" w:hAnsi="Arial"/>
          <w:sz w:val="25"/>
          <w:szCs w:val="25"/>
          <w:color w:val="auto"/>
          <w:vertAlign w:val="superscript"/>
        </w:rPr>
        <w:t>1</w:t>
      </w:r>
      <w:r>
        <w:rPr>
          <w:rFonts w:ascii="Arial" w:cs="Arial" w:eastAsia="Arial" w:hAnsi="Arial"/>
          <w:sz w:val="20"/>
          <w:szCs w:val="20"/>
          <w:color w:val="auto"/>
        </w:rPr>
        <w:t>. On the basis of U.S. Generally Accepted Accounting Principles (GAAP), second quarter 2018 diluted earnings per share from continuing operations were $0.40. Second quarter 2018 adjusted diluted earnings per share from continuing operations were $0.96.</w:t>
      </w:r>
    </w:p>
    <w:p>
      <w:pPr>
        <w:spacing w:after="0" w:line="366" w:lineRule="exact"/>
        <w:rPr>
          <w:sz w:val="20"/>
          <w:szCs w:val="20"/>
          <w:color w:val="auto"/>
        </w:rPr>
      </w:pPr>
    </w:p>
    <w:p>
      <w:pPr>
        <w:spacing w:after="0" w:line="330" w:lineRule="auto"/>
        <w:rPr>
          <w:sz w:val="20"/>
          <w:szCs w:val="20"/>
          <w:color w:val="auto"/>
        </w:rPr>
      </w:pPr>
      <w:r>
        <w:rPr>
          <w:rFonts w:ascii="Arial" w:cs="Arial" w:eastAsia="Arial" w:hAnsi="Arial"/>
          <w:sz w:val="20"/>
          <w:szCs w:val="20"/>
          <w:color w:val="auto"/>
        </w:rPr>
        <w:t>"The second quarter results reflect the initial success of our growth strategy as we focus on our Cardiac Surgery and Neuromodulation portfolios. We saw an acceleration in our underlying sales growth and grew earnings while making significant investments in marketing, product development and clinical activities," said Damien McDonald, Chief Executive Officer of LivaNova. “Neuromodulation grew double digits behind strong demand for our newest VNS Therapy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System, SenTiva</w:t>
      </w:r>
      <w:r>
        <w:rPr>
          <w:rFonts w:ascii="Arial" w:cs="Arial" w:eastAsia="Arial" w:hAnsi="Arial"/>
          <w:sz w:val="25"/>
          <w:szCs w:val="25"/>
          <w:color w:val="auto"/>
          <w:vertAlign w:val="superscript"/>
        </w:rPr>
        <w:t>®</w:t>
      </w:r>
      <w:r>
        <w:rPr>
          <w:rFonts w:ascii="Arial" w:cs="Arial" w:eastAsia="Arial" w:hAnsi="Arial"/>
          <w:sz w:val="20"/>
          <w:szCs w:val="20"/>
          <w:color w:val="auto"/>
        </w:rPr>
        <w:t>, which launched in Europe in the second quarter. Cardiac Surgery continues to experience strong growth, driven by sales of our S5</w:t>
      </w:r>
      <w:r>
        <w:rPr>
          <w:rFonts w:ascii="Arial" w:cs="Arial" w:eastAsia="Arial" w:hAnsi="Arial"/>
          <w:sz w:val="25"/>
          <w:szCs w:val="25"/>
          <w:color w:val="auto"/>
          <w:vertAlign w:val="superscript"/>
        </w:rPr>
        <w:t>®</w:t>
      </w:r>
      <w:r>
        <w:rPr>
          <w:rFonts w:ascii="Arial" w:cs="Arial" w:eastAsia="Arial" w:hAnsi="Arial"/>
          <w:sz w:val="20"/>
          <w:szCs w:val="20"/>
          <w:color w:val="auto"/>
        </w:rPr>
        <w:t xml:space="preserve"> heart-lung machine and our Perceval</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sutureless aortic heart valve. Our differentiated pipeline continues to make progress and we feel confident in our growth outlook as we continue to deliver quality care to patients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58" w:lineRule="exact"/>
        <w:rPr>
          <w:sz w:val="20"/>
          <w:szCs w:val="20"/>
          <w:color w:val="auto"/>
        </w:rPr>
      </w:pPr>
    </w:p>
    <w:p>
      <w:pPr>
        <w:ind w:right="580" w:firstLine="8"/>
        <w:spacing w:after="0" w:line="218" w:lineRule="auto"/>
        <w:tabs>
          <w:tab w:leader="none" w:pos="9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Sales on an underlying basis refers to GAAP revenue from continuing operations, excluding: 1) acquisitions for the first 12 months post-transaction close 2) the impact of currency translation, and 3) one-time items expected to last no more than 12 months.</w:t>
      </w:r>
    </w:p>
    <w:p>
      <w:pPr>
        <w:sectPr>
          <w:pgSz w:w="11900" w:h="16838" w:orient="portrait"/>
          <w:cols w:equalWidth="0" w:num="1">
            <w:col w:w="11420"/>
          </w:cols>
          <w:pgMar w:left="240" w:top="612"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Second Quarter 2018 Results</w:t>
      </w:r>
    </w:p>
    <w:p>
      <w:pPr>
        <w:spacing w:after="0" w:line="321" w:lineRule="exact"/>
        <w:rPr>
          <w:sz w:val="20"/>
          <w:szCs w:val="20"/>
          <w:color w:val="auto"/>
        </w:rPr>
      </w:pPr>
    </w:p>
    <w:p>
      <w:pPr>
        <w:jc w:val="both"/>
        <w:ind w:right="20"/>
        <w:spacing w:after="0" w:line="370" w:lineRule="auto"/>
        <w:rPr>
          <w:sz w:val="20"/>
          <w:szCs w:val="20"/>
          <w:color w:val="auto"/>
        </w:rPr>
      </w:pPr>
      <w:r>
        <w:rPr>
          <w:rFonts w:ascii="Arial" w:cs="Arial" w:eastAsia="Arial" w:hAnsi="Arial"/>
          <w:sz w:val="20"/>
          <w:szCs w:val="20"/>
          <w:color w:val="auto"/>
        </w:rPr>
        <w:t>Worldwide sales from continuing operations for the second quarter were $287.5 million, up 10.2 percent on a constant currency basis compared to the second quarter of 2017. The following table highlights worldwide sales for the second quarter of 2018 by business:</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3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 in millions</w:t>
            </w:r>
          </w:p>
        </w:tc>
        <w:tc>
          <w:tcPr>
            <w:tcW w:w="354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9"/>
              </w:rPr>
              <w:t>Three months ended</w:t>
            </w:r>
          </w:p>
        </w:tc>
        <w:tc>
          <w:tcPr>
            <w:tcW w:w="1840" w:type="dxa"/>
            <w:vAlign w:val="bottom"/>
            <w:tcBorders>
              <w:top w:val="single" w:sz="8" w:color="auto"/>
              <w:right w:val="single" w:sz="8" w:color="auto"/>
            </w:tcBorders>
          </w:tcPr>
          <w:p>
            <w:pPr>
              <w:spacing w:after="0"/>
              <w:rPr>
                <w:sz w:val="23"/>
                <w:szCs w:val="23"/>
                <w:color w:val="auto"/>
              </w:rPr>
            </w:pP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Constant</w:t>
            </w:r>
          </w:p>
        </w:tc>
      </w:tr>
      <w:tr>
        <w:trPr>
          <w:trHeight w:val="243"/>
        </w:trPr>
        <w:tc>
          <w:tcPr>
            <w:tcW w:w="4320" w:type="dxa"/>
            <w:vAlign w:val="bottom"/>
            <w:tcBorders>
              <w:left w:val="single" w:sz="8" w:color="auto"/>
              <w:right w:val="single" w:sz="8" w:color="auto"/>
            </w:tcBorders>
          </w:tcPr>
          <w:p>
            <w:pPr>
              <w:spacing w:after="0"/>
              <w:rPr>
                <w:sz w:val="21"/>
                <w:szCs w:val="21"/>
                <w:color w:val="auto"/>
              </w:rPr>
            </w:pPr>
          </w:p>
        </w:tc>
        <w:tc>
          <w:tcPr>
            <w:tcW w:w="2480" w:type="dxa"/>
            <w:vAlign w:val="bottom"/>
            <w:tcBorders>
              <w:bottom w:val="single" w:sz="8" w:color="00000A"/>
            </w:tcBorders>
            <w:gridSpan w:val="2"/>
          </w:tcPr>
          <w:p>
            <w:pPr>
              <w:jc w:val="center"/>
              <w:ind w:left="988"/>
              <w:spacing w:after="0"/>
              <w:rPr>
                <w:sz w:val="20"/>
                <w:szCs w:val="20"/>
                <w:color w:val="auto"/>
              </w:rPr>
            </w:pPr>
            <w:r>
              <w:rPr>
                <w:rFonts w:ascii="Arial" w:cs="Arial" w:eastAsia="Arial" w:hAnsi="Arial"/>
                <w:sz w:val="20"/>
                <w:szCs w:val="20"/>
                <w:color w:val="auto"/>
                <w:w w:val="97"/>
              </w:rPr>
              <w:t>June 30, 2018</w:t>
            </w:r>
          </w:p>
        </w:tc>
        <w:tc>
          <w:tcPr>
            <w:tcW w:w="1060" w:type="dxa"/>
            <w:vAlign w:val="bottom"/>
            <w:tcBorders>
              <w:bottom w:val="single" w:sz="8" w:color="00000A"/>
              <w:right w:val="single" w:sz="8" w:color="auto"/>
            </w:tcBorders>
          </w:tcPr>
          <w:p>
            <w:pPr>
              <w:spacing w:after="0"/>
              <w:rPr>
                <w:sz w:val="21"/>
                <w:szCs w:val="21"/>
                <w:color w:val="auto"/>
              </w:rPr>
            </w:pPr>
          </w:p>
        </w:tc>
        <w:tc>
          <w:tcPr>
            <w:tcW w:w="1840" w:type="dxa"/>
            <w:vAlign w:val="bottom"/>
            <w:tcBorders>
              <w:right w:val="single" w:sz="8" w:color="auto"/>
            </w:tcBorders>
          </w:tcPr>
          <w:p>
            <w:pPr>
              <w:jc w:val="right"/>
              <w:ind w:right="369"/>
              <w:spacing w:after="0"/>
              <w:rPr>
                <w:sz w:val="20"/>
                <w:szCs w:val="20"/>
                <w:color w:val="auto"/>
              </w:rPr>
            </w:pPr>
            <w:r>
              <w:rPr>
                <w:rFonts w:ascii="Arial" w:cs="Arial" w:eastAsia="Arial" w:hAnsi="Arial"/>
                <w:sz w:val="20"/>
                <w:szCs w:val="20"/>
                <w:color w:val="auto"/>
              </w:rPr>
              <w:t>% Change</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Currency</w:t>
            </w:r>
          </w:p>
        </w:tc>
      </w:tr>
      <w:tr>
        <w:trPr>
          <w:trHeight w:val="261"/>
        </w:trPr>
        <w:tc>
          <w:tcPr>
            <w:tcW w:w="4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Business / Product Line:</w:t>
            </w:r>
          </w:p>
        </w:tc>
        <w:tc>
          <w:tcPr>
            <w:tcW w:w="2000" w:type="dxa"/>
            <w:vAlign w:val="bottom"/>
            <w:tcBorders>
              <w:bottom w:val="single" w:sz="8" w:color="auto"/>
              <w:right w:val="single" w:sz="8" w:color="auto"/>
            </w:tcBorders>
          </w:tcPr>
          <w:p>
            <w:pPr>
              <w:jc w:val="right"/>
              <w:ind w:right="728"/>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1840" w:type="dxa"/>
            <w:vAlign w:val="bottom"/>
            <w:tcBorders>
              <w:bottom w:val="single" w:sz="8" w:color="auto"/>
              <w:right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jc w:val="center"/>
              <w:spacing w:after="0" w:line="217" w:lineRule="exact"/>
              <w:rPr>
                <w:sz w:val="20"/>
                <w:szCs w:val="20"/>
                <w:color w:val="auto"/>
              </w:rPr>
            </w:pPr>
            <w:r>
              <w:rPr>
                <w:rFonts w:ascii="Arial" w:cs="Arial" w:eastAsia="Arial" w:hAnsi="Arial"/>
                <w:sz w:val="20"/>
                <w:szCs w:val="20"/>
                <w:color w:val="auto"/>
                <w:w w:val="98"/>
              </w:rPr>
              <w:t>% Change</w:t>
            </w:r>
          </w:p>
        </w:tc>
      </w:tr>
      <w:tr>
        <w:trPr>
          <w:trHeight w:val="250"/>
        </w:trPr>
        <w:tc>
          <w:tcPr>
            <w:tcW w:w="43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Cardiopulmonary</w:t>
            </w:r>
          </w:p>
        </w:tc>
        <w:tc>
          <w:tcPr>
            <w:tcW w:w="20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i w:val="1"/>
                <w:iCs w:val="1"/>
                <w:color w:val="auto"/>
              </w:rPr>
              <w:t>136.6</w:t>
            </w: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124.1</w:t>
            </w:r>
          </w:p>
        </w:tc>
        <w:tc>
          <w:tcPr>
            <w:tcW w:w="184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i w:val="1"/>
                <w:iCs w:val="1"/>
                <w:color w:val="auto"/>
              </w:rPr>
              <w:t>10.1%</w:t>
            </w:r>
          </w:p>
        </w:tc>
        <w:tc>
          <w:tcPr>
            <w:tcW w:w="174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8"/>
                <w:szCs w:val="18"/>
                <w:i w:val="1"/>
                <w:iCs w:val="1"/>
                <w:color w:val="auto"/>
              </w:rPr>
              <w:t>7.2%</w:t>
            </w:r>
          </w:p>
        </w:tc>
      </w:tr>
      <w:tr>
        <w:trPr>
          <w:trHeight w:val="250"/>
        </w:trPr>
        <w:tc>
          <w:tcPr>
            <w:tcW w:w="43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Heart Valves</w:t>
            </w:r>
          </w:p>
        </w:tc>
        <w:tc>
          <w:tcPr>
            <w:tcW w:w="20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i w:val="1"/>
                <w:iCs w:val="1"/>
                <w:color w:val="auto"/>
              </w:rPr>
              <w:t>33.8</w:t>
            </w: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34.4</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(1.9%)</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(5.1%)</w:t>
            </w:r>
          </w:p>
        </w:tc>
      </w:tr>
      <w:tr>
        <w:trPr>
          <w:trHeight w:val="250"/>
        </w:trPr>
        <w:tc>
          <w:tcPr>
            <w:tcW w:w="43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i w:val="1"/>
                <w:iCs w:val="1"/>
                <w:color w:val="auto"/>
              </w:rPr>
              <w:t>Advanced Circulatory Support</w:t>
            </w:r>
          </w:p>
        </w:tc>
        <w:tc>
          <w:tcPr>
            <w:tcW w:w="20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i w:val="1"/>
                <w:iCs w:val="1"/>
                <w:color w:val="auto"/>
              </w:rPr>
              <w:t>6.0</w:t>
            </w: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tcPr>
          <w:p>
            <w:pPr>
              <w:jc w:val="right"/>
              <w:ind w:right="189"/>
              <w:spacing w:after="0"/>
              <w:rPr>
                <w:sz w:val="20"/>
                <w:szCs w:val="20"/>
                <w:color w:val="auto"/>
              </w:rPr>
            </w:pPr>
            <w:r>
              <w:rPr>
                <w:rFonts w:ascii="Arial" w:cs="Arial" w:eastAsia="Arial" w:hAnsi="Arial"/>
                <w:sz w:val="18"/>
                <w:szCs w:val="18"/>
                <w:i w:val="1"/>
                <w:iCs w:val="1"/>
                <w:color w:val="auto"/>
              </w:rPr>
              <w:t>N/A</w:t>
            </w:r>
          </w:p>
        </w:tc>
        <w:tc>
          <w:tcPr>
            <w:tcW w:w="1740" w:type="dxa"/>
            <w:vAlign w:val="bottom"/>
            <w:tcBorders>
              <w:bottom w:val="single" w:sz="8" w:color="auto"/>
              <w:right w:val="single" w:sz="8" w:color="auto"/>
            </w:tcBorders>
          </w:tcPr>
          <w:p>
            <w:pPr>
              <w:jc w:val="right"/>
              <w:ind w:right="187"/>
              <w:spacing w:after="0"/>
              <w:rPr>
                <w:sz w:val="20"/>
                <w:szCs w:val="20"/>
                <w:color w:val="auto"/>
              </w:rPr>
            </w:pPr>
            <w:r>
              <w:rPr>
                <w:rFonts w:ascii="Arial" w:cs="Arial" w:eastAsia="Arial" w:hAnsi="Arial"/>
                <w:sz w:val="18"/>
                <w:szCs w:val="18"/>
                <w:i w:val="1"/>
                <w:iCs w:val="1"/>
                <w:color w:val="auto"/>
              </w:rPr>
              <w:t>N/A</w:t>
            </w:r>
          </w:p>
        </w:tc>
      </w:tr>
      <w:tr>
        <w:trPr>
          <w:trHeight w:val="250"/>
        </w:trPr>
        <w:tc>
          <w:tcPr>
            <w:tcW w:w="4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Cardiac Surgery</w:t>
            </w:r>
          </w:p>
        </w:tc>
        <w:tc>
          <w:tcPr>
            <w:tcW w:w="20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color w:val="auto"/>
              </w:rPr>
              <w:t>176.5</w:t>
            </w: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158.6</w:t>
            </w:r>
          </w:p>
        </w:tc>
        <w:tc>
          <w:tcPr>
            <w:tcW w:w="184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color w:val="auto"/>
              </w:rPr>
              <w:t>11.3%</w:t>
            </w:r>
          </w:p>
        </w:tc>
        <w:tc>
          <w:tcPr>
            <w:tcW w:w="174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8"/>
                <w:szCs w:val="18"/>
                <w:color w:val="auto"/>
              </w:rPr>
              <w:t>8.3%</w:t>
            </w:r>
          </w:p>
        </w:tc>
      </w:tr>
      <w:tr>
        <w:trPr>
          <w:trHeight w:val="250"/>
        </w:trPr>
        <w:tc>
          <w:tcPr>
            <w:tcW w:w="4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Neuromodulation</w:t>
            </w:r>
          </w:p>
        </w:tc>
        <w:tc>
          <w:tcPr>
            <w:tcW w:w="20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color w:val="auto"/>
              </w:rPr>
              <w:t>110.7</w:t>
            </w: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97.0</w:t>
            </w:r>
          </w:p>
        </w:tc>
        <w:tc>
          <w:tcPr>
            <w:tcW w:w="184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color w:val="auto"/>
              </w:rPr>
              <w:t>14.1%</w:t>
            </w:r>
          </w:p>
        </w:tc>
        <w:tc>
          <w:tcPr>
            <w:tcW w:w="174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8"/>
                <w:szCs w:val="18"/>
                <w:color w:val="auto"/>
              </w:rPr>
              <w:t>13.2%</w:t>
            </w:r>
          </w:p>
        </w:tc>
      </w:tr>
      <w:tr>
        <w:trPr>
          <w:trHeight w:val="250"/>
        </w:trPr>
        <w:tc>
          <w:tcPr>
            <w:tcW w:w="4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20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color w:val="auto"/>
              </w:rPr>
              <w:t>0.4</w:t>
            </w: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184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8"/>
                <w:szCs w:val="18"/>
                <w:color w:val="auto"/>
              </w:rPr>
              <w:t>—%</w:t>
            </w:r>
          </w:p>
        </w:tc>
      </w:tr>
      <w:tr>
        <w:trPr>
          <w:trHeight w:val="250"/>
        </w:trPr>
        <w:tc>
          <w:tcPr>
            <w:tcW w:w="4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Net Sales</w:t>
            </w:r>
          </w:p>
        </w:tc>
        <w:tc>
          <w:tcPr>
            <w:tcW w:w="2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$287.5</w:t>
            </w: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$255.8</w:t>
            </w:r>
          </w:p>
        </w:tc>
        <w:tc>
          <w:tcPr>
            <w:tcW w:w="184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color w:val="auto"/>
              </w:rPr>
              <w:t>12.4%</w:t>
            </w:r>
          </w:p>
        </w:tc>
        <w:tc>
          <w:tcPr>
            <w:tcW w:w="174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8"/>
                <w:szCs w:val="18"/>
                <w:color w:val="auto"/>
              </w:rPr>
              <w:t>10.2%</w:t>
            </w: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Note: Numbers may not add up precisely due to rounding. Constant currency % change is considered a non-GAAP metric.</w:t>
      </w:r>
    </w:p>
    <w:p>
      <w:pPr>
        <w:spacing w:after="0" w:line="256" w:lineRule="exact"/>
        <w:rPr>
          <w:sz w:val="20"/>
          <w:szCs w:val="20"/>
          <w:color w:val="auto"/>
        </w:rPr>
      </w:pPr>
    </w:p>
    <w:p>
      <w:pPr>
        <w:jc w:val="both"/>
        <w:ind w:right="20"/>
        <w:spacing w:after="0" w:line="370" w:lineRule="auto"/>
        <w:rPr>
          <w:sz w:val="20"/>
          <w:szCs w:val="20"/>
          <w:color w:val="auto"/>
        </w:rPr>
      </w:pPr>
      <w:r>
        <w:rPr>
          <w:rFonts w:ascii="Arial" w:cs="Arial" w:eastAsia="Arial" w:hAnsi="Arial"/>
          <w:sz w:val="20"/>
          <w:szCs w:val="20"/>
          <w:color w:val="auto"/>
        </w:rPr>
        <w:t>For discussion purposes, all sales growth rates below reflect comparable, constant currency growth. Constant currency growth accounts for the impact from fluctuations in the various currencies in which the Company operates as compared to reported growth.</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Cardiac Surgery</w:t>
      </w:r>
    </w:p>
    <w:p>
      <w:pPr>
        <w:spacing w:after="0" w:line="145"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Cardiac Surgery sales, which include Cardiopulmonary products, Heart Valves and Advanced Circulatory Support, were $176.5 million, representing an 8.3 percent increase versus the second quarter of 2017.</w:t>
      </w:r>
    </w:p>
    <w:p>
      <w:pPr>
        <w:spacing w:after="0" w:line="339" w:lineRule="exact"/>
        <w:rPr>
          <w:sz w:val="20"/>
          <w:szCs w:val="20"/>
          <w:color w:val="auto"/>
        </w:rPr>
      </w:pPr>
    </w:p>
    <w:p>
      <w:pPr>
        <w:jc w:val="both"/>
        <w:ind w:right="20"/>
        <w:spacing w:after="0" w:line="336" w:lineRule="auto"/>
        <w:rPr>
          <w:sz w:val="20"/>
          <w:szCs w:val="20"/>
          <w:color w:val="auto"/>
        </w:rPr>
      </w:pPr>
      <w:r>
        <w:rPr>
          <w:rFonts w:ascii="Arial" w:cs="Arial" w:eastAsia="Arial" w:hAnsi="Arial"/>
          <w:sz w:val="20"/>
          <w:szCs w:val="20"/>
          <w:color w:val="auto"/>
        </w:rPr>
        <w:t>Sales in Cardiopulmonary products were $136.6 million, representing a 7.2 percent increase versus the second quarter of 2017. Growth in heart-lung machines sales in both U.S. and Rest of World was the major contributor primarily due to customer upgrades from legacy S3</w:t>
      </w:r>
      <w:r>
        <w:rPr>
          <w:rFonts w:ascii="Arial" w:cs="Arial" w:eastAsia="Arial" w:hAnsi="Arial"/>
          <w:sz w:val="25"/>
          <w:szCs w:val="25"/>
          <w:color w:val="auto"/>
          <w:vertAlign w:val="superscript"/>
        </w:rPr>
        <w:t>®</w:t>
      </w:r>
      <w:r>
        <w:rPr>
          <w:rFonts w:ascii="Arial" w:cs="Arial" w:eastAsia="Arial" w:hAnsi="Arial"/>
          <w:sz w:val="20"/>
          <w:szCs w:val="20"/>
          <w:color w:val="auto"/>
        </w:rPr>
        <w:t xml:space="preserve"> to current S5 machines.</w:t>
      </w:r>
    </w:p>
    <w:p>
      <w:pPr>
        <w:spacing w:after="0" w:line="358" w:lineRule="exact"/>
        <w:rPr>
          <w:sz w:val="20"/>
          <w:szCs w:val="20"/>
          <w:color w:val="auto"/>
        </w:rPr>
      </w:pPr>
    </w:p>
    <w:p>
      <w:pPr>
        <w:jc w:val="both"/>
        <w:ind w:right="20"/>
        <w:spacing w:after="0" w:line="395" w:lineRule="auto"/>
        <w:rPr>
          <w:sz w:val="20"/>
          <w:szCs w:val="20"/>
          <w:color w:val="auto"/>
        </w:rPr>
      </w:pPr>
      <w:r>
        <w:rPr>
          <w:rFonts w:ascii="Arial" w:cs="Arial" w:eastAsia="Arial" w:hAnsi="Arial"/>
          <w:sz w:val="19"/>
          <w:szCs w:val="19"/>
          <w:color w:val="auto"/>
        </w:rPr>
        <w:t>Heart Valve sales for both tissue and mechanical heart valves, were $33.8 million, a decrease of 5.1 percent compared to the second quarter of 2017. Strong growth in demand for the Perceval sutureless aortic heart valve was more than offset by the expected termination of a contract manufacturing customer and by continued declines in mechanical and traditional tissue valves.</w:t>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40"/>
          </w:cols>
          <w:pgMar w:left="240" w:top="828" w:right="219" w:bottom="144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Advanced Circulatory Support sales, which represent our recently acquired TandemLife business, were $6.0 million in the quarter.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Neuromodulation</w:t>
      </w:r>
    </w:p>
    <w:p>
      <w:pPr>
        <w:spacing w:after="0" w:line="145"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Neuromodulation sales were $110.7 million in the second quarter, representing a 13.2 percent increase versus the second quarter of 2017. The increase was driven by strong demand for SenTiva in the U.S. and Europe coupled with commercial expansion efforts in several international markets.</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Performance</w:t>
      </w:r>
    </w:p>
    <w:p>
      <w:pPr>
        <w:spacing w:after="0" w:line="145"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On a U.S. GAAP basis, second quarter 2018 operating income from continuing operations was $21.6 million. Adjusted operating income from continuing operations for the second quarter of 2018 was $59.9 million, a decrease of 6.8 percent as compared to the second quarter of 2017. This was primarily due to increased investments in sales and marketing activities, product innovation and clinical trials to support sales growth and gross margin expansion, along with a negative impact from foreign currency.</w:t>
      </w:r>
    </w:p>
    <w:p>
      <w:pPr>
        <w:spacing w:after="0" w:line="345"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Our adjusted effective tax rate in the quarter was 17.4 percent, an improvement from 24.0 percent in the second quarter of 2017, as a result of ongoing tax efforts and the recent changes in U.S. and U.K. tax laws.</w:t>
      </w:r>
    </w:p>
    <w:p>
      <w:pPr>
        <w:spacing w:after="0" w:line="339"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On a U.S. GAAP basis, second quarter 2018 diluted earnings per share from continuing operations were $0.40. Second quarter 2018 adjusted diluted earnings per share from continuing operations were $0.96, an increase of 3.2 percent as compared to the second quarter of 2017.</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2018 Guidance</w:t>
      </w:r>
    </w:p>
    <w:p>
      <w:pPr>
        <w:spacing w:after="0" w:line="145"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LivaNova worldwide net sales for full-year 2018 are expected to grow between 6 and 8 percent on a constant currency basis. Full-year 2018 effective tax rate is expected to be in the range of 18 to 20 percent. Adjusted diluted earnings per share for 2018 are expected to be in the range of $3.50 to $3.70.</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Webcast and Conference Call Instructions</w:t>
      </w:r>
    </w:p>
    <w:p>
      <w:pPr>
        <w:spacing w:after="0" w:line="145"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 xml:space="preserve">The Company will host a live audio webcast for interested parties commencing at 1 p.m. London time (8 a.m. Eastern Daylight Time) on Wednesday, Aug. 1, 2018 that will be accessible through the Investor Relations section of the LivaNova corporate website at </w:t>
      </w:r>
      <w:r>
        <w:rPr>
          <w:rFonts w:ascii="Arial" w:cs="Arial" w:eastAsia="Arial" w:hAnsi="Arial"/>
          <w:sz w:val="20"/>
          <w:szCs w:val="20"/>
          <w:u w:val="single" w:color="auto"/>
          <w:color w:val="auto"/>
        </w:rPr>
        <w:t>www.livanova.com</w:t>
      </w:r>
      <w:r>
        <w:rPr>
          <w:rFonts w:ascii="Arial" w:cs="Arial" w:eastAsia="Arial" w:hAnsi="Arial"/>
          <w:sz w:val="20"/>
          <w:szCs w:val="20"/>
          <w:b w:val="1"/>
          <w:bCs w:val="1"/>
          <w:color w:val="auto"/>
        </w:rPr>
        <w:t>.</w:t>
      </w:r>
      <w:r>
        <w:rPr>
          <w:rFonts w:ascii="Arial" w:cs="Arial" w:eastAsia="Arial" w:hAnsi="Arial"/>
          <w:sz w:val="20"/>
          <w:szCs w:val="20"/>
          <w:color w:val="auto"/>
        </w:rPr>
        <w:t xml:space="preserve"> To listen to the conference call live by telephone, dial (866) 393-4306 (if dialing from within the U.S.) or (734) 385-2616 (if dialing from outside the U.S.). The conference ID is 5184037.</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703" w:right="239" w:bottom="1440" w:gutter="0" w:footer="0" w:header="0"/>
        </w:sectPr>
      </w:pPr>
    </w:p>
    <w:bookmarkStart w:id="6" w:name="page7"/>
    <w:bookmarkEnd w:id="6"/>
    <w:p>
      <w:pPr>
        <w:jc w:val="both"/>
        <w:spacing w:after="0" w:line="373" w:lineRule="auto"/>
        <w:rPr>
          <w:sz w:val="20"/>
          <w:szCs w:val="20"/>
          <w:color w:val="auto"/>
        </w:rPr>
      </w:pPr>
      <w:r>
        <w:rPr>
          <w:rFonts w:ascii="Arial" w:cs="Arial" w:eastAsia="Arial" w:hAnsi="Arial"/>
          <w:sz w:val="20"/>
          <w:szCs w:val="20"/>
          <w:color w:val="auto"/>
        </w:rPr>
        <w:t>Within 24 hours of the webcast, a replay will be available under the "News &amp; Events / Presentations" section of the Investor Relations portion of the LivaNova website, where it will be archived and accessible for approximately 12 months.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FF5C39"/>
        </w:rPr>
        <w:t>About LivaNova</w:t>
      </w:r>
    </w:p>
    <w:p>
      <w:pPr>
        <w:spacing w:after="0" w:line="216"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LivaNova has a presence in more than 100 countries worldwide. The Company currently employs approximately 4,000 employees. LivaNova operates as two businesses: Cardiac Surgery and Neuromodulation, with operating headquarters in Mirandola (Italy) and Houston (U.S.A.),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 more information, please visit </w:t>
      </w:r>
      <w:r>
        <w:rPr>
          <w:rFonts w:ascii="Arial" w:cs="Arial" w:eastAsia="Arial" w:hAnsi="Arial"/>
          <w:sz w:val="20"/>
          <w:szCs w:val="20"/>
          <w:u w:val="single" w:color="auto"/>
          <w:color w:val="auto"/>
        </w:rPr>
        <w:t>www.livanova.com</w:t>
      </w:r>
      <w:r>
        <w:rPr>
          <w:rFonts w:ascii="Arial" w:cs="Arial" w:eastAsia="Arial" w:hAnsi="Arial"/>
          <w:sz w:val="20"/>
          <w:szCs w:val="20"/>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FF5C39"/>
        </w:rPr>
        <w:t>Use of Non-GAAP Financial Measures</w:t>
      </w:r>
    </w:p>
    <w:p>
      <w:pPr>
        <w:spacing w:after="0" w:line="108"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In this press release, management has disclosed financial measurements that present financial information not necessarily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212"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Unless otherwise noted, all sales growth rates in this release reflect comparable, constant currency growth. Management believes that referring to comparable, constant currency growth is the most useful way to evaluate the sales performance of LivaNova and to compare the sales performance of current periods to prior periods on a consistent basis. Constant currency growth, a non-GAAP financial measure, measures the change in sales between current and prior-year periods using average exchange rates in effect during the applicable prior-year period.</w:t>
      </w:r>
    </w:p>
    <w:p>
      <w:pPr>
        <w:spacing w:after="0" w:line="200" w:lineRule="exact"/>
        <w:rPr>
          <w:sz w:val="20"/>
          <w:szCs w:val="20"/>
          <w:color w:val="auto"/>
        </w:rPr>
      </w:pPr>
    </w:p>
    <w:p>
      <w:pPr>
        <w:spacing w:after="0" w:line="224"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The Company also believes adjusted financial measures such as adjusted diluted earnings per share, adjusted operating income and adjusted tax rate are meaningful and allow investors to evaluate the Company’s performance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054" w:right="239" w:bottom="1440" w:gutter="0" w:footer="0" w:header="0"/>
        </w:sectPr>
      </w:pPr>
    </w:p>
    <w:bookmarkStart w:id="7" w:name="page8"/>
    <w:bookmarkEnd w:id="7"/>
    <w:p>
      <w:pPr>
        <w:jc w:val="both"/>
        <w:spacing w:after="0" w:line="359" w:lineRule="auto"/>
        <w:rPr>
          <w:sz w:val="20"/>
          <w:szCs w:val="20"/>
          <w:color w:val="auto"/>
        </w:rPr>
      </w:pPr>
      <w:r>
        <w:rPr>
          <w:rFonts w:ascii="Arial" w:cs="Arial" w:eastAsia="Arial" w:hAnsi="Arial"/>
          <w:sz w:val="20"/>
          <w:szCs w:val="20"/>
          <w:color w:val="auto"/>
        </w:rPr>
        <w:t>for different periods on a more comparable basis by adjusting for items that are not related to the ongoing operations of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FF5C39"/>
        </w:rPr>
        <w:t>Safe Harbor Statement</w:t>
      </w:r>
    </w:p>
    <w:p>
      <w:pPr>
        <w:spacing w:after="0" w:line="121" w:lineRule="exact"/>
        <w:rPr>
          <w:sz w:val="20"/>
          <w:szCs w:val="20"/>
          <w:color w:val="auto"/>
        </w:rPr>
      </w:pPr>
    </w:p>
    <w:p>
      <w:pPr>
        <w:jc w:val="both"/>
        <w:spacing w:after="0" w:line="366" w:lineRule="auto"/>
        <w:rPr>
          <w:sz w:val="20"/>
          <w:szCs w:val="20"/>
          <w:color w:val="auto"/>
        </w:rPr>
      </w:pPr>
      <w:r>
        <w:rPr>
          <w:rFonts w:ascii="Arial" w:cs="Arial" w:eastAsia="Arial" w:hAnsi="Arial"/>
          <w:sz w:val="20"/>
          <w:szCs w:val="20"/>
          <w:color w:val="auto"/>
        </w:rPr>
        <w:t>Certain statements in this press release, other than purely historical information, are “forward-looking statements” within the meaning of the Private Securities Litigation Reform Act of 1995, Section 27A of the Securities Act of 1933 and Section 21E of the Securities Exchange Act of 1934, as amended.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Investors are cautioned that all such statements involve risks and uncertainties, including without limitation, statements concerning achieving a stronger future, driving sustainable growth and value to our shareholders, projected net sales, adjusted diluted earnings per share, cash flow from operations, capital expenditures, and depreciation and amortization for 2018, advancing our growth, driving product launches and funding our equity investments, executing on our synergy targets and retaining our focus, energy and discipline as a company, serving the needs of our customers and patients, and delivering strong value to our shareholders. Important factors that may cause actual results to differ include, but are not limited to: (i) the inability of LivaNova to meet expectations regarding the timing, completion and accounting of tax treatments; (ii) organizational and governance structure; (iii) reductions in customer spending, a slowdown in customer payments and changes in customer demand for products and services; (iv) unanticipated changes relating to competitive factors in the industries in which LivaNova operates; (v) the ability to hire and retain key personnel; (vi) the ability to attract new customers and retain existing customers in the manner anticipated; (vii) changes in legislation or governmental regulations affecting LivaNova; (viii) international, national or local economic, social or political conditions that could adversely affect LivaNova, its partners or its customers; (ix) conditions in the credit markets; (x) business and other financial risks inherent to the industries in which LivaNova operates; (xi) risks associated with assumptions made in connection with critical accounting estimates and legal proceedings;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906" w:right="239" w:bottom="1440" w:gutter="0" w:footer="0" w:header="0"/>
        </w:sectPr>
      </w:pPr>
    </w:p>
    <w:bookmarkStart w:id="8" w:name="page9"/>
    <w:bookmarkEnd w:id="8"/>
    <w:p>
      <w:pPr>
        <w:jc w:val="both"/>
        <w:ind w:firstLine="8"/>
        <w:spacing w:after="0" w:line="367" w:lineRule="auto"/>
        <w:tabs>
          <w:tab w:leader="none" w:pos="375" w:val="left"/>
        </w:tabs>
        <w:numPr>
          <w:ilvl w:val="0"/>
          <w:numId w:val="4"/>
        </w:numPr>
        <w:rPr>
          <w:rFonts w:ascii="Arial" w:cs="Arial" w:eastAsia="Arial" w:hAnsi="Arial"/>
          <w:sz w:val="20"/>
          <w:szCs w:val="20"/>
          <w:color w:val="auto"/>
        </w:rPr>
      </w:pPr>
      <w:r>
        <w:rPr>
          <w:rFonts w:ascii="Arial" w:cs="Arial" w:eastAsia="Arial" w:hAnsi="Arial"/>
          <w:sz w:val="20"/>
          <w:szCs w:val="20"/>
          <w:color w:val="auto"/>
        </w:rPr>
        <w:t>LivaNova’s international operations, which are subject to the risks of currency fluctuations and foreign exchange controls; (xiii) and the potential for international unrest, economic downturn or effects of currencies, tax assessments, tax adjustments, anticipated tax rates, raw material costs or availability, benefit or retirement plan costs, or other regulatory compliance costs. 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and other documents filed from time to time with the United States Securities and Exchange Commission by LivaNova.</w:t>
      </w:r>
    </w:p>
    <w:p>
      <w:pPr>
        <w:spacing w:after="0" w:line="212"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86"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Matthew Dodds</w:t>
      </w:r>
    </w:p>
    <w:p>
      <w:pPr>
        <w:ind w:left="80"/>
        <w:spacing w:after="0" w:line="236" w:lineRule="auto"/>
        <w:rPr>
          <w:sz w:val="20"/>
          <w:szCs w:val="20"/>
          <w:color w:val="auto"/>
        </w:rPr>
      </w:pPr>
      <w:r>
        <w:rPr>
          <w:rFonts w:ascii="Arial" w:cs="Arial" w:eastAsia="Arial" w:hAnsi="Arial"/>
          <w:sz w:val="20"/>
          <w:szCs w:val="20"/>
          <w:color w:val="auto"/>
        </w:rPr>
        <w:t>Senior Vice President, Corporate Development</w:t>
      </w:r>
    </w:p>
    <w:p>
      <w:pPr>
        <w:ind w:left="80"/>
        <w:spacing w:after="0" w:line="225" w:lineRule="auto"/>
        <w:rPr>
          <w:sz w:val="20"/>
          <w:szCs w:val="20"/>
          <w:color w:val="auto"/>
        </w:rPr>
      </w:pPr>
      <w:r>
        <w:rPr>
          <w:rFonts w:ascii="Arial" w:cs="Arial" w:eastAsia="Arial" w:hAnsi="Arial"/>
          <w:sz w:val="20"/>
          <w:szCs w:val="20"/>
          <w:color w:val="auto"/>
        </w:rPr>
        <w:t>Phone: +44 (0) 20 3325 0666</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0"/>
          <w:szCs w:val="20"/>
          <w:color w:val="auto"/>
        </w:rPr>
        <w:t>e-mail: Corporate.Communications@LivaNova.com</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703" w:right="239" w:bottom="1440" w:gutter="0" w:footer="0" w:header="0"/>
        </w:sectPr>
      </w:pPr>
    </w:p>
    <w:bookmarkStart w:id="9" w:name="page10"/>
    <w:bookmarkEnd w:id="9"/>
    <w:p>
      <w:pPr>
        <w:ind w:left="5"/>
        <w:spacing w:after="0"/>
        <w:rPr>
          <w:sz w:val="20"/>
          <w:szCs w:val="20"/>
          <w:color w:val="auto"/>
        </w:rPr>
      </w:pPr>
      <w:r>
        <w:rPr>
          <w:rFonts w:ascii="Arial" w:cs="Arial" w:eastAsia="Arial" w:hAnsi="Arial"/>
          <w:sz w:val="18"/>
          <w:szCs w:val="18"/>
          <w:b w:val="1"/>
          <w:bCs w:val="1"/>
          <w:color w:val="auto"/>
        </w:rPr>
        <w:t>LIVANOVA PLC</w:t>
      </w:r>
    </w:p>
    <w:p>
      <w:pPr>
        <w:spacing w:after="0" w:line="5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QUARTERLY SALES</w:t>
      </w:r>
    </w:p>
    <w:p>
      <w:pPr>
        <w:spacing w:after="0" w:line="5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(U.S. dollars in millions)</w:t>
      </w:r>
    </w:p>
    <w:p>
      <w:pPr>
        <w:spacing w:after="0" w:line="171" w:lineRule="exact"/>
        <w:rPr>
          <w:sz w:val="20"/>
          <w:szCs w:val="20"/>
          <w:color w:val="auto"/>
        </w:rPr>
      </w:pPr>
    </w:p>
    <w:tbl>
      <w:tblPr>
        <w:tblLayout w:type="fixed"/>
        <w:tblInd w:w="5" w:type="dxa"/>
        <w:tblCellMar>
          <w:top w:w="0" w:type="dxa"/>
          <w:left w:w="0" w:type="dxa"/>
          <w:bottom w:w="0" w:type="dxa"/>
          <w:right w:w="0" w:type="dxa"/>
        </w:tblCellMar>
      </w:tblPr>
      <w:tr>
        <w:trPr>
          <w:trHeight w:val="259"/>
        </w:trPr>
        <w:tc>
          <w:tcPr>
            <w:tcW w:w="4080" w:type="dxa"/>
            <w:vAlign w:val="bottom"/>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gridSpan w:val="4"/>
          </w:tcPr>
          <w:p>
            <w:pPr>
              <w:ind w:left="840"/>
              <w:spacing w:after="0"/>
              <w:rPr>
                <w:sz w:val="20"/>
                <w:szCs w:val="20"/>
                <w:color w:val="auto"/>
              </w:rPr>
            </w:pPr>
            <w:r>
              <w:rPr>
                <w:rFonts w:ascii="Arial" w:cs="Arial" w:eastAsia="Arial" w:hAnsi="Arial"/>
                <w:sz w:val="18"/>
                <w:szCs w:val="18"/>
                <w:b w:val="1"/>
                <w:bCs w:val="1"/>
                <w:color w:val="auto"/>
              </w:rPr>
              <w:t>Three Months Ended June 30,</w:t>
            </w:r>
          </w:p>
        </w:tc>
        <w:tc>
          <w:tcPr>
            <w:tcW w:w="2060" w:type="dxa"/>
            <w:vAlign w:val="bottom"/>
            <w:tcBorders>
              <w:bottom w:val="single" w:sz="8" w:color="auto"/>
            </w:tcBorders>
          </w:tcPr>
          <w:p>
            <w:pPr>
              <w:spacing w:after="0"/>
              <w:rPr>
                <w:sz w:val="22"/>
                <w:szCs w:val="22"/>
                <w:color w:val="auto"/>
              </w:rPr>
            </w:pPr>
          </w:p>
        </w:tc>
      </w:tr>
      <w:tr>
        <w:trPr>
          <w:trHeight w:val="328"/>
        </w:trPr>
        <w:tc>
          <w:tcPr>
            <w:tcW w:w="4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2"/>
          </w:tcPr>
          <w:p>
            <w:pPr>
              <w:ind w:left="200"/>
              <w:spacing w:after="0"/>
              <w:rPr>
                <w:sz w:val="20"/>
                <w:szCs w:val="20"/>
                <w:color w:val="auto"/>
              </w:rPr>
            </w:pPr>
            <w:r>
              <w:rPr>
                <w:rFonts w:ascii="Arial" w:cs="Arial" w:eastAsia="Arial" w:hAnsi="Arial"/>
                <w:sz w:val="18"/>
                <w:szCs w:val="18"/>
                <w:b w:val="1"/>
                <w:bCs w:val="1"/>
                <w:color w:val="auto"/>
              </w:rPr>
              <w:t>% Change at Actual</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 Change at Constant</w:t>
            </w:r>
          </w:p>
        </w:tc>
      </w:tr>
      <w:tr>
        <w:trPr>
          <w:trHeight w:val="259"/>
        </w:trPr>
        <w:tc>
          <w:tcPr>
            <w:tcW w:w="4080" w:type="dxa"/>
            <w:vAlign w:val="bottom"/>
          </w:tcPr>
          <w:p>
            <w:pPr>
              <w:spacing w:after="0"/>
              <w:rPr>
                <w:sz w:val="22"/>
                <w:szCs w:val="22"/>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14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2160" w:type="dxa"/>
            <w:vAlign w:val="bottom"/>
            <w:gridSpan w:val="2"/>
          </w:tcPr>
          <w:p>
            <w:pPr>
              <w:ind w:left="360"/>
              <w:spacing w:after="0"/>
              <w:rPr>
                <w:sz w:val="20"/>
                <w:szCs w:val="20"/>
                <w:color w:val="auto"/>
              </w:rPr>
            </w:pPr>
            <w:r>
              <w:rPr>
                <w:rFonts w:ascii="Arial" w:cs="Arial" w:eastAsia="Arial" w:hAnsi="Arial"/>
                <w:sz w:val="18"/>
                <w:szCs w:val="18"/>
                <w:b w:val="1"/>
                <w:bCs w:val="1"/>
                <w:color w:val="auto"/>
              </w:rPr>
              <w:t>Currency Rates</w:t>
            </w:r>
          </w:p>
        </w:tc>
        <w:tc>
          <w:tcPr>
            <w:tcW w:w="2060" w:type="dxa"/>
            <w:vAlign w:val="bottom"/>
          </w:tcPr>
          <w:p>
            <w:pPr>
              <w:jc w:val="right"/>
              <w:ind w:right="210"/>
              <w:spacing w:after="0"/>
              <w:rPr>
                <w:sz w:val="20"/>
                <w:szCs w:val="20"/>
                <w:color w:val="auto"/>
              </w:rPr>
            </w:pPr>
            <w:r>
              <w:rPr>
                <w:rFonts w:ascii="Arial" w:cs="Arial" w:eastAsia="Arial" w:hAnsi="Arial"/>
                <w:sz w:val="18"/>
                <w:szCs w:val="18"/>
                <w:b w:val="1"/>
                <w:bCs w:val="1"/>
                <w:color w:val="auto"/>
              </w:rPr>
              <w:t>Currency Rates</w:t>
            </w:r>
            <w:r>
              <w:rPr>
                <w:rFonts w:ascii="Arial" w:cs="Arial" w:eastAsia="Arial" w:hAnsi="Arial"/>
                <w:sz w:val="21"/>
                <w:szCs w:val="21"/>
                <w:color w:val="auto"/>
                <w:vertAlign w:val="superscript"/>
              </w:rPr>
              <w:t>(1)</w:t>
            </w:r>
          </w:p>
        </w:tc>
      </w:tr>
      <w:tr>
        <w:trPr>
          <w:trHeight w:val="257"/>
        </w:trPr>
        <w:tc>
          <w:tcPr>
            <w:tcW w:w="4080" w:type="dxa"/>
            <w:vAlign w:val="bottom"/>
          </w:tcPr>
          <w:p>
            <w:pPr>
              <w:spacing w:after="0"/>
              <w:rPr>
                <w:sz w:val="20"/>
                <w:szCs w:val="20"/>
                <w:color w:val="auto"/>
              </w:rPr>
            </w:pPr>
            <w:r>
              <w:rPr>
                <w:rFonts w:ascii="Arial" w:cs="Arial" w:eastAsia="Arial" w:hAnsi="Arial"/>
                <w:sz w:val="18"/>
                <w:szCs w:val="18"/>
                <w:b w:val="1"/>
                <w:bCs w:val="1"/>
                <w:color w:val="auto"/>
              </w:rPr>
              <w:t>Cardiopulmonary</w:t>
            </w:r>
          </w:p>
        </w:tc>
        <w:tc>
          <w:tcPr>
            <w:tcW w:w="1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Borders>
              <w:top w:val="single" w:sz="8" w:color="auto"/>
            </w:tcBorders>
          </w:tcPr>
          <w:p>
            <w:pPr>
              <w:spacing w:after="0"/>
              <w:rPr>
                <w:sz w:val="22"/>
                <w:szCs w:val="22"/>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US</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Europe</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7"/>
        </w:trPr>
        <w:tc>
          <w:tcPr>
            <w:tcW w:w="4080" w:type="dxa"/>
            <w:vAlign w:val="bottom"/>
          </w:tcPr>
          <w:p>
            <w:pPr>
              <w:spacing w:after="0"/>
              <w:rPr>
                <w:sz w:val="20"/>
                <w:szCs w:val="20"/>
                <w:color w:val="auto"/>
              </w:rPr>
            </w:pPr>
            <w:r>
              <w:rPr>
                <w:rFonts w:ascii="Arial" w:cs="Arial" w:eastAsia="Arial" w:hAnsi="Arial"/>
                <w:sz w:val="18"/>
                <w:szCs w:val="18"/>
                <w:color w:val="auto"/>
              </w:rPr>
              <w:t>Rest of world</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50.5</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50"/>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136.6</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124.1</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7.2%</w:t>
            </w:r>
          </w:p>
        </w:tc>
      </w:tr>
      <w:tr>
        <w:trPr>
          <w:trHeight w:val="378"/>
        </w:trPr>
        <w:tc>
          <w:tcPr>
            <w:tcW w:w="4080" w:type="dxa"/>
            <w:vAlign w:val="bottom"/>
          </w:tcPr>
          <w:p>
            <w:pPr>
              <w:spacing w:after="0"/>
              <w:rPr>
                <w:sz w:val="20"/>
                <w:szCs w:val="20"/>
                <w:color w:val="auto"/>
              </w:rPr>
            </w:pPr>
            <w:r>
              <w:rPr>
                <w:rFonts w:ascii="Arial" w:cs="Arial" w:eastAsia="Arial" w:hAnsi="Arial"/>
                <w:sz w:val="18"/>
                <w:szCs w:val="18"/>
                <w:b w:val="1"/>
                <w:bCs w:val="1"/>
                <w:color w:val="auto"/>
              </w:rPr>
              <w:t>Heart Valves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US</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Europe</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7"/>
        </w:trPr>
        <w:tc>
          <w:tcPr>
            <w:tcW w:w="4080" w:type="dxa"/>
            <w:vAlign w:val="bottom"/>
          </w:tcPr>
          <w:p>
            <w:pPr>
              <w:spacing w:after="0"/>
              <w:rPr>
                <w:sz w:val="20"/>
                <w:szCs w:val="20"/>
                <w:color w:val="auto"/>
              </w:rPr>
            </w:pPr>
            <w:r>
              <w:rPr>
                <w:rFonts w:ascii="Arial" w:cs="Arial" w:eastAsia="Arial" w:hAnsi="Arial"/>
                <w:sz w:val="18"/>
                <w:szCs w:val="18"/>
                <w:color w:val="auto"/>
              </w:rPr>
              <w:t>Rest of world</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50"/>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378"/>
        </w:trPr>
        <w:tc>
          <w:tcPr>
            <w:tcW w:w="4080" w:type="dxa"/>
            <w:vAlign w:val="bottom"/>
          </w:tcPr>
          <w:p>
            <w:pPr>
              <w:spacing w:after="0"/>
              <w:rPr>
                <w:sz w:val="20"/>
                <w:szCs w:val="20"/>
                <w:color w:val="auto"/>
              </w:rPr>
            </w:pPr>
            <w:r>
              <w:rPr>
                <w:rFonts w:ascii="Arial" w:cs="Arial" w:eastAsia="Arial" w:hAnsi="Arial"/>
                <w:sz w:val="18"/>
                <w:szCs w:val="18"/>
                <w:b w:val="1"/>
                <w:bCs w:val="1"/>
                <w:color w:val="auto"/>
              </w:rPr>
              <w:t>Advanced Circulatory Support</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US</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Europe</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77"/>
        </w:trPr>
        <w:tc>
          <w:tcPr>
            <w:tcW w:w="4080" w:type="dxa"/>
            <w:vAlign w:val="bottom"/>
          </w:tcPr>
          <w:p>
            <w:pPr>
              <w:spacing w:after="0"/>
              <w:rPr>
                <w:sz w:val="20"/>
                <w:szCs w:val="20"/>
                <w:color w:val="auto"/>
              </w:rPr>
            </w:pPr>
            <w:r>
              <w:rPr>
                <w:rFonts w:ascii="Arial" w:cs="Arial" w:eastAsia="Arial" w:hAnsi="Arial"/>
                <w:sz w:val="18"/>
                <w:szCs w:val="18"/>
                <w:color w:val="auto"/>
              </w:rPr>
              <w:t>Rest of world</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50"/>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378"/>
        </w:trPr>
        <w:tc>
          <w:tcPr>
            <w:tcW w:w="4080" w:type="dxa"/>
            <w:vAlign w:val="bottom"/>
          </w:tcPr>
          <w:p>
            <w:pPr>
              <w:spacing w:after="0"/>
              <w:rPr>
                <w:sz w:val="20"/>
                <w:szCs w:val="20"/>
                <w:color w:val="auto"/>
              </w:rPr>
            </w:pPr>
            <w:r>
              <w:rPr>
                <w:rFonts w:ascii="Arial" w:cs="Arial" w:eastAsia="Arial" w:hAnsi="Arial"/>
                <w:sz w:val="18"/>
                <w:szCs w:val="18"/>
                <w:b w:val="1"/>
                <w:bCs w:val="1"/>
                <w:color w:val="auto"/>
              </w:rPr>
              <w:t>Cardiac Surgery</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US</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Europe</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44.6</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7"/>
        </w:trPr>
        <w:tc>
          <w:tcPr>
            <w:tcW w:w="4080" w:type="dxa"/>
            <w:vAlign w:val="bottom"/>
          </w:tcPr>
          <w:p>
            <w:pPr>
              <w:spacing w:after="0"/>
              <w:rPr>
                <w:sz w:val="20"/>
                <w:szCs w:val="20"/>
                <w:color w:val="auto"/>
              </w:rPr>
            </w:pPr>
            <w:r>
              <w:rPr>
                <w:rFonts w:ascii="Arial" w:cs="Arial" w:eastAsia="Arial" w:hAnsi="Arial"/>
                <w:sz w:val="18"/>
                <w:szCs w:val="18"/>
                <w:color w:val="auto"/>
              </w:rPr>
              <w:t>Rest of world</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68.0</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50"/>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158.6</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8.3%</w:t>
            </w:r>
          </w:p>
        </w:tc>
      </w:tr>
      <w:tr>
        <w:trPr>
          <w:trHeight w:val="378"/>
        </w:trPr>
        <w:tc>
          <w:tcPr>
            <w:tcW w:w="4080" w:type="dxa"/>
            <w:vAlign w:val="bottom"/>
          </w:tcPr>
          <w:p>
            <w:pPr>
              <w:spacing w:after="0"/>
              <w:rPr>
                <w:sz w:val="20"/>
                <w:szCs w:val="20"/>
                <w:color w:val="auto"/>
              </w:rPr>
            </w:pPr>
            <w:r>
              <w:rPr>
                <w:rFonts w:ascii="Arial" w:cs="Arial" w:eastAsia="Arial" w:hAnsi="Arial"/>
                <w:sz w:val="18"/>
                <w:szCs w:val="18"/>
                <w:b w:val="1"/>
                <w:bCs w:val="1"/>
                <w:color w:val="auto"/>
              </w:rPr>
              <w:t>Neuromodulation</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US</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81.4</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Europe</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7"/>
        </w:trPr>
        <w:tc>
          <w:tcPr>
            <w:tcW w:w="4080" w:type="dxa"/>
            <w:vAlign w:val="bottom"/>
          </w:tcPr>
          <w:p>
            <w:pPr>
              <w:spacing w:after="0"/>
              <w:rPr>
                <w:sz w:val="20"/>
                <w:szCs w:val="20"/>
                <w:color w:val="auto"/>
              </w:rPr>
            </w:pPr>
            <w:r>
              <w:rPr>
                <w:rFonts w:ascii="Arial" w:cs="Arial" w:eastAsia="Arial" w:hAnsi="Arial"/>
                <w:sz w:val="18"/>
                <w:szCs w:val="18"/>
                <w:color w:val="auto"/>
              </w:rPr>
              <w:t>Rest of world</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51.0%</w:t>
            </w:r>
          </w:p>
        </w:tc>
      </w:tr>
      <w:tr>
        <w:trPr>
          <w:trHeight w:val="250"/>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97.0</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13.2%</w:t>
            </w:r>
          </w:p>
        </w:tc>
      </w:tr>
      <w:tr>
        <w:trPr>
          <w:trHeight w:val="378"/>
        </w:trPr>
        <w:tc>
          <w:tcPr>
            <w:tcW w:w="408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US</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Europe</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77"/>
        </w:trPr>
        <w:tc>
          <w:tcPr>
            <w:tcW w:w="4080" w:type="dxa"/>
            <w:vAlign w:val="bottom"/>
          </w:tcPr>
          <w:p>
            <w:pPr>
              <w:spacing w:after="0"/>
              <w:rPr>
                <w:sz w:val="20"/>
                <w:szCs w:val="20"/>
                <w:color w:val="auto"/>
              </w:rPr>
            </w:pPr>
            <w:r>
              <w:rPr>
                <w:rFonts w:ascii="Arial" w:cs="Arial" w:eastAsia="Arial" w:hAnsi="Arial"/>
                <w:sz w:val="18"/>
                <w:szCs w:val="18"/>
                <w:color w:val="auto"/>
              </w:rPr>
              <w:t>Rest of world</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50"/>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378"/>
        </w:trPr>
        <w:tc>
          <w:tcPr>
            <w:tcW w:w="408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US</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127.3</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Europe</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54.2</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7"/>
        </w:trPr>
        <w:tc>
          <w:tcPr>
            <w:tcW w:w="4080" w:type="dxa"/>
            <w:vAlign w:val="bottom"/>
          </w:tcPr>
          <w:p>
            <w:pPr>
              <w:spacing w:after="0"/>
              <w:rPr>
                <w:sz w:val="20"/>
                <w:szCs w:val="20"/>
                <w:color w:val="auto"/>
              </w:rPr>
            </w:pPr>
            <w:r>
              <w:rPr>
                <w:rFonts w:ascii="Arial" w:cs="Arial" w:eastAsia="Arial" w:hAnsi="Arial"/>
                <w:sz w:val="18"/>
                <w:szCs w:val="18"/>
                <w:color w:val="auto"/>
              </w:rPr>
              <w:t>Rest of world</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74.4</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$287.5</w:t>
            </w:r>
          </w:p>
        </w:tc>
        <w:tc>
          <w:tcPr>
            <w:tcW w:w="12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$255.8</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12.4%</w:t>
            </w:r>
          </w:p>
        </w:tc>
        <w:tc>
          <w:tcPr>
            <w:tcW w:w="100" w:type="dxa"/>
            <w:vAlign w:val="bottom"/>
          </w:tcPr>
          <w:p>
            <w:pPr>
              <w:spacing w:after="0"/>
              <w:rPr>
                <w:sz w:val="22"/>
                <w:szCs w:val="22"/>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10.2%</w:t>
            </w:r>
          </w:p>
        </w:tc>
      </w:tr>
      <w:tr>
        <w:trPr>
          <w:trHeight w:val="20"/>
        </w:trPr>
        <w:tc>
          <w:tcPr>
            <w:tcW w:w="40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153" w:lineRule="exact"/>
        <w:rPr>
          <w:sz w:val="20"/>
          <w:szCs w:val="20"/>
          <w:color w:val="auto"/>
        </w:rPr>
      </w:pPr>
    </w:p>
    <w:p>
      <w:pPr>
        <w:ind w:left="5"/>
        <w:spacing w:after="0"/>
        <w:rPr>
          <w:sz w:val="20"/>
          <w:szCs w:val="20"/>
          <w:color w:val="auto"/>
        </w:rPr>
      </w:pPr>
      <w:r>
        <w:rPr>
          <w:rFonts w:ascii="Arial" w:cs="Arial" w:eastAsia="Arial" w:hAnsi="Arial"/>
          <w:sz w:val="14"/>
          <w:szCs w:val="14"/>
          <w:color w:val="auto"/>
        </w:rPr>
        <w:t>* The sales results presented are unaudited. Numbers may not add up precisely due to rounding.</w:t>
      </w:r>
    </w:p>
    <w:p>
      <w:pPr>
        <w:spacing w:after="0" w:line="55" w:lineRule="exact"/>
        <w:rPr>
          <w:sz w:val="20"/>
          <w:szCs w:val="20"/>
          <w:color w:val="auto"/>
        </w:rPr>
      </w:pPr>
    </w:p>
    <w:p>
      <w:pPr>
        <w:ind w:left="5" w:right="460" w:hanging="5"/>
        <w:spacing w:after="0" w:line="258" w:lineRule="auto"/>
        <w:tabs>
          <w:tab w:leader="none" w:pos="221" w:val="left"/>
        </w:tabs>
        <w:numPr>
          <w:ilvl w:val="0"/>
          <w:numId w:val="5"/>
        </w:numPr>
        <w:rPr>
          <w:rFonts w:ascii="Arial" w:cs="Arial" w:eastAsia="Arial" w:hAnsi="Arial"/>
          <w:sz w:val="14"/>
          <w:szCs w:val="14"/>
          <w:color w:val="auto"/>
        </w:rPr>
      </w:pPr>
      <w:r>
        <w:rPr>
          <w:rFonts w:ascii="Arial" w:cs="Arial" w:eastAsia="Arial" w:hAnsi="Arial"/>
          <w:sz w:val="14"/>
          <w:szCs w:val="14"/>
          <w:color w:val="auto"/>
        </w:rPr>
        <w:t>Constant currency growth, a non-GAAP financial measure, measures the change in sales between current and prior-year periods using average exchange rates in effect during the applicable prior-year period.</w:t>
      </w:r>
    </w:p>
    <w:p>
      <w:pPr>
        <w:sectPr>
          <w:pgSz w:w="11900" w:h="16838" w:orient="portrait"/>
          <w:cols w:equalWidth="0" w:num="1">
            <w:col w:w="11385"/>
          </w:cols>
          <w:pgMar w:left="275" w:top="778" w:right="239" w:bottom="1440" w:gutter="0" w:footer="0" w:header="0"/>
        </w:sectPr>
      </w:pPr>
    </w:p>
    <w:p>
      <w:pPr>
        <w:spacing w:after="0" w:line="250" w:lineRule="exact"/>
        <w:rPr>
          <w:sz w:val="20"/>
          <w:szCs w:val="20"/>
          <w:color w:val="auto"/>
        </w:rPr>
      </w:pPr>
    </w:p>
    <w:p>
      <w:pPr>
        <w:jc w:val="center"/>
        <w:ind w:right="15"/>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385"/>
          </w:cols>
          <w:pgMar w:left="275" w:top="778" w:right="239" w:bottom="1440" w:gutter="0" w:footer="0" w:header="0"/>
          <w:type w:val="continuous"/>
        </w:sectPr>
      </w:pPr>
    </w:p>
    <w:bookmarkStart w:id="10" w:name="page11"/>
    <w:bookmarkEnd w:id="10"/>
    <w:p>
      <w:pPr>
        <w:ind w:left="5"/>
        <w:spacing w:after="0"/>
        <w:rPr>
          <w:sz w:val="20"/>
          <w:szCs w:val="20"/>
          <w:color w:val="auto"/>
        </w:rPr>
      </w:pPr>
      <w:r>
        <w:rPr>
          <w:rFonts w:ascii="Arial" w:cs="Arial" w:eastAsia="Arial" w:hAnsi="Arial"/>
          <w:sz w:val="18"/>
          <w:szCs w:val="18"/>
          <w:b w:val="1"/>
          <w:bCs w:val="1"/>
          <w:color w:val="auto"/>
        </w:rPr>
        <w:t>LIVANOVA PLC</w:t>
      </w:r>
    </w:p>
    <w:p>
      <w:pPr>
        <w:spacing w:after="0" w:line="5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SIX MONTH SALES</w:t>
      </w:r>
    </w:p>
    <w:p>
      <w:pPr>
        <w:spacing w:after="0" w:line="5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(U.S. dollars in millions)</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246"/>
        </w:trPr>
        <w:tc>
          <w:tcPr>
            <w:tcW w:w="39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gridSpan w:val="4"/>
          </w:tcPr>
          <w:p>
            <w:pPr>
              <w:ind w:left="960"/>
              <w:spacing w:after="0"/>
              <w:rPr>
                <w:sz w:val="20"/>
                <w:szCs w:val="20"/>
                <w:color w:val="auto"/>
              </w:rPr>
            </w:pPr>
            <w:r>
              <w:rPr>
                <w:rFonts w:ascii="Arial" w:cs="Arial" w:eastAsia="Arial" w:hAnsi="Arial"/>
                <w:sz w:val="18"/>
                <w:szCs w:val="18"/>
                <w:b w:val="1"/>
                <w:bCs w:val="1"/>
                <w:color w:val="auto"/>
              </w:rPr>
              <w:t>Six Months Ended June 30,</w:t>
            </w:r>
          </w:p>
        </w:tc>
        <w:tc>
          <w:tcPr>
            <w:tcW w:w="2060" w:type="dxa"/>
            <w:vAlign w:val="bottom"/>
            <w:tcBorders>
              <w:bottom w:val="single" w:sz="8" w:color="auto"/>
            </w:tcBorders>
          </w:tcPr>
          <w:p>
            <w:pPr>
              <w:spacing w:after="0"/>
              <w:rPr>
                <w:sz w:val="21"/>
                <w:szCs w:val="21"/>
                <w:color w:val="auto"/>
              </w:rPr>
            </w:pPr>
          </w:p>
        </w:tc>
      </w:tr>
      <w:tr>
        <w:trPr>
          <w:trHeight w:val="328"/>
        </w:trPr>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2"/>
          </w:tcPr>
          <w:p>
            <w:pPr>
              <w:ind w:left="200"/>
              <w:spacing w:after="0"/>
              <w:rPr>
                <w:sz w:val="20"/>
                <w:szCs w:val="20"/>
                <w:color w:val="auto"/>
              </w:rPr>
            </w:pPr>
            <w:r>
              <w:rPr>
                <w:rFonts w:ascii="Arial" w:cs="Arial" w:eastAsia="Arial" w:hAnsi="Arial"/>
                <w:sz w:val="18"/>
                <w:szCs w:val="18"/>
                <w:b w:val="1"/>
                <w:bCs w:val="1"/>
                <w:color w:val="auto"/>
              </w:rPr>
              <w:t>% Change at Actual</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 Change at Constant</w:t>
            </w:r>
          </w:p>
        </w:tc>
      </w:tr>
      <w:tr>
        <w:trPr>
          <w:trHeight w:val="252"/>
        </w:trPr>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14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2160" w:type="dxa"/>
            <w:vAlign w:val="bottom"/>
            <w:gridSpan w:val="2"/>
          </w:tcPr>
          <w:p>
            <w:pPr>
              <w:ind w:left="360"/>
              <w:spacing w:after="0"/>
              <w:rPr>
                <w:sz w:val="20"/>
                <w:szCs w:val="20"/>
                <w:color w:val="auto"/>
              </w:rPr>
            </w:pPr>
            <w:r>
              <w:rPr>
                <w:rFonts w:ascii="Arial" w:cs="Arial" w:eastAsia="Arial" w:hAnsi="Arial"/>
                <w:sz w:val="18"/>
                <w:szCs w:val="18"/>
                <w:b w:val="1"/>
                <w:bCs w:val="1"/>
                <w:color w:val="auto"/>
              </w:rPr>
              <w:t>Currency Rates</w:t>
            </w:r>
          </w:p>
        </w:tc>
        <w:tc>
          <w:tcPr>
            <w:tcW w:w="2060" w:type="dxa"/>
            <w:vAlign w:val="bottom"/>
          </w:tcPr>
          <w:p>
            <w:pPr>
              <w:jc w:val="right"/>
              <w:ind w:right="210"/>
              <w:spacing w:after="0"/>
              <w:rPr>
                <w:sz w:val="20"/>
                <w:szCs w:val="20"/>
                <w:color w:val="auto"/>
              </w:rPr>
            </w:pPr>
            <w:r>
              <w:rPr>
                <w:rFonts w:ascii="Arial" w:cs="Arial" w:eastAsia="Arial" w:hAnsi="Arial"/>
                <w:sz w:val="18"/>
                <w:szCs w:val="18"/>
                <w:b w:val="1"/>
                <w:bCs w:val="1"/>
                <w:color w:val="auto"/>
              </w:rPr>
              <w:t>Currency Rates</w:t>
            </w:r>
            <w:r>
              <w:rPr>
                <w:rFonts w:ascii="Arial" w:cs="Arial" w:eastAsia="Arial" w:hAnsi="Arial"/>
                <w:sz w:val="21"/>
                <w:szCs w:val="21"/>
                <w:color w:val="auto"/>
                <w:vertAlign w:val="superscript"/>
              </w:rPr>
              <w:t>(1)</w:t>
            </w:r>
          </w:p>
        </w:tc>
      </w:tr>
      <w:tr>
        <w:trPr>
          <w:trHeight w:val="25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Cardiopulmonary</w:t>
            </w:r>
          </w:p>
        </w:tc>
        <w:tc>
          <w:tcPr>
            <w:tcW w:w="1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Borders>
              <w:top w:val="single" w:sz="8" w:color="auto"/>
            </w:tcBorders>
          </w:tcPr>
          <w:p>
            <w:pPr>
              <w:spacing w:after="0"/>
              <w:rPr>
                <w:sz w:val="21"/>
                <w:szCs w:val="21"/>
                <w:color w:val="auto"/>
              </w:rPr>
            </w:pP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US</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64.6</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7"/>
        </w:trPr>
        <w:tc>
          <w:tcPr>
            <w:tcW w:w="408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95.0</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50"/>
        </w:trPr>
        <w:tc>
          <w:tcPr>
            <w:tcW w:w="4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261.8</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231.4</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13.1%</w:t>
            </w:r>
          </w:p>
        </w:tc>
        <w:tc>
          <w:tcPr>
            <w:tcW w:w="1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8.1%</w:t>
            </w:r>
          </w:p>
        </w:tc>
      </w:tr>
      <w:tr>
        <w:trPr>
          <w:trHeight w:val="378"/>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Heart Valves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US</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7"/>
        </w:trPr>
        <w:tc>
          <w:tcPr>
            <w:tcW w:w="408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33.0</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50"/>
        </w:trPr>
        <w:tc>
          <w:tcPr>
            <w:tcW w:w="4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66.3</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(7.2%)</w:t>
            </w:r>
          </w:p>
        </w:tc>
      </w:tr>
      <w:tr>
        <w:trPr>
          <w:trHeight w:val="378"/>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Advanced Circulatory Support</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US</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77"/>
        </w:trPr>
        <w:tc>
          <w:tcPr>
            <w:tcW w:w="408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50"/>
        </w:trPr>
        <w:tc>
          <w:tcPr>
            <w:tcW w:w="4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378"/>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Cardiac Surgery</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US</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84.2</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17.3%</w:t>
            </w: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85.6</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7"/>
        </w:trPr>
        <w:tc>
          <w:tcPr>
            <w:tcW w:w="408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128.0</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50"/>
        </w:trPr>
        <w:tc>
          <w:tcPr>
            <w:tcW w:w="4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332.6</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297.8</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6.7%</w:t>
            </w:r>
          </w:p>
        </w:tc>
      </w:tr>
      <w:tr>
        <w:trPr>
          <w:trHeight w:val="378"/>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Neuromodulation</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US</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155.1</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7"/>
        </w:trPr>
        <w:tc>
          <w:tcPr>
            <w:tcW w:w="408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26.0%</w:t>
            </w:r>
          </w:p>
        </w:tc>
      </w:tr>
      <w:tr>
        <w:trPr>
          <w:trHeight w:val="250"/>
        </w:trPr>
        <w:tc>
          <w:tcPr>
            <w:tcW w:w="4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204.5</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184.2</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11.0%</w:t>
            </w:r>
          </w:p>
        </w:tc>
        <w:tc>
          <w:tcPr>
            <w:tcW w:w="1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9.9%</w:t>
            </w:r>
          </w:p>
        </w:tc>
      </w:tr>
      <w:tr>
        <w:trPr>
          <w:trHeight w:val="378"/>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Other</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US</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77"/>
        </w:trPr>
        <w:tc>
          <w:tcPr>
            <w:tcW w:w="408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4"/>
                <w:szCs w:val="24"/>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50"/>
        </w:trPr>
        <w:tc>
          <w:tcPr>
            <w:tcW w:w="4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378"/>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US</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266.1</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239.2</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103.0</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7"/>
        </w:trPr>
        <w:tc>
          <w:tcPr>
            <w:tcW w:w="408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140.4</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57"/>
        </w:trPr>
        <w:tc>
          <w:tcPr>
            <w:tcW w:w="4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$537.9</w:t>
            </w:r>
          </w:p>
        </w:tc>
        <w:tc>
          <w:tcPr>
            <w:tcW w:w="12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$482.7</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22"/>
                <w:szCs w:val="22"/>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7.9%</w:t>
            </w: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07" w:lineRule="exact"/>
        <w:rPr>
          <w:sz w:val="20"/>
          <w:szCs w:val="20"/>
          <w:color w:val="auto"/>
        </w:rPr>
      </w:pPr>
    </w:p>
    <w:p>
      <w:pPr>
        <w:ind w:left="5"/>
        <w:spacing w:after="0"/>
        <w:rPr>
          <w:sz w:val="20"/>
          <w:szCs w:val="20"/>
          <w:color w:val="auto"/>
        </w:rPr>
      </w:pPr>
      <w:r>
        <w:rPr>
          <w:rFonts w:ascii="Arial" w:cs="Arial" w:eastAsia="Arial" w:hAnsi="Arial"/>
          <w:sz w:val="14"/>
          <w:szCs w:val="14"/>
          <w:color w:val="auto"/>
        </w:rPr>
        <w:t>* The sales results presented are unaudited. Numbers may not add up precisely due to rounding.</w:t>
      </w:r>
    </w:p>
    <w:p>
      <w:pPr>
        <w:spacing w:after="0" w:line="55" w:lineRule="exact"/>
        <w:rPr>
          <w:sz w:val="20"/>
          <w:szCs w:val="20"/>
          <w:color w:val="auto"/>
        </w:rPr>
      </w:pPr>
    </w:p>
    <w:p>
      <w:pPr>
        <w:ind w:left="5" w:right="460" w:hanging="5"/>
        <w:spacing w:after="0" w:line="258" w:lineRule="auto"/>
        <w:tabs>
          <w:tab w:leader="none" w:pos="221"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Constant currency growth, a non-GAAP financial measure, measures the change in sales between current and prior-year periods using average exchange rates in effect during the applicable prior-year period.</w:t>
      </w:r>
    </w:p>
    <w:p>
      <w:pPr>
        <w:sectPr>
          <w:pgSz w:w="11900" w:h="16838" w:orient="portrait"/>
          <w:cols w:equalWidth="0" w:num="1">
            <w:col w:w="11385"/>
          </w:cols>
          <w:pgMar w:left="275" w:top="778" w:right="239" w:bottom="1440" w:gutter="0" w:footer="0" w:header="0"/>
        </w:sectPr>
      </w:pPr>
    </w:p>
    <w:p>
      <w:pPr>
        <w:spacing w:after="0" w:line="250" w:lineRule="exact"/>
        <w:rPr>
          <w:sz w:val="20"/>
          <w:szCs w:val="20"/>
          <w:color w:val="auto"/>
        </w:rPr>
      </w:pPr>
    </w:p>
    <w:p>
      <w:pPr>
        <w:jc w:val="center"/>
        <w:ind w:right="15"/>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385"/>
          </w:cols>
          <w:pgMar w:left="275" w:top="778"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LIVANOVA PLC AND SUBSIDIARIES</w:t>
      </w:r>
    </w:p>
    <w:p>
      <w:pPr>
        <w:spacing w:after="0" w:line="40" w:lineRule="exact"/>
        <w:rPr>
          <w:sz w:val="20"/>
          <w:szCs w:val="20"/>
          <w:color w:val="auto"/>
        </w:rPr>
      </w:pPr>
    </w:p>
    <w:p>
      <w:pPr>
        <w:ind w:right="4620"/>
        <w:spacing w:after="0" w:line="314" w:lineRule="auto"/>
        <w:rPr>
          <w:sz w:val="20"/>
          <w:szCs w:val="20"/>
          <w:color w:val="auto"/>
        </w:rPr>
      </w:pPr>
      <w:r>
        <w:rPr>
          <w:rFonts w:ascii="Arial" w:cs="Arial" w:eastAsia="Arial" w:hAnsi="Arial"/>
          <w:sz w:val="20"/>
          <w:szCs w:val="20"/>
          <w:b w:val="1"/>
          <w:bCs w:val="1"/>
          <w:color w:val="auto"/>
        </w:rPr>
        <w:t>CONDENSED CONSOLIDATED STATEMENTS OF INCOME - UNAUDITED (U.S. dollars in millions, except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tcPr>
          <w:p>
            <w:pPr>
              <w:spacing w:after="0"/>
              <w:rPr>
                <w:sz w:val="19"/>
                <w:szCs w:val="19"/>
                <w:color w:val="auto"/>
              </w:rPr>
            </w:pPr>
          </w:p>
        </w:tc>
        <w:tc>
          <w:tcPr>
            <w:tcW w:w="3480" w:type="dxa"/>
            <w:vAlign w:val="bottom"/>
            <w:tcBorders>
              <w:bottom w:val="single" w:sz="8" w:color="auto"/>
            </w:tcBorders>
            <w:gridSpan w:val="3"/>
          </w:tcPr>
          <w:p>
            <w:pPr>
              <w:jc w:val="right"/>
              <w:ind w:right="498"/>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3"/>
                <w:szCs w:val="23"/>
                <w:color w:val="auto"/>
              </w:rPr>
            </w:pPr>
          </w:p>
        </w:tc>
        <w:tc>
          <w:tcPr>
            <w:tcW w:w="1700" w:type="dxa"/>
            <w:vAlign w:val="bottom"/>
            <w:tcBorders>
              <w:bottom w:val="single" w:sz="8" w:color="auto"/>
            </w:tcBorders>
          </w:tcPr>
          <w:p>
            <w:pPr>
              <w:jc w:val="right"/>
              <w:ind w:right="598"/>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3"/>
                <w:szCs w:val="23"/>
                <w:color w:val="auto"/>
              </w:rPr>
            </w:pPr>
          </w:p>
        </w:tc>
        <w:tc>
          <w:tcPr>
            <w:tcW w:w="1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 xml:space="preserve">% Change </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433"/>
        </w:trPr>
        <w:tc>
          <w:tcPr>
            <w:tcW w:w="5960" w:type="dxa"/>
            <w:vAlign w:val="bottom"/>
          </w:tcPr>
          <w:p>
            <w:pPr>
              <w:spacing w:after="0"/>
              <w:rPr>
                <w:sz w:val="20"/>
                <w:szCs w:val="20"/>
                <w:color w:val="auto"/>
              </w:rPr>
            </w:pPr>
            <w:r>
              <w:rPr>
                <w:rFonts w:ascii="Arial" w:cs="Arial" w:eastAsia="Arial" w:hAnsi="Arial"/>
                <w:sz w:val="16"/>
                <w:szCs w:val="16"/>
                <w:color w:val="auto"/>
              </w:rPr>
              <w:t>Net sales</w:t>
            </w: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$287.5</w:t>
            </w:r>
          </w:p>
        </w:tc>
        <w:tc>
          <w:tcPr>
            <w:tcW w:w="100" w:type="dxa"/>
            <w:vAlign w:val="bottom"/>
          </w:tcPr>
          <w:p>
            <w:pPr>
              <w:spacing w:after="0"/>
              <w:rPr>
                <w:sz w:val="24"/>
                <w:szCs w:val="24"/>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$255.8</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320"/>
              <w:spacing w:after="0"/>
              <w:rPr>
                <w:sz w:val="20"/>
                <w:szCs w:val="20"/>
                <w:color w:val="auto"/>
              </w:rPr>
            </w:pPr>
            <w:r>
              <w:rPr>
                <w:rFonts w:ascii="Arial" w:cs="Arial" w:eastAsia="Arial" w:hAnsi="Arial"/>
                <w:sz w:val="16"/>
                <w:szCs w:val="16"/>
                <w:color w:val="auto"/>
              </w:rPr>
              <w:t>Cost of sales</w:t>
            </w: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960" w:type="dxa"/>
            <w:vAlign w:val="bottom"/>
          </w:tcPr>
          <w:p>
            <w:pPr>
              <w:ind w:left="320"/>
              <w:spacing w:after="0"/>
              <w:rPr>
                <w:sz w:val="20"/>
                <w:szCs w:val="20"/>
                <w:color w:val="auto"/>
              </w:rPr>
            </w:pPr>
            <w:r>
              <w:rPr>
                <w:rFonts w:ascii="Arial" w:cs="Arial" w:eastAsia="Arial" w:hAnsi="Arial"/>
                <w:sz w:val="16"/>
                <w:szCs w:val="16"/>
                <w:color w:val="auto"/>
              </w:rPr>
              <w:t>Product remediation</w:t>
            </w:r>
          </w:p>
        </w:tc>
        <w:tc>
          <w:tcPr>
            <w:tcW w:w="17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16"/>
                <w:szCs w:val="16"/>
                <w:color w:val="auto"/>
              </w:rPr>
              <w:t>Gross profit</w:t>
            </w: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194.0</w:t>
            </w:r>
          </w:p>
        </w:tc>
        <w:tc>
          <w:tcPr>
            <w:tcW w:w="100" w:type="dxa"/>
            <w:vAlign w:val="bottom"/>
          </w:tcPr>
          <w:p>
            <w:pPr>
              <w:spacing w:after="0"/>
              <w:rPr>
                <w:sz w:val="21"/>
                <w:szCs w:val="21"/>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170.1</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413"/>
        </w:trPr>
        <w:tc>
          <w:tcPr>
            <w:tcW w:w="5960" w:type="dxa"/>
            <w:vAlign w:val="bottom"/>
          </w:tcPr>
          <w:p>
            <w:pPr>
              <w:spacing w:after="0"/>
              <w:rPr>
                <w:sz w:val="20"/>
                <w:szCs w:val="20"/>
                <w:color w:val="auto"/>
              </w:rPr>
            </w:pPr>
            <w:r>
              <w:rPr>
                <w:rFonts w:ascii="Arial" w:cs="Arial" w:eastAsia="Arial" w:hAnsi="Arial"/>
                <w:sz w:val="16"/>
                <w:szCs w:val="16"/>
                <w:color w:val="auto"/>
              </w:rPr>
              <w:t>Operating expenses:</w:t>
            </w:r>
          </w:p>
        </w:tc>
        <w:tc>
          <w:tcPr>
            <w:tcW w:w="1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320"/>
              <w:spacing w:after="0"/>
              <w:rPr>
                <w:sz w:val="20"/>
                <w:szCs w:val="20"/>
                <w:color w:val="auto"/>
              </w:rPr>
            </w:pPr>
            <w:r>
              <w:rPr>
                <w:rFonts w:ascii="Arial" w:cs="Arial" w:eastAsia="Arial" w:hAnsi="Arial"/>
                <w:sz w:val="16"/>
                <w:szCs w:val="16"/>
                <w:color w:val="auto"/>
              </w:rPr>
              <w:t>Selling, general and administrative</w:t>
            </w: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123.4</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320"/>
              <w:spacing w:after="0"/>
              <w:rPr>
                <w:sz w:val="20"/>
                <w:szCs w:val="20"/>
                <w:color w:val="auto"/>
              </w:rPr>
            </w:pPr>
            <w:r>
              <w:rPr>
                <w:rFonts w:ascii="Arial" w:cs="Arial" w:eastAsia="Arial" w:hAnsi="Arial"/>
                <w:sz w:val="16"/>
                <w:szCs w:val="16"/>
                <w:color w:val="auto"/>
              </w:rPr>
              <w:t>Research and development</w:t>
            </w: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320"/>
              <w:spacing w:after="0"/>
              <w:rPr>
                <w:sz w:val="20"/>
                <w:szCs w:val="20"/>
                <w:color w:val="auto"/>
              </w:rPr>
            </w:pPr>
            <w:r>
              <w:rPr>
                <w:rFonts w:ascii="Arial" w:cs="Arial" w:eastAsia="Arial" w:hAnsi="Arial"/>
                <w:sz w:val="16"/>
                <w:szCs w:val="16"/>
                <w:color w:val="auto"/>
              </w:rPr>
              <w:t>Merger and integration expenses</w:t>
            </w: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320"/>
              <w:spacing w:after="0"/>
              <w:rPr>
                <w:sz w:val="20"/>
                <w:szCs w:val="20"/>
                <w:color w:val="auto"/>
              </w:rPr>
            </w:pPr>
            <w:r>
              <w:rPr>
                <w:rFonts w:ascii="Arial" w:cs="Arial" w:eastAsia="Arial" w:hAnsi="Arial"/>
                <w:sz w:val="16"/>
                <w:szCs w:val="16"/>
                <w:color w:val="auto"/>
              </w:rPr>
              <w:t>Restructuring expenses</w:t>
            </w: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960" w:type="dxa"/>
            <w:vAlign w:val="bottom"/>
          </w:tcPr>
          <w:p>
            <w:pPr>
              <w:ind w:left="320"/>
              <w:spacing w:after="0"/>
              <w:rPr>
                <w:sz w:val="20"/>
                <w:szCs w:val="20"/>
                <w:color w:val="auto"/>
              </w:rPr>
            </w:pPr>
            <w:r>
              <w:rPr>
                <w:rFonts w:ascii="Arial" w:cs="Arial" w:eastAsia="Arial" w:hAnsi="Arial"/>
                <w:sz w:val="16"/>
                <w:szCs w:val="16"/>
                <w:color w:val="auto"/>
              </w:rPr>
              <w:t>Amortization of intangibles</w:t>
            </w:r>
          </w:p>
        </w:tc>
        <w:tc>
          <w:tcPr>
            <w:tcW w:w="17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172.4</w:t>
            </w:r>
          </w:p>
        </w:tc>
        <w:tc>
          <w:tcPr>
            <w:tcW w:w="100" w:type="dxa"/>
            <w:vAlign w:val="bottom"/>
          </w:tcPr>
          <w:p>
            <w:pPr>
              <w:spacing w:after="0"/>
              <w:rPr>
                <w:sz w:val="21"/>
                <w:szCs w:val="21"/>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142.3</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89"/>
        </w:trPr>
        <w:tc>
          <w:tcPr>
            <w:tcW w:w="5960" w:type="dxa"/>
            <w:vAlign w:val="bottom"/>
          </w:tcPr>
          <w:p>
            <w:pPr>
              <w:spacing w:after="0"/>
              <w:rPr>
                <w:sz w:val="16"/>
                <w:szCs w:val="16"/>
                <w:color w:val="auto"/>
              </w:rPr>
            </w:pPr>
          </w:p>
        </w:tc>
        <w:tc>
          <w:tcPr>
            <w:tcW w:w="170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960" w:type="dxa"/>
            <w:vAlign w:val="bottom"/>
          </w:tcPr>
          <w:p>
            <w:pPr>
              <w:spacing w:after="0"/>
              <w:rPr>
                <w:sz w:val="20"/>
                <w:szCs w:val="20"/>
                <w:color w:val="auto"/>
              </w:rPr>
            </w:pPr>
            <w:r>
              <w:rPr>
                <w:rFonts w:ascii="Arial" w:cs="Arial" w:eastAsia="Arial" w:hAnsi="Arial"/>
                <w:sz w:val="16"/>
                <w:szCs w:val="16"/>
                <w:color w:val="auto"/>
              </w:rPr>
              <w:t>Operating income from continuing operations</w:t>
            </w: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1"/>
                <w:szCs w:val="21"/>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27.8</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86"/>
        </w:trPr>
        <w:tc>
          <w:tcPr>
            <w:tcW w:w="5960" w:type="dxa"/>
            <w:vAlign w:val="bottom"/>
          </w:tcPr>
          <w:p>
            <w:pPr>
              <w:ind w:left="320"/>
              <w:spacing w:after="0"/>
              <w:rPr>
                <w:sz w:val="20"/>
                <w:szCs w:val="20"/>
                <w:color w:val="auto"/>
              </w:rPr>
            </w:pPr>
            <w:r>
              <w:rPr>
                <w:rFonts w:ascii="Arial" w:cs="Arial" w:eastAsia="Arial" w:hAnsi="Arial"/>
                <w:sz w:val="16"/>
                <w:szCs w:val="16"/>
                <w:color w:val="auto"/>
              </w:rPr>
              <w:t>Interest expense, net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4"/>
                <w:szCs w:val="24"/>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320"/>
              <w:spacing w:after="0"/>
              <w:rPr>
                <w:sz w:val="20"/>
                <w:szCs w:val="20"/>
                <w:color w:val="auto"/>
              </w:rPr>
            </w:pPr>
            <w:r>
              <w:rPr>
                <w:rFonts w:ascii="Arial" w:cs="Arial" w:eastAsia="Arial" w:hAnsi="Arial"/>
                <w:sz w:val="16"/>
                <w:szCs w:val="16"/>
                <w:color w:val="auto"/>
              </w:rPr>
              <w:t>Gain on acquisition</w:t>
            </w:r>
          </w:p>
        </w:tc>
        <w:tc>
          <w:tcPr>
            <w:tcW w:w="1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960" w:type="dxa"/>
            <w:vAlign w:val="bottom"/>
          </w:tcPr>
          <w:p>
            <w:pPr>
              <w:ind w:left="320"/>
              <w:spacing w:after="0"/>
              <w:rPr>
                <w:sz w:val="20"/>
                <w:szCs w:val="20"/>
                <w:color w:val="auto"/>
              </w:rPr>
            </w:pPr>
            <w:r>
              <w:rPr>
                <w:rFonts w:ascii="Arial" w:cs="Arial" w:eastAsia="Arial" w:hAnsi="Arial"/>
                <w:sz w:val="16"/>
                <w:szCs w:val="16"/>
                <w:color w:val="auto"/>
              </w:rPr>
              <w:t>Foreign exchange and other losses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16"/>
                <w:szCs w:val="16"/>
                <w:color w:val="auto"/>
              </w:rPr>
              <w:t>Income from continuing operations before tax</w:t>
            </w: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1"/>
                <w:szCs w:val="21"/>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63.0</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413"/>
        </w:trPr>
        <w:tc>
          <w:tcPr>
            <w:tcW w:w="5960" w:type="dxa"/>
            <w:vAlign w:val="bottom"/>
          </w:tcPr>
          <w:p>
            <w:pPr>
              <w:ind w:left="320"/>
              <w:spacing w:after="0"/>
              <w:rPr>
                <w:sz w:val="20"/>
                <w:szCs w:val="20"/>
                <w:color w:val="auto"/>
              </w:rPr>
            </w:pPr>
            <w:r>
              <w:rPr>
                <w:rFonts w:ascii="Arial" w:cs="Arial" w:eastAsia="Arial" w:hAnsi="Arial"/>
                <w:sz w:val="16"/>
                <w:szCs w:val="16"/>
                <w:color w:val="auto"/>
              </w:rPr>
              <w:t>Income tax (benefit) expense</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16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960" w:type="dxa"/>
            <w:vAlign w:val="bottom"/>
          </w:tcPr>
          <w:p>
            <w:pPr>
              <w:ind w:left="320"/>
              <w:spacing w:after="0"/>
              <w:rPr>
                <w:sz w:val="20"/>
                <w:szCs w:val="20"/>
                <w:color w:val="auto"/>
              </w:rPr>
            </w:pPr>
            <w:r>
              <w:rPr>
                <w:rFonts w:ascii="Arial" w:cs="Arial" w:eastAsia="Arial" w:hAnsi="Arial"/>
                <w:sz w:val="16"/>
                <w:szCs w:val="16"/>
                <w:color w:val="auto"/>
              </w:rPr>
              <w:t>Losses from equity method investments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16"/>
                <w:szCs w:val="16"/>
                <w:color w:val="auto"/>
              </w:rPr>
              <w:t>Net income from continuing operations</w:t>
            </w: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1"/>
                <w:szCs w:val="21"/>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45.7</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3"/>
                <w:szCs w:val="23"/>
                <w:color w:val="auto"/>
              </w:rPr>
            </w:pPr>
          </w:p>
        </w:tc>
        <w:tc>
          <w:tcPr>
            <w:tcW w:w="1700" w:type="dxa"/>
            <w:vAlign w:val="bottom"/>
            <w:tcBorders>
              <w:top w:val="single" w:sz="8" w:color="auto"/>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Borders>
              <w:top w:val="single" w:sz="8" w:color="auto"/>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5960" w:type="dxa"/>
            <w:vAlign w:val="bottom"/>
          </w:tcPr>
          <w:p>
            <w:pPr>
              <w:spacing w:after="0"/>
              <w:rPr>
                <w:sz w:val="20"/>
                <w:szCs w:val="20"/>
                <w:color w:val="auto"/>
              </w:rPr>
            </w:pPr>
            <w:r>
              <w:rPr>
                <w:rFonts w:ascii="Arial" w:cs="Arial" w:eastAsia="Arial" w:hAnsi="Arial"/>
                <w:sz w:val="16"/>
                <w:szCs w:val="16"/>
                <w:color w:val="auto"/>
              </w:rPr>
              <w:t>Net (loss) income from discontinued operations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1"/>
                <w:szCs w:val="21"/>
                <w:color w:val="auto"/>
              </w:rPr>
            </w:pP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1"/>
                <w:szCs w:val="21"/>
                <w:color w:val="auto"/>
              </w:rPr>
            </w:pPr>
          </w:p>
        </w:tc>
        <w:tc>
          <w:tcPr>
            <w:tcW w:w="1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960" w:type="dxa"/>
            <w:vAlign w:val="bottom"/>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5960" w:type="dxa"/>
            <w:vAlign w:val="bottom"/>
          </w:tcPr>
          <w:p>
            <w:pPr>
              <w:spacing w:after="0"/>
              <w:rPr>
                <w:sz w:val="20"/>
                <w:szCs w:val="20"/>
                <w:color w:val="auto"/>
              </w:rPr>
            </w:pPr>
            <w:r>
              <w:rPr>
                <w:rFonts w:ascii="Arial" w:cs="Arial" w:eastAsia="Arial" w:hAnsi="Arial"/>
                <w:sz w:val="16"/>
                <w:szCs w:val="16"/>
                <w:color w:val="auto"/>
              </w:rPr>
              <w:t>Net income</w:t>
            </w:r>
          </w:p>
        </w:tc>
        <w:tc>
          <w:tcPr>
            <w:tcW w:w="17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$47.5</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507"/>
        </w:trPr>
        <w:tc>
          <w:tcPr>
            <w:tcW w:w="5960" w:type="dxa"/>
            <w:vAlign w:val="bottom"/>
          </w:tcPr>
          <w:p>
            <w:pPr>
              <w:spacing w:after="0"/>
              <w:rPr>
                <w:sz w:val="20"/>
                <w:szCs w:val="20"/>
                <w:color w:val="auto"/>
              </w:rPr>
            </w:pPr>
            <w:r>
              <w:rPr>
                <w:rFonts w:ascii="Arial" w:cs="Arial" w:eastAsia="Arial" w:hAnsi="Arial"/>
                <w:sz w:val="16"/>
                <w:szCs w:val="16"/>
                <w:color w:val="auto"/>
              </w:rPr>
              <w:t>Basic income (loss) per common share:</w:t>
            </w:r>
          </w:p>
        </w:tc>
        <w:tc>
          <w:tcPr>
            <w:tcW w:w="1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320"/>
              <w:spacing w:after="0"/>
              <w:rPr>
                <w:sz w:val="20"/>
                <w:szCs w:val="20"/>
                <w:color w:val="auto"/>
              </w:rPr>
            </w:pPr>
            <w:r>
              <w:rPr>
                <w:rFonts w:ascii="Arial" w:cs="Arial" w:eastAsia="Arial" w:hAnsi="Arial"/>
                <w:sz w:val="16"/>
                <w:szCs w:val="16"/>
                <w:color w:val="auto"/>
              </w:rPr>
              <w:t>Continuing operations</w:t>
            </w: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960" w:type="dxa"/>
            <w:vAlign w:val="bottom"/>
          </w:tcPr>
          <w:p>
            <w:pPr>
              <w:ind w:left="320"/>
              <w:spacing w:after="0"/>
              <w:rPr>
                <w:sz w:val="20"/>
                <w:szCs w:val="20"/>
                <w:color w:val="auto"/>
              </w:rPr>
            </w:pPr>
            <w:r>
              <w:rPr>
                <w:rFonts w:ascii="Arial" w:cs="Arial" w:eastAsia="Arial" w:hAnsi="Arial"/>
                <w:sz w:val="16"/>
                <w:szCs w:val="16"/>
                <w:color w:val="auto"/>
              </w:rPr>
              <w:t>Discontinued operations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7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22"/>
                <w:szCs w:val="22"/>
                <w:color w:val="auto"/>
              </w:rPr>
            </w:pP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$0.99</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6"/>
                <w:szCs w:val="16"/>
                <w:color w:val="auto"/>
              </w:rPr>
              <w:t>Diluted income (loss) per common share:</w:t>
            </w: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6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320"/>
              <w:spacing w:after="0"/>
              <w:rPr>
                <w:sz w:val="20"/>
                <w:szCs w:val="20"/>
                <w:color w:val="auto"/>
              </w:rPr>
            </w:pPr>
            <w:r>
              <w:rPr>
                <w:rFonts w:ascii="Arial" w:cs="Arial" w:eastAsia="Arial" w:hAnsi="Arial"/>
                <w:sz w:val="16"/>
                <w:szCs w:val="16"/>
                <w:color w:val="auto"/>
              </w:rPr>
              <w:t>Continuing operations</w:t>
            </w: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960" w:type="dxa"/>
            <w:vAlign w:val="bottom"/>
          </w:tcPr>
          <w:p>
            <w:pPr>
              <w:ind w:left="320"/>
              <w:spacing w:after="0"/>
              <w:rPr>
                <w:sz w:val="20"/>
                <w:szCs w:val="20"/>
                <w:color w:val="auto"/>
              </w:rPr>
            </w:pPr>
            <w:r>
              <w:rPr>
                <w:rFonts w:ascii="Arial" w:cs="Arial" w:eastAsia="Arial" w:hAnsi="Arial"/>
                <w:sz w:val="16"/>
                <w:szCs w:val="16"/>
                <w:color w:val="auto"/>
              </w:rPr>
              <w:t>Discontinued operations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7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22"/>
                <w:szCs w:val="22"/>
                <w:color w:val="auto"/>
              </w:rPr>
            </w:pP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$0.98</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6"/>
                <w:szCs w:val="16"/>
                <w:color w:val="auto"/>
              </w:rPr>
              <w:t>Weighted average common shares outstanding</w:t>
            </w: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96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320"/>
              <w:spacing w:after="0"/>
              <w:rPr>
                <w:sz w:val="20"/>
                <w:szCs w:val="20"/>
                <w:color w:val="auto"/>
              </w:rPr>
            </w:pPr>
            <w:r>
              <w:rPr>
                <w:rFonts w:ascii="Arial" w:cs="Arial" w:eastAsia="Arial" w:hAnsi="Arial"/>
                <w:sz w:val="16"/>
                <w:szCs w:val="16"/>
                <w:color w:val="auto"/>
              </w:rPr>
              <w:t>Basic</w:t>
            </w: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320"/>
              <w:spacing w:after="0"/>
              <w:rPr>
                <w:sz w:val="20"/>
                <w:szCs w:val="20"/>
                <w:color w:val="auto"/>
              </w:rPr>
            </w:pPr>
            <w:r>
              <w:rPr>
                <w:rFonts w:ascii="Arial" w:cs="Arial" w:eastAsia="Arial" w:hAnsi="Arial"/>
                <w:sz w:val="16"/>
                <w:szCs w:val="16"/>
                <w:color w:val="auto"/>
              </w:rPr>
              <w:t>Diluted</w:t>
            </w: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4"/>
        </w:trPr>
        <w:tc>
          <w:tcPr>
            <w:tcW w:w="5960" w:type="dxa"/>
            <w:vAlign w:val="bottom"/>
          </w:tcPr>
          <w:p>
            <w:pPr>
              <w:spacing w:after="0"/>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(1)</w:t>
            </w: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$196.5</w:t>
            </w:r>
          </w:p>
        </w:tc>
        <w:tc>
          <w:tcPr>
            <w:tcW w:w="100" w:type="dxa"/>
            <w:vAlign w:val="bottom"/>
          </w:tcPr>
          <w:p>
            <w:pPr>
              <w:spacing w:after="0"/>
              <w:rPr>
                <w:sz w:val="24"/>
                <w:szCs w:val="24"/>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$173.0</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 xml:space="preserve">Adjusted SG&amp;A </w:t>
            </w:r>
            <w:r>
              <w:rPr>
                <w:rFonts w:ascii="Arial" w:cs="Arial" w:eastAsia="Arial" w:hAnsi="Arial"/>
                <w:sz w:val="21"/>
                <w:szCs w:val="21"/>
                <w:color w:val="auto"/>
                <w:vertAlign w:val="superscript"/>
              </w:rPr>
              <w:t>(1)</w:t>
            </w: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86.0</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 xml:space="preserve">Adjusted R&amp;D </w:t>
            </w:r>
            <w:r>
              <w:rPr>
                <w:rFonts w:ascii="Arial" w:cs="Arial" w:eastAsia="Arial" w:hAnsi="Arial"/>
                <w:sz w:val="21"/>
                <w:szCs w:val="21"/>
                <w:color w:val="auto"/>
                <w:vertAlign w:val="superscript"/>
              </w:rPr>
              <w:t>(1)</w:t>
            </w: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22.7</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 xml:space="preserve">Adjusted operating income from continuing operations </w:t>
            </w:r>
            <w:r>
              <w:rPr>
                <w:rFonts w:ascii="Arial" w:cs="Arial" w:eastAsia="Arial" w:hAnsi="Arial"/>
                <w:sz w:val="21"/>
                <w:szCs w:val="21"/>
                <w:color w:val="auto"/>
                <w:vertAlign w:val="superscript"/>
              </w:rPr>
              <w:t>(1)</w:t>
            </w: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64.3</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 xml:space="preserve">Adjusted income from continuing operations, net of tax </w:t>
            </w:r>
            <w:r>
              <w:rPr>
                <w:rFonts w:ascii="Arial" w:cs="Arial" w:eastAsia="Arial" w:hAnsi="Arial"/>
                <w:sz w:val="21"/>
                <w:szCs w:val="21"/>
                <w:color w:val="auto"/>
                <w:vertAlign w:val="superscript"/>
              </w:rPr>
              <w:t>(1)</w:t>
            </w: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44.8</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76"/>
        </w:trPr>
        <w:tc>
          <w:tcPr>
            <w:tcW w:w="5960" w:type="dxa"/>
            <w:vAlign w:val="bottom"/>
          </w:tcPr>
          <w:p>
            <w:pPr>
              <w:spacing w:after="0"/>
              <w:rPr>
                <w:sz w:val="20"/>
                <w:szCs w:val="20"/>
                <w:color w:val="auto"/>
              </w:rPr>
            </w:pPr>
            <w:r>
              <w:rPr>
                <w:rFonts w:ascii="Arial" w:cs="Arial" w:eastAsia="Arial" w:hAnsi="Arial"/>
                <w:sz w:val="16"/>
                <w:szCs w:val="16"/>
                <w:color w:val="auto"/>
              </w:rPr>
              <w:t xml:space="preserve">Adjusted diluted earnings per share from continuing operations </w:t>
            </w:r>
            <w:r>
              <w:rPr>
                <w:rFonts w:ascii="Arial" w:cs="Arial" w:eastAsia="Arial" w:hAnsi="Arial"/>
                <w:sz w:val="21"/>
                <w:szCs w:val="21"/>
                <w:color w:val="auto"/>
                <w:vertAlign w:val="superscript"/>
              </w:rPr>
              <w:t>(1)</w:t>
            </w: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$0.96</w:t>
            </w:r>
          </w:p>
        </w:tc>
        <w:tc>
          <w:tcPr>
            <w:tcW w:w="100" w:type="dxa"/>
            <w:vAlign w:val="bottom"/>
          </w:tcPr>
          <w:p>
            <w:pPr>
              <w:spacing w:after="0"/>
              <w:rPr>
                <w:sz w:val="24"/>
                <w:szCs w:val="24"/>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$0.93</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bl>
    <w:p>
      <w:pPr>
        <w:spacing w:after="0" w:line="193" w:lineRule="exact"/>
        <w:rPr>
          <w:sz w:val="20"/>
          <w:szCs w:val="20"/>
          <w:color w:val="auto"/>
        </w:rPr>
      </w:pPr>
    </w:p>
    <w:p>
      <w:pPr>
        <w:sectPr>
          <w:pgSz w:w="11900" w:h="16838" w:orient="portrait"/>
          <w:cols w:equalWidth="0" w:num="1">
            <w:col w:w="11380"/>
          </w:cols>
          <w:pgMar w:left="280" w:top="774" w:right="239" w:bottom="665" w:gutter="0" w:footer="0" w:header="0"/>
        </w:sectPr>
      </w:pPr>
    </w:p>
    <w:p>
      <w:pPr>
        <w:jc w:val="center"/>
        <w:ind w:right="20"/>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380"/>
          </w:cols>
          <w:pgMar w:left="280" w:top="774" w:right="239" w:bottom="665"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740" w:type="dxa"/>
            <w:vAlign w:val="bottom"/>
          </w:tcPr>
          <w:p>
            <w:pPr>
              <w:spacing w:after="0"/>
              <w:rPr>
                <w:sz w:val="23"/>
                <w:szCs w:val="23"/>
                <w:color w:val="auto"/>
              </w:rPr>
            </w:pPr>
          </w:p>
        </w:tc>
        <w:tc>
          <w:tcPr>
            <w:tcW w:w="368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GAAP Three Months Ended June 30,</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4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Three Months Ended June 30,</w:t>
            </w:r>
          </w:p>
        </w:tc>
      </w:tr>
      <w:tr>
        <w:trPr>
          <w:trHeight w:val="228"/>
        </w:trPr>
        <w:tc>
          <w:tcPr>
            <w:tcW w:w="2740" w:type="dxa"/>
            <w:vAlign w:val="bottom"/>
          </w:tcPr>
          <w:p>
            <w:pPr>
              <w:spacing w:after="0"/>
              <w:rPr>
                <w:sz w:val="19"/>
                <w:szCs w:val="19"/>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20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2017</w:t>
            </w:r>
          </w:p>
        </w:tc>
      </w:tr>
      <w:tr>
        <w:trPr>
          <w:trHeight w:val="237"/>
        </w:trPr>
        <w:tc>
          <w:tcPr>
            <w:tcW w:w="414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720" w:type="dxa"/>
            <w:vAlign w:val="bottom"/>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68.3%</w:t>
            </w:r>
          </w:p>
        </w:tc>
        <w:tc>
          <w:tcPr>
            <w:tcW w:w="12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67.6%</w:t>
            </w:r>
          </w:p>
        </w:tc>
      </w:tr>
      <w:tr>
        <w:trPr>
          <w:trHeight w:val="270"/>
        </w:trPr>
        <w:tc>
          <w:tcPr>
            <w:tcW w:w="4140" w:type="dxa"/>
            <w:vAlign w:val="bottom"/>
            <w:gridSpan w:val="2"/>
          </w:tcPr>
          <w:p>
            <w:pPr>
              <w:spacing w:after="0"/>
              <w:rPr>
                <w:sz w:val="20"/>
                <w:szCs w:val="20"/>
                <w:color w:val="auto"/>
              </w:rPr>
            </w:pPr>
            <w:r>
              <w:rPr>
                <w:rFonts w:ascii="Arial" w:cs="Arial" w:eastAsia="Arial" w:hAnsi="Arial"/>
                <w:sz w:val="16"/>
                <w:szCs w:val="16"/>
                <w:color w:val="auto"/>
              </w:rPr>
              <w:t>SG&amp;A</w:t>
            </w:r>
          </w:p>
        </w:tc>
        <w:tc>
          <w:tcPr>
            <w:tcW w:w="720" w:type="dxa"/>
            <w:vAlign w:val="bottom"/>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33.6%</w:t>
            </w:r>
          </w:p>
        </w:tc>
      </w:tr>
      <w:tr>
        <w:trPr>
          <w:trHeight w:val="270"/>
        </w:trPr>
        <w:tc>
          <w:tcPr>
            <w:tcW w:w="4140" w:type="dxa"/>
            <w:vAlign w:val="bottom"/>
            <w:gridSpan w:val="2"/>
          </w:tcPr>
          <w:p>
            <w:pPr>
              <w:spacing w:after="0"/>
              <w:rPr>
                <w:sz w:val="20"/>
                <w:szCs w:val="20"/>
                <w:color w:val="auto"/>
              </w:rPr>
            </w:pPr>
            <w:r>
              <w:rPr>
                <w:rFonts w:ascii="Arial" w:cs="Arial" w:eastAsia="Arial" w:hAnsi="Arial"/>
                <w:sz w:val="16"/>
                <w:szCs w:val="16"/>
                <w:color w:val="auto"/>
              </w:rPr>
              <w:t>R&amp;D</w:t>
            </w:r>
          </w:p>
        </w:tc>
        <w:tc>
          <w:tcPr>
            <w:tcW w:w="72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38"/>
        </w:trPr>
        <w:tc>
          <w:tcPr>
            <w:tcW w:w="4140" w:type="dxa"/>
            <w:vAlign w:val="bottom"/>
            <w:gridSpan w:val="2"/>
          </w:tcPr>
          <w:p>
            <w:pPr>
              <w:spacing w:after="0"/>
              <w:rPr>
                <w:sz w:val="20"/>
                <w:szCs w:val="20"/>
                <w:color w:val="auto"/>
              </w:rPr>
            </w:pPr>
            <w:r>
              <w:rPr>
                <w:rFonts w:ascii="Arial" w:cs="Arial" w:eastAsia="Arial" w:hAnsi="Arial"/>
                <w:sz w:val="16"/>
                <w:szCs w:val="16"/>
                <w:color w:val="auto"/>
              </w:rPr>
              <w:t>Operating income from continuing</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195"/>
        </w:trPr>
        <w:tc>
          <w:tcPr>
            <w:tcW w:w="4140" w:type="dxa"/>
            <w:vAlign w:val="bottom"/>
            <w:gridSpan w:val="2"/>
          </w:tcPr>
          <w:p>
            <w:pPr>
              <w:spacing w:after="0"/>
              <w:rPr>
                <w:sz w:val="20"/>
                <w:szCs w:val="20"/>
                <w:color w:val="auto"/>
              </w:rPr>
            </w:pPr>
            <w:r>
              <w:rPr>
                <w:rFonts w:ascii="Arial" w:cs="Arial" w:eastAsia="Arial" w:hAnsi="Arial"/>
                <w:sz w:val="16"/>
                <w:szCs w:val="16"/>
                <w:color w:val="auto"/>
              </w:rPr>
              <w:t>operations</w:t>
            </w:r>
          </w:p>
        </w:tc>
        <w:tc>
          <w:tcPr>
            <w:tcW w:w="72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38"/>
        </w:trPr>
        <w:tc>
          <w:tcPr>
            <w:tcW w:w="4140" w:type="dxa"/>
            <w:vAlign w:val="bottom"/>
            <w:gridSpan w:val="2"/>
          </w:tcPr>
          <w:p>
            <w:pPr>
              <w:spacing w:after="0"/>
              <w:rPr>
                <w:sz w:val="20"/>
                <w:szCs w:val="20"/>
                <w:color w:val="auto"/>
              </w:rPr>
            </w:pPr>
            <w:r>
              <w:rPr>
                <w:rFonts w:ascii="Arial" w:cs="Arial" w:eastAsia="Arial" w:hAnsi="Arial"/>
                <w:sz w:val="16"/>
                <w:szCs w:val="16"/>
                <w:color w:val="auto"/>
              </w:rPr>
              <w:t>Income from continuing operations,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195"/>
        </w:trPr>
        <w:tc>
          <w:tcPr>
            <w:tcW w:w="4140" w:type="dxa"/>
            <w:vAlign w:val="bottom"/>
            <w:gridSpan w:val="2"/>
          </w:tcPr>
          <w:p>
            <w:pPr>
              <w:spacing w:after="0"/>
              <w:rPr>
                <w:sz w:val="20"/>
                <w:szCs w:val="20"/>
                <w:color w:val="auto"/>
              </w:rPr>
            </w:pPr>
            <w:r>
              <w:rPr>
                <w:rFonts w:ascii="Arial" w:cs="Arial" w:eastAsia="Arial" w:hAnsi="Arial"/>
                <w:sz w:val="16"/>
                <w:szCs w:val="16"/>
                <w:color w:val="auto"/>
              </w:rPr>
              <w:t>net of tax</w:t>
            </w:r>
          </w:p>
        </w:tc>
        <w:tc>
          <w:tcPr>
            <w:tcW w:w="72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70"/>
        </w:trPr>
        <w:tc>
          <w:tcPr>
            <w:tcW w:w="414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7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24.0%</w:t>
            </w:r>
          </w:p>
        </w:tc>
      </w:tr>
    </w:tbl>
    <w:p>
      <w:pPr>
        <w:spacing w:after="0" w:line="348" w:lineRule="exact"/>
        <w:rPr>
          <w:sz w:val="20"/>
          <w:szCs w:val="20"/>
          <w:color w:val="auto"/>
        </w:rPr>
      </w:pPr>
    </w:p>
    <w:p>
      <w:pPr>
        <w:ind w:left="420" w:right="360" w:hanging="324"/>
        <w:spacing w:after="0" w:line="258"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86" w:lineRule="exact"/>
        <w:rPr>
          <w:sz w:val="20"/>
          <w:szCs w:val="20"/>
          <w:color w:val="auto"/>
        </w:rPr>
      </w:pPr>
    </w:p>
    <w:p>
      <w:pPr>
        <w:ind w:left="420" w:hanging="264"/>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80"/>
          </w:cols>
          <w:pgMar w:left="280" w:top="778" w:right="2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LIVANOVA PLC AND SUBSIDIARIES</w:t>
      </w:r>
    </w:p>
    <w:p>
      <w:pPr>
        <w:spacing w:after="0" w:line="40" w:lineRule="exact"/>
        <w:rPr>
          <w:sz w:val="20"/>
          <w:szCs w:val="20"/>
          <w:color w:val="auto"/>
        </w:rPr>
      </w:pPr>
    </w:p>
    <w:p>
      <w:pPr>
        <w:ind w:right="4620"/>
        <w:spacing w:after="0" w:line="314" w:lineRule="auto"/>
        <w:rPr>
          <w:sz w:val="20"/>
          <w:szCs w:val="20"/>
          <w:color w:val="auto"/>
        </w:rPr>
      </w:pPr>
      <w:r>
        <w:rPr>
          <w:rFonts w:ascii="Arial" w:cs="Arial" w:eastAsia="Arial" w:hAnsi="Arial"/>
          <w:sz w:val="20"/>
          <w:szCs w:val="20"/>
          <w:b w:val="1"/>
          <w:bCs w:val="1"/>
          <w:color w:val="auto"/>
        </w:rPr>
        <w:t>CONDENSED CONSOLIDATED STATEMENTS OF INCOME - UNAUDITED (U.S. dollars in millions, except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80" w:type="dxa"/>
            <w:vAlign w:val="bottom"/>
          </w:tcPr>
          <w:p>
            <w:pPr>
              <w:spacing w:after="0"/>
              <w:rPr>
                <w:sz w:val="19"/>
                <w:szCs w:val="19"/>
                <w:color w:val="auto"/>
              </w:rPr>
            </w:pPr>
          </w:p>
        </w:tc>
        <w:tc>
          <w:tcPr>
            <w:tcW w:w="2760" w:type="dxa"/>
            <w:vAlign w:val="bottom"/>
            <w:tcBorders>
              <w:bottom w:val="single" w:sz="8" w:color="auto"/>
            </w:tcBorders>
            <w:gridSpan w:val="4"/>
          </w:tcPr>
          <w:p>
            <w:pPr>
              <w:ind w:left="640"/>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70"/>
        </w:trPr>
        <w:tc>
          <w:tcPr>
            <w:tcW w:w="6080" w:type="dxa"/>
            <w:vAlign w:val="bottom"/>
          </w:tcPr>
          <w:p>
            <w:pPr>
              <w:spacing w:after="0"/>
              <w:rPr>
                <w:sz w:val="23"/>
                <w:szCs w:val="23"/>
                <w:color w:val="auto"/>
              </w:rPr>
            </w:pPr>
          </w:p>
        </w:tc>
        <w:tc>
          <w:tcPr>
            <w:tcW w:w="104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2018</w:t>
            </w: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r>
      <w:tr>
        <w:trPr>
          <w:trHeight w:val="433"/>
        </w:trPr>
        <w:tc>
          <w:tcPr>
            <w:tcW w:w="7120" w:type="dxa"/>
            <w:vAlign w:val="bottom"/>
            <w:gridSpan w:val="2"/>
          </w:tcPr>
          <w:p>
            <w:pPr>
              <w:spacing w:after="0"/>
              <w:rPr>
                <w:sz w:val="20"/>
                <w:szCs w:val="20"/>
                <w:color w:val="auto"/>
              </w:rPr>
            </w:pPr>
            <w:r>
              <w:rPr>
                <w:rFonts w:ascii="Arial" w:cs="Arial" w:eastAsia="Arial" w:hAnsi="Arial"/>
                <w:sz w:val="16"/>
                <w:szCs w:val="16"/>
                <w:color w:val="auto"/>
              </w:rPr>
              <w:t>Net sales</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$537.9</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w w:val="98"/>
              </w:rPr>
              <w:t>$482.7</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0"/>
        </w:trPr>
        <w:tc>
          <w:tcPr>
            <w:tcW w:w="7120" w:type="dxa"/>
            <w:vAlign w:val="bottom"/>
            <w:gridSpan w:val="2"/>
          </w:tcPr>
          <w:p>
            <w:pPr>
              <w:ind w:left="200"/>
              <w:spacing w:after="0"/>
              <w:rPr>
                <w:sz w:val="20"/>
                <w:szCs w:val="20"/>
                <w:color w:val="auto"/>
              </w:rPr>
            </w:pPr>
            <w:r>
              <w:rPr>
                <w:rFonts w:ascii="Arial" w:cs="Arial" w:eastAsia="Arial" w:hAnsi="Arial"/>
                <w:sz w:val="16"/>
                <w:szCs w:val="16"/>
                <w:color w:val="auto"/>
              </w:rPr>
              <w:t>Cost of sales</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176.6</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164.0</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83"/>
        </w:trPr>
        <w:tc>
          <w:tcPr>
            <w:tcW w:w="6080" w:type="dxa"/>
            <w:vAlign w:val="bottom"/>
          </w:tcPr>
          <w:p>
            <w:pPr>
              <w:ind w:left="200"/>
              <w:spacing w:after="0"/>
              <w:rPr>
                <w:sz w:val="20"/>
                <w:szCs w:val="20"/>
                <w:color w:val="auto"/>
              </w:rPr>
            </w:pPr>
            <w:r>
              <w:rPr>
                <w:rFonts w:ascii="Arial" w:cs="Arial" w:eastAsia="Arial" w:hAnsi="Arial"/>
                <w:sz w:val="16"/>
                <w:szCs w:val="16"/>
                <w:color w:val="auto"/>
              </w:rPr>
              <w:t>Product remediation</w:t>
            </w: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250"/>
        </w:trPr>
        <w:tc>
          <w:tcPr>
            <w:tcW w:w="6080" w:type="dxa"/>
            <w:vAlign w:val="bottom"/>
          </w:tcPr>
          <w:p>
            <w:pPr>
              <w:spacing w:after="0"/>
              <w:rPr>
                <w:sz w:val="20"/>
                <w:szCs w:val="20"/>
                <w:color w:val="auto"/>
              </w:rPr>
            </w:pPr>
            <w:r>
              <w:rPr>
                <w:rFonts w:ascii="Arial" w:cs="Arial" w:eastAsia="Arial" w:hAnsi="Arial"/>
                <w:sz w:val="16"/>
                <w:szCs w:val="16"/>
                <w:color w:val="auto"/>
              </w:rPr>
              <w:t>Gross profit</w:t>
            </w:r>
          </w:p>
        </w:tc>
        <w:tc>
          <w:tcPr>
            <w:tcW w:w="10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356.0</w:t>
            </w:r>
          </w:p>
        </w:tc>
        <w:tc>
          <w:tcPr>
            <w:tcW w:w="10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317.7</w:t>
            </w:r>
          </w:p>
        </w:tc>
        <w:tc>
          <w:tcPr>
            <w:tcW w:w="120" w:type="dxa"/>
            <w:vAlign w:val="bottom"/>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r>
      <w:tr>
        <w:trPr>
          <w:trHeight w:val="413"/>
        </w:trPr>
        <w:tc>
          <w:tcPr>
            <w:tcW w:w="712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0"/>
        </w:trPr>
        <w:tc>
          <w:tcPr>
            <w:tcW w:w="7120" w:type="dxa"/>
            <w:vAlign w:val="bottom"/>
            <w:gridSpan w:val="2"/>
          </w:tcPr>
          <w:p>
            <w:pPr>
              <w:ind w:left="200"/>
              <w:spacing w:after="0"/>
              <w:rPr>
                <w:sz w:val="20"/>
                <w:szCs w:val="20"/>
                <w:color w:val="auto"/>
              </w:rPr>
            </w:pPr>
            <w:r>
              <w:rPr>
                <w:rFonts w:ascii="Arial" w:cs="Arial" w:eastAsia="Arial" w:hAnsi="Arial"/>
                <w:sz w:val="16"/>
                <w:szCs w:val="16"/>
                <w:color w:val="auto"/>
              </w:rPr>
              <w:t>Selling, general and administrative</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227.6</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181.6</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120" w:type="dxa"/>
            <w:vAlign w:val="bottom"/>
            <w:gridSpan w:val="2"/>
          </w:tcPr>
          <w:p>
            <w:pPr>
              <w:ind w:left="200"/>
              <w:spacing w:after="0"/>
              <w:rPr>
                <w:sz w:val="20"/>
                <w:szCs w:val="20"/>
                <w:color w:val="auto"/>
              </w:rPr>
            </w:pPr>
            <w:r>
              <w:rPr>
                <w:rFonts w:ascii="Arial" w:cs="Arial" w:eastAsia="Arial" w:hAnsi="Arial"/>
                <w:sz w:val="16"/>
                <w:szCs w:val="16"/>
                <w:color w:val="auto"/>
              </w:rPr>
              <w:t>Research and development</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120" w:type="dxa"/>
            <w:vAlign w:val="bottom"/>
            <w:gridSpan w:val="2"/>
          </w:tcPr>
          <w:p>
            <w:pPr>
              <w:ind w:left="200"/>
              <w:spacing w:after="0"/>
              <w:rPr>
                <w:sz w:val="20"/>
                <w:szCs w:val="20"/>
                <w:color w:val="auto"/>
              </w:rPr>
            </w:pPr>
            <w:r>
              <w:rPr>
                <w:rFonts w:ascii="Arial" w:cs="Arial" w:eastAsia="Arial" w:hAnsi="Arial"/>
                <w:sz w:val="16"/>
                <w:szCs w:val="16"/>
                <w:color w:val="auto"/>
              </w:rPr>
              <w:t>Merger and integration expenses</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120" w:type="dxa"/>
            <w:vAlign w:val="bottom"/>
            <w:gridSpan w:val="2"/>
          </w:tcPr>
          <w:p>
            <w:pPr>
              <w:ind w:left="200"/>
              <w:spacing w:after="0"/>
              <w:rPr>
                <w:sz w:val="20"/>
                <w:szCs w:val="20"/>
                <w:color w:val="auto"/>
              </w:rPr>
            </w:pPr>
            <w:r>
              <w:rPr>
                <w:rFonts w:ascii="Arial" w:cs="Arial" w:eastAsia="Arial" w:hAnsi="Arial"/>
                <w:sz w:val="16"/>
                <w:szCs w:val="16"/>
                <w:color w:val="auto"/>
              </w:rPr>
              <w:t>Restructuring expenses</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83"/>
        </w:trPr>
        <w:tc>
          <w:tcPr>
            <w:tcW w:w="6080" w:type="dxa"/>
            <w:vAlign w:val="bottom"/>
          </w:tcPr>
          <w:p>
            <w:pPr>
              <w:ind w:left="200"/>
              <w:spacing w:after="0"/>
              <w:rPr>
                <w:sz w:val="20"/>
                <w:szCs w:val="20"/>
                <w:color w:val="auto"/>
              </w:rPr>
            </w:pPr>
            <w:r>
              <w:rPr>
                <w:rFonts w:ascii="Arial" w:cs="Arial" w:eastAsia="Arial" w:hAnsi="Arial"/>
                <w:sz w:val="16"/>
                <w:szCs w:val="16"/>
                <w:color w:val="auto"/>
              </w:rPr>
              <w:t>Amortization of intangibles</w:t>
            </w: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250"/>
        </w:trPr>
        <w:tc>
          <w:tcPr>
            <w:tcW w:w="7120" w:type="dxa"/>
            <w:vAlign w:val="bottom"/>
            <w:gridSpan w:val="2"/>
          </w:tcPr>
          <w:p>
            <w:pPr>
              <w:spacing w:after="0"/>
              <w:rPr>
                <w:sz w:val="20"/>
                <w:szCs w:val="20"/>
                <w:color w:val="auto"/>
              </w:rPr>
            </w:pPr>
            <w:r>
              <w:rPr>
                <w:rFonts w:ascii="Arial" w:cs="Arial" w:eastAsia="Arial" w:hAnsi="Arial"/>
                <w:sz w:val="16"/>
                <w:szCs w:val="16"/>
                <w:color w:val="auto"/>
              </w:rPr>
              <w:t>Total operating expenses</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321.9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270.2</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19.1%</w:t>
            </w:r>
          </w:p>
        </w:tc>
      </w:tr>
      <w:tr>
        <w:trPr>
          <w:trHeight w:val="189"/>
        </w:trPr>
        <w:tc>
          <w:tcPr>
            <w:tcW w:w="6080" w:type="dxa"/>
            <w:vAlign w:val="bottom"/>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top w:val="single" w:sz="8" w:color="auto"/>
              <w:bottom w:val="single" w:sz="8" w:color="auto"/>
            </w:tcBorders>
          </w:tcPr>
          <w:p>
            <w:pPr>
              <w:spacing w:after="0"/>
              <w:rPr>
                <w:sz w:val="16"/>
                <w:szCs w:val="16"/>
                <w:color w:val="auto"/>
              </w:rPr>
            </w:pPr>
          </w:p>
        </w:tc>
      </w:tr>
      <w:tr>
        <w:trPr>
          <w:trHeight w:val="244"/>
        </w:trPr>
        <w:tc>
          <w:tcPr>
            <w:tcW w:w="6080" w:type="dxa"/>
            <w:vAlign w:val="bottom"/>
          </w:tcPr>
          <w:p>
            <w:pPr>
              <w:spacing w:after="0"/>
              <w:rPr>
                <w:sz w:val="20"/>
                <w:szCs w:val="20"/>
                <w:color w:val="auto"/>
              </w:rPr>
            </w:pPr>
            <w:r>
              <w:rPr>
                <w:rFonts w:ascii="Arial" w:cs="Arial" w:eastAsia="Arial" w:hAnsi="Arial"/>
                <w:sz w:val="16"/>
                <w:szCs w:val="16"/>
                <w:color w:val="auto"/>
              </w:rPr>
              <w:t>Operating income from continuing operations</w:t>
            </w:r>
          </w:p>
        </w:tc>
        <w:tc>
          <w:tcPr>
            <w:tcW w:w="10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r>
      <w:tr>
        <w:trPr>
          <w:trHeight w:val="386"/>
        </w:trPr>
        <w:tc>
          <w:tcPr>
            <w:tcW w:w="7120" w:type="dxa"/>
            <w:vAlign w:val="bottom"/>
            <w:gridSpan w:val="2"/>
          </w:tcPr>
          <w:p>
            <w:pPr>
              <w:ind w:left="200"/>
              <w:spacing w:after="0"/>
              <w:rPr>
                <w:sz w:val="20"/>
                <w:szCs w:val="20"/>
                <w:color w:val="auto"/>
              </w:rPr>
            </w:pPr>
            <w:r>
              <w:rPr>
                <w:rFonts w:ascii="Arial" w:cs="Arial" w:eastAsia="Arial" w:hAnsi="Arial"/>
                <w:sz w:val="16"/>
                <w:szCs w:val="16"/>
                <w:color w:val="auto"/>
              </w:rPr>
              <w:t>Interest expense, net</w:t>
            </w:r>
          </w:p>
        </w:tc>
        <w:tc>
          <w:tcPr>
            <w:tcW w:w="64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0"/>
        </w:trPr>
        <w:tc>
          <w:tcPr>
            <w:tcW w:w="7120" w:type="dxa"/>
            <w:vAlign w:val="bottom"/>
            <w:gridSpan w:val="2"/>
          </w:tcPr>
          <w:p>
            <w:pPr>
              <w:ind w:left="200"/>
              <w:spacing w:after="0"/>
              <w:rPr>
                <w:sz w:val="20"/>
                <w:szCs w:val="20"/>
                <w:color w:val="auto"/>
              </w:rPr>
            </w:pPr>
            <w:r>
              <w:rPr>
                <w:rFonts w:ascii="Arial" w:cs="Arial" w:eastAsia="Arial" w:hAnsi="Arial"/>
                <w:sz w:val="16"/>
                <w:szCs w:val="16"/>
                <w:color w:val="auto"/>
              </w:rPr>
              <w:t>Gain on acquisitions</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83"/>
        </w:trPr>
        <w:tc>
          <w:tcPr>
            <w:tcW w:w="6080" w:type="dxa"/>
            <w:vAlign w:val="bottom"/>
          </w:tcPr>
          <w:p>
            <w:pPr>
              <w:ind w:left="200"/>
              <w:spacing w:after="0"/>
              <w:rPr>
                <w:sz w:val="20"/>
                <w:szCs w:val="20"/>
                <w:color w:val="auto"/>
              </w:rPr>
            </w:pPr>
            <w:r>
              <w:rPr>
                <w:rFonts w:ascii="Arial" w:cs="Arial" w:eastAsia="Arial" w:hAnsi="Arial"/>
                <w:sz w:val="16"/>
                <w:szCs w:val="16"/>
                <w:color w:val="auto"/>
              </w:rPr>
              <w:t>Foreign exchange and other (losses) gains</w:t>
            </w: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250"/>
        </w:trPr>
        <w:tc>
          <w:tcPr>
            <w:tcW w:w="6080" w:type="dxa"/>
            <w:vAlign w:val="bottom"/>
          </w:tcPr>
          <w:p>
            <w:pPr>
              <w:spacing w:after="0"/>
              <w:rPr>
                <w:sz w:val="20"/>
                <w:szCs w:val="20"/>
                <w:color w:val="auto"/>
              </w:rPr>
            </w:pPr>
            <w:r>
              <w:rPr>
                <w:rFonts w:ascii="Arial" w:cs="Arial" w:eastAsia="Arial" w:hAnsi="Arial"/>
                <w:sz w:val="16"/>
                <w:szCs w:val="16"/>
                <w:color w:val="auto"/>
              </w:rPr>
              <w:t>Income from continuing operations before tax</w:t>
            </w:r>
          </w:p>
        </w:tc>
        <w:tc>
          <w:tcPr>
            <w:tcW w:w="10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83.9</w:t>
            </w:r>
          </w:p>
        </w:tc>
        <w:tc>
          <w:tcPr>
            <w:tcW w:w="120" w:type="dxa"/>
            <w:vAlign w:val="bottom"/>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r>
      <w:tr>
        <w:trPr>
          <w:trHeight w:val="413"/>
        </w:trPr>
        <w:tc>
          <w:tcPr>
            <w:tcW w:w="7120" w:type="dxa"/>
            <w:vAlign w:val="bottom"/>
            <w:gridSpan w:val="2"/>
          </w:tcPr>
          <w:p>
            <w:pPr>
              <w:ind w:left="200"/>
              <w:spacing w:after="0"/>
              <w:rPr>
                <w:sz w:val="20"/>
                <w:szCs w:val="20"/>
                <w:color w:val="auto"/>
              </w:rPr>
            </w:pPr>
            <w:r>
              <w:rPr>
                <w:rFonts w:ascii="Arial" w:cs="Arial" w:eastAsia="Arial" w:hAnsi="Arial"/>
                <w:sz w:val="16"/>
                <w:szCs w:val="16"/>
                <w:color w:val="auto"/>
              </w:rPr>
              <w:t>Income tax expense</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83"/>
        </w:trPr>
        <w:tc>
          <w:tcPr>
            <w:tcW w:w="6080" w:type="dxa"/>
            <w:vAlign w:val="bottom"/>
          </w:tcPr>
          <w:p>
            <w:pPr>
              <w:ind w:left="200"/>
              <w:spacing w:after="0"/>
              <w:rPr>
                <w:sz w:val="20"/>
                <w:szCs w:val="20"/>
                <w:color w:val="auto"/>
              </w:rPr>
            </w:pPr>
            <w:r>
              <w:rPr>
                <w:rFonts w:ascii="Arial" w:cs="Arial" w:eastAsia="Arial" w:hAnsi="Arial"/>
                <w:sz w:val="16"/>
                <w:szCs w:val="16"/>
                <w:color w:val="auto"/>
              </w:rPr>
              <w:t>Losses from equity method investments</w:t>
            </w: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250"/>
        </w:trPr>
        <w:tc>
          <w:tcPr>
            <w:tcW w:w="7120" w:type="dxa"/>
            <w:vAlign w:val="bottom"/>
            <w:gridSpan w:val="2"/>
          </w:tcPr>
          <w:p>
            <w:pPr>
              <w:spacing w:after="0"/>
              <w:rPr>
                <w:sz w:val="20"/>
                <w:szCs w:val="20"/>
                <w:color w:val="auto"/>
              </w:rPr>
            </w:pPr>
            <w:r>
              <w:rPr>
                <w:rFonts w:ascii="Arial" w:cs="Arial" w:eastAsia="Arial" w:hAnsi="Arial"/>
                <w:sz w:val="16"/>
                <w:szCs w:val="16"/>
                <w:color w:val="auto"/>
              </w:rPr>
              <w:t>Net income from continuing operations</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58.9</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(36.5%)</w:t>
            </w:r>
          </w:p>
        </w:tc>
      </w:tr>
      <w:tr>
        <w:trPr>
          <w:trHeight w:val="162"/>
        </w:trPr>
        <w:tc>
          <w:tcPr>
            <w:tcW w:w="6080" w:type="dxa"/>
            <w:vAlign w:val="bottom"/>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Borders>
              <w:top w:val="single" w:sz="8" w:color="auto"/>
              <w:bottom w:val="single" w:sz="8" w:color="auto"/>
            </w:tcBorders>
          </w:tcPr>
          <w:p>
            <w:pPr>
              <w:spacing w:after="0"/>
              <w:rPr>
                <w:sz w:val="14"/>
                <w:szCs w:val="14"/>
                <w:color w:val="auto"/>
              </w:rPr>
            </w:pPr>
          </w:p>
        </w:tc>
      </w:tr>
      <w:tr>
        <w:trPr>
          <w:trHeight w:val="244"/>
        </w:trPr>
        <w:tc>
          <w:tcPr>
            <w:tcW w:w="7120" w:type="dxa"/>
            <w:vAlign w:val="bottom"/>
            <w:gridSpan w:val="2"/>
          </w:tcPr>
          <w:p>
            <w:pPr>
              <w:spacing w:after="0"/>
              <w:rPr>
                <w:sz w:val="20"/>
                <w:szCs w:val="20"/>
                <w:color w:val="auto"/>
              </w:rPr>
            </w:pPr>
            <w:r>
              <w:rPr>
                <w:rFonts w:ascii="Arial" w:cs="Arial" w:eastAsia="Arial" w:hAnsi="Arial"/>
                <w:sz w:val="16"/>
                <w:szCs w:val="16"/>
                <w:color w:val="auto"/>
              </w:rPr>
              <w:t>Net loss from discontinued operations</w:t>
            </w:r>
          </w:p>
        </w:tc>
        <w:tc>
          <w:tcPr>
            <w:tcW w:w="64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1"/>
                <w:szCs w:val="21"/>
                <w:color w:val="auto"/>
              </w:rPr>
            </w:pPr>
          </w:p>
        </w:tc>
        <w:tc>
          <w:tcPr>
            <w:tcW w:w="18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176"/>
        </w:trPr>
        <w:tc>
          <w:tcPr>
            <w:tcW w:w="6080" w:type="dxa"/>
            <w:vAlign w:val="bottom"/>
          </w:tcPr>
          <w:p>
            <w:pPr>
              <w:spacing w:after="0"/>
              <w:rPr>
                <w:sz w:val="15"/>
                <w:szCs w:val="15"/>
                <w:color w:val="auto"/>
              </w:rPr>
            </w:pPr>
          </w:p>
        </w:tc>
        <w:tc>
          <w:tcPr>
            <w:tcW w:w="10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top w:val="single" w:sz="8" w:color="auto"/>
              <w:bottom w:val="single" w:sz="8" w:color="auto"/>
            </w:tcBorders>
          </w:tcPr>
          <w:p>
            <w:pPr>
              <w:spacing w:after="0"/>
              <w:rPr>
                <w:sz w:val="15"/>
                <w:szCs w:val="15"/>
                <w:color w:val="auto"/>
              </w:rPr>
            </w:pPr>
          </w:p>
        </w:tc>
      </w:tr>
      <w:tr>
        <w:trPr>
          <w:trHeight w:val="301"/>
        </w:trPr>
        <w:tc>
          <w:tcPr>
            <w:tcW w:w="6080" w:type="dxa"/>
            <w:vAlign w:val="bottom"/>
          </w:tcPr>
          <w:p>
            <w:pPr>
              <w:spacing w:after="0"/>
              <w:rPr>
                <w:sz w:val="20"/>
                <w:szCs w:val="20"/>
                <w:color w:val="auto"/>
              </w:rPr>
            </w:pPr>
            <w:r>
              <w:rPr>
                <w:rFonts w:ascii="Arial" w:cs="Arial" w:eastAsia="Arial" w:hAnsi="Arial"/>
                <w:sz w:val="16"/>
                <w:szCs w:val="16"/>
                <w:color w:val="auto"/>
              </w:rPr>
              <w:t>Net income</w:t>
            </w: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$58.8</w:t>
            </w:r>
          </w:p>
        </w:tc>
        <w:tc>
          <w:tcPr>
            <w:tcW w:w="120" w:type="dxa"/>
            <w:vAlign w:val="bottom"/>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r>
      <w:tr>
        <w:trPr>
          <w:trHeight w:val="504"/>
        </w:trPr>
        <w:tc>
          <w:tcPr>
            <w:tcW w:w="7120" w:type="dxa"/>
            <w:vAlign w:val="bottom"/>
            <w:gridSpan w:val="2"/>
          </w:tcPr>
          <w:p>
            <w:pPr>
              <w:spacing w:after="0"/>
              <w:rPr>
                <w:sz w:val="20"/>
                <w:szCs w:val="20"/>
                <w:color w:val="auto"/>
              </w:rPr>
            </w:pPr>
            <w:r>
              <w:rPr>
                <w:rFonts w:ascii="Arial" w:cs="Arial" w:eastAsia="Arial" w:hAnsi="Arial"/>
                <w:sz w:val="16"/>
                <w:szCs w:val="16"/>
                <w:color w:val="auto"/>
              </w:rPr>
              <w:t>Basic income (loss) per common share: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0"/>
        </w:trPr>
        <w:tc>
          <w:tcPr>
            <w:tcW w:w="7120" w:type="dxa"/>
            <w:vAlign w:val="bottom"/>
            <w:gridSpan w:val="2"/>
          </w:tcPr>
          <w:p>
            <w:pPr>
              <w:ind w:left="200"/>
              <w:spacing w:after="0"/>
              <w:rPr>
                <w:sz w:val="20"/>
                <w:szCs w:val="20"/>
                <w:color w:val="auto"/>
              </w:rPr>
            </w:pPr>
            <w:r>
              <w:rPr>
                <w:rFonts w:ascii="Arial" w:cs="Arial" w:eastAsia="Arial" w:hAnsi="Arial"/>
                <w:sz w:val="16"/>
                <w:szCs w:val="16"/>
                <w:color w:val="auto"/>
              </w:rPr>
              <w:t>Continuing operations</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$0.77</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83"/>
        </w:trPr>
        <w:tc>
          <w:tcPr>
            <w:tcW w:w="7120" w:type="dxa"/>
            <w:vAlign w:val="bottom"/>
            <w:gridSpan w:val="2"/>
          </w:tcPr>
          <w:p>
            <w:pPr>
              <w:ind w:left="200"/>
              <w:spacing w:after="0"/>
              <w:rPr>
                <w:sz w:val="20"/>
                <w:szCs w:val="20"/>
                <w:color w:val="auto"/>
              </w:rPr>
            </w:pPr>
            <w:r>
              <w:rPr>
                <w:rFonts w:ascii="Arial" w:cs="Arial" w:eastAsia="Arial" w:hAnsi="Arial"/>
                <w:sz w:val="16"/>
                <w:szCs w:val="16"/>
                <w:color w:val="auto"/>
              </w:rPr>
              <w:t>Discontinued operations</w:t>
            </w:r>
          </w:p>
        </w:tc>
        <w:tc>
          <w:tcPr>
            <w:tcW w:w="64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64"/>
        </w:trPr>
        <w:tc>
          <w:tcPr>
            <w:tcW w:w="6080" w:type="dxa"/>
            <w:vAlign w:val="bottom"/>
          </w:tcPr>
          <w:p>
            <w:pPr>
              <w:spacing w:after="0"/>
              <w:rPr>
                <w:sz w:val="22"/>
                <w:szCs w:val="22"/>
                <w:color w:val="auto"/>
              </w:rPr>
            </w:pPr>
          </w:p>
        </w:tc>
        <w:tc>
          <w:tcPr>
            <w:tcW w:w="10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6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13"/>
        </w:trPr>
        <w:tc>
          <w:tcPr>
            <w:tcW w:w="7120" w:type="dxa"/>
            <w:vAlign w:val="bottom"/>
            <w:gridSpan w:val="2"/>
          </w:tcPr>
          <w:p>
            <w:pPr>
              <w:spacing w:after="0"/>
              <w:rPr>
                <w:sz w:val="20"/>
                <w:szCs w:val="20"/>
                <w:color w:val="auto"/>
              </w:rPr>
            </w:pPr>
            <w:r>
              <w:rPr>
                <w:rFonts w:ascii="Arial" w:cs="Arial" w:eastAsia="Arial" w:hAnsi="Arial"/>
                <w:sz w:val="16"/>
                <w:szCs w:val="16"/>
                <w:color w:val="auto"/>
              </w:rPr>
              <w:t>Diluted income (loss) per common share: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0"/>
        </w:trPr>
        <w:tc>
          <w:tcPr>
            <w:tcW w:w="7120" w:type="dxa"/>
            <w:vAlign w:val="bottom"/>
            <w:gridSpan w:val="2"/>
          </w:tcPr>
          <w:p>
            <w:pPr>
              <w:ind w:left="200"/>
              <w:spacing w:after="0"/>
              <w:rPr>
                <w:sz w:val="20"/>
                <w:szCs w:val="20"/>
                <w:color w:val="auto"/>
              </w:rPr>
            </w:pPr>
            <w:r>
              <w:rPr>
                <w:rFonts w:ascii="Arial" w:cs="Arial" w:eastAsia="Arial" w:hAnsi="Arial"/>
                <w:sz w:val="16"/>
                <w:szCs w:val="16"/>
                <w:color w:val="auto"/>
              </w:rPr>
              <w:t>Continuing operations</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$0.76</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83"/>
        </w:trPr>
        <w:tc>
          <w:tcPr>
            <w:tcW w:w="7120" w:type="dxa"/>
            <w:vAlign w:val="bottom"/>
            <w:gridSpan w:val="2"/>
          </w:tcPr>
          <w:p>
            <w:pPr>
              <w:ind w:left="200"/>
              <w:spacing w:after="0"/>
              <w:rPr>
                <w:sz w:val="20"/>
                <w:szCs w:val="20"/>
                <w:color w:val="auto"/>
              </w:rPr>
            </w:pPr>
            <w:r>
              <w:rPr>
                <w:rFonts w:ascii="Arial" w:cs="Arial" w:eastAsia="Arial" w:hAnsi="Arial"/>
                <w:sz w:val="16"/>
                <w:szCs w:val="16"/>
                <w:color w:val="auto"/>
              </w:rPr>
              <w:t>Discontinued operations</w:t>
            </w:r>
          </w:p>
        </w:tc>
        <w:tc>
          <w:tcPr>
            <w:tcW w:w="64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64"/>
        </w:trPr>
        <w:tc>
          <w:tcPr>
            <w:tcW w:w="6080" w:type="dxa"/>
            <w:vAlign w:val="bottom"/>
          </w:tcPr>
          <w:p>
            <w:pPr>
              <w:spacing w:after="0"/>
              <w:rPr>
                <w:sz w:val="22"/>
                <w:szCs w:val="22"/>
                <w:color w:val="auto"/>
              </w:rPr>
            </w:pPr>
          </w:p>
        </w:tc>
        <w:tc>
          <w:tcPr>
            <w:tcW w:w="10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6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00"/>
        </w:trPr>
        <w:tc>
          <w:tcPr>
            <w:tcW w:w="7120" w:type="dxa"/>
            <w:vAlign w:val="bottom"/>
            <w:gridSpan w:val="2"/>
          </w:tcPr>
          <w:p>
            <w:pPr>
              <w:spacing w:after="0"/>
              <w:rPr>
                <w:sz w:val="20"/>
                <w:szCs w:val="20"/>
                <w:color w:val="auto"/>
              </w:rPr>
            </w:pPr>
            <w:r>
              <w:rPr>
                <w:rFonts w:ascii="Arial" w:cs="Arial" w:eastAsia="Arial" w:hAnsi="Arial"/>
                <w:sz w:val="16"/>
                <w:szCs w:val="16"/>
                <w:color w:val="auto"/>
              </w:rPr>
              <w:t>Weighted average common shares outstanding</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0"/>
        </w:trPr>
        <w:tc>
          <w:tcPr>
            <w:tcW w:w="7120" w:type="dxa"/>
            <w:vAlign w:val="bottom"/>
            <w:gridSpan w:val="2"/>
          </w:tcPr>
          <w:p>
            <w:pPr>
              <w:ind w:left="200"/>
              <w:spacing w:after="0"/>
              <w:rPr>
                <w:sz w:val="20"/>
                <w:szCs w:val="20"/>
                <w:color w:val="auto"/>
              </w:rPr>
            </w:pPr>
            <w:r>
              <w:rPr>
                <w:rFonts w:ascii="Arial" w:cs="Arial" w:eastAsia="Arial" w:hAnsi="Arial"/>
                <w:sz w:val="16"/>
                <w:szCs w:val="16"/>
                <w:color w:val="auto"/>
              </w:rPr>
              <w:t>Basic</w:t>
            </w:r>
          </w:p>
        </w:tc>
        <w:tc>
          <w:tcPr>
            <w:tcW w:w="640" w:type="dxa"/>
            <w:vAlign w:val="bottom"/>
          </w:tcPr>
          <w:p>
            <w:pPr>
              <w:jc w:val="right"/>
              <w:ind w:right="18"/>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18"/>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120" w:type="dxa"/>
            <w:vAlign w:val="bottom"/>
            <w:gridSpan w:val="2"/>
          </w:tcPr>
          <w:p>
            <w:pPr>
              <w:ind w:left="200"/>
              <w:spacing w:after="0"/>
              <w:rPr>
                <w:sz w:val="20"/>
                <w:szCs w:val="20"/>
                <w:color w:val="auto"/>
              </w:rPr>
            </w:pPr>
            <w:r>
              <w:rPr>
                <w:rFonts w:ascii="Arial" w:cs="Arial" w:eastAsia="Arial" w:hAnsi="Arial"/>
                <w:sz w:val="16"/>
                <w:szCs w:val="16"/>
                <w:color w:val="auto"/>
              </w:rPr>
              <w:t>Diluted</w:t>
            </w:r>
          </w:p>
        </w:tc>
        <w:tc>
          <w:tcPr>
            <w:tcW w:w="640" w:type="dxa"/>
            <w:vAlign w:val="bottom"/>
          </w:tcPr>
          <w:p>
            <w:pPr>
              <w:jc w:val="right"/>
              <w:ind w:right="18"/>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18"/>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624"/>
        </w:trPr>
        <w:tc>
          <w:tcPr>
            <w:tcW w:w="7120" w:type="dxa"/>
            <w:vAlign w:val="bottom"/>
            <w:gridSpan w:val="2"/>
          </w:tcPr>
          <w:p>
            <w:pPr>
              <w:spacing w:after="0"/>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(1)</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$363.9</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w w:val="98"/>
              </w:rPr>
              <w:t>$321.0</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13.4%</w:t>
            </w:r>
          </w:p>
        </w:tc>
      </w:tr>
      <w:tr>
        <w:trPr>
          <w:trHeight w:val="270"/>
        </w:trPr>
        <w:tc>
          <w:tcPr>
            <w:tcW w:w="7120" w:type="dxa"/>
            <w:vAlign w:val="bottom"/>
            <w:gridSpan w:val="2"/>
          </w:tcPr>
          <w:p>
            <w:pPr>
              <w:spacing w:after="0"/>
              <w:rPr>
                <w:sz w:val="20"/>
                <w:szCs w:val="20"/>
                <w:color w:val="auto"/>
              </w:rPr>
            </w:pPr>
            <w:r>
              <w:rPr>
                <w:rFonts w:ascii="Arial" w:cs="Arial" w:eastAsia="Arial" w:hAnsi="Arial"/>
                <w:sz w:val="16"/>
                <w:szCs w:val="16"/>
                <w:color w:val="auto"/>
              </w:rPr>
              <w:t xml:space="preserve">Adjusted SG&amp;A </w:t>
            </w:r>
            <w:r>
              <w:rPr>
                <w:rFonts w:ascii="Arial" w:cs="Arial" w:eastAsia="Arial" w:hAnsi="Arial"/>
                <w:sz w:val="21"/>
                <w:szCs w:val="21"/>
                <w:color w:val="auto"/>
                <w:vertAlign w:val="superscript"/>
              </w:rPr>
              <w:t>(1)</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200.9</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167.9</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19.7%</w:t>
            </w:r>
          </w:p>
        </w:tc>
      </w:tr>
      <w:tr>
        <w:trPr>
          <w:trHeight w:val="270"/>
        </w:trPr>
        <w:tc>
          <w:tcPr>
            <w:tcW w:w="7120" w:type="dxa"/>
            <w:vAlign w:val="bottom"/>
            <w:gridSpan w:val="2"/>
          </w:tcPr>
          <w:p>
            <w:pPr>
              <w:spacing w:after="0"/>
              <w:rPr>
                <w:sz w:val="20"/>
                <w:szCs w:val="20"/>
                <w:color w:val="auto"/>
              </w:rPr>
            </w:pPr>
            <w:r>
              <w:rPr>
                <w:rFonts w:ascii="Arial" w:cs="Arial" w:eastAsia="Arial" w:hAnsi="Arial"/>
                <w:sz w:val="16"/>
                <w:szCs w:val="16"/>
                <w:color w:val="auto"/>
              </w:rPr>
              <w:t xml:space="preserve">Adjusted R&amp;D </w:t>
            </w:r>
            <w:r>
              <w:rPr>
                <w:rFonts w:ascii="Arial" w:cs="Arial" w:eastAsia="Arial" w:hAnsi="Arial"/>
                <w:sz w:val="21"/>
                <w:szCs w:val="21"/>
                <w:color w:val="auto"/>
                <w:vertAlign w:val="superscript"/>
              </w:rPr>
              <w:t>(1)</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42.9</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43.6%</w:t>
            </w:r>
          </w:p>
        </w:tc>
      </w:tr>
      <w:tr>
        <w:trPr>
          <w:trHeight w:val="270"/>
        </w:trPr>
        <w:tc>
          <w:tcPr>
            <w:tcW w:w="7120" w:type="dxa"/>
            <w:vAlign w:val="bottom"/>
            <w:gridSpan w:val="2"/>
          </w:tcPr>
          <w:p>
            <w:pPr>
              <w:spacing w:after="0"/>
              <w:rPr>
                <w:sz w:val="20"/>
                <w:szCs w:val="20"/>
                <w:color w:val="auto"/>
              </w:rPr>
            </w:pPr>
            <w:r>
              <w:rPr>
                <w:rFonts w:ascii="Arial" w:cs="Arial" w:eastAsia="Arial" w:hAnsi="Arial"/>
                <w:sz w:val="16"/>
                <w:szCs w:val="16"/>
                <w:color w:val="auto"/>
              </w:rPr>
              <w:t xml:space="preserve">Adjusted operating income from continuing operations </w:t>
            </w:r>
            <w:r>
              <w:rPr>
                <w:rFonts w:ascii="Arial" w:cs="Arial" w:eastAsia="Arial" w:hAnsi="Arial"/>
                <w:sz w:val="21"/>
                <w:szCs w:val="21"/>
                <w:color w:val="auto"/>
                <w:vertAlign w:val="superscript"/>
              </w:rPr>
              <w:t>(1)</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110.2</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7120" w:type="dxa"/>
            <w:vAlign w:val="bottom"/>
            <w:gridSpan w:val="2"/>
          </w:tcPr>
          <w:p>
            <w:pPr>
              <w:spacing w:after="0"/>
              <w:rPr>
                <w:sz w:val="20"/>
                <w:szCs w:val="20"/>
                <w:color w:val="auto"/>
              </w:rPr>
            </w:pPr>
            <w:r>
              <w:rPr>
                <w:rFonts w:ascii="Arial" w:cs="Arial" w:eastAsia="Arial" w:hAnsi="Arial"/>
                <w:sz w:val="16"/>
                <w:szCs w:val="16"/>
                <w:color w:val="auto"/>
              </w:rPr>
              <w:t xml:space="preserve">Adjusted income from continuing operations, net of tax </w:t>
            </w:r>
            <w:r>
              <w:rPr>
                <w:rFonts w:ascii="Arial" w:cs="Arial" w:eastAsia="Arial" w:hAnsi="Arial"/>
                <w:sz w:val="21"/>
                <w:szCs w:val="21"/>
                <w:color w:val="auto"/>
                <w:vertAlign w:val="superscript"/>
              </w:rPr>
              <w:t>(1)</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81.1</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77.2</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5.1%</w:t>
            </w:r>
          </w:p>
        </w:tc>
      </w:tr>
      <w:tr>
        <w:trPr>
          <w:trHeight w:val="276"/>
        </w:trPr>
        <w:tc>
          <w:tcPr>
            <w:tcW w:w="7120" w:type="dxa"/>
            <w:vAlign w:val="bottom"/>
            <w:gridSpan w:val="2"/>
          </w:tcPr>
          <w:p>
            <w:pPr>
              <w:spacing w:after="0"/>
              <w:rPr>
                <w:sz w:val="20"/>
                <w:szCs w:val="20"/>
                <w:color w:val="auto"/>
              </w:rPr>
            </w:pPr>
            <w:r>
              <w:rPr>
                <w:rFonts w:ascii="Arial" w:cs="Arial" w:eastAsia="Arial" w:hAnsi="Arial"/>
                <w:sz w:val="16"/>
                <w:szCs w:val="16"/>
                <w:color w:val="auto"/>
              </w:rPr>
              <w:t xml:space="preserve">Adjusted diluted earnings per share from continuing operations </w:t>
            </w:r>
            <w:r>
              <w:rPr>
                <w:rFonts w:ascii="Arial" w:cs="Arial" w:eastAsia="Arial" w:hAnsi="Arial"/>
                <w:sz w:val="21"/>
                <w:szCs w:val="21"/>
                <w:color w:val="auto"/>
                <w:vertAlign w:val="superscript"/>
              </w:rPr>
              <w:t>(1)</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jc w:val="right"/>
              <w:ind w:right="18"/>
              <w:spacing w:after="0"/>
              <w:rPr>
                <w:sz w:val="20"/>
                <w:szCs w:val="20"/>
                <w:color w:val="auto"/>
              </w:rPr>
            </w:pPr>
            <w:r>
              <w:rPr>
                <w:rFonts w:ascii="Arial" w:cs="Arial" w:eastAsia="Arial" w:hAnsi="Arial"/>
                <w:sz w:val="16"/>
                <w:szCs w:val="16"/>
                <w:color w:val="auto"/>
              </w:rPr>
              <w:t>$1.60</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3.1%</w:t>
            </w:r>
          </w:p>
        </w:tc>
      </w:tr>
    </w:tbl>
    <w:p>
      <w:pPr>
        <w:spacing w:after="0" w:line="193" w:lineRule="exact"/>
        <w:rPr>
          <w:sz w:val="20"/>
          <w:szCs w:val="20"/>
          <w:color w:val="auto"/>
        </w:rPr>
      </w:pPr>
    </w:p>
    <w:p>
      <w:pPr>
        <w:sectPr>
          <w:pgSz w:w="11900" w:h="16838" w:orient="portrait"/>
          <w:cols w:equalWidth="0" w:num="1">
            <w:col w:w="11380"/>
          </w:cols>
          <w:pgMar w:left="280" w:top="774" w:right="239" w:bottom="773" w:gutter="0" w:footer="0" w:header="0"/>
        </w:sectPr>
      </w:pPr>
    </w:p>
    <w:p>
      <w:pPr>
        <w:jc w:val="center"/>
        <w:ind w:right="2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380"/>
          </w:cols>
          <w:pgMar w:left="280" w:top="774" w:right="239" w:bottom="773"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180" w:type="dxa"/>
            <w:vAlign w:val="bottom"/>
          </w:tcPr>
          <w:p>
            <w:pPr>
              <w:spacing w:after="0"/>
              <w:rPr>
                <w:sz w:val="23"/>
                <w:szCs w:val="23"/>
                <w:color w:val="auto"/>
              </w:rPr>
            </w:pPr>
          </w:p>
        </w:tc>
        <w:tc>
          <w:tcPr>
            <w:tcW w:w="34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GAAP Six Months Ended June 30,</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6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Six Months Ended June 30,</w:t>
            </w:r>
          </w:p>
        </w:tc>
      </w:tr>
      <w:tr>
        <w:trPr>
          <w:trHeight w:val="228"/>
        </w:trPr>
        <w:tc>
          <w:tcPr>
            <w:tcW w:w="3180" w:type="dxa"/>
            <w:vAlign w:val="bottom"/>
          </w:tcPr>
          <w:p>
            <w:pPr>
              <w:spacing w:after="0"/>
              <w:rPr>
                <w:sz w:val="19"/>
                <w:szCs w:val="19"/>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2017</w:t>
            </w:r>
          </w:p>
        </w:tc>
      </w:tr>
      <w:tr>
        <w:trPr>
          <w:trHeight w:val="237"/>
        </w:trPr>
        <w:tc>
          <w:tcPr>
            <w:tcW w:w="450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64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66.5%</w:t>
            </w:r>
          </w:p>
        </w:tc>
      </w:tr>
      <w:tr>
        <w:trPr>
          <w:trHeight w:val="270"/>
        </w:trPr>
        <w:tc>
          <w:tcPr>
            <w:tcW w:w="4500" w:type="dxa"/>
            <w:vAlign w:val="bottom"/>
            <w:gridSpan w:val="2"/>
          </w:tcPr>
          <w:p>
            <w:pPr>
              <w:spacing w:after="0"/>
              <w:rPr>
                <w:sz w:val="20"/>
                <w:szCs w:val="20"/>
                <w:color w:val="auto"/>
              </w:rPr>
            </w:pPr>
            <w:r>
              <w:rPr>
                <w:rFonts w:ascii="Arial" w:cs="Arial" w:eastAsia="Arial" w:hAnsi="Arial"/>
                <w:sz w:val="16"/>
                <w:szCs w:val="16"/>
                <w:color w:val="auto"/>
              </w:rPr>
              <w:t>SG&amp;A</w:t>
            </w:r>
          </w:p>
        </w:tc>
        <w:tc>
          <w:tcPr>
            <w:tcW w:w="640" w:type="dxa"/>
            <w:vAlign w:val="bottom"/>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34.8%</w:t>
            </w:r>
          </w:p>
        </w:tc>
      </w:tr>
      <w:tr>
        <w:trPr>
          <w:trHeight w:val="270"/>
        </w:trPr>
        <w:tc>
          <w:tcPr>
            <w:tcW w:w="4500" w:type="dxa"/>
            <w:vAlign w:val="bottom"/>
            <w:gridSpan w:val="2"/>
          </w:tcPr>
          <w:p>
            <w:pPr>
              <w:spacing w:after="0"/>
              <w:rPr>
                <w:sz w:val="20"/>
                <w:szCs w:val="20"/>
                <w:color w:val="auto"/>
              </w:rPr>
            </w:pPr>
            <w:r>
              <w:rPr>
                <w:rFonts w:ascii="Arial" w:cs="Arial" w:eastAsia="Arial" w:hAnsi="Arial"/>
                <w:sz w:val="16"/>
                <w:szCs w:val="16"/>
                <w:color w:val="auto"/>
              </w:rPr>
              <w:t>R&amp;D</w:t>
            </w:r>
          </w:p>
        </w:tc>
        <w:tc>
          <w:tcPr>
            <w:tcW w:w="64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38"/>
        </w:trPr>
        <w:tc>
          <w:tcPr>
            <w:tcW w:w="4500" w:type="dxa"/>
            <w:vAlign w:val="bottom"/>
            <w:gridSpan w:val="2"/>
          </w:tcPr>
          <w:p>
            <w:pPr>
              <w:spacing w:after="0"/>
              <w:rPr>
                <w:sz w:val="20"/>
                <w:szCs w:val="20"/>
                <w:color w:val="auto"/>
              </w:rPr>
            </w:pPr>
            <w:r>
              <w:rPr>
                <w:rFonts w:ascii="Arial" w:cs="Arial" w:eastAsia="Arial" w:hAnsi="Arial"/>
                <w:sz w:val="16"/>
                <w:szCs w:val="16"/>
                <w:color w:val="auto"/>
              </w:rPr>
              <w:t>Operating income from continuing</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195"/>
        </w:trPr>
        <w:tc>
          <w:tcPr>
            <w:tcW w:w="4500" w:type="dxa"/>
            <w:vAlign w:val="bottom"/>
            <w:gridSpan w:val="2"/>
          </w:tcPr>
          <w:p>
            <w:pPr>
              <w:spacing w:after="0"/>
              <w:rPr>
                <w:sz w:val="20"/>
                <w:szCs w:val="20"/>
                <w:color w:val="auto"/>
              </w:rPr>
            </w:pPr>
            <w:r>
              <w:rPr>
                <w:rFonts w:ascii="Arial" w:cs="Arial" w:eastAsia="Arial" w:hAnsi="Arial"/>
                <w:sz w:val="16"/>
                <w:szCs w:val="16"/>
                <w:color w:val="auto"/>
              </w:rPr>
              <w:t>operations</w:t>
            </w:r>
          </w:p>
        </w:tc>
        <w:tc>
          <w:tcPr>
            <w:tcW w:w="64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38"/>
        </w:trPr>
        <w:tc>
          <w:tcPr>
            <w:tcW w:w="4500" w:type="dxa"/>
            <w:vAlign w:val="bottom"/>
            <w:gridSpan w:val="2"/>
          </w:tcPr>
          <w:p>
            <w:pPr>
              <w:spacing w:after="0"/>
              <w:rPr>
                <w:sz w:val="20"/>
                <w:szCs w:val="20"/>
                <w:color w:val="auto"/>
              </w:rPr>
            </w:pPr>
            <w:r>
              <w:rPr>
                <w:rFonts w:ascii="Arial" w:cs="Arial" w:eastAsia="Arial" w:hAnsi="Arial"/>
                <w:sz w:val="16"/>
                <w:szCs w:val="16"/>
                <w:color w:val="auto"/>
              </w:rPr>
              <w:t>Income from continuing operations, net of</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195"/>
        </w:trPr>
        <w:tc>
          <w:tcPr>
            <w:tcW w:w="4500" w:type="dxa"/>
            <w:vAlign w:val="bottom"/>
            <w:gridSpan w:val="2"/>
          </w:tcPr>
          <w:p>
            <w:pPr>
              <w:spacing w:after="0"/>
              <w:rPr>
                <w:sz w:val="20"/>
                <w:szCs w:val="20"/>
                <w:color w:val="auto"/>
              </w:rPr>
            </w:pPr>
            <w:r>
              <w:rPr>
                <w:rFonts w:ascii="Arial" w:cs="Arial" w:eastAsia="Arial" w:hAnsi="Arial"/>
                <w:sz w:val="16"/>
                <w:szCs w:val="16"/>
                <w:color w:val="auto"/>
              </w:rPr>
              <w:t>tax</w:t>
            </w:r>
          </w:p>
        </w:tc>
        <w:tc>
          <w:tcPr>
            <w:tcW w:w="64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70"/>
        </w:trPr>
        <w:tc>
          <w:tcPr>
            <w:tcW w:w="450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6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23.8%</w:t>
            </w:r>
          </w:p>
        </w:tc>
      </w:tr>
    </w:tbl>
    <w:p>
      <w:pPr>
        <w:spacing w:after="0" w:line="348" w:lineRule="exact"/>
        <w:rPr>
          <w:sz w:val="20"/>
          <w:szCs w:val="20"/>
          <w:color w:val="auto"/>
        </w:rPr>
      </w:pPr>
    </w:p>
    <w:p>
      <w:pPr>
        <w:ind w:left="420" w:right="360" w:hanging="324"/>
        <w:spacing w:after="0" w:line="258"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86" w:lineRule="exact"/>
        <w:rPr>
          <w:sz w:val="20"/>
          <w:szCs w:val="20"/>
          <w:color w:val="auto"/>
        </w:rPr>
      </w:pPr>
    </w:p>
    <w:p>
      <w:pPr>
        <w:ind w:left="420" w:hanging="264"/>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80"/>
          </w:cols>
          <w:pgMar w:left="280" w:top="792" w:right="239" w:bottom="1440" w:gutter="0" w:footer="0" w:header="0"/>
        </w:sectPr>
      </w:pPr>
    </w:p>
    <w:bookmarkStart w:id="15" w:name="page16"/>
    <w:bookmarkEnd w:id="15"/>
    <w:p>
      <w:pPr>
        <w:ind w:left="1"/>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26035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1"/>
          </w:cols>
          <w:pgMar w:left="279" w:top="7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
        <w:spacing w:after="0" w:line="285" w:lineRule="auto"/>
        <w:rPr>
          <w:sz w:val="20"/>
          <w:szCs w:val="20"/>
          <w:color w:val="auto"/>
        </w:rPr>
      </w:pPr>
      <w:r>
        <w:rPr>
          <w:rFonts w:ascii="Arial" w:cs="Arial" w:eastAsia="Arial" w:hAnsi="Arial"/>
          <w:sz w:val="14"/>
          <w:szCs w:val="14"/>
          <w:b w:val="1"/>
          <w:bCs w:val="1"/>
          <w:color w:val="auto"/>
        </w:rPr>
        <w:t>Three Months Ended June 30, 2018</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6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rPr>
              <w:t>Specified Items</w:t>
            </w:r>
          </w:p>
        </w:tc>
        <w:tc>
          <w:tcPr>
            <w:tcW w:w="9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r>
      <w:tr>
        <w:trPr>
          <w:trHeight w:val="140"/>
        </w:trPr>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4"/>
              </w:rPr>
              <w:t>Non-</w:t>
            </w: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5"/>
        </w:trPr>
        <w:tc>
          <w:tcPr>
            <w:tcW w:w="6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Merger</w:t>
            </w:r>
          </w:p>
        </w:tc>
        <w:tc>
          <w:tcPr>
            <w:tcW w:w="78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Depreciation</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recurring</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78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7"/>
              </w:rPr>
              <w:t>Product</w:t>
            </w:r>
          </w:p>
        </w:tc>
        <w:tc>
          <w:tcPr>
            <w:tcW w:w="6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CRM</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Legal and</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Stock-based</w:t>
            </w:r>
          </w:p>
        </w:tc>
        <w:tc>
          <w:tcPr>
            <w:tcW w:w="8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Certain</w:t>
            </w:r>
          </w:p>
        </w:tc>
        <w:tc>
          <w:tcPr>
            <w:tcW w:w="620" w:type="dxa"/>
            <w:vAlign w:val="bottom"/>
          </w:tcPr>
          <w:p>
            <w:pPr>
              <w:spacing w:after="0"/>
              <w:rPr>
                <w:sz w:val="11"/>
                <w:szCs w:val="11"/>
                <w:color w:val="auto"/>
              </w:rPr>
            </w:pPr>
          </w:p>
        </w:tc>
      </w:tr>
      <w:tr>
        <w:trPr>
          <w:trHeight w:val="135"/>
        </w:trPr>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GAAP</w:t>
            </w:r>
          </w:p>
        </w:tc>
        <w:tc>
          <w:tcPr>
            <w:tcW w:w="4500" w:type="dxa"/>
            <w:vAlign w:val="bottom"/>
            <w:gridSpan w:val="6"/>
          </w:tcPr>
          <w:p>
            <w:pPr>
              <w:ind w:left="20"/>
              <w:spacing w:after="0" w:line="135" w:lineRule="exact"/>
              <w:rPr>
                <w:sz w:val="20"/>
                <w:szCs w:val="20"/>
                <w:color w:val="auto"/>
              </w:rPr>
            </w:pPr>
            <w:r>
              <w:rPr>
                <w:rFonts w:ascii="Arial" w:cs="Arial" w:eastAsia="Arial" w:hAnsi="Arial"/>
                <w:sz w:val="13"/>
                <w:szCs w:val="13"/>
                <w:b w:val="1"/>
                <w:bCs w:val="1"/>
                <w:color w:val="auto"/>
                <w:w w:val="98"/>
              </w:rPr>
              <w:t>Integration Restructuring Amortization Remediation Acquisition Disposal</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Contingent</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Certain Tax</w:t>
            </w:r>
          </w:p>
        </w:tc>
        <w:tc>
          <w:tcPr>
            <w:tcW w:w="7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7"/>
              </w:rPr>
              <w:t>Interest</w:t>
            </w: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Adjusted</w:t>
            </w:r>
          </w:p>
        </w:tc>
      </w:tr>
      <w:tr>
        <w:trPr>
          <w:trHeight w:val="135"/>
        </w:trPr>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Financial</w:t>
            </w:r>
          </w:p>
        </w:tc>
        <w:tc>
          <w:tcPr>
            <w:tcW w:w="7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5"/>
              </w:rPr>
              <w:t>Expenses</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Expenses</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Expenses</w:t>
            </w: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8"/>
              </w:rPr>
              <w:t>Expenses</w:t>
            </w: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Costs</w:t>
            </w: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Costs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Consideration</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Costs</w:t>
            </w:r>
          </w:p>
        </w:tc>
        <w:tc>
          <w:tcPr>
            <w:tcW w:w="16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8"/>
              </w:rPr>
              <w:t>Adjustments Adjustments</w:t>
            </w: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Financial</w:t>
            </w:r>
          </w:p>
        </w:tc>
      </w:tr>
      <w:tr>
        <w:trPr>
          <w:trHeight w:val="168"/>
        </w:trPr>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9"/>
              </w:rPr>
              <w:t>(A)</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8"/>
              </w:rPr>
              <w:t>(B)</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9"/>
              </w:rPr>
              <w:t>(C)</w:t>
            </w:r>
          </w:p>
        </w:tc>
        <w:tc>
          <w:tcPr>
            <w:tcW w:w="800" w:type="dxa"/>
            <w:vAlign w:val="bottom"/>
          </w:tcPr>
          <w:p>
            <w:pPr>
              <w:jc w:val="center"/>
              <w:ind w:right="17"/>
              <w:spacing w:after="0"/>
              <w:rPr>
                <w:sz w:val="20"/>
                <w:szCs w:val="20"/>
                <w:color w:val="auto"/>
              </w:rPr>
            </w:pPr>
            <w:r>
              <w:rPr>
                <w:rFonts w:ascii="Arial" w:cs="Arial" w:eastAsia="Arial" w:hAnsi="Arial"/>
                <w:sz w:val="13"/>
                <w:szCs w:val="13"/>
                <w:b w:val="1"/>
                <w:bCs w:val="1"/>
                <w:color w:val="auto"/>
                <w:w w:val="88"/>
              </w:rPr>
              <w:t>(D)</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(E)</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6"/>
              </w:rPr>
              <w:t>(F)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(G)</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8"/>
              </w:rPr>
              <w:t>(H)</w:t>
            </w:r>
          </w:p>
        </w:tc>
        <w:tc>
          <w:tcPr>
            <w:tcW w:w="880" w:type="dxa"/>
            <w:vAlign w:val="bottom"/>
          </w:tcPr>
          <w:p>
            <w:pPr>
              <w:jc w:val="center"/>
              <w:ind w:right="17"/>
              <w:spacing w:after="0"/>
              <w:rPr>
                <w:sz w:val="20"/>
                <w:szCs w:val="20"/>
                <w:color w:val="auto"/>
              </w:rPr>
            </w:pPr>
            <w:r>
              <w:rPr>
                <w:rFonts w:ascii="Arial" w:cs="Arial" w:eastAsia="Arial" w:hAnsi="Arial"/>
                <w:sz w:val="13"/>
                <w:szCs w:val="13"/>
                <w:b w:val="1"/>
                <w:bCs w:val="1"/>
                <w:color w:val="auto"/>
                <w:w w:val="97"/>
              </w:rPr>
              <w:t>(I)</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(J)</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6"/>
              </w:rPr>
              <w:t>Measures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10160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5" w:lineRule="exact"/>
        <w:rPr>
          <w:sz w:val="20"/>
          <w:szCs w:val="20"/>
          <w:color w:val="auto"/>
        </w:rPr>
      </w:pPr>
    </w:p>
    <w:p>
      <w:pPr>
        <w:sectPr>
          <w:pgSz w:w="11900" w:h="16838" w:orient="portrait"/>
          <w:cols w:equalWidth="0" w:num="2">
            <w:col w:w="2041" w:space="120"/>
            <w:col w:w="9220"/>
          </w:cols>
          <w:pgMar w:left="279" w:top="788" w:right="239" w:bottom="1440" w:gutter="0" w:footer="0" w:header="0"/>
          <w:type w:val="continuous"/>
        </w:sectPr>
      </w:pPr>
    </w:p>
    <w:tbl>
      <w:tblPr>
        <w:tblLayout w:type="fixed"/>
        <w:tblInd w:w="1" w:type="dxa"/>
        <w:tblCellMar>
          <w:top w:w="0" w:type="dxa"/>
          <w:left w:w="0" w:type="dxa"/>
          <w:bottom w:w="0" w:type="dxa"/>
          <w:right w:w="0" w:type="dxa"/>
        </w:tblCellMar>
      </w:tblPr>
      <w:tr>
        <w:trPr>
          <w:trHeight w:val="172"/>
        </w:trPr>
        <w:tc>
          <w:tcPr>
            <w:tcW w:w="2120" w:type="dxa"/>
            <w:vAlign w:val="bottom"/>
          </w:tcPr>
          <w:p>
            <w:pPr>
              <w:spacing w:after="0"/>
              <w:rPr>
                <w:sz w:val="20"/>
                <w:szCs w:val="20"/>
                <w:color w:val="auto"/>
              </w:rPr>
            </w:pPr>
            <w:r>
              <w:rPr>
                <w:rFonts w:ascii="Arial" w:cs="Arial" w:eastAsia="Arial" w:hAnsi="Arial"/>
                <w:sz w:val="14"/>
                <w:szCs w:val="14"/>
                <w:color w:val="auto"/>
              </w:rPr>
              <w:t>Net sales</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$287.5</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$287.5</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4"/>
                <w:szCs w:val="14"/>
                <w:color w:val="auto"/>
              </w:rPr>
              <w:t>Cost of sales</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92.0</w:t>
            </w: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(4.9)</w:t>
            </w:r>
          </w:p>
        </w:tc>
        <w:tc>
          <w:tcPr>
            <w:tcW w:w="7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74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4.2</w:t>
            </w:r>
          </w:p>
        </w:tc>
        <w:tc>
          <w:tcPr>
            <w:tcW w:w="800" w:type="dxa"/>
            <w:vAlign w:val="bottom"/>
          </w:tcPr>
          <w:p>
            <w:pPr>
              <w:jc w:val="center"/>
              <w:ind w:left="28"/>
              <w:spacing w:after="0"/>
              <w:rPr>
                <w:sz w:val="20"/>
                <w:szCs w:val="20"/>
                <w:color w:val="auto"/>
              </w:rPr>
            </w:pPr>
            <w:r>
              <w:rPr>
                <w:rFonts w:ascii="Arial" w:cs="Arial" w:eastAsia="Arial" w:hAnsi="Arial"/>
                <w:sz w:val="14"/>
                <w:szCs w:val="14"/>
                <w:color w:val="auto"/>
              </w:rPr>
              <w:t>(0.2)</w:t>
            </w: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91.0</w:t>
            </w:r>
          </w:p>
        </w:tc>
        <w:tc>
          <w:tcPr>
            <w:tcW w:w="0" w:type="dxa"/>
            <w:vAlign w:val="bottom"/>
          </w:tcPr>
          <w:p>
            <w:pPr>
              <w:spacing w:after="0"/>
              <w:rPr>
                <w:sz w:val="1"/>
                <w:szCs w:val="1"/>
                <w:color w:val="auto"/>
              </w:rPr>
            </w:pPr>
          </w:p>
        </w:tc>
      </w:tr>
      <w:tr>
        <w:trPr>
          <w:trHeight w:val="222"/>
        </w:trPr>
        <w:tc>
          <w:tcPr>
            <w:tcW w:w="2120" w:type="dxa"/>
            <w:vAlign w:val="bottom"/>
          </w:tcPr>
          <w:p>
            <w:pPr>
              <w:spacing w:after="0"/>
              <w:rPr>
                <w:sz w:val="20"/>
                <w:szCs w:val="20"/>
                <w:color w:val="auto"/>
              </w:rPr>
            </w:pPr>
            <w:r>
              <w:rPr>
                <w:rFonts w:ascii="Arial" w:cs="Arial" w:eastAsia="Arial" w:hAnsi="Arial"/>
                <w:sz w:val="14"/>
                <w:szCs w:val="14"/>
                <w:color w:val="auto"/>
              </w:rPr>
              <w:t>Product remediation</w:t>
            </w: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1.5</w:t>
            </w:r>
          </w:p>
        </w:tc>
        <w:tc>
          <w:tcPr>
            <w:tcW w:w="8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(1.5)</w:t>
            </w: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2120" w:type="dxa"/>
            <w:vAlign w:val="bottom"/>
          </w:tcPr>
          <w:p>
            <w:pPr>
              <w:ind w:left="240"/>
              <w:spacing w:after="0"/>
              <w:rPr>
                <w:sz w:val="20"/>
                <w:szCs w:val="20"/>
                <w:color w:val="auto"/>
              </w:rPr>
            </w:pPr>
            <w:r>
              <w:rPr>
                <w:rFonts w:ascii="Arial" w:cs="Arial" w:eastAsia="Arial" w:hAnsi="Arial"/>
                <w:sz w:val="14"/>
                <w:szCs w:val="14"/>
                <w:color w:val="auto"/>
              </w:rPr>
              <w:t>Gross profit</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194.0</w:t>
            </w: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4.9</w:t>
            </w:r>
          </w:p>
        </w:tc>
        <w:tc>
          <w:tcPr>
            <w:tcW w:w="760" w:type="dxa"/>
            <w:vAlign w:val="bottom"/>
          </w:tcPr>
          <w:p>
            <w:pPr>
              <w:jc w:val="center"/>
              <w:spacing w:after="0"/>
              <w:rPr>
                <w:sz w:val="20"/>
                <w:szCs w:val="20"/>
                <w:color w:val="auto"/>
              </w:rPr>
            </w:pPr>
            <w:r>
              <w:rPr>
                <w:rFonts w:ascii="Arial" w:cs="Arial" w:eastAsia="Arial" w:hAnsi="Arial"/>
                <w:sz w:val="14"/>
                <w:szCs w:val="14"/>
                <w:color w:val="auto"/>
              </w:rPr>
              <w:t>1.5</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0.1</w:t>
            </w:r>
          </w:p>
        </w:tc>
        <w:tc>
          <w:tcPr>
            <w:tcW w:w="74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(4.2)</w:t>
            </w:r>
          </w:p>
        </w:tc>
        <w:tc>
          <w:tcPr>
            <w:tcW w:w="800" w:type="dxa"/>
            <w:vAlign w:val="bottom"/>
          </w:tcPr>
          <w:p>
            <w:pPr>
              <w:jc w:val="center"/>
              <w:ind w:left="8"/>
              <w:spacing w:after="0"/>
              <w:rPr>
                <w:sz w:val="20"/>
                <w:szCs w:val="20"/>
                <w:color w:val="auto"/>
              </w:rPr>
            </w:pPr>
            <w:r>
              <w:rPr>
                <w:rFonts w:ascii="Arial" w:cs="Arial" w:eastAsia="Arial" w:hAnsi="Arial"/>
                <w:sz w:val="14"/>
                <w:szCs w:val="14"/>
                <w:color w:val="auto"/>
              </w:rPr>
              <w:t>0.2</w:t>
            </w: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196.5</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4"/>
                <w:szCs w:val="14"/>
                <w:color w:val="auto"/>
              </w:rPr>
              <w:t>Operating expenses:</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140"/>
              <w:spacing w:after="0"/>
              <w:rPr>
                <w:sz w:val="20"/>
                <w:szCs w:val="20"/>
                <w:color w:val="auto"/>
              </w:rPr>
            </w:pPr>
            <w:r>
              <w:rPr>
                <w:rFonts w:ascii="Arial" w:cs="Arial" w:eastAsia="Arial" w:hAnsi="Arial"/>
                <w:sz w:val="14"/>
                <w:szCs w:val="14"/>
                <w:color w:val="auto"/>
              </w:rPr>
              <w:t>Selling, general and</w:t>
            </w: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120" w:type="dxa"/>
            <w:vAlign w:val="bottom"/>
          </w:tcPr>
          <w:p>
            <w:pPr>
              <w:ind w:left="140"/>
              <w:spacing w:after="0"/>
              <w:rPr>
                <w:sz w:val="20"/>
                <w:szCs w:val="20"/>
                <w:color w:val="auto"/>
              </w:rPr>
            </w:pPr>
            <w:r>
              <w:rPr>
                <w:rFonts w:ascii="Arial" w:cs="Arial" w:eastAsia="Arial" w:hAnsi="Arial"/>
                <w:sz w:val="14"/>
                <w:szCs w:val="14"/>
                <w:color w:val="auto"/>
              </w:rPr>
              <w:t>administrative</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123.4</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(0.1)</w:t>
            </w:r>
          </w:p>
        </w:tc>
        <w:tc>
          <w:tcPr>
            <w:tcW w:w="76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(3.4)</w:t>
            </w:r>
          </w:p>
        </w:tc>
        <w:tc>
          <w:tcPr>
            <w:tcW w:w="740" w:type="dxa"/>
            <w:vAlign w:val="bottom"/>
          </w:tcPr>
          <w:p>
            <w:pPr>
              <w:jc w:val="center"/>
              <w:ind w:right="88"/>
              <w:spacing w:after="0"/>
              <w:rPr>
                <w:sz w:val="20"/>
                <w:szCs w:val="20"/>
                <w:color w:val="auto"/>
              </w:rPr>
            </w:pPr>
            <w:r>
              <w:rPr>
                <w:rFonts w:ascii="Arial" w:cs="Arial" w:eastAsia="Arial" w:hAnsi="Arial"/>
                <w:sz w:val="14"/>
                <w:szCs w:val="14"/>
                <w:color w:val="auto"/>
              </w:rPr>
              <w:t>(1.2)</w:t>
            </w:r>
          </w:p>
        </w:tc>
        <w:tc>
          <w:tcPr>
            <w:tcW w:w="920" w:type="dxa"/>
            <w:vAlign w:val="bottom"/>
          </w:tcPr>
          <w:p>
            <w:pPr>
              <w:jc w:val="center"/>
              <w:spacing w:after="0"/>
              <w:rPr>
                <w:sz w:val="20"/>
                <w:szCs w:val="20"/>
                <w:color w:val="auto"/>
              </w:rPr>
            </w:pPr>
            <w:r>
              <w:rPr>
                <w:rFonts w:ascii="Arial" w:cs="Arial" w:eastAsia="Arial" w:hAnsi="Arial"/>
                <w:sz w:val="14"/>
                <w:szCs w:val="14"/>
                <w:color w:val="auto"/>
              </w:rPr>
              <w:t>(8.6)</w:t>
            </w:r>
          </w:p>
        </w:tc>
        <w:tc>
          <w:tcPr>
            <w:tcW w:w="800" w:type="dxa"/>
            <w:vAlign w:val="bottom"/>
          </w:tcPr>
          <w:p>
            <w:pPr>
              <w:jc w:val="center"/>
              <w:ind w:left="28"/>
              <w:spacing w:after="0"/>
              <w:rPr>
                <w:sz w:val="20"/>
                <w:szCs w:val="20"/>
                <w:color w:val="auto"/>
              </w:rPr>
            </w:pPr>
            <w:r>
              <w:rPr>
                <w:rFonts w:ascii="Arial" w:cs="Arial" w:eastAsia="Arial" w:hAnsi="Arial"/>
                <w:sz w:val="14"/>
                <w:szCs w:val="14"/>
                <w:color w:val="auto"/>
              </w:rPr>
              <w:t>(6.0)</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104.1</w:t>
            </w:r>
          </w:p>
        </w:tc>
        <w:tc>
          <w:tcPr>
            <w:tcW w:w="0" w:type="dxa"/>
            <w:vAlign w:val="bottom"/>
          </w:tcPr>
          <w:p>
            <w:pPr>
              <w:spacing w:after="0"/>
              <w:rPr>
                <w:sz w:val="1"/>
                <w:szCs w:val="1"/>
                <w:color w:val="auto"/>
              </w:rPr>
            </w:pPr>
          </w:p>
        </w:tc>
      </w:tr>
      <w:tr>
        <w:trPr>
          <w:trHeight w:val="270"/>
        </w:trPr>
        <w:tc>
          <w:tcPr>
            <w:tcW w:w="212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34.2</w:t>
            </w: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(0.1)</w:t>
            </w:r>
          </w:p>
        </w:tc>
        <w:tc>
          <w:tcPr>
            <w:tcW w:w="760" w:type="dxa"/>
            <w:vAlign w:val="bottom"/>
          </w:tcPr>
          <w:p>
            <w:pPr>
              <w:spacing w:after="0"/>
              <w:rPr>
                <w:sz w:val="23"/>
                <w:szCs w:val="23"/>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74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2.1</w:t>
            </w:r>
          </w:p>
        </w:tc>
        <w:tc>
          <w:tcPr>
            <w:tcW w:w="800" w:type="dxa"/>
            <w:vAlign w:val="bottom"/>
          </w:tcPr>
          <w:p>
            <w:pPr>
              <w:jc w:val="center"/>
              <w:ind w:left="28"/>
              <w:spacing w:after="0"/>
              <w:rPr>
                <w:sz w:val="20"/>
                <w:szCs w:val="20"/>
                <w:color w:val="auto"/>
              </w:rPr>
            </w:pPr>
            <w:r>
              <w:rPr>
                <w:rFonts w:ascii="Arial" w:cs="Arial" w:eastAsia="Arial" w:hAnsi="Arial"/>
                <w:sz w:val="14"/>
                <w:szCs w:val="14"/>
                <w:color w:val="auto"/>
              </w:rPr>
              <w:t>(1.3)</w:t>
            </w: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06"/>
        </w:trPr>
        <w:tc>
          <w:tcPr>
            <w:tcW w:w="2120" w:type="dxa"/>
            <w:vAlign w:val="bottom"/>
          </w:tcPr>
          <w:p>
            <w:pPr>
              <w:ind w:left="140"/>
              <w:spacing w:after="0"/>
              <w:rPr>
                <w:sz w:val="20"/>
                <w:szCs w:val="20"/>
                <w:color w:val="auto"/>
              </w:rPr>
            </w:pPr>
            <w:r>
              <w:rPr>
                <w:rFonts w:ascii="Arial" w:cs="Arial" w:eastAsia="Arial" w:hAnsi="Arial"/>
                <w:sz w:val="14"/>
                <w:szCs w:val="14"/>
                <w:color w:val="auto"/>
              </w:rPr>
              <w:t>Merger and integration</w:t>
            </w: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120" w:type="dxa"/>
            <w:vAlign w:val="bottom"/>
          </w:tcPr>
          <w:p>
            <w:pPr>
              <w:ind w:left="140"/>
              <w:spacing w:after="0"/>
              <w:rPr>
                <w:sz w:val="20"/>
                <w:szCs w:val="20"/>
                <w:color w:val="auto"/>
              </w:rPr>
            </w:pPr>
            <w:r>
              <w:rPr>
                <w:rFonts w:ascii="Arial" w:cs="Arial" w:eastAsia="Arial" w:hAnsi="Arial"/>
                <w:sz w:val="14"/>
                <w:szCs w:val="14"/>
                <w:color w:val="auto"/>
              </w:rPr>
              <w:t>expenses</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4.4</w:t>
            </w:r>
          </w:p>
        </w:tc>
        <w:tc>
          <w:tcPr>
            <w:tcW w:w="800" w:type="dxa"/>
            <w:vAlign w:val="bottom"/>
          </w:tcPr>
          <w:p>
            <w:pPr>
              <w:jc w:val="center"/>
              <w:ind w:right="28"/>
              <w:spacing w:after="0"/>
              <w:rPr>
                <w:sz w:val="20"/>
                <w:szCs w:val="20"/>
                <w:color w:val="auto"/>
              </w:rPr>
            </w:pPr>
            <w:r>
              <w:rPr>
                <w:rFonts w:ascii="Arial" w:cs="Arial" w:eastAsia="Arial" w:hAnsi="Arial"/>
                <w:sz w:val="14"/>
                <w:szCs w:val="14"/>
                <w:color w:val="auto"/>
              </w:rPr>
              <w:t>(4.4)</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120" w:type="dxa"/>
            <w:vAlign w:val="bottom"/>
          </w:tcPr>
          <w:p>
            <w:pPr>
              <w:ind w:left="140"/>
              <w:spacing w:after="0"/>
              <w:rPr>
                <w:sz w:val="20"/>
                <w:szCs w:val="20"/>
                <w:color w:val="auto"/>
              </w:rPr>
            </w:pPr>
            <w:r>
              <w:rPr>
                <w:rFonts w:ascii="Arial" w:cs="Arial" w:eastAsia="Arial" w:hAnsi="Arial"/>
                <w:sz w:val="14"/>
                <w:szCs w:val="14"/>
                <w:color w:val="auto"/>
              </w:rPr>
              <w:t>Restructuring expenses</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0.5</w:t>
            </w:r>
          </w:p>
        </w:tc>
        <w:tc>
          <w:tcPr>
            <w:tcW w:w="800" w:type="dxa"/>
            <w:vAlign w:val="bottom"/>
          </w:tcPr>
          <w:p>
            <w:pPr>
              <w:spacing w:after="0"/>
              <w:rPr>
                <w:sz w:val="18"/>
                <w:szCs w:val="18"/>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(0.5)</w:t>
            </w: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120" w:type="dxa"/>
            <w:vAlign w:val="bottom"/>
          </w:tcPr>
          <w:p>
            <w:pPr>
              <w:ind w:left="140"/>
              <w:spacing w:after="0"/>
              <w:rPr>
                <w:sz w:val="20"/>
                <w:szCs w:val="20"/>
                <w:color w:val="auto"/>
              </w:rPr>
            </w:pPr>
            <w:r>
              <w:rPr>
                <w:rFonts w:ascii="Arial" w:cs="Arial" w:eastAsia="Arial" w:hAnsi="Arial"/>
                <w:sz w:val="14"/>
                <w:szCs w:val="14"/>
                <w:color w:val="auto"/>
              </w:rPr>
              <w:t>Amortization of intangibles</w:t>
            </w: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9.8</w:t>
            </w:r>
          </w:p>
        </w:tc>
        <w:tc>
          <w:tcPr>
            <w:tcW w:w="8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(9.8)</w:t>
            </w: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120" w:type="dxa"/>
            <w:vAlign w:val="bottom"/>
          </w:tcPr>
          <w:p>
            <w:pPr>
              <w:ind w:left="240"/>
              <w:spacing w:after="0"/>
              <w:rPr>
                <w:sz w:val="20"/>
                <w:szCs w:val="20"/>
                <w:color w:val="auto"/>
              </w:rPr>
            </w:pPr>
            <w:r>
              <w:rPr>
                <w:rFonts w:ascii="Arial" w:cs="Arial" w:eastAsia="Arial" w:hAnsi="Arial"/>
                <w:sz w:val="14"/>
                <w:szCs w:val="14"/>
                <w:color w:val="auto"/>
              </w:rPr>
              <w:t>Total operating expenses</w:t>
            </w: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172.4</w:t>
            </w: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(4.4)</w:t>
            </w: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(0.5)</w:t>
            </w: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(10.0)</w:t>
            </w:r>
          </w:p>
        </w:tc>
        <w:tc>
          <w:tcPr>
            <w:tcW w:w="7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w:t>
            </w: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(1.2)</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(6.5)</w:t>
            </w:r>
          </w:p>
        </w:tc>
        <w:tc>
          <w:tcPr>
            <w:tcW w:w="8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rPr>
              <w:t>(7.3)</w:t>
            </w:r>
          </w:p>
        </w:tc>
        <w:tc>
          <w:tcPr>
            <w:tcW w:w="8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136.6</w:t>
            </w:r>
          </w:p>
        </w:tc>
        <w:tc>
          <w:tcPr>
            <w:tcW w:w="0" w:type="dxa"/>
            <w:vAlign w:val="bottom"/>
          </w:tcPr>
          <w:p>
            <w:pPr>
              <w:spacing w:after="0"/>
              <w:rPr>
                <w:sz w:val="1"/>
                <w:szCs w:val="1"/>
                <w:color w:val="auto"/>
              </w:rPr>
            </w:pPr>
          </w:p>
        </w:tc>
      </w:tr>
      <w:tr>
        <w:trPr>
          <w:trHeight w:val="180"/>
        </w:trPr>
        <w:tc>
          <w:tcPr>
            <w:tcW w:w="2120" w:type="dxa"/>
            <w:vAlign w:val="bottom"/>
          </w:tcPr>
          <w:p>
            <w:pPr>
              <w:ind w:left="240"/>
              <w:spacing w:after="0"/>
              <w:rPr>
                <w:sz w:val="20"/>
                <w:szCs w:val="20"/>
                <w:color w:val="auto"/>
              </w:rPr>
            </w:pPr>
            <w:r>
              <w:rPr>
                <w:rFonts w:ascii="Arial" w:cs="Arial" w:eastAsia="Arial" w:hAnsi="Arial"/>
                <w:sz w:val="14"/>
                <w:szCs w:val="14"/>
                <w:color w:val="auto"/>
              </w:rPr>
              <w:t>Operating income from</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120" w:type="dxa"/>
            <w:vAlign w:val="bottom"/>
          </w:tcPr>
          <w:p>
            <w:pPr>
              <w:ind w:left="240"/>
              <w:spacing w:after="0"/>
              <w:rPr>
                <w:sz w:val="20"/>
                <w:szCs w:val="20"/>
                <w:color w:val="auto"/>
              </w:rPr>
            </w:pPr>
            <w:r>
              <w:rPr>
                <w:rFonts w:ascii="Arial" w:cs="Arial" w:eastAsia="Arial" w:hAnsi="Arial"/>
                <w:sz w:val="14"/>
                <w:szCs w:val="14"/>
                <w:color w:val="auto"/>
              </w:rPr>
              <w:t>continuing operations</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21.6</w:t>
            </w:r>
          </w:p>
        </w:tc>
        <w:tc>
          <w:tcPr>
            <w:tcW w:w="800" w:type="dxa"/>
            <w:vAlign w:val="bottom"/>
          </w:tcPr>
          <w:p>
            <w:pPr>
              <w:jc w:val="center"/>
              <w:ind w:right="8"/>
              <w:spacing w:after="0"/>
              <w:rPr>
                <w:sz w:val="20"/>
                <w:szCs w:val="20"/>
                <w:color w:val="auto"/>
              </w:rPr>
            </w:pPr>
            <w:r>
              <w:rPr>
                <w:rFonts w:ascii="Arial" w:cs="Arial" w:eastAsia="Arial" w:hAnsi="Arial"/>
                <w:sz w:val="14"/>
                <w:szCs w:val="14"/>
                <w:color w:val="auto"/>
              </w:rPr>
              <w:t>4.4</w:t>
            </w: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0.5</w:t>
            </w: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14.9</w:t>
            </w:r>
          </w:p>
        </w:tc>
        <w:tc>
          <w:tcPr>
            <w:tcW w:w="760" w:type="dxa"/>
            <w:vAlign w:val="bottom"/>
          </w:tcPr>
          <w:p>
            <w:pPr>
              <w:jc w:val="center"/>
              <w:spacing w:after="0"/>
              <w:rPr>
                <w:sz w:val="20"/>
                <w:szCs w:val="20"/>
                <w:color w:val="auto"/>
              </w:rPr>
            </w:pPr>
            <w:r>
              <w:rPr>
                <w:rFonts w:ascii="Arial" w:cs="Arial" w:eastAsia="Arial" w:hAnsi="Arial"/>
                <w:sz w:val="14"/>
                <w:szCs w:val="14"/>
                <w:color w:val="auto"/>
              </w:rPr>
              <w:t>1.5</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5.9</w:t>
            </w:r>
          </w:p>
        </w:tc>
        <w:tc>
          <w:tcPr>
            <w:tcW w:w="740" w:type="dxa"/>
            <w:vAlign w:val="bottom"/>
          </w:tcPr>
          <w:p>
            <w:pPr>
              <w:jc w:val="center"/>
              <w:ind w:right="108"/>
              <w:spacing w:after="0"/>
              <w:rPr>
                <w:sz w:val="20"/>
                <w:szCs w:val="20"/>
                <w:color w:val="auto"/>
              </w:rPr>
            </w:pPr>
            <w:r>
              <w:rPr>
                <w:rFonts w:ascii="Arial" w:cs="Arial" w:eastAsia="Arial" w:hAnsi="Arial"/>
                <w:sz w:val="14"/>
                <w:szCs w:val="14"/>
                <w:color w:val="auto"/>
              </w:rPr>
              <w:t>1.2</w:t>
            </w:r>
          </w:p>
        </w:tc>
        <w:tc>
          <w:tcPr>
            <w:tcW w:w="920" w:type="dxa"/>
            <w:vAlign w:val="bottom"/>
          </w:tcPr>
          <w:p>
            <w:pPr>
              <w:jc w:val="center"/>
              <w:spacing w:after="0"/>
              <w:rPr>
                <w:sz w:val="20"/>
                <w:szCs w:val="20"/>
                <w:color w:val="auto"/>
              </w:rPr>
            </w:pPr>
            <w:r>
              <w:rPr>
                <w:rFonts w:ascii="Arial" w:cs="Arial" w:eastAsia="Arial" w:hAnsi="Arial"/>
                <w:sz w:val="14"/>
                <w:szCs w:val="14"/>
                <w:color w:val="auto"/>
              </w:rPr>
              <w:t>2.3</w:t>
            </w:r>
          </w:p>
        </w:tc>
        <w:tc>
          <w:tcPr>
            <w:tcW w:w="800" w:type="dxa"/>
            <w:vAlign w:val="bottom"/>
          </w:tcPr>
          <w:p>
            <w:pPr>
              <w:jc w:val="center"/>
              <w:ind w:left="8"/>
              <w:spacing w:after="0"/>
              <w:rPr>
                <w:sz w:val="20"/>
                <w:szCs w:val="20"/>
                <w:color w:val="auto"/>
              </w:rPr>
            </w:pPr>
            <w:r>
              <w:rPr>
                <w:rFonts w:ascii="Arial" w:cs="Arial" w:eastAsia="Arial" w:hAnsi="Arial"/>
                <w:sz w:val="14"/>
                <w:szCs w:val="14"/>
                <w:color w:val="auto"/>
              </w:rPr>
              <w:t>7.5</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4"/>
                <w:szCs w:val="14"/>
                <w:color w:val="auto"/>
              </w:rPr>
              <w:t>Interest income</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0.2</w:t>
            </w: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4"/>
                <w:szCs w:val="14"/>
                <w:color w:val="auto"/>
              </w:rPr>
              <w:t>Interest expense</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(3.0)</w:t>
            </w: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4"/>
                <w:szCs w:val="14"/>
                <w:color w:val="auto"/>
              </w:rPr>
              <w:t>0.8</w:t>
            </w:r>
          </w:p>
        </w:tc>
        <w:tc>
          <w:tcPr>
            <w:tcW w:w="62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6"/>
        </w:trPr>
        <w:tc>
          <w:tcPr>
            <w:tcW w:w="2120" w:type="dxa"/>
            <w:vAlign w:val="bottom"/>
          </w:tcPr>
          <w:p>
            <w:pPr>
              <w:spacing w:after="0"/>
              <w:rPr>
                <w:sz w:val="20"/>
                <w:szCs w:val="20"/>
                <w:color w:val="auto"/>
              </w:rPr>
            </w:pPr>
            <w:r>
              <w:rPr>
                <w:rFonts w:ascii="Arial" w:cs="Arial" w:eastAsia="Arial" w:hAnsi="Arial"/>
                <w:sz w:val="14"/>
                <w:szCs w:val="14"/>
                <w:color w:val="auto"/>
              </w:rPr>
              <w:t>Foreign exchange and other</w:t>
            </w: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120" w:type="dxa"/>
            <w:vAlign w:val="bottom"/>
          </w:tcPr>
          <w:p>
            <w:pPr>
              <w:spacing w:after="0"/>
              <w:rPr>
                <w:sz w:val="20"/>
                <w:szCs w:val="20"/>
                <w:color w:val="auto"/>
              </w:rPr>
            </w:pPr>
            <w:r>
              <w:rPr>
                <w:rFonts w:ascii="Arial" w:cs="Arial" w:eastAsia="Arial" w:hAnsi="Arial"/>
                <w:sz w:val="14"/>
                <w:szCs w:val="14"/>
                <w:color w:val="auto"/>
              </w:rPr>
              <w:t>losses</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(0.1)</w:t>
            </w:r>
          </w:p>
        </w:tc>
        <w:tc>
          <w:tcPr>
            <w:tcW w:w="8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0"/>
        </w:trPr>
        <w:tc>
          <w:tcPr>
            <w:tcW w:w="2120" w:type="dxa"/>
            <w:vAlign w:val="bottom"/>
          </w:tcPr>
          <w:p>
            <w:pPr>
              <w:spacing w:after="0"/>
              <w:rPr>
                <w:sz w:val="20"/>
                <w:szCs w:val="20"/>
                <w:color w:val="auto"/>
              </w:rPr>
            </w:pPr>
            <w:r>
              <w:rPr>
                <w:rFonts w:ascii="Arial" w:cs="Arial" w:eastAsia="Arial" w:hAnsi="Arial"/>
                <w:sz w:val="14"/>
                <w:szCs w:val="14"/>
                <w:color w:val="auto"/>
              </w:rPr>
              <w:t>Income from continuing</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120" w:type="dxa"/>
            <w:vAlign w:val="bottom"/>
          </w:tcPr>
          <w:p>
            <w:pPr>
              <w:spacing w:after="0"/>
              <w:rPr>
                <w:sz w:val="20"/>
                <w:szCs w:val="20"/>
                <w:color w:val="auto"/>
              </w:rPr>
            </w:pPr>
            <w:r>
              <w:rPr>
                <w:rFonts w:ascii="Arial" w:cs="Arial" w:eastAsia="Arial" w:hAnsi="Arial"/>
                <w:sz w:val="14"/>
                <w:szCs w:val="14"/>
                <w:color w:val="auto"/>
              </w:rPr>
              <w:t>operations before tax</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18.8</w:t>
            </w:r>
          </w:p>
        </w:tc>
        <w:tc>
          <w:tcPr>
            <w:tcW w:w="800" w:type="dxa"/>
            <w:vAlign w:val="bottom"/>
          </w:tcPr>
          <w:p>
            <w:pPr>
              <w:jc w:val="center"/>
              <w:ind w:right="8"/>
              <w:spacing w:after="0"/>
              <w:rPr>
                <w:sz w:val="20"/>
                <w:szCs w:val="20"/>
                <w:color w:val="auto"/>
              </w:rPr>
            </w:pPr>
            <w:r>
              <w:rPr>
                <w:rFonts w:ascii="Arial" w:cs="Arial" w:eastAsia="Arial" w:hAnsi="Arial"/>
                <w:sz w:val="14"/>
                <w:szCs w:val="14"/>
                <w:color w:val="auto"/>
              </w:rPr>
              <w:t>4.4</w:t>
            </w: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0.5</w:t>
            </w: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14.9</w:t>
            </w:r>
          </w:p>
        </w:tc>
        <w:tc>
          <w:tcPr>
            <w:tcW w:w="760" w:type="dxa"/>
            <w:vAlign w:val="bottom"/>
          </w:tcPr>
          <w:p>
            <w:pPr>
              <w:jc w:val="center"/>
              <w:spacing w:after="0"/>
              <w:rPr>
                <w:sz w:val="20"/>
                <w:szCs w:val="20"/>
                <w:color w:val="auto"/>
              </w:rPr>
            </w:pPr>
            <w:r>
              <w:rPr>
                <w:rFonts w:ascii="Arial" w:cs="Arial" w:eastAsia="Arial" w:hAnsi="Arial"/>
                <w:sz w:val="14"/>
                <w:szCs w:val="14"/>
                <w:color w:val="auto"/>
              </w:rPr>
              <w:t>1.5</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5.9</w:t>
            </w:r>
          </w:p>
        </w:tc>
        <w:tc>
          <w:tcPr>
            <w:tcW w:w="740" w:type="dxa"/>
            <w:vAlign w:val="bottom"/>
          </w:tcPr>
          <w:p>
            <w:pPr>
              <w:jc w:val="center"/>
              <w:ind w:right="108"/>
              <w:spacing w:after="0"/>
              <w:rPr>
                <w:sz w:val="20"/>
                <w:szCs w:val="20"/>
                <w:color w:val="auto"/>
              </w:rPr>
            </w:pPr>
            <w:r>
              <w:rPr>
                <w:rFonts w:ascii="Arial" w:cs="Arial" w:eastAsia="Arial" w:hAnsi="Arial"/>
                <w:sz w:val="14"/>
                <w:szCs w:val="14"/>
                <w:color w:val="auto"/>
              </w:rPr>
              <w:t>1.2</w:t>
            </w:r>
          </w:p>
        </w:tc>
        <w:tc>
          <w:tcPr>
            <w:tcW w:w="920" w:type="dxa"/>
            <w:vAlign w:val="bottom"/>
          </w:tcPr>
          <w:p>
            <w:pPr>
              <w:jc w:val="center"/>
              <w:spacing w:after="0"/>
              <w:rPr>
                <w:sz w:val="20"/>
                <w:szCs w:val="20"/>
                <w:color w:val="auto"/>
              </w:rPr>
            </w:pPr>
            <w:r>
              <w:rPr>
                <w:rFonts w:ascii="Arial" w:cs="Arial" w:eastAsia="Arial" w:hAnsi="Arial"/>
                <w:sz w:val="14"/>
                <w:szCs w:val="14"/>
                <w:color w:val="auto"/>
              </w:rPr>
              <w:t>2.3</w:t>
            </w:r>
          </w:p>
        </w:tc>
        <w:tc>
          <w:tcPr>
            <w:tcW w:w="800" w:type="dxa"/>
            <w:vAlign w:val="bottom"/>
          </w:tcPr>
          <w:p>
            <w:pPr>
              <w:jc w:val="center"/>
              <w:ind w:left="8"/>
              <w:spacing w:after="0"/>
              <w:rPr>
                <w:sz w:val="20"/>
                <w:szCs w:val="20"/>
                <w:color w:val="auto"/>
              </w:rPr>
            </w:pPr>
            <w:r>
              <w:rPr>
                <w:rFonts w:ascii="Arial" w:cs="Arial" w:eastAsia="Arial" w:hAnsi="Arial"/>
                <w:sz w:val="14"/>
                <w:szCs w:val="14"/>
                <w:color w:val="auto"/>
              </w:rPr>
              <w:t>7.5</w:t>
            </w:r>
          </w:p>
        </w:tc>
        <w:tc>
          <w:tcPr>
            <w:tcW w:w="860" w:type="dxa"/>
            <w:vAlign w:val="bottom"/>
          </w:tcPr>
          <w:p>
            <w:pPr>
              <w:spacing w:after="0"/>
              <w:rPr>
                <w:sz w:val="14"/>
                <w:szCs w:val="14"/>
                <w:color w:val="auto"/>
              </w:rPr>
            </w:pPr>
          </w:p>
        </w:tc>
        <w:tc>
          <w:tcPr>
            <w:tcW w:w="660" w:type="dxa"/>
            <w:vAlign w:val="bottom"/>
          </w:tcPr>
          <w:p>
            <w:pPr>
              <w:ind w:left="320"/>
              <w:spacing w:after="0"/>
              <w:rPr>
                <w:sz w:val="20"/>
                <w:szCs w:val="20"/>
                <w:color w:val="auto"/>
              </w:rPr>
            </w:pPr>
            <w:r>
              <w:rPr>
                <w:rFonts w:ascii="Arial" w:cs="Arial" w:eastAsia="Arial" w:hAnsi="Arial"/>
                <w:sz w:val="14"/>
                <w:szCs w:val="14"/>
                <w:color w:val="auto"/>
              </w:rPr>
              <w:t>0.8</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16"/>
        </w:trPr>
        <w:tc>
          <w:tcPr>
            <w:tcW w:w="2120" w:type="dxa"/>
            <w:vAlign w:val="bottom"/>
          </w:tcPr>
          <w:p>
            <w:pPr>
              <w:ind w:left="140"/>
              <w:spacing w:after="0"/>
              <w:rPr>
                <w:sz w:val="20"/>
                <w:szCs w:val="20"/>
                <w:color w:val="auto"/>
              </w:rPr>
            </w:pPr>
            <w:r>
              <w:rPr>
                <w:rFonts w:ascii="Arial" w:cs="Arial" w:eastAsia="Arial" w:hAnsi="Arial"/>
                <w:sz w:val="14"/>
                <w:szCs w:val="14"/>
                <w:color w:val="auto"/>
              </w:rPr>
              <w:t>Income tax (benefit) expense</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800" w:type="dxa"/>
            <w:vAlign w:val="bottom"/>
          </w:tcPr>
          <w:p>
            <w:pPr>
              <w:jc w:val="center"/>
              <w:ind w:right="8"/>
              <w:spacing w:after="0"/>
              <w:rPr>
                <w:sz w:val="20"/>
                <w:szCs w:val="20"/>
                <w:color w:val="auto"/>
              </w:rPr>
            </w:pPr>
            <w:r>
              <w:rPr>
                <w:rFonts w:ascii="Arial" w:cs="Arial" w:eastAsia="Arial" w:hAnsi="Arial"/>
                <w:sz w:val="14"/>
                <w:szCs w:val="14"/>
                <w:color w:val="auto"/>
              </w:rPr>
              <w:t>1.1</w:t>
            </w: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0.1</w:t>
            </w: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3.3</w:t>
            </w:r>
          </w:p>
        </w:tc>
        <w:tc>
          <w:tcPr>
            <w:tcW w:w="760" w:type="dxa"/>
            <w:vAlign w:val="bottom"/>
          </w:tcPr>
          <w:p>
            <w:pPr>
              <w:jc w:val="center"/>
              <w:spacing w:after="0"/>
              <w:rPr>
                <w:sz w:val="20"/>
                <w:szCs w:val="20"/>
                <w:color w:val="auto"/>
              </w:rPr>
            </w:pPr>
            <w:r>
              <w:rPr>
                <w:rFonts w:ascii="Arial" w:cs="Arial" w:eastAsia="Arial" w:hAnsi="Arial"/>
                <w:sz w:val="14"/>
                <w:szCs w:val="14"/>
                <w:color w:val="auto"/>
              </w:rPr>
              <w:t>0.4</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1.4</w:t>
            </w:r>
          </w:p>
        </w:tc>
        <w:tc>
          <w:tcPr>
            <w:tcW w:w="740" w:type="dxa"/>
            <w:vAlign w:val="bottom"/>
          </w:tcPr>
          <w:p>
            <w:pPr>
              <w:jc w:val="center"/>
              <w:ind w:right="108"/>
              <w:spacing w:after="0"/>
              <w:rPr>
                <w:sz w:val="20"/>
                <w:szCs w:val="20"/>
                <w:color w:val="auto"/>
              </w:rPr>
            </w:pPr>
            <w:r>
              <w:rPr>
                <w:rFonts w:ascii="Arial" w:cs="Arial" w:eastAsia="Arial" w:hAnsi="Arial"/>
                <w:sz w:val="14"/>
                <w:szCs w:val="14"/>
                <w:color w:val="auto"/>
              </w:rPr>
              <w:t>0.4</w:t>
            </w:r>
          </w:p>
        </w:tc>
        <w:tc>
          <w:tcPr>
            <w:tcW w:w="920" w:type="dxa"/>
            <w:vAlign w:val="bottom"/>
          </w:tcPr>
          <w:p>
            <w:pPr>
              <w:jc w:val="center"/>
              <w:spacing w:after="0"/>
              <w:rPr>
                <w:sz w:val="20"/>
                <w:szCs w:val="20"/>
                <w:color w:val="auto"/>
              </w:rPr>
            </w:pPr>
            <w:r>
              <w:rPr>
                <w:rFonts w:ascii="Arial" w:cs="Arial" w:eastAsia="Arial" w:hAnsi="Arial"/>
                <w:sz w:val="14"/>
                <w:szCs w:val="14"/>
                <w:color w:val="auto"/>
              </w:rPr>
              <w:t>2.6</w:t>
            </w:r>
          </w:p>
        </w:tc>
        <w:tc>
          <w:tcPr>
            <w:tcW w:w="800" w:type="dxa"/>
            <w:vAlign w:val="bottom"/>
          </w:tcPr>
          <w:p>
            <w:pPr>
              <w:jc w:val="center"/>
              <w:ind w:left="8"/>
              <w:spacing w:after="0"/>
              <w:rPr>
                <w:sz w:val="20"/>
                <w:szCs w:val="20"/>
                <w:color w:val="auto"/>
              </w:rPr>
            </w:pPr>
            <w:r>
              <w:rPr>
                <w:rFonts w:ascii="Arial" w:cs="Arial" w:eastAsia="Arial" w:hAnsi="Arial"/>
                <w:sz w:val="14"/>
                <w:szCs w:val="14"/>
                <w:color w:val="auto"/>
              </w:rPr>
              <w:t>1.5</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0.4</w:t>
            </w:r>
          </w:p>
        </w:tc>
        <w:tc>
          <w:tcPr>
            <w:tcW w:w="660" w:type="dxa"/>
            <w:vAlign w:val="bottom"/>
          </w:tcPr>
          <w:p>
            <w:pPr>
              <w:ind w:left="320"/>
              <w:spacing w:after="0"/>
              <w:rPr>
                <w:sz w:val="20"/>
                <w:szCs w:val="20"/>
                <w:color w:val="auto"/>
              </w:rPr>
            </w:pPr>
            <w:r>
              <w:rPr>
                <w:rFonts w:ascii="Arial" w:cs="Arial" w:eastAsia="Arial" w:hAnsi="Arial"/>
                <w:sz w:val="14"/>
                <w:szCs w:val="14"/>
                <w:color w:val="auto"/>
              </w:rPr>
              <w:t>0.2</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6"/>
        </w:trPr>
        <w:tc>
          <w:tcPr>
            <w:tcW w:w="2120" w:type="dxa"/>
            <w:vAlign w:val="bottom"/>
          </w:tcPr>
          <w:p>
            <w:pPr>
              <w:ind w:left="140"/>
              <w:spacing w:after="0"/>
              <w:rPr>
                <w:sz w:val="20"/>
                <w:szCs w:val="20"/>
                <w:color w:val="auto"/>
              </w:rPr>
            </w:pPr>
            <w:r>
              <w:rPr>
                <w:rFonts w:ascii="Arial" w:cs="Arial" w:eastAsia="Arial" w:hAnsi="Arial"/>
                <w:sz w:val="14"/>
                <w:szCs w:val="14"/>
                <w:color w:val="auto"/>
              </w:rPr>
              <w:t>Losses from equity method</w:t>
            </w: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120" w:type="dxa"/>
            <w:vAlign w:val="bottom"/>
          </w:tcPr>
          <w:p>
            <w:pPr>
              <w:ind w:left="140"/>
              <w:spacing w:after="0"/>
              <w:rPr>
                <w:sz w:val="20"/>
                <w:szCs w:val="20"/>
                <w:color w:val="auto"/>
              </w:rPr>
            </w:pPr>
            <w:r>
              <w:rPr>
                <w:rFonts w:ascii="Arial" w:cs="Arial" w:eastAsia="Arial" w:hAnsi="Arial"/>
                <w:sz w:val="14"/>
                <w:szCs w:val="14"/>
                <w:color w:val="auto"/>
              </w:rPr>
              <w:t>investments</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(0.3)</w:t>
            </w:r>
          </w:p>
        </w:tc>
        <w:tc>
          <w:tcPr>
            <w:tcW w:w="8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0"/>
        </w:trPr>
        <w:tc>
          <w:tcPr>
            <w:tcW w:w="2120" w:type="dxa"/>
            <w:vAlign w:val="bottom"/>
          </w:tcPr>
          <w:p>
            <w:pPr>
              <w:spacing w:after="0"/>
              <w:rPr>
                <w:sz w:val="20"/>
                <w:szCs w:val="20"/>
                <w:color w:val="auto"/>
              </w:rPr>
            </w:pPr>
            <w:r>
              <w:rPr>
                <w:rFonts w:ascii="Arial" w:cs="Arial" w:eastAsia="Arial" w:hAnsi="Arial"/>
                <w:sz w:val="14"/>
                <w:szCs w:val="14"/>
                <w:color w:val="auto"/>
              </w:rPr>
              <w:t>Net income from continuing</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$19.5</w:t>
            </w:r>
          </w:p>
        </w:tc>
        <w:tc>
          <w:tcPr>
            <w:tcW w:w="800" w:type="dxa"/>
            <w:vAlign w:val="bottom"/>
            <w:vMerge w:val="restart"/>
          </w:tcPr>
          <w:p>
            <w:pPr>
              <w:jc w:val="right"/>
              <w:ind w:right="188"/>
              <w:spacing w:after="0"/>
              <w:rPr>
                <w:sz w:val="20"/>
                <w:szCs w:val="20"/>
                <w:color w:val="auto"/>
              </w:rPr>
            </w:pPr>
            <w:r>
              <w:rPr>
                <w:rFonts w:ascii="Arial" w:cs="Arial" w:eastAsia="Arial" w:hAnsi="Arial"/>
                <w:sz w:val="14"/>
                <w:szCs w:val="14"/>
                <w:color w:val="auto"/>
              </w:rPr>
              <w:t>$3.3</w:t>
            </w: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color w:val="auto"/>
              </w:rPr>
              <w:t>$0.4</w:t>
            </w: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color w:val="auto"/>
              </w:rPr>
              <w:t>$11.6</w:t>
            </w: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color w:val="auto"/>
              </w:rPr>
              <w:t>$1.2</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$4.5</w:t>
            </w:r>
          </w:p>
        </w:tc>
        <w:tc>
          <w:tcPr>
            <w:tcW w:w="740" w:type="dxa"/>
            <w:vAlign w:val="bottom"/>
            <w:vMerge w:val="restart"/>
          </w:tcPr>
          <w:p>
            <w:pPr>
              <w:jc w:val="right"/>
              <w:ind w:right="208"/>
              <w:spacing w:after="0"/>
              <w:rPr>
                <w:sz w:val="20"/>
                <w:szCs w:val="20"/>
                <w:color w:val="auto"/>
              </w:rPr>
            </w:pPr>
            <w:r>
              <w:rPr>
                <w:rFonts w:ascii="Arial" w:cs="Arial" w:eastAsia="Arial" w:hAnsi="Arial"/>
                <w:sz w:val="14"/>
                <w:szCs w:val="14"/>
                <w:color w:val="auto"/>
              </w:rPr>
              <w:t>$0.9</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($0.2)</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$6.0</w:t>
            </w:r>
          </w:p>
        </w:tc>
        <w:tc>
          <w:tcPr>
            <w:tcW w:w="860" w:type="dxa"/>
            <w:vAlign w:val="bottom"/>
            <w:vMerge w:val="restart"/>
          </w:tcPr>
          <w:p>
            <w:pPr>
              <w:jc w:val="right"/>
              <w:ind w:right="148"/>
              <w:spacing w:after="0"/>
              <w:rPr>
                <w:sz w:val="20"/>
                <w:szCs w:val="20"/>
                <w:color w:val="auto"/>
              </w:rPr>
            </w:pPr>
            <w:r>
              <w:rPr>
                <w:rFonts w:ascii="Arial" w:cs="Arial" w:eastAsia="Arial" w:hAnsi="Arial"/>
                <w:sz w:val="14"/>
                <w:szCs w:val="14"/>
                <w:color w:val="auto"/>
              </w:rPr>
              <w:t>($0.4)</w:t>
            </w:r>
          </w:p>
        </w:tc>
        <w:tc>
          <w:tcPr>
            <w:tcW w:w="660" w:type="dxa"/>
            <w:vAlign w:val="bottom"/>
            <w:vMerge w:val="restart"/>
          </w:tcPr>
          <w:p>
            <w:pPr>
              <w:ind w:left="320"/>
              <w:spacing w:after="0"/>
              <w:rPr>
                <w:sz w:val="20"/>
                <w:szCs w:val="20"/>
                <w:color w:val="auto"/>
              </w:rPr>
            </w:pPr>
            <w:r>
              <w:rPr>
                <w:rFonts w:ascii="Arial" w:cs="Arial" w:eastAsia="Arial" w:hAnsi="Arial"/>
                <w:sz w:val="14"/>
                <w:szCs w:val="14"/>
                <w:color w:val="auto"/>
              </w:rPr>
              <w:t>$0.6</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20"/>
                <w:szCs w:val="20"/>
                <w:color w:val="auto"/>
              </w:rPr>
            </w:pPr>
            <w:r>
              <w:rPr>
                <w:rFonts w:ascii="Arial" w:cs="Arial" w:eastAsia="Arial" w:hAnsi="Arial"/>
                <w:sz w:val="14"/>
                <w:szCs w:val="14"/>
                <w:color w:val="auto"/>
              </w:rPr>
              <w:t>operations</w:t>
            </w:r>
          </w:p>
        </w:tc>
        <w:tc>
          <w:tcPr>
            <w:tcW w:w="8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Arial" w:cs="Arial" w:eastAsia="Arial" w:hAnsi="Arial"/>
                <w:sz w:val="14"/>
                <w:szCs w:val="14"/>
                <w:color w:val="auto"/>
              </w:rPr>
              <w:t>Diluted EPS - Continuing</w:t>
            </w: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1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120" w:type="dxa"/>
            <w:vAlign w:val="bottom"/>
          </w:tcPr>
          <w:p>
            <w:pPr>
              <w:spacing w:after="0"/>
              <w:rPr>
                <w:sz w:val="20"/>
                <w:szCs w:val="20"/>
                <w:color w:val="auto"/>
              </w:rPr>
            </w:pPr>
            <w:r>
              <w:rPr>
                <w:rFonts w:ascii="Arial" w:cs="Arial" w:eastAsia="Arial" w:hAnsi="Arial"/>
                <w:sz w:val="14"/>
                <w:szCs w:val="14"/>
                <w:color w:val="auto"/>
              </w:rPr>
              <w:t>Operations</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$0.40</w:t>
            </w:r>
          </w:p>
        </w:tc>
        <w:tc>
          <w:tcPr>
            <w:tcW w:w="800" w:type="dxa"/>
            <w:vAlign w:val="bottom"/>
          </w:tcPr>
          <w:p>
            <w:pPr>
              <w:jc w:val="center"/>
              <w:ind w:right="8"/>
              <w:spacing w:after="0"/>
              <w:rPr>
                <w:sz w:val="20"/>
                <w:szCs w:val="20"/>
                <w:color w:val="auto"/>
              </w:rPr>
            </w:pPr>
            <w:r>
              <w:rPr>
                <w:rFonts w:ascii="Arial" w:cs="Arial" w:eastAsia="Arial" w:hAnsi="Arial"/>
                <w:sz w:val="14"/>
                <w:szCs w:val="14"/>
                <w:color w:val="auto"/>
              </w:rPr>
              <w:t>$0.07</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$0.01</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$0.24</w:t>
            </w:r>
          </w:p>
        </w:tc>
        <w:tc>
          <w:tcPr>
            <w:tcW w:w="760" w:type="dxa"/>
            <w:vAlign w:val="bottom"/>
          </w:tcPr>
          <w:p>
            <w:pPr>
              <w:jc w:val="center"/>
              <w:spacing w:after="0"/>
              <w:rPr>
                <w:sz w:val="20"/>
                <w:szCs w:val="20"/>
                <w:color w:val="auto"/>
              </w:rPr>
            </w:pPr>
            <w:r>
              <w:rPr>
                <w:rFonts w:ascii="Arial" w:cs="Arial" w:eastAsia="Arial" w:hAnsi="Arial"/>
                <w:sz w:val="14"/>
                <w:szCs w:val="14"/>
                <w:color w:val="auto"/>
              </w:rPr>
              <w:t>$0.02</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$0.09</w:t>
            </w:r>
          </w:p>
        </w:tc>
        <w:tc>
          <w:tcPr>
            <w:tcW w:w="740" w:type="dxa"/>
            <w:vAlign w:val="bottom"/>
          </w:tcPr>
          <w:p>
            <w:pPr>
              <w:jc w:val="center"/>
              <w:ind w:right="108"/>
              <w:spacing w:after="0"/>
              <w:rPr>
                <w:sz w:val="20"/>
                <w:szCs w:val="20"/>
                <w:color w:val="auto"/>
              </w:rPr>
            </w:pPr>
            <w:r>
              <w:rPr>
                <w:rFonts w:ascii="Arial" w:cs="Arial" w:eastAsia="Arial" w:hAnsi="Arial"/>
                <w:sz w:val="14"/>
                <w:szCs w:val="14"/>
                <w:color w:val="auto"/>
              </w:rPr>
              <w:t>$0.02</w:t>
            </w:r>
          </w:p>
        </w:tc>
        <w:tc>
          <w:tcPr>
            <w:tcW w:w="920" w:type="dxa"/>
            <w:vAlign w:val="bottom"/>
          </w:tcPr>
          <w:p>
            <w:pPr>
              <w:jc w:val="center"/>
              <w:spacing w:after="0"/>
              <w:rPr>
                <w:sz w:val="20"/>
                <w:szCs w:val="20"/>
                <w:color w:val="auto"/>
              </w:rPr>
            </w:pPr>
            <w:r>
              <w:rPr>
                <w:rFonts w:ascii="Arial" w:cs="Arial" w:eastAsia="Arial" w:hAnsi="Arial"/>
                <w:sz w:val="14"/>
                <w:szCs w:val="14"/>
                <w:color w:val="auto"/>
              </w:rPr>
              <w:t>$0.00</w:t>
            </w:r>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$0.12</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($0.01)</w:t>
            </w:r>
          </w:p>
        </w:tc>
        <w:tc>
          <w:tcPr>
            <w:tcW w:w="660" w:type="dxa"/>
            <w:vAlign w:val="bottom"/>
          </w:tcPr>
          <w:p>
            <w:pPr>
              <w:ind w:left="240"/>
              <w:spacing w:after="0"/>
              <w:rPr>
                <w:sz w:val="20"/>
                <w:szCs w:val="20"/>
                <w:color w:val="auto"/>
              </w:rPr>
            </w:pPr>
            <w:r>
              <w:rPr>
                <w:rFonts w:ascii="Arial" w:cs="Arial" w:eastAsia="Arial" w:hAnsi="Arial"/>
                <w:sz w:val="14"/>
                <w:szCs w:val="14"/>
                <w:color w:val="auto"/>
              </w:rPr>
              <w:t>$0.01</w:t>
            </w:r>
          </w:p>
        </w:tc>
        <w:tc>
          <w:tcPr>
            <w:tcW w:w="620" w:type="dxa"/>
            <w:vAlign w:val="bottom"/>
          </w:tcPr>
          <w:p>
            <w:pPr>
              <w:jc w:val="right"/>
              <w:spacing w:after="0"/>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GAAP results for the three months ended June 30, 2018 include:</w:t>
      </w:r>
    </w:p>
    <w:p>
      <w:pPr>
        <w:spacing w:after="0" w:line="82" w:lineRule="exact"/>
        <w:rPr>
          <w:sz w:val="20"/>
          <w:szCs w:val="20"/>
          <w:color w:val="auto"/>
        </w:rPr>
      </w:pPr>
    </w:p>
    <w:p>
      <w:pPr>
        <w:ind w:left="261" w:hanging="253"/>
        <w:spacing w:after="0"/>
        <w:tabs>
          <w:tab w:leader="none" w:pos="261"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55" w:lineRule="exact"/>
        <w:rPr>
          <w:rFonts w:ascii="Arial" w:cs="Arial" w:eastAsia="Arial" w:hAnsi="Arial"/>
          <w:sz w:val="14"/>
          <w:szCs w:val="14"/>
          <w:color w:val="auto"/>
        </w:rPr>
      </w:pPr>
    </w:p>
    <w:p>
      <w:pPr>
        <w:ind w:left="261" w:hanging="253"/>
        <w:spacing w:after="0"/>
        <w:tabs>
          <w:tab w:leader="none" w:pos="261"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261" w:hanging="257"/>
        <w:spacing w:after="0"/>
        <w:tabs>
          <w:tab w:leader="none" w:pos="261"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261" w:hanging="257"/>
        <w:spacing w:after="0"/>
        <w:tabs>
          <w:tab w:leader="none" w:pos="261"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261" w:hanging="253"/>
        <w:spacing w:after="0"/>
        <w:tabs>
          <w:tab w:leader="none" w:pos="261"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Costs related to acquisitions</w:t>
      </w:r>
    </w:p>
    <w:p>
      <w:pPr>
        <w:spacing w:after="0" w:line="55" w:lineRule="exact"/>
        <w:rPr>
          <w:rFonts w:ascii="Arial" w:cs="Arial" w:eastAsia="Arial" w:hAnsi="Arial"/>
          <w:sz w:val="14"/>
          <w:szCs w:val="14"/>
          <w:color w:val="auto"/>
        </w:rPr>
      </w:pPr>
    </w:p>
    <w:p>
      <w:pPr>
        <w:ind w:left="261" w:hanging="249"/>
        <w:spacing w:after="0"/>
        <w:tabs>
          <w:tab w:leader="none" w:pos="261"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Corporate costs incurred to divest of the CRM business not attributable to discontinued operations</w:t>
      </w:r>
    </w:p>
    <w:p>
      <w:pPr>
        <w:spacing w:after="0" w:line="55" w:lineRule="exact"/>
        <w:rPr>
          <w:rFonts w:ascii="Arial" w:cs="Arial" w:eastAsia="Arial" w:hAnsi="Arial"/>
          <w:sz w:val="14"/>
          <w:szCs w:val="14"/>
          <w:color w:val="auto"/>
        </w:rPr>
      </w:pPr>
    </w:p>
    <w:p>
      <w:pPr>
        <w:ind w:left="261" w:hanging="261"/>
        <w:spacing w:after="0"/>
        <w:tabs>
          <w:tab w:leader="none" w:pos="261"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Contingent consideration related to acquisitions and legal expenses primarily related to 3T Heater-Cooler defense and other matters</w:t>
      </w:r>
    </w:p>
    <w:p>
      <w:pPr>
        <w:spacing w:after="0" w:line="55" w:lineRule="exact"/>
        <w:rPr>
          <w:rFonts w:ascii="Arial" w:cs="Arial" w:eastAsia="Arial" w:hAnsi="Arial"/>
          <w:sz w:val="14"/>
          <w:szCs w:val="14"/>
          <w:color w:val="auto"/>
        </w:rPr>
      </w:pPr>
    </w:p>
    <w:p>
      <w:pPr>
        <w:ind w:left="261" w:hanging="257"/>
        <w:spacing w:after="0"/>
        <w:tabs>
          <w:tab w:leader="none" w:pos="261"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55" w:lineRule="exact"/>
        <w:rPr>
          <w:sz w:val="20"/>
          <w:szCs w:val="20"/>
          <w:color w:val="auto"/>
        </w:rPr>
      </w:pPr>
    </w:p>
    <w:p>
      <w:pPr>
        <w:ind w:left="41"/>
        <w:spacing w:after="0"/>
        <w:rPr>
          <w:sz w:val="20"/>
          <w:szCs w:val="20"/>
          <w:color w:val="auto"/>
        </w:rPr>
      </w:pPr>
      <w:r>
        <w:rPr>
          <w:rFonts w:ascii="Arial" w:cs="Arial" w:eastAsia="Arial" w:hAnsi="Arial"/>
          <w:sz w:val="14"/>
          <w:szCs w:val="14"/>
          <w:color w:val="auto"/>
        </w:rPr>
        <w:t>(I) Primarily relates to discrete tax items and the tax impact of intercompany transactions</w:t>
      </w:r>
    </w:p>
    <w:p>
      <w:pPr>
        <w:spacing w:after="0" w:line="55" w:lineRule="exact"/>
        <w:rPr>
          <w:sz w:val="20"/>
          <w:szCs w:val="20"/>
          <w:color w:val="auto"/>
        </w:rPr>
      </w:pPr>
    </w:p>
    <w:p>
      <w:pPr>
        <w:ind w:left="1" w:right="4660" w:firstLine="19"/>
        <w:spacing w:after="0" w:line="338" w:lineRule="auto"/>
        <w:tabs>
          <w:tab w:leader="none" w:pos="271" w:val="left"/>
        </w:tabs>
        <w:numPr>
          <w:ilvl w:val="1"/>
          <w:numId w:val="12"/>
        </w:numPr>
        <w:rPr>
          <w:rFonts w:ascii="Arial" w:cs="Arial" w:eastAsia="Arial" w:hAnsi="Arial"/>
          <w:sz w:val="14"/>
          <w:szCs w:val="14"/>
          <w:color w:val="auto"/>
        </w:rPr>
      </w:pPr>
      <w:r>
        <w:rPr>
          <w:rFonts w:ascii="Arial" w:cs="Arial" w:eastAsia="Arial" w:hAnsi="Arial"/>
          <w:sz w:val="14"/>
          <w:szCs w:val="14"/>
          <w:color w:val="auto"/>
        </w:rPr>
        <w:t>Primarily relates to intellectual property migration and other non-recurring impacts to interest expense * Numbers may not add up precisely due to rounding.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81"/>
          </w:cols>
          <w:pgMar w:left="279" w:top="788" w:right="239" w:bottom="1440" w:gutter="0" w:footer="0" w:header="0"/>
          <w:type w:val="continuous"/>
        </w:sectPr>
      </w:pPr>
    </w:p>
    <w:bookmarkStart w:id="16" w:name="page17"/>
    <w:bookmarkEnd w:id="16"/>
    <w:p>
      <w:pPr>
        <w:ind w:left="4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400"/>
              <w:spacing w:after="0"/>
              <w:rPr>
                <w:sz w:val="20"/>
                <w:szCs w:val="20"/>
                <w:color w:val="auto"/>
              </w:rPr>
            </w:pPr>
            <w:r>
              <w:rPr>
                <w:rFonts w:ascii="Arial" w:cs="Arial" w:eastAsia="Arial" w:hAnsi="Arial"/>
                <w:sz w:val="13"/>
                <w:szCs w:val="13"/>
                <w:b w:val="1"/>
                <w:bCs w:val="1"/>
                <w:color w:val="auto"/>
              </w:rPr>
              <w:t>Specified Items</w:t>
            </w:r>
          </w:p>
        </w:tc>
        <w:tc>
          <w:tcPr>
            <w:tcW w:w="9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9"/>
              </w:rPr>
              <w:t>Merger</w:t>
            </w:r>
          </w:p>
        </w:tc>
        <w:tc>
          <w:tcPr>
            <w:tcW w:w="7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8"/>
              </w:rPr>
              <w:t>Depreciation</w:t>
            </w: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7"/>
              </w:rPr>
              <w:t>Non-recurring</w:t>
            </w: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3"/>
              </w:rPr>
              <w:t>and</w:t>
            </w:r>
          </w:p>
        </w:tc>
        <w:tc>
          <w:tcPr>
            <w:tcW w:w="7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3"/>
              </w:rPr>
              <w:t>and</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Product</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Legal and</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Stock-based</w:t>
            </w:r>
          </w:p>
        </w:tc>
        <w:tc>
          <w:tcPr>
            <w:tcW w:w="7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Certain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GAAP</w:t>
            </w:r>
          </w:p>
        </w:tc>
        <w:tc>
          <w:tcPr>
            <w:tcW w:w="2280" w:type="dxa"/>
            <w:vAlign w:val="bottom"/>
            <w:gridSpan w:val="3"/>
          </w:tcPr>
          <w:p>
            <w:pPr>
              <w:jc w:val="right"/>
              <w:spacing w:after="0" w:line="135" w:lineRule="exact"/>
              <w:rPr>
                <w:sz w:val="20"/>
                <w:szCs w:val="20"/>
                <w:color w:val="auto"/>
              </w:rPr>
            </w:pPr>
            <w:r>
              <w:rPr>
                <w:rFonts w:ascii="Arial" w:cs="Arial" w:eastAsia="Arial" w:hAnsi="Arial"/>
                <w:sz w:val="12"/>
                <w:szCs w:val="12"/>
                <w:b w:val="1"/>
                <w:bCs w:val="1"/>
                <w:color w:val="auto"/>
              </w:rPr>
              <w:t>Integration Restructuring Amortization</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Remediation</w:t>
            </w:r>
          </w:p>
        </w:tc>
        <w:tc>
          <w:tcPr>
            <w:tcW w:w="6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w w:val="97"/>
              </w:rPr>
              <w:t>Acquisition</w:t>
            </w:r>
          </w:p>
        </w:tc>
        <w:tc>
          <w:tcPr>
            <w:tcW w:w="7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Contingent</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Compensation</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Certain Tax</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Interest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Adjusted</w:t>
            </w:r>
          </w:p>
        </w:tc>
        <w:tc>
          <w:tcPr>
            <w:tcW w:w="0" w:type="dxa"/>
            <w:vAlign w:val="bottom"/>
          </w:tcPr>
          <w:p>
            <w:pPr>
              <w:spacing w:after="0"/>
              <w:rPr>
                <w:sz w:val="1"/>
                <w:szCs w:val="1"/>
                <w:color w:val="auto"/>
              </w:rPr>
            </w:pPr>
          </w:p>
        </w:tc>
      </w:tr>
      <w:tr>
        <w:trPr>
          <w:trHeight w:val="120"/>
        </w:trPr>
        <w:tc>
          <w:tcPr>
            <w:tcW w:w="2300" w:type="dxa"/>
            <w:vAlign w:val="bottom"/>
            <w:vMerge w:val="continue"/>
          </w:tcPr>
          <w:p>
            <w:pPr>
              <w:spacing w:after="0"/>
              <w:rPr>
                <w:sz w:val="10"/>
                <w:szCs w:val="10"/>
                <w:color w:val="auto"/>
              </w:rPr>
            </w:pPr>
          </w:p>
        </w:tc>
        <w:tc>
          <w:tcPr>
            <w:tcW w:w="6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6"/>
              </w:rPr>
              <w:t>Financial</w:t>
            </w:r>
          </w:p>
        </w:tc>
        <w:tc>
          <w:tcPr>
            <w:tcW w:w="740" w:type="dxa"/>
            <w:vAlign w:val="bottom"/>
          </w:tcPr>
          <w:p>
            <w:pPr>
              <w:jc w:val="center"/>
              <w:ind w:right="14"/>
              <w:spacing w:after="0" w:line="120" w:lineRule="exact"/>
              <w:rPr>
                <w:sz w:val="20"/>
                <w:szCs w:val="20"/>
                <w:color w:val="auto"/>
              </w:rPr>
            </w:pPr>
            <w:r>
              <w:rPr>
                <w:rFonts w:ascii="Arial" w:cs="Arial" w:eastAsia="Arial" w:hAnsi="Arial"/>
                <w:sz w:val="12"/>
                <w:szCs w:val="12"/>
                <w:b w:val="1"/>
                <w:bCs w:val="1"/>
                <w:color w:val="auto"/>
                <w:w w:val="96"/>
              </w:rPr>
              <w:t>Expenses</w:t>
            </w:r>
          </w:p>
        </w:tc>
        <w:tc>
          <w:tcPr>
            <w:tcW w:w="7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6"/>
              </w:rPr>
              <w:t>Expenses</w:t>
            </w:r>
          </w:p>
        </w:tc>
        <w:tc>
          <w:tcPr>
            <w:tcW w:w="7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6"/>
              </w:rPr>
              <w:t>Expenses</w:t>
            </w:r>
          </w:p>
        </w:tc>
        <w:tc>
          <w:tcPr>
            <w:tcW w:w="7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6"/>
              </w:rPr>
              <w:t>Expenses</w:t>
            </w:r>
          </w:p>
        </w:tc>
        <w:tc>
          <w:tcPr>
            <w:tcW w:w="680" w:type="dxa"/>
            <w:vAlign w:val="bottom"/>
          </w:tcPr>
          <w:p>
            <w:pPr>
              <w:jc w:val="right"/>
              <w:ind w:right="131"/>
              <w:spacing w:after="0" w:line="120" w:lineRule="exact"/>
              <w:rPr>
                <w:sz w:val="20"/>
                <w:szCs w:val="20"/>
                <w:color w:val="auto"/>
              </w:rPr>
            </w:pPr>
            <w:r>
              <w:rPr>
                <w:rFonts w:ascii="Arial" w:cs="Arial" w:eastAsia="Arial" w:hAnsi="Arial"/>
                <w:sz w:val="12"/>
                <w:szCs w:val="12"/>
                <w:b w:val="1"/>
                <w:bCs w:val="1"/>
                <w:color w:val="auto"/>
              </w:rPr>
              <w:t>Costs</w:t>
            </w:r>
          </w:p>
        </w:tc>
        <w:tc>
          <w:tcPr>
            <w:tcW w:w="1600" w:type="dxa"/>
            <w:vAlign w:val="bottom"/>
            <w:gridSpan w:val="2"/>
          </w:tcPr>
          <w:p>
            <w:pPr>
              <w:ind w:left="40"/>
              <w:spacing w:after="0" w:line="120" w:lineRule="exact"/>
              <w:rPr>
                <w:sz w:val="20"/>
                <w:szCs w:val="20"/>
                <w:color w:val="auto"/>
              </w:rPr>
            </w:pPr>
            <w:r>
              <w:rPr>
                <w:rFonts w:ascii="Arial" w:cs="Arial" w:eastAsia="Arial" w:hAnsi="Arial"/>
                <w:sz w:val="12"/>
                <w:szCs w:val="12"/>
                <w:b w:val="1"/>
                <w:bCs w:val="1"/>
                <w:color w:val="auto"/>
              </w:rPr>
              <w:t>Impairment Consideration</w:t>
            </w:r>
          </w:p>
        </w:tc>
        <w:tc>
          <w:tcPr>
            <w:tcW w:w="9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5"/>
              </w:rPr>
              <w:t>Costs</w:t>
            </w:r>
          </w:p>
        </w:tc>
        <w:tc>
          <w:tcPr>
            <w:tcW w:w="7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9"/>
              </w:rPr>
              <w:t>Adjustments</w:t>
            </w:r>
          </w:p>
        </w:tc>
        <w:tc>
          <w:tcPr>
            <w:tcW w:w="7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6"/>
              </w:rPr>
              <w:t>Adjustments</w:t>
            </w:r>
          </w:p>
        </w:tc>
        <w:tc>
          <w:tcPr>
            <w:tcW w:w="6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6"/>
              </w:rPr>
              <w:t>Financial</w:t>
            </w:r>
          </w:p>
        </w:tc>
        <w:tc>
          <w:tcPr>
            <w:tcW w:w="0" w:type="dxa"/>
            <w:vAlign w:val="bottom"/>
          </w:tcPr>
          <w:p>
            <w:pPr>
              <w:spacing w:after="0"/>
              <w:rPr>
                <w:sz w:val="1"/>
                <w:szCs w:val="1"/>
                <w:color w:val="auto"/>
              </w:rPr>
            </w:pPr>
          </w:p>
        </w:tc>
      </w:tr>
      <w:tr>
        <w:trPr>
          <w:trHeight w:val="189"/>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Measures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760" w:type="dxa"/>
            <w:vAlign w:val="bottom"/>
            <w:tcBorders>
              <w:bottom w:val="single" w:sz="8" w:color="auto"/>
            </w:tcBorders>
          </w:tcPr>
          <w:p>
            <w:pPr>
              <w:jc w:val="center"/>
              <w:ind w:right="11"/>
              <w:spacing w:after="0"/>
              <w:rPr>
                <w:sz w:val="20"/>
                <w:szCs w:val="20"/>
                <w:color w:val="auto"/>
              </w:rPr>
            </w:pPr>
            <w:r>
              <w:rPr>
                <w:rFonts w:ascii="Arial" w:cs="Arial" w:eastAsia="Arial" w:hAnsi="Arial"/>
                <w:sz w:val="12"/>
                <w:szCs w:val="12"/>
                <w:b w:val="1"/>
                <w:bCs w:val="1"/>
                <w:color w:val="auto"/>
                <w:w w:val="95"/>
              </w:rPr>
              <w:t>(B)</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(D)</w:t>
            </w: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(E)</w:t>
            </w:r>
          </w:p>
        </w:tc>
        <w:tc>
          <w:tcPr>
            <w:tcW w:w="70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(F)</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(G)</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(H)</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(J)</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Measures</w:t>
            </w:r>
          </w:p>
        </w:tc>
        <w:tc>
          <w:tcPr>
            <w:tcW w:w="0" w:type="dxa"/>
            <w:vAlign w:val="bottom"/>
          </w:tcPr>
          <w:p>
            <w:pPr>
              <w:spacing w:after="0"/>
              <w:rPr>
                <w:sz w:val="1"/>
                <w:szCs w:val="1"/>
                <w:color w:val="auto"/>
              </w:rPr>
            </w:pPr>
          </w:p>
        </w:tc>
      </w:tr>
      <w:tr>
        <w:trPr>
          <w:trHeight w:val="252"/>
        </w:trPr>
        <w:tc>
          <w:tcPr>
            <w:tcW w:w="2300" w:type="dxa"/>
            <w:vAlign w:val="bottom"/>
          </w:tcPr>
          <w:p>
            <w:pPr>
              <w:ind w:left="40"/>
              <w:spacing w:after="0"/>
              <w:rPr>
                <w:sz w:val="20"/>
                <w:szCs w:val="20"/>
                <w:color w:val="auto"/>
              </w:rPr>
            </w:pPr>
            <w:r>
              <w:rPr>
                <w:rFonts w:ascii="Arial" w:cs="Arial" w:eastAsia="Arial" w:hAnsi="Arial"/>
                <w:sz w:val="14"/>
                <w:szCs w:val="14"/>
                <w:color w:val="auto"/>
              </w:rPr>
              <w:t>Net sales</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$255.8</w:t>
            </w: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$255.8</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4"/>
                <w:szCs w:val="14"/>
                <w:color w:val="auto"/>
              </w:rPr>
              <w:t>Cost of sales</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84.0</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center"/>
              <w:ind w:left="292"/>
              <w:spacing w:after="0"/>
              <w:rPr>
                <w:sz w:val="20"/>
                <w:szCs w:val="20"/>
                <w:color w:val="auto"/>
              </w:rPr>
            </w:pPr>
            <w:r>
              <w:rPr>
                <w:rFonts w:ascii="Arial" w:cs="Arial" w:eastAsia="Arial" w:hAnsi="Arial"/>
                <w:sz w:val="14"/>
                <w:szCs w:val="14"/>
                <w:color w:val="auto"/>
              </w:rPr>
              <w:t>(0.9)</w:t>
            </w:r>
          </w:p>
        </w:tc>
        <w:tc>
          <w:tcPr>
            <w:tcW w:w="7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(0.2)</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jc w:val="center"/>
              <w:ind w:left="412"/>
              <w:spacing w:after="0"/>
              <w:rPr>
                <w:sz w:val="20"/>
                <w:szCs w:val="20"/>
                <w:color w:val="auto"/>
              </w:rPr>
            </w:pPr>
            <w:r>
              <w:rPr>
                <w:rFonts w:ascii="Arial" w:cs="Arial" w:eastAsia="Arial" w:hAnsi="Arial"/>
                <w:sz w:val="14"/>
                <w:szCs w:val="14"/>
                <w:color w:val="auto"/>
              </w:rPr>
              <w:t>(0.1)</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222"/>
        </w:trPr>
        <w:tc>
          <w:tcPr>
            <w:tcW w:w="2300" w:type="dxa"/>
            <w:vAlign w:val="bottom"/>
          </w:tcPr>
          <w:p>
            <w:pPr>
              <w:ind w:left="40"/>
              <w:spacing w:after="0"/>
              <w:rPr>
                <w:sz w:val="20"/>
                <w:szCs w:val="20"/>
                <w:color w:val="auto"/>
              </w:rPr>
            </w:pPr>
            <w:r>
              <w:rPr>
                <w:rFonts w:ascii="Arial" w:cs="Arial" w:eastAsia="Arial" w:hAnsi="Arial"/>
                <w:sz w:val="14"/>
                <w:szCs w:val="14"/>
                <w:color w:val="auto"/>
              </w:rPr>
              <w:t>Product remediation</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1.7</w:t>
            </w: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293"/>
              <w:spacing w:after="0"/>
              <w:rPr>
                <w:sz w:val="20"/>
                <w:szCs w:val="20"/>
                <w:color w:val="auto"/>
              </w:rPr>
            </w:pPr>
            <w:r>
              <w:rPr>
                <w:rFonts w:ascii="Arial" w:cs="Arial" w:eastAsia="Arial" w:hAnsi="Arial"/>
                <w:sz w:val="14"/>
                <w:szCs w:val="14"/>
                <w:color w:val="auto"/>
              </w:rPr>
              <w:t>(1.7)</w:t>
            </w:r>
          </w:p>
        </w:tc>
        <w:tc>
          <w:tcPr>
            <w:tcW w:w="6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300" w:type="dxa"/>
            <w:vAlign w:val="bottom"/>
          </w:tcPr>
          <w:p>
            <w:pPr>
              <w:ind w:left="280"/>
              <w:spacing w:after="0"/>
              <w:rPr>
                <w:sz w:val="20"/>
                <w:szCs w:val="20"/>
                <w:color w:val="auto"/>
              </w:rPr>
            </w:pPr>
            <w:r>
              <w:rPr>
                <w:rFonts w:ascii="Arial" w:cs="Arial" w:eastAsia="Arial" w:hAnsi="Arial"/>
                <w:sz w:val="14"/>
                <w:szCs w:val="14"/>
                <w:color w:val="auto"/>
              </w:rPr>
              <w:t>Gross profit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170.1</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jc w:val="center"/>
              <w:ind w:left="272"/>
              <w:spacing w:after="0"/>
              <w:rPr>
                <w:sz w:val="20"/>
                <w:szCs w:val="20"/>
                <w:color w:val="auto"/>
              </w:rPr>
            </w:pPr>
            <w:r>
              <w:rPr>
                <w:rFonts w:ascii="Arial" w:cs="Arial" w:eastAsia="Arial" w:hAnsi="Arial"/>
                <w:sz w:val="14"/>
                <w:szCs w:val="14"/>
                <w:color w:val="auto"/>
              </w:rPr>
              <w:t>0.9</w:t>
            </w:r>
          </w:p>
        </w:tc>
        <w:tc>
          <w:tcPr>
            <w:tcW w:w="780" w:type="dxa"/>
            <w:vAlign w:val="bottom"/>
          </w:tcPr>
          <w:p>
            <w:pPr>
              <w:jc w:val="center"/>
              <w:ind w:left="273"/>
              <w:spacing w:after="0"/>
              <w:rPr>
                <w:sz w:val="20"/>
                <w:szCs w:val="20"/>
                <w:color w:val="auto"/>
              </w:rPr>
            </w:pPr>
            <w:r>
              <w:rPr>
                <w:rFonts w:ascii="Arial" w:cs="Arial" w:eastAsia="Arial" w:hAnsi="Arial"/>
                <w:sz w:val="14"/>
                <w:szCs w:val="14"/>
                <w:color w:val="auto"/>
              </w:rPr>
              <w:t>1.7</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0.2</w:t>
            </w: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jc w:val="center"/>
              <w:ind w:left="392"/>
              <w:spacing w:after="0"/>
              <w:rPr>
                <w:sz w:val="20"/>
                <w:szCs w:val="20"/>
                <w:color w:val="auto"/>
              </w:rPr>
            </w:pPr>
            <w:r>
              <w:rPr>
                <w:rFonts w:ascii="Arial" w:cs="Arial" w:eastAsia="Arial" w:hAnsi="Arial"/>
                <w:sz w:val="14"/>
                <w:szCs w:val="14"/>
                <w:color w:val="auto"/>
              </w:rPr>
              <w:t>0.1</w:t>
            </w: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173.0</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180"/>
              <w:spacing w:after="0"/>
              <w:rPr>
                <w:sz w:val="20"/>
                <w:szCs w:val="20"/>
                <w:color w:val="auto"/>
              </w:rPr>
            </w:pPr>
            <w:r>
              <w:rPr>
                <w:rFonts w:ascii="Arial" w:cs="Arial" w:eastAsia="Arial" w:hAnsi="Arial"/>
                <w:sz w:val="14"/>
                <w:szCs w:val="14"/>
                <w:color w:val="auto"/>
              </w:rPr>
              <w:t>Selling, general and</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180"/>
              <w:spacing w:after="0"/>
              <w:rPr>
                <w:sz w:val="20"/>
                <w:szCs w:val="20"/>
                <w:color w:val="auto"/>
              </w:rPr>
            </w:pPr>
            <w:r>
              <w:rPr>
                <w:rFonts w:ascii="Arial" w:cs="Arial" w:eastAsia="Arial" w:hAnsi="Arial"/>
                <w:sz w:val="14"/>
                <w:szCs w:val="14"/>
                <w:color w:val="auto"/>
              </w:rPr>
              <w:t>administrative</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94.3</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jc w:val="center"/>
              <w:ind w:left="292"/>
              <w:spacing w:after="0"/>
              <w:rPr>
                <w:sz w:val="20"/>
                <w:szCs w:val="20"/>
                <w:color w:val="auto"/>
              </w:rPr>
            </w:pPr>
            <w:r>
              <w:rPr>
                <w:rFonts w:ascii="Arial" w:cs="Arial" w:eastAsia="Arial" w:hAnsi="Arial"/>
                <w:sz w:val="14"/>
                <w:szCs w:val="14"/>
                <w:color w:val="auto"/>
              </w:rPr>
              <w:t>(0.2)</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center"/>
              <w:ind w:left="393"/>
              <w:spacing w:after="0"/>
              <w:rPr>
                <w:sz w:val="20"/>
                <w:szCs w:val="20"/>
                <w:color w:val="auto"/>
              </w:rPr>
            </w:pPr>
            <w:r>
              <w:rPr>
                <w:rFonts w:ascii="Arial" w:cs="Arial" w:eastAsia="Arial" w:hAnsi="Arial"/>
                <w:sz w:val="14"/>
                <w:szCs w:val="14"/>
                <w:color w:val="auto"/>
                <w:w w:val="97"/>
              </w:rPr>
              <w:t>(3.9)</w:t>
            </w:r>
          </w:p>
        </w:tc>
        <w:tc>
          <w:tcPr>
            <w:tcW w:w="900" w:type="dxa"/>
            <w:vAlign w:val="bottom"/>
          </w:tcPr>
          <w:p>
            <w:pPr>
              <w:jc w:val="center"/>
              <w:ind w:left="412"/>
              <w:spacing w:after="0"/>
              <w:rPr>
                <w:sz w:val="20"/>
                <w:szCs w:val="20"/>
                <w:color w:val="auto"/>
              </w:rPr>
            </w:pPr>
            <w:r>
              <w:rPr>
                <w:rFonts w:ascii="Arial" w:cs="Arial" w:eastAsia="Arial" w:hAnsi="Arial"/>
                <w:sz w:val="14"/>
                <w:szCs w:val="14"/>
                <w:color w:val="auto"/>
              </w:rPr>
              <w:t>(4.1)</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33.8</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(10.9)</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jc w:val="center"/>
              <w:ind w:left="412"/>
              <w:spacing w:after="0"/>
              <w:rPr>
                <w:sz w:val="20"/>
                <w:szCs w:val="20"/>
                <w:color w:val="auto"/>
              </w:rPr>
            </w:pPr>
            <w:r>
              <w:rPr>
                <w:rFonts w:ascii="Arial" w:cs="Arial" w:eastAsia="Arial" w:hAnsi="Arial"/>
                <w:sz w:val="14"/>
                <w:szCs w:val="14"/>
                <w:color w:val="auto"/>
              </w:rPr>
              <w:t>(0.3)</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4"/>
                <w:szCs w:val="14"/>
                <w:color w:val="auto"/>
              </w:rPr>
              <w:t>Merger and integration expenses</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3.5</w:t>
            </w:r>
          </w:p>
        </w:tc>
        <w:tc>
          <w:tcPr>
            <w:tcW w:w="740" w:type="dxa"/>
            <w:vAlign w:val="bottom"/>
          </w:tcPr>
          <w:p>
            <w:pPr>
              <w:jc w:val="center"/>
              <w:ind w:left="134"/>
              <w:spacing w:after="0"/>
              <w:rPr>
                <w:sz w:val="20"/>
                <w:szCs w:val="20"/>
                <w:color w:val="auto"/>
              </w:rPr>
            </w:pPr>
            <w:r>
              <w:rPr>
                <w:rFonts w:ascii="Arial" w:cs="Arial" w:eastAsia="Arial" w:hAnsi="Arial"/>
                <w:sz w:val="14"/>
                <w:szCs w:val="14"/>
                <w:color w:val="auto"/>
              </w:rPr>
              <w:t>(2.5)</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4"/>
                <w:szCs w:val="14"/>
                <w:color w:val="auto"/>
              </w:rPr>
              <w:t>Restructuring expenses</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2.6</w:t>
            </w:r>
          </w:p>
        </w:tc>
        <w:tc>
          <w:tcPr>
            <w:tcW w:w="740" w:type="dxa"/>
            <w:vAlign w:val="bottom"/>
          </w:tcPr>
          <w:p>
            <w:pPr>
              <w:spacing w:after="0"/>
              <w:rPr>
                <w:sz w:val="18"/>
                <w:szCs w:val="18"/>
                <w:color w:val="auto"/>
              </w:rPr>
            </w:pPr>
          </w:p>
        </w:tc>
        <w:tc>
          <w:tcPr>
            <w:tcW w:w="760" w:type="dxa"/>
            <w:vAlign w:val="bottom"/>
          </w:tcPr>
          <w:p>
            <w:pPr>
              <w:jc w:val="center"/>
              <w:ind w:left="271"/>
              <w:spacing w:after="0"/>
              <w:rPr>
                <w:sz w:val="20"/>
                <w:szCs w:val="20"/>
                <w:color w:val="auto"/>
              </w:rPr>
            </w:pPr>
            <w:r>
              <w:rPr>
                <w:rFonts w:ascii="Arial" w:cs="Arial" w:eastAsia="Arial" w:hAnsi="Arial"/>
                <w:sz w:val="14"/>
                <w:szCs w:val="14"/>
                <w:color w:val="auto"/>
              </w:rPr>
              <w:t>(2.6)</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300" w:type="dxa"/>
            <w:vAlign w:val="bottom"/>
          </w:tcPr>
          <w:p>
            <w:pPr>
              <w:ind w:left="180"/>
              <w:spacing w:after="0"/>
              <w:rPr>
                <w:sz w:val="20"/>
                <w:szCs w:val="20"/>
                <w:color w:val="auto"/>
              </w:rPr>
            </w:pPr>
            <w:r>
              <w:rPr>
                <w:rFonts w:ascii="Arial" w:cs="Arial" w:eastAsia="Arial" w:hAnsi="Arial"/>
                <w:sz w:val="14"/>
                <w:szCs w:val="14"/>
                <w:color w:val="auto"/>
              </w:rPr>
              <w:t>Amortization of intangibles</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8.1</w:t>
            </w: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292"/>
              <w:spacing w:after="0"/>
              <w:rPr>
                <w:sz w:val="20"/>
                <w:szCs w:val="20"/>
                <w:color w:val="auto"/>
              </w:rPr>
            </w:pPr>
            <w:r>
              <w:rPr>
                <w:rFonts w:ascii="Arial" w:cs="Arial" w:eastAsia="Arial" w:hAnsi="Arial"/>
                <w:sz w:val="14"/>
                <w:szCs w:val="14"/>
                <w:color w:val="auto"/>
              </w:rPr>
              <w:t>(8.1)</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300" w:type="dxa"/>
            <w:vAlign w:val="bottom"/>
          </w:tcPr>
          <w:p>
            <w:pPr>
              <w:ind w:left="280"/>
              <w:spacing w:after="0"/>
              <w:rPr>
                <w:sz w:val="20"/>
                <w:szCs w:val="20"/>
                <w:color w:val="auto"/>
              </w:rPr>
            </w:pPr>
            <w:r>
              <w:rPr>
                <w:rFonts w:ascii="Arial" w:cs="Arial" w:eastAsia="Arial" w:hAnsi="Arial"/>
                <w:sz w:val="14"/>
                <w:szCs w:val="14"/>
                <w:color w:val="auto"/>
              </w:rPr>
              <w:t>Total operating expenses</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142.3</w:t>
            </w:r>
          </w:p>
        </w:tc>
        <w:tc>
          <w:tcPr>
            <w:tcW w:w="740" w:type="dxa"/>
            <w:vAlign w:val="bottom"/>
            <w:tcBorders>
              <w:bottom w:val="single" w:sz="8" w:color="auto"/>
            </w:tcBorders>
          </w:tcPr>
          <w:p>
            <w:pPr>
              <w:jc w:val="center"/>
              <w:ind w:left="134"/>
              <w:spacing w:after="0"/>
              <w:rPr>
                <w:sz w:val="20"/>
                <w:szCs w:val="20"/>
                <w:color w:val="auto"/>
              </w:rPr>
            </w:pPr>
            <w:r>
              <w:rPr>
                <w:rFonts w:ascii="Arial" w:cs="Arial" w:eastAsia="Arial" w:hAnsi="Arial"/>
                <w:sz w:val="14"/>
                <w:szCs w:val="14"/>
                <w:color w:val="auto"/>
              </w:rPr>
              <w:t>(2.5)</w:t>
            </w:r>
          </w:p>
        </w:tc>
        <w:tc>
          <w:tcPr>
            <w:tcW w:w="760" w:type="dxa"/>
            <w:vAlign w:val="bottom"/>
            <w:tcBorders>
              <w:bottom w:val="single" w:sz="8" w:color="auto"/>
            </w:tcBorders>
          </w:tcPr>
          <w:p>
            <w:pPr>
              <w:jc w:val="center"/>
              <w:ind w:left="271"/>
              <w:spacing w:after="0"/>
              <w:rPr>
                <w:sz w:val="20"/>
                <w:szCs w:val="20"/>
                <w:color w:val="auto"/>
              </w:rPr>
            </w:pPr>
            <w:r>
              <w:rPr>
                <w:rFonts w:ascii="Arial" w:cs="Arial" w:eastAsia="Arial" w:hAnsi="Arial"/>
                <w:sz w:val="14"/>
                <w:szCs w:val="14"/>
                <w:color w:val="auto"/>
              </w:rPr>
              <w:t>(2.6)</w:t>
            </w:r>
          </w:p>
        </w:tc>
        <w:tc>
          <w:tcPr>
            <w:tcW w:w="780" w:type="dxa"/>
            <w:vAlign w:val="bottom"/>
            <w:tcBorders>
              <w:bottom w:val="single" w:sz="8" w:color="auto"/>
            </w:tcBorders>
          </w:tcPr>
          <w:p>
            <w:pPr>
              <w:jc w:val="center"/>
              <w:ind w:left="292"/>
              <w:spacing w:after="0"/>
              <w:rPr>
                <w:sz w:val="20"/>
                <w:szCs w:val="20"/>
                <w:color w:val="auto"/>
              </w:rPr>
            </w:pPr>
            <w:r>
              <w:rPr>
                <w:rFonts w:ascii="Arial" w:cs="Arial" w:eastAsia="Arial" w:hAnsi="Arial"/>
                <w:sz w:val="14"/>
                <w:szCs w:val="14"/>
                <w:color w:val="auto"/>
              </w:rPr>
              <w:t>(8.4)</w:t>
            </w:r>
          </w:p>
        </w:tc>
        <w:tc>
          <w:tcPr>
            <w:tcW w:w="7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7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393"/>
              <w:spacing w:after="0"/>
              <w:rPr>
                <w:sz w:val="20"/>
                <w:szCs w:val="20"/>
                <w:color w:val="auto"/>
              </w:rPr>
            </w:pPr>
            <w:r>
              <w:rPr>
                <w:rFonts w:ascii="Arial" w:cs="Arial" w:eastAsia="Arial" w:hAnsi="Arial"/>
                <w:sz w:val="14"/>
                <w:szCs w:val="14"/>
                <w:color w:val="auto"/>
                <w:w w:val="97"/>
              </w:rPr>
              <w:t>(3.9)</w:t>
            </w:r>
          </w:p>
        </w:tc>
        <w:tc>
          <w:tcPr>
            <w:tcW w:w="900" w:type="dxa"/>
            <w:vAlign w:val="bottom"/>
            <w:tcBorders>
              <w:bottom w:val="single" w:sz="8" w:color="auto"/>
            </w:tcBorders>
          </w:tcPr>
          <w:p>
            <w:pPr>
              <w:jc w:val="center"/>
              <w:ind w:left="412"/>
              <w:spacing w:after="0"/>
              <w:rPr>
                <w:sz w:val="20"/>
                <w:szCs w:val="20"/>
                <w:color w:val="auto"/>
              </w:rPr>
            </w:pPr>
            <w:r>
              <w:rPr>
                <w:rFonts w:ascii="Arial" w:cs="Arial" w:eastAsia="Arial" w:hAnsi="Arial"/>
                <w:sz w:val="14"/>
                <w:szCs w:val="14"/>
                <w:color w:val="auto"/>
              </w:rPr>
              <w:t>(4.4)</w:t>
            </w:r>
          </w:p>
        </w:tc>
        <w:tc>
          <w:tcPr>
            <w:tcW w:w="7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108.7</w:t>
            </w:r>
          </w:p>
        </w:tc>
        <w:tc>
          <w:tcPr>
            <w:tcW w:w="0" w:type="dxa"/>
            <w:vAlign w:val="bottom"/>
          </w:tcPr>
          <w:p>
            <w:pPr>
              <w:spacing w:after="0"/>
              <w:rPr>
                <w:sz w:val="1"/>
                <w:szCs w:val="1"/>
                <w:color w:val="auto"/>
              </w:rPr>
            </w:pPr>
          </w:p>
        </w:tc>
      </w:tr>
      <w:tr>
        <w:trPr>
          <w:trHeight w:val="180"/>
        </w:trPr>
        <w:tc>
          <w:tcPr>
            <w:tcW w:w="2300" w:type="dxa"/>
            <w:vAlign w:val="bottom"/>
          </w:tcPr>
          <w:p>
            <w:pPr>
              <w:ind w:left="280"/>
              <w:spacing w:after="0"/>
              <w:rPr>
                <w:sz w:val="20"/>
                <w:szCs w:val="20"/>
                <w:color w:val="auto"/>
              </w:rPr>
            </w:pPr>
            <w:r>
              <w:rPr>
                <w:rFonts w:ascii="Arial" w:cs="Arial" w:eastAsia="Arial" w:hAnsi="Arial"/>
                <w:sz w:val="14"/>
                <w:szCs w:val="14"/>
                <w:color w:val="auto"/>
              </w:rPr>
              <w:t>Operating income from</w:t>
            </w: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280"/>
              <w:spacing w:after="0"/>
              <w:rPr>
                <w:sz w:val="20"/>
                <w:szCs w:val="20"/>
                <w:color w:val="auto"/>
              </w:rPr>
            </w:pPr>
            <w:r>
              <w:rPr>
                <w:rFonts w:ascii="Arial" w:cs="Arial" w:eastAsia="Arial" w:hAnsi="Arial"/>
                <w:sz w:val="14"/>
                <w:szCs w:val="14"/>
                <w:color w:val="auto"/>
              </w:rPr>
              <w:t>continuing operations</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27.8</w:t>
            </w:r>
          </w:p>
        </w:tc>
        <w:tc>
          <w:tcPr>
            <w:tcW w:w="740" w:type="dxa"/>
            <w:vAlign w:val="bottom"/>
          </w:tcPr>
          <w:p>
            <w:pPr>
              <w:jc w:val="center"/>
              <w:ind w:left="154"/>
              <w:spacing w:after="0"/>
              <w:rPr>
                <w:sz w:val="20"/>
                <w:szCs w:val="20"/>
                <w:color w:val="auto"/>
              </w:rPr>
            </w:pPr>
            <w:r>
              <w:rPr>
                <w:rFonts w:ascii="Arial" w:cs="Arial" w:eastAsia="Arial" w:hAnsi="Arial"/>
                <w:sz w:val="14"/>
                <w:szCs w:val="14"/>
                <w:color w:val="auto"/>
              </w:rPr>
              <w:t>2.5</w:t>
            </w:r>
          </w:p>
        </w:tc>
        <w:tc>
          <w:tcPr>
            <w:tcW w:w="760" w:type="dxa"/>
            <w:vAlign w:val="bottom"/>
          </w:tcPr>
          <w:p>
            <w:pPr>
              <w:jc w:val="center"/>
              <w:ind w:left="251"/>
              <w:spacing w:after="0"/>
              <w:rPr>
                <w:sz w:val="20"/>
                <w:szCs w:val="20"/>
                <w:color w:val="auto"/>
              </w:rPr>
            </w:pPr>
            <w:r>
              <w:rPr>
                <w:rFonts w:ascii="Arial" w:cs="Arial" w:eastAsia="Arial" w:hAnsi="Arial"/>
                <w:sz w:val="14"/>
                <w:szCs w:val="14"/>
                <w:color w:val="auto"/>
              </w:rPr>
              <w:t>2.6</w:t>
            </w:r>
          </w:p>
        </w:tc>
        <w:tc>
          <w:tcPr>
            <w:tcW w:w="780" w:type="dxa"/>
            <w:vAlign w:val="bottom"/>
          </w:tcPr>
          <w:p>
            <w:pPr>
              <w:jc w:val="center"/>
              <w:ind w:left="272"/>
              <w:spacing w:after="0"/>
              <w:rPr>
                <w:sz w:val="20"/>
                <w:szCs w:val="20"/>
                <w:color w:val="auto"/>
              </w:rPr>
            </w:pPr>
            <w:r>
              <w:rPr>
                <w:rFonts w:ascii="Arial" w:cs="Arial" w:eastAsia="Arial" w:hAnsi="Arial"/>
                <w:sz w:val="14"/>
                <w:szCs w:val="14"/>
                <w:color w:val="auto"/>
              </w:rPr>
              <w:t>9.3</w:t>
            </w:r>
          </w:p>
        </w:tc>
        <w:tc>
          <w:tcPr>
            <w:tcW w:w="780" w:type="dxa"/>
            <w:vAlign w:val="bottom"/>
          </w:tcPr>
          <w:p>
            <w:pPr>
              <w:jc w:val="center"/>
              <w:ind w:left="273"/>
              <w:spacing w:after="0"/>
              <w:rPr>
                <w:sz w:val="20"/>
                <w:szCs w:val="20"/>
                <w:color w:val="auto"/>
              </w:rPr>
            </w:pPr>
            <w:r>
              <w:rPr>
                <w:rFonts w:ascii="Arial" w:cs="Arial" w:eastAsia="Arial" w:hAnsi="Arial"/>
                <w:sz w:val="14"/>
                <w:szCs w:val="14"/>
                <w:color w:val="auto"/>
              </w:rPr>
              <w:t>1.7</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12.1</w:t>
            </w:r>
          </w:p>
        </w:tc>
        <w:tc>
          <w:tcPr>
            <w:tcW w:w="700" w:type="dxa"/>
            <w:vAlign w:val="bottom"/>
          </w:tcPr>
          <w:p>
            <w:pPr>
              <w:spacing w:after="0"/>
              <w:rPr>
                <w:sz w:val="14"/>
                <w:szCs w:val="14"/>
                <w:color w:val="auto"/>
              </w:rPr>
            </w:pPr>
          </w:p>
        </w:tc>
        <w:tc>
          <w:tcPr>
            <w:tcW w:w="900" w:type="dxa"/>
            <w:vAlign w:val="bottom"/>
          </w:tcPr>
          <w:p>
            <w:pPr>
              <w:jc w:val="center"/>
              <w:ind w:left="393"/>
              <w:spacing w:after="0"/>
              <w:rPr>
                <w:sz w:val="20"/>
                <w:szCs w:val="20"/>
                <w:color w:val="auto"/>
              </w:rPr>
            </w:pPr>
            <w:r>
              <w:rPr>
                <w:rFonts w:ascii="Arial" w:cs="Arial" w:eastAsia="Arial" w:hAnsi="Arial"/>
                <w:sz w:val="14"/>
                <w:szCs w:val="14"/>
                <w:color w:val="auto"/>
              </w:rPr>
              <w:t>3.9</w:t>
            </w:r>
          </w:p>
        </w:tc>
        <w:tc>
          <w:tcPr>
            <w:tcW w:w="900" w:type="dxa"/>
            <w:vAlign w:val="bottom"/>
          </w:tcPr>
          <w:p>
            <w:pPr>
              <w:jc w:val="center"/>
              <w:ind w:left="392"/>
              <w:spacing w:after="0"/>
              <w:rPr>
                <w:sz w:val="20"/>
                <w:szCs w:val="20"/>
                <w:color w:val="auto"/>
              </w:rPr>
            </w:pPr>
            <w:r>
              <w:rPr>
                <w:rFonts w:ascii="Arial" w:cs="Arial" w:eastAsia="Arial" w:hAnsi="Arial"/>
                <w:sz w:val="14"/>
                <w:szCs w:val="14"/>
                <w:color w:val="auto"/>
              </w:rPr>
              <w:t>4.5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0.3</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660" w:type="dxa"/>
            <w:vAlign w:val="bottom"/>
          </w:tcPr>
          <w:p>
            <w:pPr>
              <w:jc w:val="right"/>
              <w:spacing w:after="0"/>
              <w:rPr>
                <w:sz w:val="20"/>
                <w:szCs w:val="20"/>
                <w:color w:val="auto"/>
              </w:rPr>
            </w:pPr>
            <w:r>
              <w:rPr>
                <w:rFonts w:ascii="Arial" w:cs="Arial" w:eastAsia="Arial" w:hAnsi="Arial"/>
                <w:sz w:val="14"/>
                <w:szCs w:val="14"/>
                <w:color w:val="auto"/>
              </w:rPr>
              <w:t>(1.6)</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0.2</w:t>
            </w: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4"/>
                <w:szCs w:val="14"/>
                <w:color w:val="auto"/>
              </w:rPr>
              <w:t>Gain on acquisition of Caisson</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40"/>
              <w:spacing w:after="0"/>
              <w:rPr>
                <w:sz w:val="20"/>
                <w:szCs w:val="20"/>
                <w:color w:val="auto"/>
              </w:rPr>
            </w:pPr>
            <w:r>
              <w:rPr>
                <w:rFonts w:ascii="Arial" w:cs="Arial" w:eastAsia="Arial" w:hAnsi="Arial"/>
                <w:sz w:val="14"/>
                <w:szCs w:val="14"/>
                <w:color w:val="auto"/>
              </w:rPr>
              <w:t>Interventional, LLC</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39.4</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(39.4)</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4"/>
                <w:szCs w:val="14"/>
                <w:color w:val="auto"/>
              </w:rPr>
              <w:t>Foreign exchange and other</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40"/>
              <w:spacing w:after="0"/>
              <w:rPr>
                <w:sz w:val="20"/>
                <w:szCs w:val="20"/>
                <w:color w:val="auto"/>
              </w:rPr>
            </w:pPr>
            <w:r>
              <w:rPr>
                <w:rFonts w:ascii="Arial" w:cs="Arial" w:eastAsia="Arial" w:hAnsi="Arial"/>
                <w:sz w:val="14"/>
                <w:szCs w:val="14"/>
                <w:color w:val="auto"/>
              </w:rPr>
              <w:t>losses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7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0"/>
        </w:trPr>
        <w:tc>
          <w:tcPr>
            <w:tcW w:w="2300" w:type="dxa"/>
            <w:vAlign w:val="bottom"/>
          </w:tcPr>
          <w:p>
            <w:pPr>
              <w:ind w:left="40"/>
              <w:spacing w:after="0"/>
              <w:rPr>
                <w:sz w:val="20"/>
                <w:szCs w:val="20"/>
                <w:color w:val="auto"/>
              </w:rPr>
            </w:pPr>
            <w:r>
              <w:rPr>
                <w:rFonts w:ascii="Arial" w:cs="Arial" w:eastAsia="Arial" w:hAnsi="Arial"/>
                <w:sz w:val="14"/>
                <w:szCs w:val="14"/>
                <w:color w:val="auto"/>
              </w:rPr>
              <w:t>Income from continuing operations</w:t>
            </w: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40"/>
              <w:spacing w:after="0"/>
              <w:rPr>
                <w:sz w:val="20"/>
                <w:szCs w:val="20"/>
                <w:color w:val="auto"/>
              </w:rPr>
            </w:pPr>
            <w:r>
              <w:rPr>
                <w:rFonts w:ascii="Arial" w:cs="Arial" w:eastAsia="Arial" w:hAnsi="Arial"/>
                <w:sz w:val="14"/>
                <w:szCs w:val="14"/>
                <w:color w:val="auto"/>
              </w:rPr>
              <w:t>before tax</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63.0</w:t>
            </w:r>
          </w:p>
        </w:tc>
        <w:tc>
          <w:tcPr>
            <w:tcW w:w="740" w:type="dxa"/>
            <w:vAlign w:val="bottom"/>
          </w:tcPr>
          <w:p>
            <w:pPr>
              <w:jc w:val="center"/>
              <w:ind w:left="154"/>
              <w:spacing w:after="0"/>
              <w:rPr>
                <w:sz w:val="20"/>
                <w:szCs w:val="20"/>
                <w:color w:val="auto"/>
              </w:rPr>
            </w:pPr>
            <w:r>
              <w:rPr>
                <w:rFonts w:ascii="Arial" w:cs="Arial" w:eastAsia="Arial" w:hAnsi="Arial"/>
                <w:sz w:val="14"/>
                <w:szCs w:val="14"/>
                <w:color w:val="auto"/>
              </w:rPr>
              <w:t>2.5</w:t>
            </w:r>
          </w:p>
        </w:tc>
        <w:tc>
          <w:tcPr>
            <w:tcW w:w="760" w:type="dxa"/>
            <w:vAlign w:val="bottom"/>
          </w:tcPr>
          <w:p>
            <w:pPr>
              <w:jc w:val="center"/>
              <w:ind w:left="251"/>
              <w:spacing w:after="0"/>
              <w:rPr>
                <w:sz w:val="20"/>
                <w:szCs w:val="20"/>
                <w:color w:val="auto"/>
              </w:rPr>
            </w:pPr>
            <w:r>
              <w:rPr>
                <w:rFonts w:ascii="Arial" w:cs="Arial" w:eastAsia="Arial" w:hAnsi="Arial"/>
                <w:sz w:val="14"/>
                <w:szCs w:val="14"/>
                <w:color w:val="auto"/>
              </w:rPr>
              <w:t>2.6</w:t>
            </w:r>
          </w:p>
        </w:tc>
        <w:tc>
          <w:tcPr>
            <w:tcW w:w="780" w:type="dxa"/>
            <w:vAlign w:val="bottom"/>
          </w:tcPr>
          <w:p>
            <w:pPr>
              <w:jc w:val="center"/>
              <w:ind w:left="272"/>
              <w:spacing w:after="0"/>
              <w:rPr>
                <w:sz w:val="20"/>
                <w:szCs w:val="20"/>
                <w:color w:val="auto"/>
              </w:rPr>
            </w:pPr>
            <w:r>
              <w:rPr>
                <w:rFonts w:ascii="Arial" w:cs="Arial" w:eastAsia="Arial" w:hAnsi="Arial"/>
                <w:sz w:val="14"/>
                <w:szCs w:val="14"/>
                <w:color w:val="auto"/>
              </w:rPr>
              <w:t>9.3</w:t>
            </w:r>
          </w:p>
        </w:tc>
        <w:tc>
          <w:tcPr>
            <w:tcW w:w="780" w:type="dxa"/>
            <w:vAlign w:val="bottom"/>
          </w:tcPr>
          <w:p>
            <w:pPr>
              <w:jc w:val="center"/>
              <w:ind w:left="273"/>
              <w:spacing w:after="0"/>
              <w:rPr>
                <w:sz w:val="20"/>
                <w:szCs w:val="20"/>
                <w:color w:val="auto"/>
              </w:rPr>
            </w:pPr>
            <w:r>
              <w:rPr>
                <w:rFonts w:ascii="Arial" w:cs="Arial" w:eastAsia="Arial" w:hAnsi="Arial"/>
                <w:sz w:val="14"/>
                <w:szCs w:val="14"/>
                <w:color w:val="auto"/>
              </w:rPr>
              <w:t>1.7</w:t>
            </w:r>
          </w:p>
        </w:tc>
        <w:tc>
          <w:tcPr>
            <w:tcW w:w="680" w:type="dxa"/>
            <w:vAlign w:val="bottom"/>
          </w:tcPr>
          <w:p>
            <w:pPr>
              <w:jc w:val="right"/>
              <w:spacing w:after="0"/>
              <w:rPr>
                <w:sz w:val="20"/>
                <w:szCs w:val="20"/>
                <w:color w:val="auto"/>
              </w:rPr>
            </w:pPr>
            <w:r>
              <w:rPr>
                <w:rFonts w:ascii="Arial" w:cs="Arial" w:eastAsia="Arial" w:hAnsi="Arial"/>
                <w:sz w:val="14"/>
                <w:szCs w:val="14"/>
                <w:color w:val="auto"/>
              </w:rPr>
              <w:t>(27.4)</w:t>
            </w:r>
          </w:p>
        </w:tc>
        <w:tc>
          <w:tcPr>
            <w:tcW w:w="700" w:type="dxa"/>
            <w:vAlign w:val="bottom"/>
          </w:tcPr>
          <w:p>
            <w:pPr>
              <w:spacing w:after="0"/>
              <w:rPr>
                <w:sz w:val="14"/>
                <w:szCs w:val="14"/>
                <w:color w:val="auto"/>
              </w:rPr>
            </w:pPr>
          </w:p>
        </w:tc>
        <w:tc>
          <w:tcPr>
            <w:tcW w:w="900" w:type="dxa"/>
            <w:vAlign w:val="bottom"/>
          </w:tcPr>
          <w:p>
            <w:pPr>
              <w:jc w:val="center"/>
              <w:ind w:left="393"/>
              <w:spacing w:after="0"/>
              <w:rPr>
                <w:sz w:val="20"/>
                <w:szCs w:val="20"/>
                <w:color w:val="auto"/>
              </w:rPr>
            </w:pPr>
            <w:r>
              <w:rPr>
                <w:rFonts w:ascii="Arial" w:cs="Arial" w:eastAsia="Arial" w:hAnsi="Arial"/>
                <w:sz w:val="14"/>
                <w:szCs w:val="14"/>
                <w:color w:val="auto"/>
              </w:rPr>
              <w:t>3.9</w:t>
            </w:r>
          </w:p>
        </w:tc>
        <w:tc>
          <w:tcPr>
            <w:tcW w:w="900" w:type="dxa"/>
            <w:vAlign w:val="bottom"/>
          </w:tcPr>
          <w:p>
            <w:pPr>
              <w:jc w:val="center"/>
              <w:ind w:left="392"/>
              <w:spacing w:after="0"/>
              <w:rPr>
                <w:sz w:val="20"/>
                <w:szCs w:val="20"/>
                <w:color w:val="auto"/>
              </w:rPr>
            </w:pPr>
            <w:r>
              <w:rPr>
                <w:rFonts w:ascii="Arial" w:cs="Arial" w:eastAsia="Arial" w:hAnsi="Arial"/>
                <w:sz w:val="14"/>
                <w:szCs w:val="14"/>
                <w:color w:val="auto"/>
              </w:rPr>
              <w:t>4.5</w:t>
            </w:r>
          </w:p>
        </w:tc>
        <w:tc>
          <w:tcPr>
            <w:tcW w:w="780" w:type="dxa"/>
            <w:vAlign w:val="bottom"/>
          </w:tcPr>
          <w:p>
            <w:pPr>
              <w:spacing w:after="0"/>
              <w:rPr>
                <w:sz w:val="14"/>
                <w:szCs w:val="14"/>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0.2</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4"/>
                <w:szCs w:val="14"/>
                <w:color w:val="auto"/>
              </w:rPr>
              <w:t>Income tax expense</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3.3</w:t>
            </w:r>
          </w:p>
        </w:tc>
        <w:tc>
          <w:tcPr>
            <w:tcW w:w="740" w:type="dxa"/>
            <w:vAlign w:val="bottom"/>
          </w:tcPr>
          <w:p>
            <w:pPr>
              <w:jc w:val="center"/>
              <w:ind w:left="154"/>
              <w:spacing w:after="0"/>
              <w:rPr>
                <w:sz w:val="20"/>
                <w:szCs w:val="20"/>
                <w:color w:val="auto"/>
              </w:rPr>
            </w:pPr>
            <w:r>
              <w:rPr>
                <w:rFonts w:ascii="Arial" w:cs="Arial" w:eastAsia="Arial" w:hAnsi="Arial"/>
                <w:sz w:val="14"/>
                <w:szCs w:val="14"/>
                <w:color w:val="auto"/>
              </w:rPr>
              <w:t>0.6</w:t>
            </w:r>
          </w:p>
        </w:tc>
        <w:tc>
          <w:tcPr>
            <w:tcW w:w="760" w:type="dxa"/>
            <w:vAlign w:val="bottom"/>
          </w:tcPr>
          <w:p>
            <w:pPr>
              <w:jc w:val="center"/>
              <w:ind w:left="251"/>
              <w:spacing w:after="0"/>
              <w:rPr>
                <w:sz w:val="20"/>
                <w:szCs w:val="20"/>
                <w:color w:val="auto"/>
              </w:rPr>
            </w:pPr>
            <w:r>
              <w:rPr>
                <w:rFonts w:ascii="Arial" w:cs="Arial" w:eastAsia="Arial" w:hAnsi="Arial"/>
                <w:sz w:val="14"/>
                <w:szCs w:val="14"/>
                <w:color w:val="auto"/>
              </w:rPr>
              <w:t>0.9</w:t>
            </w:r>
          </w:p>
        </w:tc>
        <w:tc>
          <w:tcPr>
            <w:tcW w:w="780" w:type="dxa"/>
            <w:vAlign w:val="bottom"/>
          </w:tcPr>
          <w:p>
            <w:pPr>
              <w:jc w:val="center"/>
              <w:ind w:left="272"/>
              <w:spacing w:after="0"/>
              <w:rPr>
                <w:sz w:val="20"/>
                <w:szCs w:val="20"/>
                <w:color w:val="auto"/>
              </w:rPr>
            </w:pPr>
            <w:r>
              <w:rPr>
                <w:rFonts w:ascii="Arial" w:cs="Arial" w:eastAsia="Arial" w:hAnsi="Arial"/>
                <w:sz w:val="14"/>
                <w:szCs w:val="14"/>
                <w:color w:val="auto"/>
              </w:rPr>
              <w:t>2.7</w:t>
            </w:r>
          </w:p>
        </w:tc>
        <w:tc>
          <w:tcPr>
            <w:tcW w:w="780" w:type="dxa"/>
            <w:vAlign w:val="bottom"/>
          </w:tcPr>
          <w:p>
            <w:pPr>
              <w:jc w:val="center"/>
              <w:ind w:left="273"/>
              <w:spacing w:after="0"/>
              <w:rPr>
                <w:sz w:val="20"/>
                <w:szCs w:val="20"/>
                <w:color w:val="auto"/>
              </w:rPr>
            </w:pPr>
            <w:r>
              <w:rPr>
                <w:rFonts w:ascii="Arial" w:cs="Arial" w:eastAsia="Arial" w:hAnsi="Arial"/>
                <w:sz w:val="14"/>
                <w:szCs w:val="14"/>
                <w:color w:val="auto"/>
              </w:rPr>
              <w:t>0.5</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2.7</w:t>
            </w:r>
          </w:p>
        </w:tc>
        <w:tc>
          <w:tcPr>
            <w:tcW w:w="700" w:type="dxa"/>
            <w:vAlign w:val="bottom"/>
          </w:tcPr>
          <w:p>
            <w:pPr>
              <w:spacing w:after="0"/>
              <w:rPr>
                <w:sz w:val="18"/>
                <w:szCs w:val="18"/>
                <w:color w:val="auto"/>
              </w:rPr>
            </w:pPr>
          </w:p>
        </w:tc>
        <w:tc>
          <w:tcPr>
            <w:tcW w:w="900" w:type="dxa"/>
            <w:vAlign w:val="bottom"/>
          </w:tcPr>
          <w:p>
            <w:pPr>
              <w:jc w:val="center"/>
              <w:ind w:left="393"/>
              <w:spacing w:after="0"/>
              <w:rPr>
                <w:sz w:val="20"/>
                <w:szCs w:val="20"/>
                <w:color w:val="auto"/>
              </w:rPr>
            </w:pPr>
            <w:r>
              <w:rPr>
                <w:rFonts w:ascii="Arial" w:cs="Arial" w:eastAsia="Arial" w:hAnsi="Arial"/>
                <w:sz w:val="14"/>
                <w:szCs w:val="14"/>
                <w:color w:val="auto"/>
              </w:rPr>
              <w:t>1.2</w:t>
            </w:r>
          </w:p>
        </w:tc>
        <w:tc>
          <w:tcPr>
            <w:tcW w:w="900" w:type="dxa"/>
            <w:vAlign w:val="bottom"/>
          </w:tcPr>
          <w:p>
            <w:pPr>
              <w:jc w:val="center"/>
              <w:ind w:left="392"/>
              <w:spacing w:after="0"/>
              <w:rPr>
                <w:sz w:val="20"/>
                <w:szCs w:val="20"/>
                <w:color w:val="auto"/>
              </w:rPr>
            </w:pPr>
            <w:r>
              <w:rPr>
                <w:rFonts w:ascii="Arial" w:cs="Arial" w:eastAsia="Arial" w:hAnsi="Arial"/>
                <w:sz w:val="14"/>
                <w:szCs w:val="14"/>
                <w:color w:val="auto"/>
              </w:rPr>
              <w:t>0.9</w:t>
            </w:r>
          </w:p>
        </w:tc>
        <w:tc>
          <w:tcPr>
            <w:tcW w:w="780" w:type="dxa"/>
            <w:vAlign w:val="bottom"/>
          </w:tcPr>
          <w:p>
            <w:pPr>
              <w:jc w:val="right"/>
              <w:ind w:right="55"/>
              <w:spacing w:after="0"/>
              <w:rPr>
                <w:sz w:val="20"/>
                <w:szCs w:val="20"/>
                <w:color w:val="auto"/>
              </w:rPr>
            </w:pPr>
            <w:r>
              <w:rPr>
                <w:rFonts w:ascii="Arial" w:cs="Arial" w:eastAsia="Arial" w:hAnsi="Arial"/>
                <w:sz w:val="14"/>
                <w:szCs w:val="14"/>
                <w:color w:val="auto"/>
              </w:rPr>
              <w:t>1.1</w:t>
            </w: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0.6</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6"/>
        </w:trPr>
        <w:tc>
          <w:tcPr>
            <w:tcW w:w="2300" w:type="dxa"/>
            <w:vAlign w:val="bottom"/>
          </w:tcPr>
          <w:p>
            <w:pPr>
              <w:ind w:left="180"/>
              <w:spacing w:after="0"/>
              <w:rPr>
                <w:sz w:val="20"/>
                <w:szCs w:val="20"/>
                <w:color w:val="auto"/>
              </w:rPr>
            </w:pPr>
            <w:r>
              <w:rPr>
                <w:rFonts w:ascii="Arial" w:cs="Arial" w:eastAsia="Arial" w:hAnsi="Arial"/>
                <w:sz w:val="14"/>
                <w:szCs w:val="14"/>
                <w:color w:val="auto"/>
              </w:rPr>
              <w:t>Losses from equity method</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180"/>
              <w:spacing w:after="0"/>
              <w:rPr>
                <w:sz w:val="20"/>
                <w:szCs w:val="20"/>
                <w:color w:val="auto"/>
              </w:rPr>
            </w:pPr>
            <w:r>
              <w:rPr>
                <w:rFonts w:ascii="Arial" w:cs="Arial" w:eastAsia="Arial" w:hAnsi="Arial"/>
                <w:sz w:val="14"/>
                <w:szCs w:val="14"/>
                <w:color w:val="auto"/>
              </w:rPr>
              <w:t>investments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7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13.0</w:t>
            </w:r>
          </w:p>
        </w:tc>
        <w:tc>
          <w:tcPr>
            <w:tcW w:w="9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0"/>
        </w:trPr>
        <w:tc>
          <w:tcPr>
            <w:tcW w:w="2300" w:type="dxa"/>
            <w:vAlign w:val="bottom"/>
          </w:tcPr>
          <w:p>
            <w:pPr>
              <w:ind w:left="40"/>
              <w:spacing w:after="0"/>
              <w:rPr>
                <w:sz w:val="20"/>
                <w:szCs w:val="20"/>
                <w:color w:val="auto"/>
              </w:rPr>
            </w:pPr>
            <w:r>
              <w:rPr>
                <w:rFonts w:ascii="Arial" w:cs="Arial" w:eastAsia="Arial" w:hAnsi="Arial"/>
                <w:sz w:val="14"/>
                <w:szCs w:val="14"/>
                <w:color w:val="auto"/>
              </w:rPr>
              <w:t>Net income from continuing</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$45.7</w:t>
            </w:r>
          </w:p>
        </w:tc>
        <w:tc>
          <w:tcPr>
            <w:tcW w:w="740" w:type="dxa"/>
            <w:vAlign w:val="bottom"/>
            <w:vMerge w:val="restart"/>
          </w:tcPr>
          <w:p>
            <w:pPr>
              <w:jc w:val="right"/>
              <w:ind w:right="14"/>
              <w:spacing w:after="0"/>
              <w:rPr>
                <w:sz w:val="20"/>
                <w:szCs w:val="20"/>
                <w:color w:val="auto"/>
              </w:rPr>
            </w:pPr>
            <w:r>
              <w:rPr>
                <w:rFonts w:ascii="Arial" w:cs="Arial" w:eastAsia="Arial" w:hAnsi="Arial"/>
                <w:sz w:val="14"/>
                <w:szCs w:val="14"/>
                <w:color w:val="auto"/>
              </w:rPr>
              <w:t>$2.0</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($30.1)</w:t>
            </w:r>
          </w:p>
        </w:tc>
        <w:tc>
          <w:tcPr>
            <w:tcW w:w="700" w:type="dxa"/>
            <w:vAlign w:val="bottom"/>
            <w:vMerge w:val="restart"/>
          </w:tcPr>
          <w:p>
            <w:pPr>
              <w:ind w:left="300"/>
              <w:spacing w:after="0"/>
              <w:rPr>
                <w:sz w:val="20"/>
                <w:szCs w:val="20"/>
                <w:color w:val="auto"/>
              </w:rPr>
            </w:pPr>
            <w:r>
              <w:rPr>
                <w:rFonts w:ascii="Arial" w:cs="Arial" w:eastAsia="Arial" w:hAnsi="Arial"/>
                <w:sz w:val="14"/>
                <w:szCs w:val="14"/>
                <w:color w:val="auto"/>
              </w:rPr>
              <w:t>$13.0</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76"/>
        </w:trPr>
        <w:tc>
          <w:tcPr>
            <w:tcW w:w="230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66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ind w:left="40"/>
              <w:spacing w:after="0"/>
              <w:rPr>
                <w:sz w:val="20"/>
                <w:szCs w:val="20"/>
                <w:color w:val="auto"/>
              </w:rPr>
            </w:pPr>
            <w:r>
              <w:rPr>
                <w:rFonts w:ascii="Arial" w:cs="Arial" w:eastAsia="Arial" w:hAnsi="Arial"/>
                <w:sz w:val="14"/>
                <w:szCs w:val="14"/>
                <w:color w:val="auto"/>
              </w:rPr>
              <w:t>Diluted EPS - Continuing</w:t>
            </w: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3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660" w:type="dxa"/>
            <w:vAlign w:val="bottom"/>
          </w:tcPr>
          <w:p>
            <w:pPr>
              <w:jc w:val="right"/>
              <w:spacing w:after="0"/>
              <w:rPr>
                <w:sz w:val="20"/>
                <w:szCs w:val="20"/>
                <w:color w:val="auto"/>
              </w:rPr>
            </w:pPr>
            <w:r>
              <w:rPr>
                <w:rFonts w:ascii="Arial" w:cs="Arial" w:eastAsia="Arial" w:hAnsi="Arial"/>
                <w:sz w:val="14"/>
                <w:szCs w:val="14"/>
                <w:color w:val="auto"/>
              </w:rPr>
              <w:t>$0.95</w:t>
            </w:r>
          </w:p>
        </w:tc>
        <w:tc>
          <w:tcPr>
            <w:tcW w:w="740" w:type="dxa"/>
            <w:vAlign w:val="bottom"/>
          </w:tcPr>
          <w:p>
            <w:pPr>
              <w:jc w:val="center"/>
              <w:ind w:left="154"/>
              <w:spacing w:after="0"/>
              <w:rPr>
                <w:sz w:val="20"/>
                <w:szCs w:val="20"/>
                <w:color w:val="auto"/>
              </w:rPr>
            </w:pPr>
            <w:r>
              <w:rPr>
                <w:rFonts w:ascii="Arial" w:cs="Arial" w:eastAsia="Arial" w:hAnsi="Arial"/>
                <w:sz w:val="14"/>
                <w:szCs w:val="14"/>
                <w:color w:val="auto"/>
              </w:rPr>
              <w:t>$0.04</w:t>
            </w:r>
          </w:p>
        </w:tc>
        <w:tc>
          <w:tcPr>
            <w:tcW w:w="760" w:type="dxa"/>
            <w:vAlign w:val="bottom"/>
          </w:tcPr>
          <w:p>
            <w:pPr>
              <w:jc w:val="center"/>
              <w:ind w:left="251"/>
              <w:spacing w:after="0"/>
              <w:rPr>
                <w:sz w:val="20"/>
                <w:szCs w:val="20"/>
                <w:color w:val="auto"/>
              </w:rPr>
            </w:pPr>
            <w:r>
              <w:rPr>
                <w:rFonts w:ascii="Arial" w:cs="Arial" w:eastAsia="Arial" w:hAnsi="Arial"/>
                <w:sz w:val="14"/>
                <w:szCs w:val="14"/>
                <w:color w:val="auto"/>
              </w:rPr>
              <w:t>$0.04</w:t>
            </w:r>
          </w:p>
        </w:tc>
        <w:tc>
          <w:tcPr>
            <w:tcW w:w="780" w:type="dxa"/>
            <w:vAlign w:val="bottom"/>
          </w:tcPr>
          <w:p>
            <w:pPr>
              <w:jc w:val="center"/>
              <w:ind w:left="272"/>
              <w:spacing w:after="0"/>
              <w:rPr>
                <w:sz w:val="20"/>
                <w:szCs w:val="20"/>
                <w:color w:val="auto"/>
              </w:rPr>
            </w:pPr>
            <w:r>
              <w:rPr>
                <w:rFonts w:ascii="Arial" w:cs="Arial" w:eastAsia="Arial" w:hAnsi="Arial"/>
                <w:sz w:val="14"/>
                <w:szCs w:val="14"/>
                <w:color w:val="auto"/>
              </w:rPr>
              <w:t>$0.14</w:t>
            </w:r>
          </w:p>
        </w:tc>
        <w:tc>
          <w:tcPr>
            <w:tcW w:w="780" w:type="dxa"/>
            <w:vAlign w:val="bottom"/>
          </w:tcPr>
          <w:p>
            <w:pPr>
              <w:jc w:val="center"/>
              <w:ind w:left="313"/>
              <w:spacing w:after="0"/>
              <w:rPr>
                <w:sz w:val="20"/>
                <w:szCs w:val="20"/>
                <w:color w:val="auto"/>
              </w:rPr>
            </w:pPr>
            <w:r>
              <w:rPr>
                <w:rFonts w:ascii="Arial" w:cs="Arial" w:eastAsia="Arial" w:hAnsi="Arial"/>
                <w:sz w:val="14"/>
                <w:szCs w:val="14"/>
                <w:color w:val="auto"/>
              </w:rPr>
              <w:t>$0.02</w:t>
            </w:r>
          </w:p>
        </w:tc>
        <w:tc>
          <w:tcPr>
            <w:tcW w:w="680" w:type="dxa"/>
            <w:vAlign w:val="bottom"/>
          </w:tcPr>
          <w:p>
            <w:pPr>
              <w:jc w:val="right"/>
              <w:spacing w:after="0"/>
              <w:rPr>
                <w:sz w:val="20"/>
                <w:szCs w:val="20"/>
                <w:color w:val="auto"/>
              </w:rPr>
            </w:pPr>
            <w:r>
              <w:rPr>
                <w:rFonts w:ascii="Arial" w:cs="Arial" w:eastAsia="Arial" w:hAnsi="Arial"/>
                <w:sz w:val="14"/>
                <w:szCs w:val="14"/>
                <w:color w:val="auto"/>
              </w:rPr>
              <w:t>($0.62)</w:t>
            </w:r>
          </w:p>
        </w:tc>
        <w:tc>
          <w:tcPr>
            <w:tcW w:w="700" w:type="dxa"/>
            <w:vAlign w:val="bottom"/>
          </w:tcPr>
          <w:p>
            <w:pPr>
              <w:ind w:left="300"/>
              <w:spacing w:after="0"/>
              <w:rPr>
                <w:sz w:val="20"/>
                <w:szCs w:val="20"/>
                <w:color w:val="auto"/>
              </w:rPr>
            </w:pPr>
            <w:r>
              <w:rPr>
                <w:rFonts w:ascii="Arial" w:cs="Arial" w:eastAsia="Arial" w:hAnsi="Arial"/>
                <w:sz w:val="14"/>
                <w:szCs w:val="14"/>
                <w:color w:val="auto"/>
              </w:rPr>
              <w:t>$0.27</w:t>
            </w:r>
          </w:p>
        </w:tc>
        <w:tc>
          <w:tcPr>
            <w:tcW w:w="900" w:type="dxa"/>
            <w:vAlign w:val="bottom"/>
          </w:tcPr>
          <w:p>
            <w:pPr>
              <w:jc w:val="center"/>
              <w:ind w:left="393"/>
              <w:spacing w:after="0"/>
              <w:rPr>
                <w:sz w:val="20"/>
                <w:szCs w:val="20"/>
                <w:color w:val="auto"/>
              </w:rPr>
            </w:pPr>
            <w:r>
              <w:rPr>
                <w:rFonts w:ascii="Arial" w:cs="Arial" w:eastAsia="Arial" w:hAnsi="Arial"/>
                <w:sz w:val="14"/>
                <w:szCs w:val="14"/>
                <w:color w:val="auto"/>
              </w:rPr>
              <w:t>$0.06</w:t>
            </w:r>
          </w:p>
        </w:tc>
        <w:tc>
          <w:tcPr>
            <w:tcW w:w="900" w:type="dxa"/>
            <w:vAlign w:val="bottom"/>
          </w:tcPr>
          <w:p>
            <w:pPr>
              <w:jc w:val="center"/>
              <w:ind w:left="392"/>
              <w:spacing w:after="0"/>
              <w:rPr>
                <w:sz w:val="20"/>
                <w:szCs w:val="20"/>
                <w:color w:val="auto"/>
              </w:rPr>
            </w:pPr>
            <w:r>
              <w:rPr>
                <w:rFonts w:ascii="Arial" w:cs="Arial" w:eastAsia="Arial" w:hAnsi="Arial"/>
                <w:sz w:val="14"/>
                <w:szCs w:val="14"/>
                <w:color w:val="auto"/>
              </w:rPr>
              <w:t>$0.07</w:t>
            </w:r>
          </w:p>
        </w:tc>
        <w:tc>
          <w:tcPr>
            <w:tcW w:w="780" w:type="dxa"/>
            <w:vAlign w:val="bottom"/>
          </w:tcPr>
          <w:p>
            <w:pPr>
              <w:jc w:val="right"/>
              <w:spacing w:after="0"/>
              <w:rPr>
                <w:sz w:val="20"/>
                <w:szCs w:val="20"/>
                <w:color w:val="auto"/>
              </w:rPr>
            </w:pPr>
            <w:r>
              <w:rPr>
                <w:rFonts w:ascii="Arial" w:cs="Arial" w:eastAsia="Arial" w:hAnsi="Arial"/>
                <w:sz w:val="14"/>
                <w:szCs w:val="14"/>
                <w:color w:val="auto"/>
              </w:rPr>
              <w:t>($0.03)</w:t>
            </w:r>
          </w:p>
        </w:tc>
        <w:tc>
          <w:tcPr>
            <w:tcW w:w="780" w:type="dxa"/>
            <w:vAlign w:val="bottom"/>
          </w:tcPr>
          <w:p>
            <w:pPr>
              <w:jc w:val="right"/>
              <w:spacing w:after="0"/>
              <w:rPr>
                <w:sz w:val="20"/>
                <w:szCs w:val="20"/>
                <w:color w:val="auto"/>
              </w:rPr>
            </w:pPr>
            <w:r>
              <w:rPr>
                <w:rFonts w:ascii="Arial" w:cs="Arial" w:eastAsia="Arial" w:hAnsi="Arial"/>
                <w:sz w:val="14"/>
                <w:szCs w:val="14"/>
                <w:color w:val="auto"/>
              </w:rPr>
              <w:t>($0.01)</w:t>
            </w:r>
          </w:p>
        </w:tc>
        <w:tc>
          <w:tcPr>
            <w:tcW w:w="660" w:type="dxa"/>
            <w:vAlign w:val="bottom"/>
          </w:tcPr>
          <w:p>
            <w:pPr>
              <w:jc w:val="right"/>
              <w:spacing w:after="0"/>
              <w:rPr>
                <w:sz w:val="20"/>
                <w:szCs w:val="20"/>
                <w:color w:val="auto"/>
              </w:rPr>
            </w:pPr>
            <w:r>
              <w:rPr>
                <w:rFonts w:ascii="Arial" w:cs="Arial" w:eastAsia="Arial" w:hAnsi="Arial"/>
                <w:sz w:val="14"/>
                <w:szCs w:val="14"/>
                <w:color w:val="auto"/>
              </w:rPr>
              <w:t>$0.93</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GAAP results for the three months ended June 30, 2017 include:</w:t>
      </w:r>
    </w:p>
    <w:p>
      <w:pPr>
        <w:spacing w:after="0" w:line="73" w:lineRule="exact"/>
        <w:rPr>
          <w:sz w:val="20"/>
          <w:szCs w:val="20"/>
          <w:color w:val="auto"/>
        </w:rPr>
      </w:pPr>
    </w:p>
    <w:p>
      <w:pPr>
        <w:ind w:left="300" w:hanging="253"/>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55" w:lineRule="exact"/>
        <w:rPr>
          <w:rFonts w:ascii="Arial" w:cs="Arial" w:eastAsia="Arial" w:hAnsi="Arial"/>
          <w:sz w:val="14"/>
          <w:szCs w:val="14"/>
          <w:color w:val="auto"/>
        </w:rPr>
      </w:pPr>
    </w:p>
    <w:p>
      <w:pPr>
        <w:ind w:left="300" w:hanging="253"/>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300" w:hanging="257"/>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300" w:hanging="257"/>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300" w:hanging="253"/>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Caisson-related acquisition costs and gain on acquisition</w:t>
      </w:r>
    </w:p>
    <w:p>
      <w:pPr>
        <w:spacing w:after="0" w:line="55" w:lineRule="exact"/>
        <w:rPr>
          <w:rFonts w:ascii="Arial" w:cs="Arial" w:eastAsia="Arial" w:hAnsi="Arial"/>
          <w:sz w:val="14"/>
          <w:szCs w:val="14"/>
          <w:color w:val="auto"/>
        </w:rPr>
      </w:pPr>
    </w:p>
    <w:p>
      <w:pPr>
        <w:ind w:left="300" w:hanging="249"/>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Impairment of an equity-method investment, Highlife</w:t>
      </w:r>
    </w:p>
    <w:p>
      <w:pPr>
        <w:spacing w:after="0" w:line="55" w:lineRule="exact"/>
        <w:rPr>
          <w:rFonts w:ascii="Arial" w:cs="Arial" w:eastAsia="Arial" w:hAnsi="Arial"/>
          <w:sz w:val="14"/>
          <w:szCs w:val="14"/>
          <w:color w:val="auto"/>
        </w:rPr>
      </w:pPr>
    </w:p>
    <w:p>
      <w:pPr>
        <w:ind w:left="300" w:hanging="261"/>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Contingent consideration related to acquisitions, legal expenses primarily related to 3T Heater-Cooler defense and other matters</w:t>
      </w:r>
    </w:p>
    <w:p>
      <w:pPr>
        <w:spacing w:after="0" w:line="55" w:lineRule="exact"/>
        <w:rPr>
          <w:rFonts w:ascii="Arial" w:cs="Arial" w:eastAsia="Arial" w:hAnsi="Arial"/>
          <w:sz w:val="14"/>
          <w:szCs w:val="14"/>
          <w:color w:val="auto"/>
        </w:rPr>
      </w:pPr>
    </w:p>
    <w:p>
      <w:pPr>
        <w:ind w:left="300" w:hanging="257"/>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55" w:lineRule="exact"/>
        <w:rPr>
          <w:sz w:val="20"/>
          <w:szCs w:val="20"/>
          <w:color w:val="auto"/>
        </w:rPr>
      </w:pPr>
    </w:p>
    <w:p>
      <w:pPr>
        <w:ind w:left="80"/>
        <w:spacing w:after="0"/>
        <w:rPr>
          <w:sz w:val="20"/>
          <w:szCs w:val="20"/>
          <w:color w:val="auto"/>
        </w:rPr>
      </w:pPr>
      <w:r>
        <w:rPr>
          <w:rFonts w:ascii="Arial" w:cs="Arial" w:eastAsia="Arial" w:hAnsi="Arial"/>
          <w:sz w:val="14"/>
          <w:szCs w:val="14"/>
          <w:color w:val="auto"/>
        </w:rPr>
        <w:t>(I) Primarily relates to discrete tax items and the tax impact of intercompany transactions</w:t>
      </w:r>
    </w:p>
    <w:p>
      <w:pPr>
        <w:spacing w:after="0" w:line="55" w:lineRule="exact"/>
        <w:rPr>
          <w:sz w:val="20"/>
          <w:szCs w:val="20"/>
          <w:color w:val="auto"/>
        </w:rPr>
      </w:pPr>
    </w:p>
    <w:p>
      <w:pPr>
        <w:ind w:left="40" w:right="4660" w:firstLine="19"/>
        <w:spacing w:after="0" w:line="338" w:lineRule="auto"/>
        <w:tabs>
          <w:tab w:leader="none" w:pos="310" w:val="left"/>
        </w:tabs>
        <w:numPr>
          <w:ilvl w:val="1"/>
          <w:numId w:val="14"/>
        </w:numPr>
        <w:rPr>
          <w:rFonts w:ascii="Arial" w:cs="Arial" w:eastAsia="Arial" w:hAnsi="Arial"/>
          <w:sz w:val="14"/>
          <w:szCs w:val="14"/>
          <w:color w:val="auto"/>
        </w:rPr>
      </w:pPr>
      <w:r>
        <w:rPr>
          <w:rFonts w:ascii="Arial" w:cs="Arial" w:eastAsia="Arial" w:hAnsi="Arial"/>
          <w:sz w:val="14"/>
          <w:szCs w:val="14"/>
          <w:color w:val="auto"/>
        </w:rPr>
        <w:t>Primarily relates to intellectual property migration and other non-recurring impacts to interest expense * Numbers may not add up precisely due to rounding.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788" w:right="239" w:bottom="1440" w:gutter="0" w:footer="0" w:header="0"/>
        </w:sectPr>
      </w:pPr>
    </w:p>
    <w:bookmarkStart w:id="17" w:name="page18"/>
    <w:bookmarkEnd w:id="17"/>
    <w:p>
      <w:pPr>
        <w:ind w:left="1"/>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spacing w:after="0" w:line="55"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26035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1"/>
          </w:cols>
          <w:pgMar w:left="279" w:top="7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
        <w:spacing w:after="0" w:line="285" w:lineRule="auto"/>
        <w:rPr>
          <w:sz w:val="20"/>
          <w:szCs w:val="20"/>
          <w:color w:val="auto"/>
        </w:rPr>
      </w:pPr>
      <w:r>
        <w:rPr>
          <w:rFonts w:ascii="Arial" w:cs="Arial" w:eastAsia="Arial" w:hAnsi="Arial"/>
          <w:sz w:val="14"/>
          <w:szCs w:val="14"/>
          <w:b w:val="1"/>
          <w:bCs w:val="1"/>
          <w:color w:val="auto"/>
        </w:rPr>
        <w:t>Six Months Ended June 30, 2018</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6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rPr>
              <w:t>Specified Items</w:t>
            </w:r>
          </w:p>
        </w:tc>
        <w:tc>
          <w:tcPr>
            <w:tcW w:w="9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r>
      <w:tr>
        <w:trPr>
          <w:trHeight w:val="140"/>
        </w:trPr>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4"/>
              </w:rPr>
              <w:t>Non-</w:t>
            </w: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5"/>
        </w:trPr>
        <w:tc>
          <w:tcPr>
            <w:tcW w:w="6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Merger</w:t>
            </w:r>
          </w:p>
        </w:tc>
        <w:tc>
          <w:tcPr>
            <w:tcW w:w="78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Depreciation</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recurring</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78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7"/>
              </w:rPr>
              <w:t>Product</w:t>
            </w:r>
          </w:p>
        </w:tc>
        <w:tc>
          <w:tcPr>
            <w:tcW w:w="6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CRM</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Legal and</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Stock-based</w:t>
            </w:r>
          </w:p>
        </w:tc>
        <w:tc>
          <w:tcPr>
            <w:tcW w:w="8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Certain</w:t>
            </w:r>
          </w:p>
        </w:tc>
        <w:tc>
          <w:tcPr>
            <w:tcW w:w="620" w:type="dxa"/>
            <w:vAlign w:val="bottom"/>
          </w:tcPr>
          <w:p>
            <w:pPr>
              <w:spacing w:after="0"/>
              <w:rPr>
                <w:sz w:val="11"/>
                <w:szCs w:val="11"/>
                <w:color w:val="auto"/>
              </w:rPr>
            </w:pPr>
          </w:p>
        </w:tc>
      </w:tr>
      <w:tr>
        <w:trPr>
          <w:trHeight w:val="135"/>
        </w:trPr>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GAAP</w:t>
            </w:r>
          </w:p>
        </w:tc>
        <w:tc>
          <w:tcPr>
            <w:tcW w:w="4500" w:type="dxa"/>
            <w:vAlign w:val="bottom"/>
            <w:gridSpan w:val="6"/>
          </w:tcPr>
          <w:p>
            <w:pPr>
              <w:ind w:left="20"/>
              <w:spacing w:after="0" w:line="135" w:lineRule="exact"/>
              <w:rPr>
                <w:sz w:val="20"/>
                <w:szCs w:val="20"/>
                <w:color w:val="auto"/>
              </w:rPr>
            </w:pPr>
            <w:r>
              <w:rPr>
                <w:rFonts w:ascii="Arial" w:cs="Arial" w:eastAsia="Arial" w:hAnsi="Arial"/>
                <w:sz w:val="13"/>
                <w:szCs w:val="13"/>
                <w:b w:val="1"/>
                <w:bCs w:val="1"/>
                <w:color w:val="auto"/>
                <w:w w:val="98"/>
              </w:rPr>
              <w:t>Integration Restructuring Amortization Remediation Acquisition Disposal</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Contingent</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Certain Tax</w:t>
            </w:r>
          </w:p>
        </w:tc>
        <w:tc>
          <w:tcPr>
            <w:tcW w:w="7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7"/>
              </w:rPr>
              <w:t>Interest</w:t>
            </w: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Adjusted</w:t>
            </w:r>
          </w:p>
        </w:tc>
      </w:tr>
      <w:tr>
        <w:trPr>
          <w:trHeight w:val="135"/>
        </w:trPr>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Financial</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Expenses</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Expenses</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Expenses</w:t>
            </w: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8"/>
              </w:rPr>
              <w:t>Expenses</w:t>
            </w: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Costs</w:t>
            </w: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Costs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Consideration</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Costs</w:t>
            </w:r>
          </w:p>
        </w:tc>
        <w:tc>
          <w:tcPr>
            <w:tcW w:w="16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8"/>
              </w:rPr>
              <w:t>Adjustments Adjustments</w:t>
            </w: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Financial</w:t>
            </w:r>
          </w:p>
        </w:tc>
      </w:tr>
      <w:tr>
        <w:trPr>
          <w:trHeight w:val="168"/>
        </w:trPr>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9"/>
              </w:rPr>
              <w:t>(A)</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8"/>
              </w:rPr>
              <w:t>(B)</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9"/>
              </w:rPr>
              <w:t>(C)</w:t>
            </w:r>
          </w:p>
        </w:tc>
        <w:tc>
          <w:tcPr>
            <w:tcW w:w="800" w:type="dxa"/>
            <w:vAlign w:val="bottom"/>
          </w:tcPr>
          <w:p>
            <w:pPr>
              <w:jc w:val="center"/>
              <w:ind w:right="17"/>
              <w:spacing w:after="0"/>
              <w:rPr>
                <w:sz w:val="20"/>
                <w:szCs w:val="20"/>
                <w:color w:val="auto"/>
              </w:rPr>
            </w:pPr>
            <w:r>
              <w:rPr>
                <w:rFonts w:ascii="Arial" w:cs="Arial" w:eastAsia="Arial" w:hAnsi="Arial"/>
                <w:sz w:val="13"/>
                <w:szCs w:val="13"/>
                <w:b w:val="1"/>
                <w:bCs w:val="1"/>
                <w:color w:val="auto"/>
                <w:w w:val="88"/>
              </w:rPr>
              <w:t>(D)</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(E)</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6"/>
              </w:rPr>
              <w:t>(F)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(G)</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8"/>
              </w:rPr>
              <w:t>(H)</w:t>
            </w:r>
          </w:p>
        </w:tc>
        <w:tc>
          <w:tcPr>
            <w:tcW w:w="880" w:type="dxa"/>
            <w:vAlign w:val="bottom"/>
          </w:tcPr>
          <w:p>
            <w:pPr>
              <w:jc w:val="center"/>
              <w:ind w:right="17"/>
              <w:spacing w:after="0"/>
              <w:rPr>
                <w:sz w:val="20"/>
                <w:szCs w:val="20"/>
                <w:color w:val="auto"/>
              </w:rPr>
            </w:pPr>
            <w:r>
              <w:rPr>
                <w:rFonts w:ascii="Arial" w:cs="Arial" w:eastAsia="Arial" w:hAnsi="Arial"/>
                <w:sz w:val="13"/>
                <w:szCs w:val="13"/>
                <w:b w:val="1"/>
                <w:bCs w:val="1"/>
                <w:color w:val="auto"/>
                <w:w w:val="97"/>
              </w:rPr>
              <w:t>(I)</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(J)</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6"/>
              </w:rPr>
              <w:t>Measures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10160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5" w:lineRule="exact"/>
        <w:rPr>
          <w:sz w:val="20"/>
          <w:szCs w:val="20"/>
          <w:color w:val="auto"/>
        </w:rPr>
      </w:pPr>
    </w:p>
    <w:p>
      <w:pPr>
        <w:sectPr>
          <w:pgSz w:w="11900" w:h="16838" w:orient="portrait"/>
          <w:cols w:equalWidth="0" w:num="2">
            <w:col w:w="1861" w:space="300"/>
            <w:col w:w="9220"/>
          </w:cols>
          <w:pgMar w:left="279" w:top="788" w:right="239" w:bottom="1440" w:gutter="0" w:footer="0" w:header="0"/>
          <w:type w:val="continuous"/>
        </w:sectPr>
      </w:pPr>
    </w:p>
    <w:tbl>
      <w:tblPr>
        <w:tblLayout w:type="fixed"/>
        <w:tblInd w:w="1" w:type="dxa"/>
        <w:tblCellMar>
          <w:top w:w="0" w:type="dxa"/>
          <w:left w:w="0" w:type="dxa"/>
          <w:bottom w:w="0" w:type="dxa"/>
          <w:right w:w="0" w:type="dxa"/>
        </w:tblCellMar>
      </w:tblPr>
      <w:tr>
        <w:trPr>
          <w:trHeight w:val="172"/>
        </w:trPr>
        <w:tc>
          <w:tcPr>
            <w:tcW w:w="2120" w:type="dxa"/>
            <w:vAlign w:val="bottom"/>
          </w:tcPr>
          <w:p>
            <w:pPr>
              <w:spacing w:after="0"/>
              <w:rPr>
                <w:sz w:val="20"/>
                <w:szCs w:val="20"/>
                <w:color w:val="auto"/>
              </w:rPr>
            </w:pPr>
            <w:r>
              <w:rPr>
                <w:rFonts w:ascii="Arial" w:cs="Arial" w:eastAsia="Arial" w:hAnsi="Arial"/>
                <w:sz w:val="14"/>
                <w:szCs w:val="14"/>
                <w:color w:val="auto"/>
              </w:rPr>
              <w:t>Net sales</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$537.9</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$537.9</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4"/>
                <w:szCs w:val="14"/>
                <w:color w:val="auto"/>
              </w:rPr>
              <w:t>Cost of sales</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176.6</w:t>
            </w: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(5.7)</w:t>
            </w:r>
          </w:p>
        </w:tc>
        <w:tc>
          <w:tcPr>
            <w:tcW w:w="70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720" w:type="dxa"/>
            <w:vAlign w:val="bottom"/>
          </w:tcPr>
          <w:p>
            <w:pPr>
              <w:spacing w:after="0"/>
              <w:rPr>
                <w:sz w:val="23"/>
                <w:szCs w:val="23"/>
                <w:color w:val="auto"/>
              </w:rPr>
            </w:pP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3.6</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(0.5)</w:t>
            </w:r>
          </w:p>
        </w:tc>
        <w:tc>
          <w:tcPr>
            <w:tcW w:w="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174.0</w:t>
            </w:r>
          </w:p>
        </w:tc>
        <w:tc>
          <w:tcPr>
            <w:tcW w:w="0" w:type="dxa"/>
            <w:vAlign w:val="bottom"/>
          </w:tcPr>
          <w:p>
            <w:pPr>
              <w:spacing w:after="0"/>
              <w:rPr>
                <w:sz w:val="1"/>
                <w:szCs w:val="1"/>
                <w:color w:val="auto"/>
              </w:rPr>
            </w:pPr>
          </w:p>
        </w:tc>
      </w:tr>
      <w:tr>
        <w:trPr>
          <w:trHeight w:val="222"/>
        </w:trPr>
        <w:tc>
          <w:tcPr>
            <w:tcW w:w="2120" w:type="dxa"/>
            <w:vAlign w:val="bottom"/>
          </w:tcPr>
          <w:p>
            <w:pPr>
              <w:spacing w:after="0"/>
              <w:rPr>
                <w:sz w:val="20"/>
                <w:szCs w:val="20"/>
                <w:color w:val="auto"/>
              </w:rPr>
            </w:pPr>
            <w:r>
              <w:rPr>
                <w:rFonts w:ascii="Arial" w:cs="Arial" w:eastAsia="Arial" w:hAnsi="Arial"/>
                <w:sz w:val="14"/>
                <w:szCs w:val="14"/>
                <w:color w:val="auto"/>
              </w:rPr>
              <w:t>Product remediation</w:t>
            </w: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5.3</w:t>
            </w:r>
          </w:p>
        </w:tc>
        <w:tc>
          <w:tcPr>
            <w:tcW w:w="8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(5.3)</w:t>
            </w:r>
          </w:p>
        </w:tc>
        <w:tc>
          <w:tcPr>
            <w:tcW w:w="7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2120" w:type="dxa"/>
            <w:vAlign w:val="bottom"/>
          </w:tcPr>
          <w:p>
            <w:pPr>
              <w:ind w:left="240"/>
              <w:spacing w:after="0"/>
              <w:rPr>
                <w:sz w:val="20"/>
                <w:szCs w:val="20"/>
                <w:color w:val="auto"/>
              </w:rPr>
            </w:pPr>
            <w:r>
              <w:rPr>
                <w:rFonts w:ascii="Arial" w:cs="Arial" w:eastAsia="Arial" w:hAnsi="Arial"/>
                <w:sz w:val="14"/>
                <w:szCs w:val="14"/>
                <w:color w:val="auto"/>
              </w:rPr>
              <w:t>Gross profit</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356.0</w:t>
            </w: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5.7</w:t>
            </w:r>
          </w:p>
        </w:tc>
        <w:tc>
          <w:tcPr>
            <w:tcW w:w="700" w:type="dxa"/>
            <w:vAlign w:val="bottom"/>
          </w:tcPr>
          <w:p>
            <w:pPr>
              <w:jc w:val="center"/>
              <w:spacing w:after="0"/>
              <w:rPr>
                <w:sz w:val="20"/>
                <w:szCs w:val="20"/>
                <w:color w:val="auto"/>
              </w:rPr>
            </w:pPr>
            <w:r>
              <w:rPr>
                <w:rFonts w:ascii="Arial" w:cs="Arial" w:eastAsia="Arial" w:hAnsi="Arial"/>
                <w:sz w:val="14"/>
                <w:szCs w:val="14"/>
                <w:color w:val="auto"/>
              </w:rPr>
              <w:t>5.3</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0.1</w:t>
            </w:r>
          </w:p>
        </w:tc>
        <w:tc>
          <w:tcPr>
            <w:tcW w:w="720" w:type="dxa"/>
            <w:vAlign w:val="bottom"/>
          </w:tcPr>
          <w:p>
            <w:pPr>
              <w:spacing w:after="0"/>
              <w:rPr>
                <w:sz w:val="22"/>
                <w:szCs w:val="22"/>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color w:val="auto"/>
              </w:rPr>
              <w:t>(3.6)</w:t>
            </w: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0.5</w:t>
            </w:r>
          </w:p>
        </w:tc>
        <w:tc>
          <w:tcPr>
            <w:tcW w:w="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363.9</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4"/>
                <w:szCs w:val="14"/>
                <w:color w:val="auto"/>
              </w:rPr>
              <w:t>Operating expenses:</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140"/>
              <w:spacing w:after="0"/>
              <w:rPr>
                <w:sz w:val="20"/>
                <w:szCs w:val="20"/>
                <w:color w:val="auto"/>
              </w:rPr>
            </w:pPr>
            <w:r>
              <w:rPr>
                <w:rFonts w:ascii="Arial" w:cs="Arial" w:eastAsia="Arial" w:hAnsi="Arial"/>
                <w:sz w:val="14"/>
                <w:szCs w:val="14"/>
                <w:color w:val="auto"/>
              </w:rPr>
              <w:t>Selling, general and</w:t>
            </w: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120" w:type="dxa"/>
            <w:vAlign w:val="bottom"/>
          </w:tcPr>
          <w:p>
            <w:pPr>
              <w:ind w:left="140"/>
              <w:spacing w:after="0"/>
              <w:rPr>
                <w:sz w:val="20"/>
                <w:szCs w:val="20"/>
                <w:color w:val="auto"/>
              </w:rPr>
            </w:pPr>
            <w:r>
              <w:rPr>
                <w:rFonts w:ascii="Arial" w:cs="Arial" w:eastAsia="Arial" w:hAnsi="Arial"/>
                <w:sz w:val="14"/>
                <w:szCs w:val="14"/>
                <w:color w:val="auto"/>
              </w:rPr>
              <w:t>administrative</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227.6</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(0.3)</w:t>
            </w:r>
          </w:p>
        </w:tc>
        <w:tc>
          <w:tcPr>
            <w:tcW w:w="7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(3.8)</w:t>
            </w:r>
          </w:p>
        </w:tc>
        <w:tc>
          <w:tcPr>
            <w:tcW w:w="720" w:type="dxa"/>
            <w:vAlign w:val="bottom"/>
          </w:tcPr>
          <w:p>
            <w:pPr>
              <w:jc w:val="center"/>
              <w:ind w:right="68"/>
              <w:spacing w:after="0"/>
              <w:rPr>
                <w:sz w:val="20"/>
                <w:szCs w:val="20"/>
                <w:color w:val="auto"/>
              </w:rPr>
            </w:pPr>
            <w:r>
              <w:rPr>
                <w:rFonts w:ascii="Arial" w:cs="Arial" w:eastAsia="Arial" w:hAnsi="Arial"/>
                <w:sz w:val="14"/>
                <w:szCs w:val="14"/>
                <w:color w:val="auto"/>
              </w:rPr>
              <w:t>(1.9)</w:t>
            </w:r>
          </w:p>
        </w:tc>
        <w:tc>
          <w:tcPr>
            <w:tcW w:w="900" w:type="dxa"/>
            <w:vAlign w:val="bottom"/>
          </w:tcPr>
          <w:p>
            <w:pPr>
              <w:jc w:val="right"/>
              <w:ind w:right="208"/>
              <w:spacing w:after="0"/>
              <w:rPr>
                <w:sz w:val="20"/>
                <w:szCs w:val="20"/>
                <w:color w:val="auto"/>
              </w:rPr>
            </w:pPr>
            <w:r>
              <w:rPr>
                <w:rFonts w:ascii="Arial" w:cs="Arial" w:eastAsia="Arial" w:hAnsi="Arial"/>
                <w:sz w:val="14"/>
                <w:szCs w:val="14"/>
                <w:color w:val="auto"/>
              </w:rPr>
              <w:t>(11.4)</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(9.3)</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270"/>
        </w:trPr>
        <w:tc>
          <w:tcPr>
            <w:tcW w:w="212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66.0</w:t>
            </w: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(0.1)</w:t>
            </w:r>
          </w:p>
        </w:tc>
        <w:tc>
          <w:tcPr>
            <w:tcW w:w="70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720" w:type="dxa"/>
            <w:vAlign w:val="bottom"/>
          </w:tcPr>
          <w:p>
            <w:pPr>
              <w:spacing w:after="0"/>
              <w:rPr>
                <w:sz w:val="23"/>
                <w:szCs w:val="23"/>
                <w:color w:val="auto"/>
              </w:rPr>
            </w:pP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1.9</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(2.4)</w:t>
            </w:r>
          </w:p>
        </w:tc>
        <w:tc>
          <w:tcPr>
            <w:tcW w:w="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206"/>
        </w:trPr>
        <w:tc>
          <w:tcPr>
            <w:tcW w:w="2120" w:type="dxa"/>
            <w:vAlign w:val="bottom"/>
          </w:tcPr>
          <w:p>
            <w:pPr>
              <w:ind w:left="140"/>
              <w:spacing w:after="0"/>
              <w:rPr>
                <w:sz w:val="20"/>
                <w:szCs w:val="20"/>
                <w:color w:val="auto"/>
              </w:rPr>
            </w:pPr>
            <w:r>
              <w:rPr>
                <w:rFonts w:ascii="Arial" w:cs="Arial" w:eastAsia="Arial" w:hAnsi="Arial"/>
                <w:sz w:val="14"/>
                <w:szCs w:val="14"/>
                <w:color w:val="auto"/>
              </w:rPr>
              <w:t>Merger and integration</w:t>
            </w: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120" w:type="dxa"/>
            <w:vAlign w:val="bottom"/>
          </w:tcPr>
          <w:p>
            <w:pPr>
              <w:ind w:left="140"/>
              <w:spacing w:after="0"/>
              <w:rPr>
                <w:sz w:val="20"/>
                <w:szCs w:val="20"/>
                <w:color w:val="auto"/>
              </w:rPr>
            </w:pPr>
            <w:r>
              <w:rPr>
                <w:rFonts w:ascii="Arial" w:cs="Arial" w:eastAsia="Arial" w:hAnsi="Arial"/>
                <w:sz w:val="14"/>
                <w:szCs w:val="14"/>
                <w:color w:val="auto"/>
              </w:rPr>
              <w:t>expenses</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7.4</w:t>
            </w:r>
          </w:p>
        </w:tc>
        <w:tc>
          <w:tcPr>
            <w:tcW w:w="800" w:type="dxa"/>
            <w:vAlign w:val="bottom"/>
          </w:tcPr>
          <w:p>
            <w:pPr>
              <w:jc w:val="center"/>
              <w:ind w:right="28"/>
              <w:spacing w:after="0"/>
              <w:rPr>
                <w:sz w:val="20"/>
                <w:szCs w:val="20"/>
                <w:color w:val="auto"/>
              </w:rPr>
            </w:pPr>
            <w:r>
              <w:rPr>
                <w:rFonts w:ascii="Arial" w:cs="Arial" w:eastAsia="Arial" w:hAnsi="Arial"/>
                <w:sz w:val="14"/>
                <w:szCs w:val="14"/>
                <w:color w:val="auto"/>
              </w:rPr>
              <w:t>(7.4)</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120" w:type="dxa"/>
            <w:vAlign w:val="bottom"/>
          </w:tcPr>
          <w:p>
            <w:pPr>
              <w:ind w:left="140"/>
              <w:spacing w:after="0"/>
              <w:rPr>
                <w:sz w:val="20"/>
                <w:szCs w:val="20"/>
                <w:color w:val="auto"/>
              </w:rPr>
            </w:pPr>
            <w:r>
              <w:rPr>
                <w:rFonts w:ascii="Arial" w:cs="Arial" w:eastAsia="Arial" w:hAnsi="Arial"/>
                <w:sz w:val="14"/>
                <w:szCs w:val="14"/>
                <w:color w:val="auto"/>
              </w:rPr>
              <w:t>Restructuring expenses</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2.4</w:t>
            </w:r>
          </w:p>
        </w:tc>
        <w:tc>
          <w:tcPr>
            <w:tcW w:w="800" w:type="dxa"/>
            <w:vAlign w:val="bottom"/>
          </w:tcPr>
          <w:p>
            <w:pPr>
              <w:spacing w:after="0"/>
              <w:rPr>
                <w:sz w:val="18"/>
                <w:szCs w:val="18"/>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color w:val="auto"/>
              </w:rPr>
              <w:t>(2.4)</w:t>
            </w: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120" w:type="dxa"/>
            <w:vAlign w:val="bottom"/>
          </w:tcPr>
          <w:p>
            <w:pPr>
              <w:ind w:left="140"/>
              <w:spacing w:after="0"/>
              <w:rPr>
                <w:sz w:val="20"/>
                <w:szCs w:val="20"/>
                <w:color w:val="auto"/>
              </w:rPr>
            </w:pPr>
            <w:r>
              <w:rPr>
                <w:rFonts w:ascii="Arial" w:cs="Arial" w:eastAsia="Arial" w:hAnsi="Arial"/>
                <w:sz w:val="14"/>
                <w:szCs w:val="14"/>
                <w:color w:val="auto"/>
              </w:rPr>
              <w:t>Amortization of intangibles</w:t>
            </w: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18.6</w:t>
            </w:r>
          </w:p>
        </w:tc>
        <w:tc>
          <w:tcPr>
            <w:tcW w:w="8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(18.6)</w:t>
            </w: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120" w:type="dxa"/>
            <w:vAlign w:val="bottom"/>
          </w:tcPr>
          <w:p>
            <w:pPr>
              <w:ind w:left="240"/>
              <w:spacing w:after="0"/>
              <w:rPr>
                <w:sz w:val="20"/>
                <w:szCs w:val="20"/>
                <w:color w:val="auto"/>
              </w:rPr>
            </w:pPr>
            <w:r>
              <w:rPr>
                <w:rFonts w:ascii="Arial" w:cs="Arial" w:eastAsia="Arial" w:hAnsi="Arial"/>
                <w:sz w:val="14"/>
                <w:szCs w:val="14"/>
                <w:color w:val="auto"/>
              </w:rPr>
              <w:t>Total operating expenses</w:t>
            </w: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321.9</w:t>
            </w: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(7.4)</w:t>
            </w: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(2.4)</w:t>
            </w: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(19.1)</w:t>
            </w: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w:t>
            </w:r>
          </w:p>
        </w:tc>
        <w:tc>
          <w:tcPr>
            <w:tcW w:w="7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(1.9)</w:t>
            </w: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(9.5)</w:t>
            </w: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(11.7)</w:t>
            </w:r>
          </w:p>
        </w:tc>
        <w:tc>
          <w:tcPr>
            <w:tcW w:w="8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262.5</w:t>
            </w:r>
          </w:p>
        </w:tc>
        <w:tc>
          <w:tcPr>
            <w:tcW w:w="0" w:type="dxa"/>
            <w:vAlign w:val="bottom"/>
          </w:tcPr>
          <w:p>
            <w:pPr>
              <w:spacing w:after="0"/>
              <w:rPr>
                <w:sz w:val="1"/>
                <w:szCs w:val="1"/>
                <w:color w:val="auto"/>
              </w:rPr>
            </w:pPr>
          </w:p>
        </w:tc>
      </w:tr>
      <w:tr>
        <w:trPr>
          <w:trHeight w:val="180"/>
        </w:trPr>
        <w:tc>
          <w:tcPr>
            <w:tcW w:w="2120" w:type="dxa"/>
            <w:vAlign w:val="bottom"/>
          </w:tcPr>
          <w:p>
            <w:pPr>
              <w:ind w:left="240"/>
              <w:spacing w:after="0"/>
              <w:rPr>
                <w:sz w:val="20"/>
                <w:szCs w:val="20"/>
                <w:color w:val="auto"/>
              </w:rPr>
            </w:pPr>
            <w:r>
              <w:rPr>
                <w:rFonts w:ascii="Arial" w:cs="Arial" w:eastAsia="Arial" w:hAnsi="Arial"/>
                <w:sz w:val="14"/>
                <w:szCs w:val="14"/>
                <w:color w:val="auto"/>
              </w:rPr>
              <w:t>Operating income from</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120" w:type="dxa"/>
            <w:vAlign w:val="bottom"/>
          </w:tcPr>
          <w:p>
            <w:pPr>
              <w:ind w:left="240"/>
              <w:spacing w:after="0"/>
              <w:rPr>
                <w:sz w:val="20"/>
                <w:szCs w:val="20"/>
                <w:color w:val="auto"/>
              </w:rPr>
            </w:pPr>
            <w:r>
              <w:rPr>
                <w:rFonts w:ascii="Arial" w:cs="Arial" w:eastAsia="Arial" w:hAnsi="Arial"/>
                <w:sz w:val="14"/>
                <w:szCs w:val="14"/>
                <w:color w:val="auto"/>
              </w:rPr>
              <w:t>continuing operations</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34.1</w:t>
            </w:r>
          </w:p>
        </w:tc>
        <w:tc>
          <w:tcPr>
            <w:tcW w:w="800" w:type="dxa"/>
            <w:vAlign w:val="bottom"/>
          </w:tcPr>
          <w:p>
            <w:pPr>
              <w:jc w:val="center"/>
              <w:ind w:right="8"/>
              <w:spacing w:after="0"/>
              <w:rPr>
                <w:sz w:val="20"/>
                <w:szCs w:val="20"/>
                <w:color w:val="auto"/>
              </w:rPr>
            </w:pPr>
            <w:r>
              <w:rPr>
                <w:rFonts w:ascii="Arial" w:cs="Arial" w:eastAsia="Arial" w:hAnsi="Arial"/>
                <w:sz w:val="14"/>
                <w:szCs w:val="14"/>
                <w:color w:val="auto"/>
              </w:rPr>
              <w:t>7.4</w:t>
            </w: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2.4</w:t>
            </w: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24.7</w:t>
            </w:r>
          </w:p>
        </w:tc>
        <w:tc>
          <w:tcPr>
            <w:tcW w:w="700" w:type="dxa"/>
            <w:vAlign w:val="bottom"/>
          </w:tcPr>
          <w:p>
            <w:pPr>
              <w:jc w:val="center"/>
              <w:spacing w:after="0"/>
              <w:rPr>
                <w:sz w:val="20"/>
                <w:szCs w:val="20"/>
                <w:color w:val="auto"/>
              </w:rPr>
            </w:pPr>
            <w:r>
              <w:rPr>
                <w:rFonts w:ascii="Arial" w:cs="Arial" w:eastAsia="Arial" w:hAnsi="Arial"/>
                <w:sz w:val="14"/>
                <w:szCs w:val="14"/>
                <w:color w:val="auto"/>
              </w:rPr>
              <w:t>5.3</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7.6</w:t>
            </w:r>
          </w:p>
        </w:tc>
        <w:tc>
          <w:tcPr>
            <w:tcW w:w="720" w:type="dxa"/>
            <w:vAlign w:val="bottom"/>
          </w:tcPr>
          <w:p>
            <w:pPr>
              <w:jc w:val="center"/>
              <w:ind w:right="88"/>
              <w:spacing w:after="0"/>
              <w:rPr>
                <w:sz w:val="20"/>
                <w:szCs w:val="20"/>
                <w:color w:val="auto"/>
              </w:rPr>
            </w:pPr>
            <w:r>
              <w:rPr>
                <w:rFonts w:ascii="Arial" w:cs="Arial" w:eastAsia="Arial" w:hAnsi="Arial"/>
                <w:sz w:val="14"/>
                <w:szCs w:val="14"/>
                <w:color w:val="auto"/>
              </w:rPr>
              <w:t>1.9</w:t>
            </w: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6.0</w:t>
            </w: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12.2</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101.4</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4"/>
                <w:szCs w:val="14"/>
                <w:color w:val="auto"/>
              </w:rPr>
              <w:t>Interest income</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0.7</w:t>
            </w: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4"/>
                <w:szCs w:val="14"/>
                <w:color w:val="auto"/>
              </w:rPr>
              <w:t>Interest expense</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(5.1)</w:t>
            </w: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4"/>
                <w:szCs w:val="14"/>
                <w:color w:val="auto"/>
              </w:rPr>
              <w:t>1.5</w:t>
            </w:r>
          </w:p>
        </w:tc>
        <w:tc>
          <w:tcPr>
            <w:tcW w:w="62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6"/>
        </w:trPr>
        <w:tc>
          <w:tcPr>
            <w:tcW w:w="2120" w:type="dxa"/>
            <w:vAlign w:val="bottom"/>
          </w:tcPr>
          <w:p>
            <w:pPr>
              <w:spacing w:after="0"/>
              <w:rPr>
                <w:sz w:val="20"/>
                <w:szCs w:val="20"/>
                <w:color w:val="auto"/>
              </w:rPr>
            </w:pPr>
            <w:r>
              <w:rPr>
                <w:rFonts w:ascii="Arial" w:cs="Arial" w:eastAsia="Arial" w:hAnsi="Arial"/>
                <w:sz w:val="14"/>
                <w:szCs w:val="14"/>
                <w:color w:val="auto"/>
              </w:rPr>
              <w:t>Gain on acquisition of ImThera</w:t>
            </w: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120" w:type="dxa"/>
            <w:vAlign w:val="bottom"/>
          </w:tcPr>
          <w:p>
            <w:pPr>
              <w:spacing w:after="0"/>
              <w:rPr>
                <w:sz w:val="20"/>
                <w:szCs w:val="20"/>
                <w:color w:val="auto"/>
              </w:rPr>
            </w:pPr>
            <w:r>
              <w:rPr>
                <w:rFonts w:ascii="Arial" w:cs="Arial" w:eastAsia="Arial" w:hAnsi="Arial"/>
                <w:sz w:val="14"/>
                <w:szCs w:val="14"/>
                <w:color w:val="auto"/>
              </w:rPr>
              <w:t>Medical, Inc.</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11.5</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(11.5)</w:t>
            </w: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120" w:type="dxa"/>
            <w:vAlign w:val="bottom"/>
          </w:tcPr>
          <w:p>
            <w:pPr>
              <w:spacing w:after="0"/>
              <w:rPr>
                <w:sz w:val="20"/>
                <w:szCs w:val="20"/>
                <w:color w:val="auto"/>
              </w:rPr>
            </w:pPr>
            <w:r>
              <w:rPr>
                <w:rFonts w:ascii="Arial" w:cs="Arial" w:eastAsia="Arial" w:hAnsi="Arial"/>
                <w:sz w:val="14"/>
                <w:szCs w:val="14"/>
                <w:color w:val="auto"/>
              </w:rPr>
              <w:t>Foreign exchange and other</w:t>
            </w: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120" w:type="dxa"/>
            <w:vAlign w:val="bottom"/>
          </w:tcPr>
          <w:p>
            <w:pPr>
              <w:spacing w:after="0"/>
              <w:rPr>
                <w:sz w:val="20"/>
                <w:szCs w:val="20"/>
                <w:color w:val="auto"/>
              </w:rPr>
            </w:pPr>
            <w:r>
              <w:rPr>
                <w:rFonts w:ascii="Arial" w:cs="Arial" w:eastAsia="Arial" w:hAnsi="Arial"/>
                <w:sz w:val="14"/>
                <w:szCs w:val="14"/>
                <w:color w:val="auto"/>
              </w:rPr>
              <w:t>losses</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(0.3)</w:t>
            </w:r>
          </w:p>
        </w:tc>
        <w:tc>
          <w:tcPr>
            <w:tcW w:w="8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0"/>
        </w:trPr>
        <w:tc>
          <w:tcPr>
            <w:tcW w:w="2120" w:type="dxa"/>
            <w:vAlign w:val="bottom"/>
          </w:tcPr>
          <w:p>
            <w:pPr>
              <w:spacing w:after="0"/>
              <w:rPr>
                <w:sz w:val="20"/>
                <w:szCs w:val="20"/>
                <w:color w:val="auto"/>
              </w:rPr>
            </w:pPr>
            <w:r>
              <w:rPr>
                <w:rFonts w:ascii="Arial" w:cs="Arial" w:eastAsia="Arial" w:hAnsi="Arial"/>
                <w:sz w:val="14"/>
                <w:szCs w:val="14"/>
                <w:color w:val="auto"/>
              </w:rPr>
              <w:t>Income from continuing</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120" w:type="dxa"/>
            <w:vAlign w:val="bottom"/>
          </w:tcPr>
          <w:p>
            <w:pPr>
              <w:spacing w:after="0"/>
              <w:rPr>
                <w:sz w:val="20"/>
                <w:szCs w:val="20"/>
                <w:color w:val="auto"/>
              </w:rPr>
            </w:pPr>
            <w:r>
              <w:rPr>
                <w:rFonts w:ascii="Arial" w:cs="Arial" w:eastAsia="Arial" w:hAnsi="Arial"/>
                <w:sz w:val="14"/>
                <w:szCs w:val="14"/>
                <w:color w:val="auto"/>
              </w:rPr>
              <w:t>operations before tax</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40.8</w:t>
            </w:r>
          </w:p>
        </w:tc>
        <w:tc>
          <w:tcPr>
            <w:tcW w:w="800" w:type="dxa"/>
            <w:vAlign w:val="bottom"/>
          </w:tcPr>
          <w:p>
            <w:pPr>
              <w:jc w:val="center"/>
              <w:ind w:right="8"/>
              <w:spacing w:after="0"/>
              <w:rPr>
                <w:sz w:val="20"/>
                <w:szCs w:val="20"/>
                <w:color w:val="auto"/>
              </w:rPr>
            </w:pPr>
            <w:r>
              <w:rPr>
                <w:rFonts w:ascii="Arial" w:cs="Arial" w:eastAsia="Arial" w:hAnsi="Arial"/>
                <w:sz w:val="14"/>
                <w:szCs w:val="14"/>
                <w:color w:val="auto"/>
              </w:rPr>
              <w:t>7.4</w:t>
            </w: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2.4</w:t>
            </w: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24.7</w:t>
            </w:r>
          </w:p>
        </w:tc>
        <w:tc>
          <w:tcPr>
            <w:tcW w:w="700" w:type="dxa"/>
            <w:vAlign w:val="bottom"/>
          </w:tcPr>
          <w:p>
            <w:pPr>
              <w:jc w:val="center"/>
              <w:spacing w:after="0"/>
              <w:rPr>
                <w:sz w:val="20"/>
                <w:szCs w:val="20"/>
                <w:color w:val="auto"/>
              </w:rPr>
            </w:pPr>
            <w:r>
              <w:rPr>
                <w:rFonts w:ascii="Arial" w:cs="Arial" w:eastAsia="Arial" w:hAnsi="Arial"/>
                <w:sz w:val="14"/>
                <w:szCs w:val="14"/>
                <w:color w:val="auto"/>
              </w:rPr>
              <w:t>5.3</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720" w:type="dxa"/>
            <w:vAlign w:val="bottom"/>
          </w:tcPr>
          <w:p>
            <w:pPr>
              <w:jc w:val="center"/>
              <w:ind w:right="88"/>
              <w:spacing w:after="0"/>
              <w:rPr>
                <w:sz w:val="20"/>
                <w:szCs w:val="20"/>
                <w:color w:val="auto"/>
              </w:rPr>
            </w:pPr>
            <w:r>
              <w:rPr>
                <w:rFonts w:ascii="Arial" w:cs="Arial" w:eastAsia="Arial" w:hAnsi="Arial"/>
                <w:sz w:val="14"/>
                <w:szCs w:val="14"/>
                <w:color w:val="auto"/>
              </w:rPr>
              <w:t>1.9</w:t>
            </w: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6.0</w:t>
            </w: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12.2</w:t>
            </w:r>
          </w:p>
        </w:tc>
        <w:tc>
          <w:tcPr>
            <w:tcW w:w="800" w:type="dxa"/>
            <w:vAlign w:val="bottom"/>
          </w:tcPr>
          <w:p>
            <w:pPr>
              <w:spacing w:after="0"/>
              <w:rPr>
                <w:sz w:val="14"/>
                <w:szCs w:val="14"/>
                <w:color w:val="auto"/>
              </w:rPr>
            </w:pPr>
          </w:p>
        </w:tc>
        <w:tc>
          <w:tcPr>
            <w:tcW w:w="660" w:type="dxa"/>
            <w:vAlign w:val="bottom"/>
          </w:tcPr>
          <w:p>
            <w:pPr>
              <w:ind w:left="320"/>
              <w:spacing w:after="0"/>
              <w:rPr>
                <w:sz w:val="20"/>
                <w:szCs w:val="20"/>
                <w:color w:val="auto"/>
              </w:rPr>
            </w:pPr>
            <w:r>
              <w:rPr>
                <w:rFonts w:ascii="Arial" w:cs="Arial" w:eastAsia="Arial" w:hAnsi="Arial"/>
                <w:sz w:val="14"/>
                <w:szCs w:val="14"/>
                <w:color w:val="auto"/>
              </w:rPr>
              <w:t>1.5</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216"/>
        </w:trPr>
        <w:tc>
          <w:tcPr>
            <w:tcW w:w="2120" w:type="dxa"/>
            <w:vAlign w:val="bottom"/>
          </w:tcPr>
          <w:p>
            <w:pPr>
              <w:ind w:left="140"/>
              <w:spacing w:after="0"/>
              <w:rPr>
                <w:sz w:val="20"/>
                <w:szCs w:val="20"/>
                <w:color w:val="auto"/>
              </w:rPr>
            </w:pPr>
            <w:r>
              <w:rPr>
                <w:rFonts w:ascii="Arial" w:cs="Arial" w:eastAsia="Arial" w:hAnsi="Arial"/>
                <w:sz w:val="14"/>
                <w:szCs w:val="14"/>
                <w:color w:val="auto"/>
              </w:rPr>
              <w:t>Income tax expense</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2.9</w:t>
            </w:r>
          </w:p>
        </w:tc>
        <w:tc>
          <w:tcPr>
            <w:tcW w:w="800" w:type="dxa"/>
            <w:vAlign w:val="bottom"/>
          </w:tcPr>
          <w:p>
            <w:pPr>
              <w:jc w:val="center"/>
              <w:ind w:right="8"/>
              <w:spacing w:after="0"/>
              <w:rPr>
                <w:sz w:val="20"/>
                <w:szCs w:val="20"/>
                <w:color w:val="auto"/>
              </w:rPr>
            </w:pPr>
            <w:r>
              <w:rPr>
                <w:rFonts w:ascii="Arial" w:cs="Arial" w:eastAsia="Arial" w:hAnsi="Arial"/>
                <w:sz w:val="14"/>
                <w:szCs w:val="14"/>
                <w:color w:val="auto"/>
              </w:rPr>
              <w:t>1.7</w:t>
            </w: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0.5</w:t>
            </w: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5.7</w:t>
            </w:r>
          </w:p>
        </w:tc>
        <w:tc>
          <w:tcPr>
            <w:tcW w:w="700" w:type="dxa"/>
            <w:vAlign w:val="bottom"/>
          </w:tcPr>
          <w:p>
            <w:pPr>
              <w:jc w:val="center"/>
              <w:spacing w:after="0"/>
              <w:rPr>
                <w:sz w:val="20"/>
                <w:szCs w:val="20"/>
                <w:color w:val="auto"/>
              </w:rPr>
            </w:pPr>
            <w:r>
              <w:rPr>
                <w:rFonts w:ascii="Arial" w:cs="Arial" w:eastAsia="Arial" w:hAnsi="Arial"/>
                <w:sz w:val="14"/>
                <w:szCs w:val="14"/>
                <w:color w:val="auto"/>
              </w:rPr>
              <w:t>1.2</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720" w:type="dxa"/>
            <w:vAlign w:val="bottom"/>
          </w:tcPr>
          <w:p>
            <w:pPr>
              <w:jc w:val="center"/>
              <w:ind w:right="88"/>
              <w:spacing w:after="0"/>
              <w:rPr>
                <w:sz w:val="20"/>
                <w:szCs w:val="20"/>
                <w:color w:val="auto"/>
              </w:rPr>
            </w:pPr>
            <w:r>
              <w:rPr>
                <w:rFonts w:ascii="Arial" w:cs="Arial" w:eastAsia="Arial" w:hAnsi="Arial"/>
                <w:sz w:val="14"/>
                <w:szCs w:val="14"/>
                <w:color w:val="auto"/>
              </w:rPr>
              <w:t>0.6</w:t>
            </w: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3.4</w:t>
            </w: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2.6</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(4.4)</w:t>
            </w:r>
          </w:p>
        </w:tc>
        <w:tc>
          <w:tcPr>
            <w:tcW w:w="660" w:type="dxa"/>
            <w:vAlign w:val="bottom"/>
          </w:tcPr>
          <w:p>
            <w:pPr>
              <w:ind w:left="320"/>
              <w:spacing w:after="0"/>
              <w:rPr>
                <w:sz w:val="20"/>
                <w:szCs w:val="20"/>
                <w:color w:val="auto"/>
              </w:rPr>
            </w:pPr>
            <w:r>
              <w:rPr>
                <w:rFonts w:ascii="Arial" w:cs="Arial" w:eastAsia="Arial" w:hAnsi="Arial"/>
                <w:sz w:val="14"/>
                <w:szCs w:val="14"/>
                <w:color w:val="auto"/>
              </w:rPr>
              <w:t>0.4</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06"/>
        </w:trPr>
        <w:tc>
          <w:tcPr>
            <w:tcW w:w="2120" w:type="dxa"/>
            <w:vAlign w:val="bottom"/>
          </w:tcPr>
          <w:p>
            <w:pPr>
              <w:ind w:left="140"/>
              <w:spacing w:after="0"/>
              <w:rPr>
                <w:sz w:val="20"/>
                <w:szCs w:val="20"/>
                <w:color w:val="auto"/>
              </w:rPr>
            </w:pPr>
            <w:r>
              <w:rPr>
                <w:rFonts w:ascii="Arial" w:cs="Arial" w:eastAsia="Arial" w:hAnsi="Arial"/>
                <w:sz w:val="14"/>
                <w:szCs w:val="14"/>
                <w:color w:val="auto"/>
              </w:rPr>
              <w:t>Losses from equity method</w:t>
            </w: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120" w:type="dxa"/>
            <w:vAlign w:val="bottom"/>
          </w:tcPr>
          <w:p>
            <w:pPr>
              <w:ind w:left="140"/>
              <w:spacing w:after="0"/>
              <w:rPr>
                <w:sz w:val="20"/>
                <w:szCs w:val="20"/>
                <w:color w:val="auto"/>
              </w:rPr>
            </w:pPr>
            <w:r>
              <w:rPr>
                <w:rFonts w:ascii="Arial" w:cs="Arial" w:eastAsia="Arial" w:hAnsi="Arial"/>
                <w:sz w:val="14"/>
                <w:szCs w:val="14"/>
                <w:color w:val="auto"/>
              </w:rPr>
              <w:t>investments</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(0.6)</w:t>
            </w:r>
          </w:p>
        </w:tc>
        <w:tc>
          <w:tcPr>
            <w:tcW w:w="8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0"/>
        </w:trPr>
        <w:tc>
          <w:tcPr>
            <w:tcW w:w="2120" w:type="dxa"/>
            <w:vAlign w:val="bottom"/>
          </w:tcPr>
          <w:p>
            <w:pPr>
              <w:spacing w:after="0"/>
              <w:rPr>
                <w:sz w:val="20"/>
                <w:szCs w:val="20"/>
                <w:color w:val="auto"/>
              </w:rPr>
            </w:pPr>
            <w:r>
              <w:rPr>
                <w:rFonts w:ascii="Arial" w:cs="Arial" w:eastAsia="Arial" w:hAnsi="Arial"/>
                <w:sz w:val="14"/>
                <w:szCs w:val="14"/>
                <w:color w:val="auto"/>
              </w:rPr>
              <w:t>Net income from continuing</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$37.4</w:t>
            </w:r>
          </w:p>
        </w:tc>
        <w:tc>
          <w:tcPr>
            <w:tcW w:w="800" w:type="dxa"/>
            <w:vAlign w:val="bottom"/>
            <w:vMerge w:val="restart"/>
          </w:tcPr>
          <w:p>
            <w:pPr>
              <w:jc w:val="right"/>
              <w:ind w:right="188"/>
              <w:spacing w:after="0"/>
              <w:rPr>
                <w:sz w:val="20"/>
                <w:szCs w:val="20"/>
                <w:color w:val="auto"/>
              </w:rPr>
            </w:pPr>
            <w:r>
              <w:rPr>
                <w:rFonts w:ascii="Arial" w:cs="Arial" w:eastAsia="Arial" w:hAnsi="Arial"/>
                <w:sz w:val="14"/>
                <w:szCs w:val="14"/>
                <w:color w:val="auto"/>
              </w:rPr>
              <w:t>$5.7</w:t>
            </w: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color w:val="auto"/>
              </w:rPr>
              <w:t>$1.9</w:t>
            </w: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color w:val="auto"/>
              </w:rPr>
              <w:t>$19.0</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$4.0</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($5.7)</w:t>
            </w: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color w:val="auto"/>
              </w:rPr>
              <w:t>$1.2</w:t>
            </w: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color w:val="auto"/>
              </w:rPr>
              <w:t>$2.5</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$9.5</w:t>
            </w: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color w:val="auto"/>
              </w:rPr>
              <w:t>$4.4</w:t>
            </w:r>
          </w:p>
        </w:tc>
        <w:tc>
          <w:tcPr>
            <w:tcW w:w="660" w:type="dxa"/>
            <w:vAlign w:val="bottom"/>
            <w:vMerge w:val="restart"/>
          </w:tcPr>
          <w:p>
            <w:pPr>
              <w:ind w:left="320"/>
              <w:spacing w:after="0"/>
              <w:rPr>
                <w:sz w:val="20"/>
                <w:szCs w:val="20"/>
                <w:color w:val="auto"/>
              </w:rPr>
            </w:pPr>
            <w:r>
              <w:rPr>
                <w:rFonts w:ascii="Arial" w:cs="Arial" w:eastAsia="Arial" w:hAnsi="Arial"/>
                <w:sz w:val="14"/>
                <w:szCs w:val="14"/>
                <w:color w:val="auto"/>
              </w:rPr>
              <w:t>$1.1</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20"/>
                <w:szCs w:val="20"/>
                <w:color w:val="auto"/>
              </w:rPr>
            </w:pPr>
            <w:r>
              <w:rPr>
                <w:rFonts w:ascii="Arial" w:cs="Arial" w:eastAsia="Arial" w:hAnsi="Arial"/>
                <w:sz w:val="14"/>
                <w:szCs w:val="14"/>
                <w:color w:val="auto"/>
              </w:rPr>
              <w:t>operations</w:t>
            </w:r>
          </w:p>
        </w:tc>
        <w:tc>
          <w:tcPr>
            <w:tcW w:w="8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Arial" w:cs="Arial" w:eastAsia="Arial" w:hAnsi="Arial"/>
                <w:sz w:val="14"/>
                <w:szCs w:val="14"/>
                <w:color w:val="auto"/>
              </w:rPr>
              <w:t>Diluted EPS - Continuing</w:t>
            </w: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1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120" w:type="dxa"/>
            <w:vAlign w:val="bottom"/>
          </w:tcPr>
          <w:p>
            <w:pPr>
              <w:spacing w:after="0"/>
              <w:rPr>
                <w:sz w:val="20"/>
                <w:szCs w:val="20"/>
                <w:color w:val="auto"/>
              </w:rPr>
            </w:pPr>
            <w:r>
              <w:rPr>
                <w:rFonts w:ascii="Arial" w:cs="Arial" w:eastAsia="Arial" w:hAnsi="Arial"/>
                <w:sz w:val="14"/>
                <w:szCs w:val="14"/>
                <w:color w:val="auto"/>
              </w:rPr>
              <w:t>Operations</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$0.76</w:t>
            </w:r>
          </w:p>
        </w:tc>
        <w:tc>
          <w:tcPr>
            <w:tcW w:w="800" w:type="dxa"/>
            <w:vAlign w:val="bottom"/>
          </w:tcPr>
          <w:p>
            <w:pPr>
              <w:jc w:val="center"/>
              <w:ind w:right="8"/>
              <w:spacing w:after="0"/>
              <w:rPr>
                <w:sz w:val="20"/>
                <w:szCs w:val="20"/>
                <w:color w:val="auto"/>
              </w:rPr>
            </w:pPr>
            <w:r>
              <w:rPr>
                <w:rFonts w:ascii="Arial" w:cs="Arial" w:eastAsia="Arial" w:hAnsi="Arial"/>
                <w:sz w:val="14"/>
                <w:szCs w:val="14"/>
                <w:color w:val="auto"/>
              </w:rPr>
              <w:t>$0.12</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$0.04</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$0.39</w:t>
            </w:r>
          </w:p>
        </w:tc>
        <w:tc>
          <w:tcPr>
            <w:tcW w:w="700" w:type="dxa"/>
            <w:vAlign w:val="bottom"/>
          </w:tcPr>
          <w:p>
            <w:pPr>
              <w:jc w:val="center"/>
              <w:ind w:left="28"/>
              <w:spacing w:after="0"/>
              <w:rPr>
                <w:sz w:val="20"/>
                <w:szCs w:val="20"/>
                <w:color w:val="auto"/>
              </w:rPr>
            </w:pPr>
            <w:r>
              <w:rPr>
                <w:rFonts w:ascii="Arial" w:cs="Arial" w:eastAsia="Arial" w:hAnsi="Arial"/>
                <w:sz w:val="14"/>
                <w:szCs w:val="14"/>
                <w:color w:val="auto"/>
              </w:rPr>
              <w:t>$0.08</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($0.12)</w:t>
            </w:r>
          </w:p>
        </w:tc>
        <w:tc>
          <w:tcPr>
            <w:tcW w:w="720" w:type="dxa"/>
            <w:vAlign w:val="bottom"/>
          </w:tcPr>
          <w:p>
            <w:pPr>
              <w:jc w:val="center"/>
              <w:ind w:right="88"/>
              <w:spacing w:after="0"/>
              <w:rPr>
                <w:sz w:val="20"/>
                <w:szCs w:val="20"/>
                <w:color w:val="auto"/>
              </w:rPr>
            </w:pPr>
            <w:r>
              <w:rPr>
                <w:rFonts w:ascii="Arial" w:cs="Arial" w:eastAsia="Arial" w:hAnsi="Arial"/>
                <w:sz w:val="14"/>
                <w:szCs w:val="14"/>
                <w:color w:val="auto"/>
              </w:rPr>
              <w:t>$0.03</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$0.05</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$0.19</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$0.09</w:t>
            </w:r>
          </w:p>
        </w:tc>
        <w:tc>
          <w:tcPr>
            <w:tcW w:w="660" w:type="dxa"/>
            <w:vAlign w:val="bottom"/>
          </w:tcPr>
          <w:p>
            <w:pPr>
              <w:ind w:left="240"/>
              <w:spacing w:after="0"/>
              <w:rPr>
                <w:sz w:val="20"/>
                <w:szCs w:val="20"/>
                <w:color w:val="auto"/>
              </w:rPr>
            </w:pPr>
            <w:r>
              <w:rPr>
                <w:rFonts w:ascii="Arial" w:cs="Arial" w:eastAsia="Arial" w:hAnsi="Arial"/>
                <w:sz w:val="14"/>
                <w:szCs w:val="14"/>
                <w:color w:val="auto"/>
              </w:rPr>
              <w:t>$0.02</w:t>
            </w:r>
          </w:p>
        </w:tc>
        <w:tc>
          <w:tcPr>
            <w:tcW w:w="620" w:type="dxa"/>
            <w:vAlign w:val="bottom"/>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GAAP results for the six months ended June 30, 2018 include:</w:t>
      </w:r>
    </w:p>
    <w:p>
      <w:pPr>
        <w:spacing w:after="0" w:line="82" w:lineRule="exact"/>
        <w:rPr>
          <w:sz w:val="20"/>
          <w:szCs w:val="20"/>
          <w:color w:val="auto"/>
        </w:rPr>
      </w:pPr>
    </w:p>
    <w:p>
      <w:pPr>
        <w:ind w:left="261" w:hanging="253"/>
        <w:spacing w:after="0"/>
        <w:tabs>
          <w:tab w:leader="none" w:pos="261" w:val="left"/>
        </w:tabs>
        <w:numPr>
          <w:ilvl w:val="0"/>
          <w:numId w:val="15"/>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55" w:lineRule="exact"/>
        <w:rPr>
          <w:rFonts w:ascii="Arial" w:cs="Arial" w:eastAsia="Arial" w:hAnsi="Arial"/>
          <w:sz w:val="14"/>
          <w:szCs w:val="14"/>
          <w:color w:val="auto"/>
        </w:rPr>
      </w:pPr>
    </w:p>
    <w:p>
      <w:pPr>
        <w:ind w:left="261" w:hanging="253"/>
        <w:spacing w:after="0"/>
        <w:tabs>
          <w:tab w:leader="none" w:pos="261"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261" w:hanging="257"/>
        <w:spacing w:after="0"/>
        <w:tabs>
          <w:tab w:leader="none" w:pos="261"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261" w:hanging="257"/>
        <w:spacing w:after="0"/>
        <w:tabs>
          <w:tab w:leader="none" w:pos="261"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261" w:hanging="253"/>
        <w:spacing w:after="0"/>
        <w:tabs>
          <w:tab w:leader="none" w:pos="261"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Costs related to acquisitions</w:t>
      </w:r>
    </w:p>
    <w:p>
      <w:pPr>
        <w:spacing w:after="0" w:line="55" w:lineRule="exact"/>
        <w:rPr>
          <w:rFonts w:ascii="Arial" w:cs="Arial" w:eastAsia="Arial" w:hAnsi="Arial"/>
          <w:sz w:val="14"/>
          <w:szCs w:val="14"/>
          <w:color w:val="auto"/>
        </w:rPr>
      </w:pPr>
    </w:p>
    <w:p>
      <w:pPr>
        <w:ind w:left="261" w:hanging="249"/>
        <w:spacing w:after="0"/>
        <w:tabs>
          <w:tab w:leader="none" w:pos="261"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Corporate costs incurred to divest of the CRM business not attributable to discontinued operations</w:t>
      </w:r>
    </w:p>
    <w:p>
      <w:pPr>
        <w:spacing w:after="0" w:line="55" w:lineRule="exact"/>
        <w:rPr>
          <w:rFonts w:ascii="Arial" w:cs="Arial" w:eastAsia="Arial" w:hAnsi="Arial"/>
          <w:sz w:val="14"/>
          <w:szCs w:val="14"/>
          <w:color w:val="auto"/>
        </w:rPr>
      </w:pPr>
    </w:p>
    <w:p>
      <w:pPr>
        <w:ind w:left="261" w:hanging="261"/>
        <w:spacing w:after="0"/>
        <w:tabs>
          <w:tab w:leader="none" w:pos="261"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Contingent consideration related to acquisitions and legal expenses primarily related to 3T Heater-Cooler defense and other matters</w:t>
      </w:r>
    </w:p>
    <w:p>
      <w:pPr>
        <w:spacing w:after="0" w:line="55" w:lineRule="exact"/>
        <w:rPr>
          <w:rFonts w:ascii="Arial" w:cs="Arial" w:eastAsia="Arial" w:hAnsi="Arial"/>
          <w:sz w:val="14"/>
          <w:szCs w:val="14"/>
          <w:color w:val="auto"/>
        </w:rPr>
      </w:pPr>
    </w:p>
    <w:p>
      <w:pPr>
        <w:ind w:left="261" w:hanging="257"/>
        <w:spacing w:after="0"/>
        <w:tabs>
          <w:tab w:leader="none" w:pos="261"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55" w:lineRule="exact"/>
        <w:rPr>
          <w:sz w:val="20"/>
          <w:szCs w:val="20"/>
          <w:color w:val="auto"/>
        </w:rPr>
      </w:pPr>
    </w:p>
    <w:p>
      <w:pPr>
        <w:ind w:left="41"/>
        <w:spacing w:after="0"/>
        <w:rPr>
          <w:sz w:val="20"/>
          <w:szCs w:val="20"/>
          <w:color w:val="auto"/>
        </w:rPr>
      </w:pPr>
      <w:r>
        <w:rPr>
          <w:rFonts w:ascii="Arial" w:cs="Arial" w:eastAsia="Arial" w:hAnsi="Arial"/>
          <w:sz w:val="14"/>
          <w:szCs w:val="14"/>
          <w:color w:val="auto"/>
        </w:rPr>
        <w:t>(I) Primarily relates to discrete tax items and the tax impact of intercompany transactions</w:t>
      </w:r>
    </w:p>
    <w:p>
      <w:pPr>
        <w:spacing w:after="0" w:line="55" w:lineRule="exact"/>
        <w:rPr>
          <w:sz w:val="20"/>
          <w:szCs w:val="20"/>
          <w:color w:val="auto"/>
        </w:rPr>
      </w:pPr>
    </w:p>
    <w:p>
      <w:pPr>
        <w:ind w:left="1" w:right="4660" w:firstLine="19"/>
        <w:spacing w:after="0" w:line="338" w:lineRule="auto"/>
        <w:tabs>
          <w:tab w:leader="none" w:pos="271" w:val="left"/>
        </w:tabs>
        <w:numPr>
          <w:ilvl w:val="1"/>
          <w:numId w:val="16"/>
        </w:numPr>
        <w:rPr>
          <w:rFonts w:ascii="Arial" w:cs="Arial" w:eastAsia="Arial" w:hAnsi="Arial"/>
          <w:sz w:val="14"/>
          <w:szCs w:val="14"/>
          <w:color w:val="auto"/>
        </w:rPr>
      </w:pPr>
      <w:r>
        <w:rPr>
          <w:rFonts w:ascii="Arial" w:cs="Arial" w:eastAsia="Arial" w:hAnsi="Arial"/>
          <w:sz w:val="14"/>
          <w:szCs w:val="14"/>
          <w:color w:val="auto"/>
        </w:rPr>
        <w:t>Primarily related to intellectual property migration and other non-recurring impacts to interest expense * Numbers may not add up precisely due to rounding.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381"/>
          </w:cols>
          <w:pgMar w:left="279" w:top="788" w:right="239" w:bottom="1440" w:gutter="0" w:footer="0" w:header="0"/>
          <w:type w:val="continuous"/>
        </w:sectPr>
      </w:pPr>
    </w:p>
    <w:bookmarkStart w:id="18" w:name="page19"/>
    <w:bookmarkEnd w:id="18"/>
    <w:p>
      <w:pPr>
        <w:ind w:left="4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400"/>
              <w:spacing w:after="0"/>
              <w:rPr>
                <w:sz w:val="20"/>
                <w:szCs w:val="20"/>
                <w:color w:val="auto"/>
              </w:rPr>
            </w:pPr>
            <w:r>
              <w:rPr>
                <w:rFonts w:ascii="Arial" w:cs="Arial" w:eastAsia="Arial" w:hAnsi="Arial"/>
                <w:sz w:val="13"/>
                <w:szCs w:val="13"/>
                <w:b w:val="1"/>
                <w:bCs w:val="1"/>
                <w:color w:val="auto"/>
              </w:rPr>
              <w:t>Specified Items</w:t>
            </w:r>
          </w:p>
        </w:tc>
        <w:tc>
          <w:tcPr>
            <w:tcW w:w="9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9"/>
              </w:rPr>
              <w:t>Merger</w:t>
            </w:r>
          </w:p>
        </w:tc>
        <w:tc>
          <w:tcPr>
            <w:tcW w:w="7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8"/>
              </w:rPr>
              <w:t>Depreciation</w:t>
            </w: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7"/>
              </w:rPr>
              <w:t>Non-recurring</w:t>
            </w: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3"/>
              </w:rPr>
              <w:t>and</w:t>
            </w:r>
          </w:p>
        </w:tc>
        <w:tc>
          <w:tcPr>
            <w:tcW w:w="7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3"/>
              </w:rPr>
              <w:t>and</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Product</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Legal and</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Stock-based</w:t>
            </w:r>
          </w:p>
        </w:tc>
        <w:tc>
          <w:tcPr>
            <w:tcW w:w="7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Certain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GAAP</w:t>
            </w:r>
          </w:p>
        </w:tc>
        <w:tc>
          <w:tcPr>
            <w:tcW w:w="2280" w:type="dxa"/>
            <w:vAlign w:val="bottom"/>
            <w:gridSpan w:val="3"/>
          </w:tcPr>
          <w:p>
            <w:pPr>
              <w:jc w:val="right"/>
              <w:spacing w:after="0" w:line="135" w:lineRule="exact"/>
              <w:rPr>
                <w:sz w:val="20"/>
                <w:szCs w:val="20"/>
                <w:color w:val="auto"/>
              </w:rPr>
            </w:pPr>
            <w:r>
              <w:rPr>
                <w:rFonts w:ascii="Arial" w:cs="Arial" w:eastAsia="Arial" w:hAnsi="Arial"/>
                <w:sz w:val="12"/>
                <w:szCs w:val="12"/>
                <w:b w:val="1"/>
                <w:bCs w:val="1"/>
                <w:color w:val="auto"/>
              </w:rPr>
              <w:t>Integration Restructuring Amortization</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Remediation</w:t>
            </w:r>
          </w:p>
        </w:tc>
        <w:tc>
          <w:tcPr>
            <w:tcW w:w="6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w w:val="97"/>
              </w:rPr>
              <w:t>Acquisition</w:t>
            </w:r>
          </w:p>
        </w:tc>
        <w:tc>
          <w:tcPr>
            <w:tcW w:w="7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Contingent</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Compensation</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Certain Tax</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Interest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Adjusted</w:t>
            </w:r>
          </w:p>
        </w:tc>
        <w:tc>
          <w:tcPr>
            <w:tcW w:w="0" w:type="dxa"/>
            <w:vAlign w:val="bottom"/>
          </w:tcPr>
          <w:p>
            <w:pPr>
              <w:spacing w:after="0"/>
              <w:rPr>
                <w:sz w:val="1"/>
                <w:szCs w:val="1"/>
                <w:color w:val="auto"/>
              </w:rPr>
            </w:pPr>
          </w:p>
        </w:tc>
      </w:tr>
      <w:tr>
        <w:trPr>
          <w:trHeight w:val="135"/>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Six Months Ended June 30, 2017</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Financial</w:t>
            </w:r>
          </w:p>
        </w:tc>
        <w:tc>
          <w:tcPr>
            <w:tcW w:w="740" w:type="dxa"/>
            <w:vAlign w:val="bottom"/>
          </w:tcPr>
          <w:p>
            <w:pPr>
              <w:jc w:val="center"/>
              <w:ind w:right="14"/>
              <w:spacing w:after="0" w:line="135" w:lineRule="exact"/>
              <w:rPr>
                <w:sz w:val="20"/>
                <w:szCs w:val="20"/>
                <w:color w:val="auto"/>
              </w:rPr>
            </w:pPr>
            <w:r>
              <w:rPr>
                <w:rFonts w:ascii="Arial" w:cs="Arial" w:eastAsia="Arial" w:hAnsi="Arial"/>
                <w:sz w:val="12"/>
                <w:szCs w:val="12"/>
                <w:b w:val="1"/>
                <w:bCs w:val="1"/>
                <w:color w:val="auto"/>
                <w:w w:val="96"/>
              </w:rPr>
              <w:t>Expenses</w:t>
            </w:r>
          </w:p>
        </w:tc>
        <w:tc>
          <w:tcPr>
            <w:tcW w:w="760" w:type="dxa"/>
            <w:vAlign w:val="bottom"/>
          </w:tcPr>
          <w:p>
            <w:pPr>
              <w:jc w:val="right"/>
              <w:ind w:right="71"/>
              <w:spacing w:after="0" w:line="135" w:lineRule="exact"/>
              <w:rPr>
                <w:sz w:val="20"/>
                <w:szCs w:val="20"/>
                <w:color w:val="auto"/>
              </w:rPr>
            </w:pPr>
            <w:r>
              <w:rPr>
                <w:rFonts w:ascii="Arial" w:cs="Arial" w:eastAsia="Arial" w:hAnsi="Arial"/>
                <w:sz w:val="12"/>
                <w:szCs w:val="12"/>
                <w:b w:val="1"/>
                <w:bCs w:val="1"/>
                <w:color w:val="auto"/>
              </w:rPr>
              <w:t>Expenses</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Expenses</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Expenses</w:t>
            </w:r>
          </w:p>
        </w:tc>
        <w:tc>
          <w:tcPr>
            <w:tcW w:w="680" w:type="dxa"/>
            <w:vAlign w:val="bottom"/>
          </w:tcPr>
          <w:p>
            <w:pPr>
              <w:jc w:val="right"/>
              <w:ind w:right="131"/>
              <w:spacing w:after="0" w:line="135" w:lineRule="exact"/>
              <w:rPr>
                <w:sz w:val="20"/>
                <w:szCs w:val="20"/>
                <w:color w:val="auto"/>
              </w:rPr>
            </w:pPr>
            <w:r>
              <w:rPr>
                <w:rFonts w:ascii="Arial" w:cs="Arial" w:eastAsia="Arial" w:hAnsi="Arial"/>
                <w:sz w:val="12"/>
                <w:szCs w:val="12"/>
                <w:b w:val="1"/>
                <w:bCs w:val="1"/>
                <w:color w:val="auto"/>
              </w:rPr>
              <w:t>Costs</w:t>
            </w:r>
          </w:p>
        </w:tc>
        <w:tc>
          <w:tcPr>
            <w:tcW w:w="16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Impairment Consideration</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Costs</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Adjustments</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Adjustments</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Financial</w:t>
            </w:r>
          </w:p>
        </w:tc>
        <w:tc>
          <w:tcPr>
            <w:tcW w:w="0" w:type="dxa"/>
            <w:vAlign w:val="bottom"/>
          </w:tcPr>
          <w:p>
            <w:pPr>
              <w:spacing w:after="0"/>
              <w:rPr>
                <w:sz w:val="1"/>
                <w:szCs w:val="1"/>
                <w:color w:val="auto"/>
              </w:rPr>
            </w:pPr>
          </w:p>
        </w:tc>
      </w:tr>
      <w:tr>
        <w:trPr>
          <w:trHeight w:val="168"/>
        </w:trPr>
        <w:tc>
          <w:tcPr>
            <w:tcW w:w="230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Measures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2"/>
                <w:szCs w:val="12"/>
                <w:b w:val="1"/>
                <w:bCs w:val="1"/>
                <w:color w:val="auto"/>
              </w:rPr>
              <w:t>(B)</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(D)</w:t>
            </w: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(E)</w:t>
            </w:r>
          </w:p>
        </w:tc>
        <w:tc>
          <w:tcPr>
            <w:tcW w:w="70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(F)</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(G)</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(H)</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(J)</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Measures</w:t>
            </w:r>
          </w:p>
        </w:tc>
        <w:tc>
          <w:tcPr>
            <w:tcW w:w="0" w:type="dxa"/>
            <w:vAlign w:val="bottom"/>
          </w:tcPr>
          <w:p>
            <w:pPr>
              <w:spacing w:after="0"/>
              <w:rPr>
                <w:sz w:val="1"/>
                <w:szCs w:val="1"/>
                <w:color w:val="auto"/>
              </w:rPr>
            </w:pPr>
          </w:p>
        </w:tc>
      </w:tr>
      <w:tr>
        <w:trPr>
          <w:trHeight w:val="258"/>
        </w:trPr>
        <w:tc>
          <w:tcPr>
            <w:tcW w:w="2300" w:type="dxa"/>
            <w:vAlign w:val="bottom"/>
          </w:tcPr>
          <w:p>
            <w:pPr>
              <w:ind w:left="40"/>
              <w:spacing w:after="0"/>
              <w:rPr>
                <w:sz w:val="20"/>
                <w:szCs w:val="20"/>
                <w:color w:val="auto"/>
              </w:rPr>
            </w:pPr>
            <w:r>
              <w:rPr>
                <w:rFonts w:ascii="Arial" w:cs="Arial" w:eastAsia="Arial" w:hAnsi="Arial"/>
                <w:sz w:val="14"/>
                <w:szCs w:val="14"/>
                <w:color w:val="auto"/>
              </w:rPr>
              <w:t>Net sales</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$482.7</w:t>
            </w: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$482.7</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4"/>
                <w:szCs w:val="14"/>
                <w:color w:val="auto"/>
              </w:rPr>
              <w:t>Cost of sales</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164.0</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w:t>
            </w:r>
          </w:p>
        </w:tc>
        <w:tc>
          <w:tcPr>
            <w:tcW w:w="7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(0.2)</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jc w:val="center"/>
              <w:ind w:left="412"/>
              <w:spacing w:after="0"/>
              <w:rPr>
                <w:sz w:val="20"/>
                <w:szCs w:val="20"/>
                <w:color w:val="auto"/>
              </w:rPr>
            </w:pPr>
            <w:r>
              <w:rPr>
                <w:rFonts w:ascii="Arial" w:cs="Arial" w:eastAsia="Arial" w:hAnsi="Arial"/>
                <w:sz w:val="14"/>
                <w:szCs w:val="14"/>
                <w:color w:val="auto"/>
              </w:rPr>
              <w:t>(0.1)</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161.6</w:t>
            </w:r>
          </w:p>
        </w:tc>
        <w:tc>
          <w:tcPr>
            <w:tcW w:w="0" w:type="dxa"/>
            <w:vAlign w:val="bottom"/>
          </w:tcPr>
          <w:p>
            <w:pPr>
              <w:spacing w:after="0"/>
              <w:rPr>
                <w:sz w:val="1"/>
                <w:szCs w:val="1"/>
                <w:color w:val="auto"/>
              </w:rPr>
            </w:pPr>
          </w:p>
        </w:tc>
      </w:tr>
      <w:tr>
        <w:trPr>
          <w:trHeight w:val="222"/>
        </w:trPr>
        <w:tc>
          <w:tcPr>
            <w:tcW w:w="2300" w:type="dxa"/>
            <w:vAlign w:val="bottom"/>
          </w:tcPr>
          <w:p>
            <w:pPr>
              <w:ind w:left="40"/>
              <w:spacing w:after="0"/>
              <w:rPr>
                <w:sz w:val="20"/>
                <w:szCs w:val="20"/>
                <w:color w:val="auto"/>
              </w:rPr>
            </w:pPr>
            <w:r>
              <w:rPr>
                <w:rFonts w:ascii="Arial" w:cs="Arial" w:eastAsia="Arial" w:hAnsi="Arial"/>
                <w:sz w:val="14"/>
                <w:szCs w:val="14"/>
                <w:color w:val="auto"/>
              </w:rPr>
              <w:t>Product remediation</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0.9</w:t>
            </w: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293"/>
              <w:spacing w:after="0"/>
              <w:rPr>
                <w:sz w:val="20"/>
                <w:szCs w:val="20"/>
                <w:color w:val="auto"/>
              </w:rPr>
            </w:pPr>
            <w:r>
              <w:rPr>
                <w:rFonts w:ascii="Arial" w:cs="Arial" w:eastAsia="Arial" w:hAnsi="Arial"/>
                <w:sz w:val="14"/>
                <w:szCs w:val="14"/>
                <w:color w:val="auto"/>
              </w:rPr>
              <w:t>(0.9)</w:t>
            </w:r>
          </w:p>
        </w:tc>
        <w:tc>
          <w:tcPr>
            <w:tcW w:w="6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300" w:type="dxa"/>
            <w:vAlign w:val="bottom"/>
          </w:tcPr>
          <w:p>
            <w:pPr>
              <w:ind w:left="280"/>
              <w:spacing w:after="0"/>
              <w:rPr>
                <w:sz w:val="20"/>
                <w:szCs w:val="20"/>
                <w:color w:val="auto"/>
              </w:rPr>
            </w:pPr>
            <w:r>
              <w:rPr>
                <w:rFonts w:ascii="Arial" w:cs="Arial" w:eastAsia="Arial" w:hAnsi="Arial"/>
                <w:sz w:val="14"/>
                <w:szCs w:val="14"/>
                <w:color w:val="auto"/>
              </w:rPr>
              <w:t>Gross profit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317.7</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2.0</w:t>
            </w:r>
          </w:p>
        </w:tc>
        <w:tc>
          <w:tcPr>
            <w:tcW w:w="780" w:type="dxa"/>
            <w:vAlign w:val="bottom"/>
          </w:tcPr>
          <w:p>
            <w:pPr>
              <w:jc w:val="center"/>
              <w:ind w:left="273"/>
              <w:spacing w:after="0"/>
              <w:rPr>
                <w:sz w:val="20"/>
                <w:szCs w:val="20"/>
                <w:color w:val="auto"/>
              </w:rPr>
            </w:pPr>
            <w:r>
              <w:rPr>
                <w:rFonts w:ascii="Arial" w:cs="Arial" w:eastAsia="Arial" w:hAnsi="Arial"/>
                <w:sz w:val="14"/>
                <w:szCs w:val="14"/>
                <w:color w:val="auto"/>
              </w:rPr>
              <w:t>0.9</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0.2</w:t>
            </w: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jc w:val="center"/>
              <w:ind w:left="392"/>
              <w:spacing w:after="0"/>
              <w:rPr>
                <w:sz w:val="20"/>
                <w:szCs w:val="20"/>
                <w:color w:val="auto"/>
              </w:rPr>
            </w:pPr>
            <w:r>
              <w:rPr>
                <w:rFonts w:ascii="Arial" w:cs="Arial" w:eastAsia="Arial" w:hAnsi="Arial"/>
                <w:sz w:val="14"/>
                <w:szCs w:val="14"/>
                <w:color w:val="auto"/>
              </w:rPr>
              <w:t>0.1</w:t>
            </w: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321.0</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180"/>
              <w:spacing w:after="0"/>
              <w:rPr>
                <w:sz w:val="20"/>
                <w:szCs w:val="20"/>
                <w:color w:val="auto"/>
              </w:rPr>
            </w:pPr>
            <w:r>
              <w:rPr>
                <w:rFonts w:ascii="Arial" w:cs="Arial" w:eastAsia="Arial" w:hAnsi="Arial"/>
                <w:sz w:val="14"/>
                <w:szCs w:val="14"/>
                <w:color w:val="auto"/>
              </w:rPr>
              <w:t>Selling, general and</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180"/>
              <w:spacing w:after="0"/>
              <w:rPr>
                <w:sz w:val="20"/>
                <w:szCs w:val="20"/>
                <w:color w:val="auto"/>
              </w:rPr>
            </w:pPr>
            <w:r>
              <w:rPr>
                <w:rFonts w:ascii="Arial" w:cs="Arial" w:eastAsia="Arial" w:hAnsi="Arial"/>
                <w:sz w:val="14"/>
                <w:szCs w:val="14"/>
                <w:color w:val="auto"/>
              </w:rPr>
              <w:t>administrative</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181.6</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(0.5)</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center"/>
              <w:ind w:left="393"/>
              <w:spacing w:after="0"/>
              <w:rPr>
                <w:sz w:val="20"/>
                <w:szCs w:val="20"/>
                <w:color w:val="auto"/>
              </w:rPr>
            </w:pPr>
            <w:r>
              <w:rPr>
                <w:rFonts w:ascii="Arial" w:cs="Arial" w:eastAsia="Arial" w:hAnsi="Arial"/>
                <w:sz w:val="14"/>
                <w:szCs w:val="14"/>
                <w:color w:val="auto"/>
                <w:w w:val="97"/>
              </w:rPr>
              <w:t>(5.4)</w:t>
            </w:r>
          </w:p>
        </w:tc>
        <w:tc>
          <w:tcPr>
            <w:tcW w:w="900" w:type="dxa"/>
            <w:vAlign w:val="bottom"/>
          </w:tcPr>
          <w:p>
            <w:pPr>
              <w:jc w:val="center"/>
              <w:ind w:left="412"/>
              <w:spacing w:after="0"/>
              <w:rPr>
                <w:sz w:val="20"/>
                <w:szCs w:val="20"/>
                <w:color w:val="auto"/>
              </w:rPr>
            </w:pPr>
            <w:r>
              <w:rPr>
                <w:rFonts w:ascii="Arial" w:cs="Arial" w:eastAsia="Arial" w:hAnsi="Arial"/>
                <w:sz w:val="14"/>
                <w:szCs w:val="14"/>
                <w:color w:val="auto"/>
              </w:rPr>
              <w:t>(7.7)</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167.9</w:t>
            </w:r>
          </w:p>
        </w:tc>
        <w:tc>
          <w:tcPr>
            <w:tcW w:w="0" w:type="dxa"/>
            <w:vAlign w:val="bottom"/>
          </w:tcPr>
          <w:p>
            <w:pPr>
              <w:spacing w:after="0"/>
              <w:rPr>
                <w:sz w:val="1"/>
                <w:szCs w:val="1"/>
                <w:color w:val="auto"/>
              </w:rPr>
            </w:pP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54.2</w:t>
            </w: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w:t>
            </w:r>
          </w:p>
        </w:tc>
        <w:tc>
          <w:tcPr>
            <w:tcW w:w="7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(10.9)</w:t>
            </w:r>
          </w:p>
        </w:tc>
        <w:tc>
          <w:tcPr>
            <w:tcW w:w="7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00" w:type="dxa"/>
            <w:vAlign w:val="bottom"/>
          </w:tcPr>
          <w:p>
            <w:pPr>
              <w:jc w:val="center"/>
              <w:ind w:left="412"/>
              <w:spacing w:after="0"/>
              <w:rPr>
                <w:sz w:val="20"/>
                <w:szCs w:val="20"/>
                <w:color w:val="auto"/>
              </w:rPr>
            </w:pPr>
            <w:r>
              <w:rPr>
                <w:rFonts w:ascii="Arial" w:cs="Arial" w:eastAsia="Arial" w:hAnsi="Arial"/>
                <w:sz w:val="14"/>
                <w:szCs w:val="14"/>
                <w:color w:val="auto"/>
              </w:rPr>
              <w:t>(0.4)</w:t>
            </w: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4"/>
                <w:szCs w:val="14"/>
                <w:color w:val="auto"/>
              </w:rPr>
              <w:t>Merger and integration expenses</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5.7</w:t>
            </w:r>
          </w:p>
        </w:tc>
        <w:tc>
          <w:tcPr>
            <w:tcW w:w="740" w:type="dxa"/>
            <w:vAlign w:val="bottom"/>
          </w:tcPr>
          <w:p>
            <w:pPr>
              <w:jc w:val="center"/>
              <w:ind w:left="134"/>
              <w:spacing w:after="0"/>
              <w:rPr>
                <w:sz w:val="20"/>
                <w:szCs w:val="20"/>
                <w:color w:val="auto"/>
              </w:rPr>
            </w:pPr>
            <w:r>
              <w:rPr>
                <w:rFonts w:ascii="Arial" w:cs="Arial" w:eastAsia="Arial" w:hAnsi="Arial"/>
                <w:sz w:val="14"/>
                <w:szCs w:val="14"/>
                <w:color w:val="auto"/>
              </w:rPr>
              <w:t>(4.7)</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4"/>
                <w:szCs w:val="14"/>
                <w:color w:val="auto"/>
              </w:rPr>
              <w:t>Restructuring expenses</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12.6</w:t>
            </w: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300" w:type="dxa"/>
            <w:vAlign w:val="bottom"/>
          </w:tcPr>
          <w:p>
            <w:pPr>
              <w:ind w:left="180"/>
              <w:spacing w:after="0"/>
              <w:rPr>
                <w:sz w:val="20"/>
                <w:szCs w:val="20"/>
                <w:color w:val="auto"/>
              </w:rPr>
            </w:pPr>
            <w:r>
              <w:rPr>
                <w:rFonts w:ascii="Arial" w:cs="Arial" w:eastAsia="Arial" w:hAnsi="Arial"/>
                <w:sz w:val="14"/>
                <w:szCs w:val="14"/>
                <w:color w:val="auto"/>
              </w:rPr>
              <w:t>Amortization of intangibles</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16.1</w:t>
            </w: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300" w:type="dxa"/>
            <w:vAlign w:val="bottom"/>
          </w:tcPr>
          <w:p>
            <w:pPr>
              <w:ind w:left="280"/>
              <w:spacing w:after="0"/>
              <w:rPr>
                <w:sz w:val="20"/>
                <w:szCs w:val="20"/>
                <w:color w:val="auto"/>
              </w:rPr>
            </w:pPr>
            <w:r>
              <w:rPr>
                <w:rFonts w:ascii="Arial" w:cs="Arial" w:eastAsia="Arial" w:hAnsi="Arial"/>
                <w:sz w:val="14"/>
                <w:szCs w:val="14"/>
                <w:color w:val="auto"/>
              </w:rPr>
              <w:t>Total operating expenses</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270.2</w:t>
            </w:r>
          </w:p>
        </w:tc>
        <w:tc>
          <w:tcPr>
            <w:tcW w:w="740" w:type="dxa"/>
            <w:vAlign w:val="bottom"/>
            <w:tcBorders>
              <w:bottom w:val="single" w:sz="8" w:color="auto"/>
            </w:tcBorders>
          </w:tcPr>
          <w:p>
            <w:pPr>
              <w:jc w:val="center"/>
              <w:ind w:left="134"/>
              <w:spacing w:after="0"/>
              <w:rPr>
                <w:sz w:val="20"/>
                <w:szCs w:val="20"/>
                <w:color w:val="auto"/>
              </w:rPr>
            </w:pPr>
            <w:r>
              <w:rPr>
                <w:rFonts w:ascii="Arial" w:cs="Arial" w:eastAsia="Arial" w:hAnsi="Arial"/>
                <w:sz w:val="14"/>
                <w:szCs w:val="14"/>
                <w:color w:val="auto"/>
              </w:rPr>
              <w:t>(4.7)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7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7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393"/>
              <w:spacing w:after="0"/>
              <w:rPr>
                <w:sz w:val="20"/>
                <w:szCs w:val="20"/>
                <w:color w:val="auto"/>
              </w:rPr>
            </w:pPr>
            <w:r>
              <w:rPr>
                <w:rFonts w:ascii="Arial" w:cs="Arial" w:eastAsia="Arial" w:hAnsi="Arial"/>
                <w:sz w:val="14"/>
                <w:szCs w:val="14"/>
                <w:color w:val="auto"/>
                <w:w w:val="97"/>
              </w:rPr>
              <w:t>(5.4)</w:t>
            </w:r>
          </w:p>
        </w:tc>
        <w:tc>
          <w:tcPr>
            <w:tcW w:w="900" w:type="dxa"/>
            <w:vAlign w:val="bottom"/>
            <w:tcBorders>
              <w:bottom w:val="single" w:sz="8" w:color="auto"/>
            </w:tcBorders>
          </w:tcPr>
          <w:p>
            <w:pPr>
              <w:jc w:val="center"/>
              <w:ind w:left="412"/>
              <w:spacing w:after="0"/>
              <w:rPr>
                <w:sz w:val="20"/>
                <w:szCs w:val="20"/>
                <w:color w:val="auto"/>
              </w:rPr>
            </w:pPr>
            <w:r>
              <w:rPr>
                <w:rFonts w:ascii="Arial" w:cs="Arial" w:eastAsia="Arial" w:hAnsi="Arial"/>
                <w:sz w:val="14"/>
                <w:szCs w:val="14"/>
                <w:color w:val="auto"/>
              </w:rPr>
              <w:t>(8.2)</w:t>
            </w:r>
          </w:p>
        </w:tc>
        <w:tc>
          <w:tcPr>
            <w:tcW w:w="7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210.8</w:t>
            </w:r>
          </w:p>
        </w:tc>
        <w:tc>
          <w:tcPr>
            <w:tcW w:w="0" w:type="dxa"/>
            <w:vAlign w:val="bottom"/>
          </w:tcPr>
          <w:p>
            <w:pPr>
              <w:spacing w:after="0"/>
              <w:rPr>
                <w:sz w:val="1"/>
                <w:szCs w:val="1"/>
                <w:color w:val="auto"/>
              </w:rPr>
            </w:pPr>
          </w:p>
        </w:tc>
      </w:tr>
      <w:tr>
        <w:trPr>
          <w:trHeight w:val="180"/>
        </w:trPr>
        <w:tc>
          <w:tcPr>
            <w:tcW w:w="2300" w:type="dxa"/>
            <w:vAlign w:val="bottom"/>
          </w:tcPr>
          <w:p>
            <w:pPr>
              <w:ind w:left="280"/>
              <w:spacing w:after="0"/>
              <w:rPr>
                <w:sz w:val="20"/>
                <w:szCs w:val="20"/>
                <w:color w:val="auto"/>
              </w:rPr>
            </w:pPr>
            <w:r>
              <w:rPr>
                <w:rFonts w:ascii="Arial" w:cs="Arial" w:eastAsia="Arial" w:hAnsi="Arial"/>
                <w:sz w:val="14"/>
                <w:szCs w:val="14"/>
                <w:color w:val="auto"/>
              </w:rPr>
              <w:t>Operating income from</w:t>
            </w: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280"/>
              <w:spacing w:after="0"/>
              <w:rPr>
                <w:sz w:val="20"/>
                <w:szCs w:val="20"/>
                <w:color w:val="auto"/>
              </w:rPr>
            </w:pPr>
            <w:r>
              <w:rPr>
                <w:rFonts w:ascii="Arial" w:cs="Arial" w:eastAsia="Arial" w:hAnsi="Arial"/>
                <w:sz w:val="14"/>
                <w:szCs w:val="14"/>
                <w:color w:val="auto"/>
              </w:rPr>
              <w:t>continuing operations</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47.5</w:t>
            </w:r>
          </w:p>
        </w:tc>
        <w:tc>
          <w:tcPr>
            <w:tcW w:w="740" w:type="dxa"/>
            <w:vAlign w:val="bottom"/>
          </w:tcPr>
          <w:p>
            <w:pPr>
              <w:jc w:val="center"/>
              <w:ind w:left="154"/>
              <w:spacing w:after="0"/>
              <w:rPr>
                <w:sz w:val="20"/>
                <w:szCs w:val="20"/>
                <w:color w:val="auto"/>
              </w:rPr>
            </w:pPr>
            <w:r>
              <w:rPr>
                <w:rFonts w:ascii="Arial" w:cs="Arial" w:eastAsia="Arial" w:hAnsi="Arial"/>
                <w:sz w:val="14"/>
                <w:szCs w:val="14"/>
                <w:color w:val="auto"/>
              </w:rPr>
              <w:t>4.7</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12.6</w:t>
            </w: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18.7</w:t>
            </w:r>
          </w:p>
        </w:tc>
        <w:tc>
          <w:tcPr>
            <w:tcW w:w="780" w:type="dxa"/>
            <w:vAlign w:val="bottom"/>
          </w:tcPr>
          <w:p>
            <w:pPr>
              <w:jc w:val="center"/>
              <w:ind w:left="273"/>
              <w:spacing w:after="0"/>
              <w:rPr>
                <w:sz w:val="20"/>
                <w:szCs w:val="20"/>
                <w:color w:val="auto"/>
              </w:rPr>
            </w:pPr>
            <w:r>
              <w:rPr>
                <w:rFonts w:ascii="Arial" w:cs="Arial" w:eastAsia="Arial" w:hAnsi="Arial"/>
                <w:sz w:val="14"/>
                <w:szCs w:val="14"/>
                <w:color w:val="auto"/>
              </w:rPr>
              <w:t>0.9</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12.1</w:t>
            </w:r>
          </w:p>
        </w:tc>
        <w:tc>
          <w:tcPr>
            <w:tcW w:w="700" w:type="dxa"/>
            <w:vAlign w:val="bottom"/>
          </w:tcPr>
          <w:p>
            <w:pPr>
              <w:spacing w:after="0"/>
              <w:rPr>
                <w:sz w:val="14"/>
                <w:szCs w:val="14"/>
                <w:color w:val="auto"/>
              </w:rPr>
            </w:pPr>
          </w:p>
        </w:tc>
        <w:tc>
          <w:tcPr>
            <w:tcW w:w="900" w:type="dxa"/>
            <w:vAlign w:val="bottom"/>
          </w:tcPr>
          <w:p>
            <w:pPr>
              <w:jc w:val="center"/>
              <w:ind w:left="393"/>
              <w:spacing w:after="0"/>
              <w:rPr>
                <w:sz w:val="20"/>
                <w:szCs w:val="20"/>
                <w:color w:val="auto"/>
              </w:rPr>
            </w:pPr>
            <w:r>
              <w:rPr>
                <w:rFonts w:ascii="Arial" w:cs="Arial" w:eastAsia="Arial" w:hAnsi="Arial"/>
                <w:sz w:val="14"/>
                <w:szCs w:val="14"/>
                <w:color w:val="auto"/>
              </w:rPr>
              <w:t>5.4</w:t>
            </w:r>
          </w:p>
        </w:tc>
        <w:tc>
          <w:tcPr>
            <w:tcW w:w="900" w:type="dxa"/>
            <w:vAlign w:val="bottom"/>
          </w:tcPr>
          <w:p>
            <w:pPr>
              <w:jc w:val="center"/>
              <w:ind w:left="392"/>
              <w:spacing w:after="0"/>
              <w:rPr>
                <w:sz w:val="20"/>
                <w:szCs w:val="20"/>
                <w:color w:val="auto"/>
              </w:rPr>
            </w:pPr>
            <w:r>
              <w:rPr>
                <w:rFonts w:ascii="Arial" w:cs="Arial" w:eastAsia="Arial" w:hAnsi="Arial"/>
                <w:sz w:val="14"/>
                <w:szCs w:val="14"/>
                <w:color w:val="auto"/>
              </w:rPr>
              <w:t>8.2</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0.5</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660" w:type="dxa"/>
            <w:vAlign w:val="bottom"/>
          </w:tcPr>
          <w:p>
            <w:pPr>
              <w:jc w:val="right"/>
              <w:spacing w:after="0"/>
              <w:rPr>
                <w:sz w:val="20"/>
                <w:szCs w:val="20"/>
                <w:color w:val="auto"/>
              </w:rPr>
            </w:pPr>
            <w:r>
              <w:rPr>
                <w:rFonts w:ascii="Arial" w:cs="Arial" w:eastAsia="Arial" w:hAnsi="Arial"/>
                <w:sz w:val="14"/>
                <w:szCs w:val="14"/>
                <w:color w:val="auto"/>
              </w:rPr>
              <w:t>(3.9)</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ind w:left="480"/>
              <w:spacing w:after="0"/>
              <w:rPr>
                <w:sz w:val="20"/>
                <w:szCs w:val="20"/>
                <w:color w:val="auto"/>
              </w:rPr>
            </w:pPr>
            <w:r>
              <w:rPr>
                <w:rFonts w:ascii="Arial" w:cs="Arial" w:eastAsia="Arial" w:hAnsi="Arial"/>
                <w:sz w:val="14"/>
                <w:szCs w:val="14"/>
                <w:color w:val="auto"/>
              </w:rPr>
              <w:t>1.3</w:t>
            </w:r>
          </w:p>
        </w:tc>
        <w:tc>
          <w:tcPr>
            <w:tcW w:w="66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4"/>
                <w:szCs w:val="14"/>
                <w:color w:val="auto"/>
              </w:rPr>
              <w:t>Gain on acquisition of Caisson</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40"/>
              <w:spacing w:after="0"/>
              <w:rPr>
                <w:sz w:val="20"/>
                <w:szCs w:val="20"/>
                <w:color w:val="auto"/>
              </w:rPr>
            </w:pPr>
            <w:r>
              <w:rPr>
                <w:rFonts w:ascii="Arial" w:cs="Arial" w:eastAsia="Arial" w:hAnsi="Arial"/>
                <w:sz w:val="14"/>
                <w:szCs w:val="14"/>
                <w:color w:val="auto"/>
              </w:rPr>
              <w:t>Interventional, LLC</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39.4</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(39.4)</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4"/>
                <w:szCs w:val="14"/>
                <w:color w:val="auto"/>
              </w:rPr>
              <w:t>Foreign exchange and other gains</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40"/>
              <w:spacing w:after="0"/>
              <w:rPr>
                <w:sz w:val="20"/>
                <w:szCs w:val="20"/>
                <w:color w:val="auto"/>
              </w:rPr>
            </w:pPr>
            <w:r>
              <w:rPr>
                <w:rFonts w:ascii="Arial" w:cs="Arial" w:eastAsia="Arial" w:hAnsi="Arial"/>
                <w:sz w:val="14"/>
                <w:szCs w:val="14"/>
                <w:color w:val="auto"/>
              </w:rPr>
              <w:t>(losses)</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0.3</w:t>
            </w:r>
          </w:p>
        </w:tc>
        <w:tc>
          <w:tcPr>
            <w:tcW w:w="7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left="393"/>
              <w:spacing w:after="0"/>
              <w:rPr>
                <w:sz w:val="20"/>
                <w:szCs w:val="20"/>
                <w:color w:val="auto"/>
              </w:rPr>
            </w:pPr>
            <w:r>
              <w:rPr>
                <w:rFonts w:ascii="Arial" w:cs="Arial" w:eastAsia="Arial" w:hAnsi="Arial"/>
                <w:sz w:val="14"/>
                <w:szCs w:val="14"/>
                <w:color w:val="auto"/>
                <w:w w:val="97"/>
              </w:rPr>
              <w:t>(3.2)</w:t>
            </w:r>
          </w:p>
        </w:tc>
        <w:tc>
          <w:tcPr>
            <w:tcW w:w="9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0"/>
        </w:trPr>
        <w:tc>
          <w:tcPr>
            <w:tcW w:w="2300" w:type="dxa"/>
            <w:vAlign w:val="bottom"/>
          </w:tcPr>
          <w:p>
            <w:pPr>
              <w:ind w:left="40"/>
              <w:spacing w:after="0"/>
              <w:rPr>
                <w:sz w:val="20"/>
                <w:szCs w:val="20"/>
                <w:color w:val="auto"/>
              </w:rPr>
            </w:pPr>
            <w:r>
              <w:rPr>
                <w:rFonts w:ascii="Arial" w:cs="Arial" w:eastAsia="Arial" w:hAnsi="Arial"/>
                <w:sz w:val="14"/>
                <w:szCs w:val="14"/>
                <w:color w:val="auto"/>
              </w:rPr>
              <w:t>Income from continuing operations</w:t>
            </w: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40"/>
              <w:spacing w:after="0"/>
              <w:rPr>
                <w:sz w:val="20"/>
                <w:szCs w:val="20"/>
                <w:color w:val="auto"/>
              </w:rPr>
            </w:pPr>
            <w:r>
              <w:rPr>
                <w:rFonts w:ascii="Arial" w:cs="Arial" w:eastAsia="Arial" w:hAnsi="Arial"/>
                <w:sz w:val="14"/>
                <w:szCs w:val="14"/>
                <w:color w:val="auto"/>
              </w:rPr>
              <w:t>before tax</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83.9</w:t>
            </w:r>
          </w:p>
        </w:tc>
        <w:tc>
          <w:tcPr>
            <w:tcW w:w="740" w:type="dxa"/>
            <w:vAlign w:val="bottom"/>
          </w:tcPr>
          <w:p>
            <w:pPr>
              <w:jc w:val="center"/>
              <w:ind w:left="154"/>
              <w:spacing w:after="0"/>
              <w:rPr>
                <w:sz w:val="20"/>
                <w:szCs w:val="20"/>
                <w:color w:val="auto"/>
              </w:rPr>
            </w:pPr>
            <w:r>
              <w:rPr>
                <w:rFonts w:ascii="Arial" w:cs="Arial" w:eastAsia="Arial" w:hAnsi="Arial"/>
                <w:sz w:val="14"/>
                <w:szCs w:val="14"/>
                <w:color w:val="auto"/>
              </w:rPr>
              <w:t>4.7</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12.6</w:t>
            </w: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18.7</w:t>
            </w:r>
          </w:p>
        </w:tc>
        <w:tc>
          <w:tcPr>
            <w:tcW w:w="780" w:type="dxa"/>
            <w:vAlign w:val="bottom"/>
          </w:tcPr>
          <w:p>
            <w:pPr>
              <w:jc w:val="center"/>
              <w:ind w:left="273"/>
              <w:spacing w:after="0"/>
              <w:rPr>
                <w:sz w:val="20"/>
                <w:szCs w:val="20"/>
                <w:color w:val="auto"/>
              </w:rPr>
            </w:pPr>
            <w:r>
              <w:rPr>
                <w:rFonts w:ascii="Arial" w:cs="Arial" w:eastAsia="Arial" w:hAnsi="Arial"/>
                <w:sz w:val="14"/>
                <w:szCs w:val="14"/>
                <w:color w:val="auto"/>
              </w:rPr>
              <w:t>0.9</w:t>
            </w:r>
          </w:p>
        </w:tc>
        <w:tc>
          <w:tcPr>
            <w:tcW w:w="680" w:type="dxa"/>
            <w:vAlign w:val="bottom"/>
          </w:tcPr>
          <w:p>
            <w:pPr>
              <w:jc w:val="right"/>
              <w:spacing w:after="0"/>
              <w:rPr>
                <w:sz w:val="20"/>
                <w:szCs w:val="20"/>
                <w:color w:val="auto"/>
              </w:rPr>
            </w:pPr>
            <w:r>
              <w:rPr>
                <w:rFonts w:ascii="Arial" w:cs="Arial" w:eastAsia="Arial" w:hAnsi="Arial"/>
                <w:sz w:val="14"/>
                <w:szCs w:val="14"/>
                <w:color w:val="auto"/>
              </w:rPr>
              <w:t>(27.4)</w:t>
            </w:r>
          </w:p>
        </w:tc>
        <w:tc>
          <w:tcPr>
            <w:tcW w:w="700" w:type="dxa"/>
            <w:vAlign w:val="bottom"/>
          </w:tcPr>
          <w:p>
            <w:pPr>
              <w:spacing w:after="0"/>
              <w:rPr>
                <w:sz w:val="14"/>
                <w:szCs w:val="14"/>
                <w:color w:val="auto"/>
              </w:rPr>
            </w:pPr>
          </w:p>
        </w:tc>
        <w:tc>
          <w:tcPr>
            <w:tcW w:w="900" w:type="dxa"/>
            <w:vAlign w:val="bottom"/>
          </w:tcPr>
          <w:p>
            <w:pPr>
              <w:jc w:val="center"/>
              <w:ind w:left="393"/>
              <w:spacing w:after="0"/>
              <w:rPr>
                <w:sz w:val="20"/>
                <w:szCs w:val="20"/>
                <w:color w:val="auto"/>
              </w:rPr>
            </w:pPr>
            <w:r>
              <w:rPr>
                <w:rFonts w:ascii="Arial" w:cs="Arial" w:eastAsia="Arial" w:hAnsi="Arial"/>
                <w:sz w:val="14"/>
                <w:szCs w:val="14"/>
                <w:color w:val="auto"/>
              </w:rPr>
              <w:t>2.2</w:t>
            </w:r>
          </w:p>
        </w:tc>
        <w:tc>
          <w:tcPr>
            <w:tcW w:w="900" w:type="dxa"/>
            <w:vAlign w:val="bottom"/>
          </w:tcPr>
          <w:p>
            <w:pPr>
              <w:jc w:val="center"/>
              <w:ind w:left="392"/>
              <w:spacing w:after="0"/>
              <w:rPr>
                <w:sz w:val="20"/>
                <w:szCs w:val="20"/>
                <w:color w:val="auto"/>
              </w:rPr>
            </w:pPr>
            <w:r>
              <w:rPr>
                <w:rFonts w:ascii="Arial" w:cs="Arial" w:eastAsia="Arial" w:hAnsi="Arial"/>
                <w:sz w:val="14"/>
                <w:szCs w:val="14"/>
                <w:color w:val="auto"/>
              </w:rPr>
              <w:t>8.2</w:t>
            </w:r>
          </w:p>
        </w:tc>
        <w:tc>
          <w:tcPr>
            <w:tcW w:w="780" w:type="dxa"/>
            <w:vAlign w:val="bottom"/>
          </w:tcPr>
          <w:p>
            <w:pPr>
              <w:spacing w:after="0"/>
              <w:rPr>
                <w:sz w:val="14"/>
                <w:szCs w:val="14"/>
                <w:color w:val="auto"/>
              </w:rPr>
            </w:pPr>
          </w:p>
        </w:tc>
        <w:tc>
          <w:tcPr>
            <w:tcW w:w="780" w:type="dxa"/>
            <w:vAlign w:val="bottom"/>
          </w:tcPr>
          <w:p>
            <w:pPr>
              <w:ind w:left="480"/>
              <w:spacing w:after="0"/>
              <w:rPr>
                <w:sz w:val="20"/>
                <w:szCs w:val="20"/>
                <w:color w:val="auto"/>
              </w:rPr>
            </w:pPr>
            <w:r>
              <w:rPr>
                <w:rFonts w:ascii="Arial" w:cs="Arial" w:eastAsia="Arial" w:hAnsi="Arial"/>
                <w:sz w:val="14"/>
                <w:szCs w:val="14"/>
                <w:color w:val="auto"/>
              </w:rPr>
              <w:t>1.3</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105.2</w:t>
            </w: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4"/>
                <w:szCs w:val="14"/>
                <w:color w:val="auto"/>
              </w:rPr>
              <w:t>Income tax expense</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8.9</w:t>
            </w:r>
          </w:p>
        </w:tc>
        <w:tc>
          <w:tcPr>
            <w:tcW w:w="740" w:type="dxa"/>
            <w:vAlign w:val="bottom"/>
          </w:tcPr>
          <w:p>
            <w:pPr>
              <w:jc w:val="center"/>
              <w:ind w:left="154"/>
              <w:spacing w:after="0"/>
              <w:rPr>
                <w:sz w:val="20"/>
                <w:szCs w:val="20"/>
                <w:color w:val="auto"/>
              </w:rPr>
            </w:pPr>
            <w:r>
              <w:rPr>
                <w:rFonts w:ascii="Arial" w:cs="Arial" w:eastAsia="Arial" w:hAnsi="Arial"/>
                <w:sz w:val="14"/>
                <w:szCs w:val="14"/>
                <w:color w:val="auto"/>
              </w:rPr>
              <w:t>1.1</w:t>
            </w: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2.2</w:t>
            </w: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7.5</w:t>
            </w:r>
          </w:p>
        </w:tc>
        <w:tc>
          <w:tcPr>
            <w:tcW w:w="780" w:type="dxa"/>
            <w:vAlign w:val="bottom"/>
          </w:tcPr>
          <w:p>
            <w:pPr>
              <w:jc w:val="center"/>
              <w:ind w:left="273"/>
              <w:spacing w:after="0"/>
              <w:rPr>
                <w:sz w:val="20"/>
                <w:szCs w:val="20"/>
                <w:color w:val="auto"/>
              </w:rPr>
            </w:pPr>
            <w:r>
              <w:rPr>
                <w:rFonts w:ascii="Arial" w:cs="Arial" w:eastAsia="Arial" w:hAnsi="Arial"/>
                <w:sz w:val="14"/>
                <w:szCs w:val="14"/>
                <w:color w:val="auto"/>
              </w:rPr>
              <w:t>0.3</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2.7</w:t>
            </w:r>
          </w:p>
        </w:tc>
        <w:tc>
          <w:tcPr>
            <w:tcW w:w="700" w:type="dxa"/>
            <w:vAlign w:val="bottom"/>
          </w:tcPr>
          <w:p>
            <w:pPr>
              <w:spacing w:after="0"/>
              <w:rPr>
                <w:sz w:val="18"/>
                <w:szCs w:val="18"/>
                <w:color w:val="auto"/>
              </w:rPr>
            </w:pPr>
          </w:p>
        </w:tc>
        <w:tc>
          <w:tcPr>
            <w:tcW w:w="900" w:type="dxa"/>
            <w:vAlign w:val="bottom"/>
          </w:tcPr>
          <w:p>
            <w:pPr>
              <w:jc w:val="center"/>
              <w:ind w:left="393"/>
              <w:spacing w:after="0"/>
              <w:rPr>
                <w:sz w:val="20"/>
                <w:szCs w:val="20"/>
                <w:color w:val="auto"/>
              </w:rPr>
            </w:pPr>
            <w:r>
              <w:rPr>
                <w:rFonts w:ascii="Arial" w:cs="Arial" w:eastAsia="Arial" w:hAnsi="Arial"/>
                <w:sz w:val="14"/>
                <w:szCs w:val="14"/>
                <w:color w:val="auto"/>
              </w:rPr>
              <w:t>1.8</w:t>
            </w:r>
          </w:p>
        </w:tc>
        <w:tc>
          <w:tcPr>
            <w:tcW w:w="900" w:type="dxa"/>
            <w:vAlign w:val="bottom"/>
          </w:tcPr>
          <w:p>
            <w:pPr>
              <w:jc w:val="center"/>
              <w:ind w:left="392"/>
              <w:spacing w:after="0"/>
              <w:rPr>
                <w:sz w:val="20"/>
                <w:szCs w:val="20"/>
                <w:color w:val="auto"/>
              </w:rPr>
            </w:pPr>
            <w:r>
              <w:rPr>
                <w:rFonts w:ascii="Arial" w:cs="Arial" w:eastAsia="Arial" w:hAnsi="Arial"/>
                <w:sz w:val="14"/>
                <w:szCs w:val="14"/>
                <w:color w:val="auto"/>
              </w:rPr>
              <w:t>1.5</w:t>
            </w: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c>
          <w:tcPr>
            <w:tcW w:w="780" w:type="dxa"/>
            <w:vAlign w:val="bottom"/>
          </w:tcPr>
          <w:p>
            <w:pPr>
              <w:ind w:left="480"/>
              <w:spacing w:after="0"/>
              <w:rPr>
                <w:sz w:val="20"/>
                <w:szCs w:val="20"/>
                <w:color w:val="auto"/>
              </w:rPr>
            </w:pPr>
            <w:r>
              <w:rPr>
                <w:rFonts w:ascii="Arial" w:cs="Arial" w:eastAsia="Arial" w:hAnsi="Arial"/>
                <w:sz w:val="14"/>
                <w:szCs w:val="14"/>
                <w:color w:val="auto"/>
              </w:rPr>
              <w:t>0.6</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06"/>
        </w:trPr>
        <w:tc>
          <w:tcPr>
            <w:tcW w:w="2300" w:type="dxa"/>
            <w:vAlign w:val="bottom"/>
          </w:tcPr>
          <w:p>
            <w:pPr>
              <w:ind w:left="180"/>
              <w:spacing w:after="0"/>
              <w:rPr>
                <w:sz w:val="20"/>
                <w:szCs w:val="20"/>
                <w:color w:val="auto"/>
              </w:rPr>
            </w:pPr>
            <w:r>
              <w:rPr>
                <w:rFonts w:ascii="Arial" w:cs="Arial" w:eastAsia="Arial" w:hAnsi="Arial"/>
                <w:sz w:val="14"/>
                <w:szCs w:val="14"/>
                <w:color w:val="auto"/>
              </w:rPr>
              <w:t>Losses from equity method</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180"/>
              <w:spacing w:after="0"/>
              <w:rPr>
                <w:sz w:val="20"/>
                <w:szCs w:val="20"/>
                <w:color w:val="auto"/>
              </w:rPr>
            </w:pPr>
            <w:r>
              <w:rPr>
                <w:rFonts w:ascii="Arial" w:cs="Arial" w:eastAsia="Arial" w:hAnsi="Arial"/>
                <w:sz w:val="14"/>
                <w:szCs w:val="14"/>
                <w:color w:val="auto"/>
              </w:rPr>
              <w:t>investments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7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0.1</w:t>
            </w:r>
          </w:p>
        </w:tc>
        <w:tc>
          <w:tcPr>
            <w:tcW w:w="7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13.0</w:t>
            </w:r>
          </w:p>
        </w:tc>
        <w:tc>
          <w:tcPr>
            <w:tcW w:w="9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0"/>
        </w:trPr>
        <w:tc>
          <w:tcPr>
            <w:tcW w:w="2300" w:type="dxa"/>
            <w:vAlign w:val="bottom"/>
          </w:tcPr>
          <w:p>
            <w:pPr>
              <w:ind w:left="40"/>
              <w:spacing w:after="0"/>
              <w:rPr>
                <w:sz w:val="20"/>
                <w:szCs w:val="20"/>
                <w:color w:val="auto"/>
              </w:rPr>
            </w:pPr>
            <w:r>
              <w:rPr>
                <w:rFonts w:ascii="Arial" w:cs="Arial" w:eastAsia="Arial" w:hAnsi="Arial"/>
                <w:sz w:val="14"/>
                <w:szCs w:val="14"/>
                <w:color w:val="auto"/>
              </w:rPr>
              <w:t>Net income from continuing</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$58.9</w:t>
            </w:r>
          </w:p>
        </w:tc>
        <w:tc>
          <w:tcPr>
            <w:tcW w:w="740" w:type="dxa"/>
            <w:vAlign w:val="bottom"/>
            <w:vMerge w:val="restart"/>
          </w:tcPr>
          <w:p>
            <w:pPr>
              <w:jc w:val="right"/>
              <w:ind w:right="14"/>
              <w:spacing w:after="0"/>
              <w:rPr>
                <w:sz w:val="20"/>
                <w:szCs w:val="20"/>
                <w:color w:val="auto"/>
              </w:rPr>
            </w:pPr>
            <w:r>
              <w:rPr>
                <w:rFonts w:ascii="Arial" w:cs="Arial" w:eastAsia="Arial" w:hAnsi="Arial"/>
                <w:sz w:val="14"/>
                <w:szCs w:val="14"/>
                <w:color w:val="auto"/>
              </w:rPr>
              <w:t>$3.6</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$11.3</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($30.1)</w:t>
            </w:r>
          </w:p>
        </w:tc>
        <w:tc>
          <w:tcPr>
            <w:tcW w:w="700" w:type="dxa"/>
            <w:vAlign w:val="bottom"/>
            <w:vMerge w:val="restart"/>
          </w:tcPr>
          <w:p>
            <w:pPr>
              <w:ind w:left="300"/>
              <w:spacing w:after="0"/>
              <w:rPr>
                <w:sz w:val="20"/>
                <w:szCs w:val="20"/>
                <w:color w:val="auto"/>
              </w:rPr>
            </w:pPr>
            <w:r>
              <w:rPr>
                <w:rFonts w:ascii="Arial" w:cs="Arial" w:eastAsia="Arial" w:hAnsi="Arial"/>
                <w:sz w:val="14"/>
                <w:szCs w:val="14"/>
                <w:color w:val="auto"/>
              </w:rPr>
              <w:t>$13.0</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780" w:type="dxa"/>
            <w:vAlign w:val="bottom"/>
            <w:vMerge w:val="restart"/>
          </w:tcPr>
          <w:p>
            <w:pPr>
              <w:ind w:left="480"/>
              <w:spacing w:after="0"/>
              <w:rPr>
                <w:sz w:val="20"/>
                <w:szCs w:val="20"/>
                <w:color w:val="auto"/>
              </w:rPr>
            </w:pPr>
            <w:r>
              <w:rPr>
                <w:rFonts w:ascii="Arial" w:cs="Arial" w:eastAsia="Arial" w:hAnsi="Arial"/>
                <w:sz w:val="14"/>
                <w:szCs w:val="14"/>
                <w:color w:val="auto"/>
              </w:rPr>
              <w:t>$0.7</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176"/>
        </w:trPr>
        <w:tc>
          <w:tcPr>
            <w:tcW w:w="230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66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ind w:left="40"/>
              <w:spacing w:after="0"/>
              <w:rPr>
                <w:sz w:val="20"/>
                <w:szCs w:val="20"/>
                <w:color w:val="auto"/>
              </w:rPr>
            </w:pPr>
            <w:r>
              <w:rPr>
                <w:rFonts w:ascii="Arial" w:cs="Arial" w:eastAsia="Arial" w:hAnsi="Arial"/>
                <w:sz w:val="14"/>
                <w:szCs w:val="14"/>
                <w:color w:val="auto"/>
              </w:rPr>
              <w:t>Diluted EPS - Continuing</w:t>
            </w: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3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660" w:type="dxa"/>
            <w:vAlign w:val="bottom"/>
          </w:tcPr>
          <w:p>
            <w:pPr>
              <w:jc w:val="right"/>
              <w:spacing w:after="0"/>
              <w:rPr>
                <w:sz w:val="20"/>
                <w:szCs w:val="20"/>
                <w:color w:val="auto"/>
              </w:rPr>
            </w:pPr>
            <w:r>
              <w:rPr>
                <w:rFonts w:ascii="Arial" w:cs="Arial" w:eastAsia="Arial" w:hAnsi="Arial"/>
                <w:sz w:val="14"/>
                <w:szCs w:val="14"/>
                <w:color w:val="auto"/>
              </w:rPr>
              <w:t>$1.22</w:t>
            </w:r>
          </w:p>
        </w:tc>
        <w:tc>
          <w:tcPr>
            <w:tcW w:w="740" w:type="dxa"/>
            <w:vAlign w:val="bottom"/>
          </w:tcPr>
          <w:p>
            <w:pPr>
              <w:jc w:val="center"/>
              <w:ind w:left="154"/>
              <w:spacing w:after="0"/>
              <w:rPr>
                <w:sz w:val="20"/>
                <w:szCs w:val="20"/>
                <w:color w:val="auto"/>
              </w:rPr>
            </w:pPr>
            <w:r>
              <w:rPr>
                <w:rFonts w:ascii="Arial" w:cs="Arial" w:eastAsia="Arial" w:hAnsi="Arial"/>
                <w:sz w:val="14"/>
                <w:szCs w:val="14"/>
                <w:color w:val="auto"/>
              </w:rPr>
              <w:t>$0.07</w:t>
            </w:r>
          </w:p>
        </w:tc>
        <w:tc>
          <w:tcPr>
            <w:tcW w:w="760" w:type="dxa"/>
            <w:vAlign w:val="bottom"/>
          </w:tcPr>
          <w:p>
            <w:pPr>
              <w:jc w:val="right"/>
              <w:spacing w:after="0"/>
              <w:rPr>
                <w:sz w:val="20"/>
                <w:szCs w:val="20"/>
                <w:color w:val="auto"/>
              </w:rPr>
            </w:pPr>
            <w:r>
              <w:rPr>
                <w:rFonts w:ascii="Arial" w:cs="Arial" w:eastAsia="Arial" w:hAnsi="Arial"/>
                <w:sz w:val="14"/>
                <w:szCs w:val="14"/>
                <w:color w:val="auto"/>
              </w:rPr>
              <w:t>$0.22</w:t>
            </w:r>
          </w:p>
        </w:tc>
        <w:tc>
          <w:tcPr>
            <w:tcW w:w="780" w:type="dxa"/>
            <w:vAlign w:val="bottom"/>
          </w:tcPr>
          <w:p>
            <w:pPr>
              <w:jc w:val="right"/>
              <w:spacing w:after="0"/>
              <w:rPr>
                <w:sz w:val="20"/>
                <w:szCs w:val="20"/>
                <w:color w:val="auto"/>
              </w:rPr>
            </w:pPr>
            <w:r>
              <w:rPr>
                <w:rFonts w:ascii="Arial" w:cs="Arial" w:eastAsia="Arial" w:hAnsi="Arial"/>
                <w:sz w:val="14"/>
                <w:szCs w:val="14"/>
                <w:color w:val="auto"/>
              </w:rPr>
              <w:t>$0.23</w:t>
            </w:r>
          </w:p>
        </w:tc>
        <w:tc>
          <w:tcPr>
            <w:tcW w:w="780" w:type="dxa"/>
            <w:vAlign w:val="bottom"/>
          </w:tcPr>
          <w:p>
            <w:pPr>
              <w:jc w:val="center"/>
              <w:ind w:left="313"/>
              <w:spacing w:after="0"/>
              <w:rPr>
                <w:sz w:val="20"/>
                <w:szCs w:val="20"/>
                <w:color w:val="auto"/>
              </w:rPr>
            </w:pPr>
            <w:r>
              <w:rPr>
                <w:rFonts w:ascii="Arial" w:cs="Arial" w:eastAsia="Arial" w:hAnsi="Arial"/>
                <w:sz w:val="14"/>
                <w:szCs w:val="14"/>
                <w:color w:val="auto"/>
              </w:rPr>
              <w:t>$0.01</w:t>
            </w:r>
          </w:p>
        </w:tc>
        <w:tc>
          <w:tcPr>
            <w:tcW w:w="680" w:type="dxa"/>
            <w:vAlign w:val="bottom"/>
          </w:tcPr>
          <w:p>
            <w:pPr>
              <w:jc w:val="right"/>
              <w:spacing w:after="0"/>
              <w:rPr>
                <w:sz w:val="20"/>
                <w:szCs w:val="20"/>
                <w:color w:val="auto"/>
              </w:rPr>
            </w:pPr>
            <w:r>
              <w:rPr>
                <w:rFonts w:ascii="Arial" w:cs="Arial" w:eastAsia="Arial" w:hAnsi="Arial"/>
                <w:sz w:val="14"/>
                <w:szCs w:val="14"/>
                <w:color w:val="auto"/>
              </w:rPr>
              <w:t>($0.62)</w:t>
            </w:r>
          </w:p>
        </w:tc>
        <w:tc>
          <w:tcPr>
            <w:tcW w:w="700" w:type="dxa"/>
            <w:vAlign w:val="bottom"/>
          </w:tcPr>
          <w:p>
            <w:pPr>
              <w:ind w:left="300"/>
              <w:spacing w:after="0"/>
              <w:rPr>
                <w:sz w:val="20"/>
                <w:szCs w:val="20"/>
                <w:color w:val="auto"/>
              </w:rPr>
            </w:pPr>
            <w:r>
              <w:rPr>
                <w:rFonts w:ascii="Arial" w:cs="Arial" w:eastAsia="Arial" w:hAnsi="Arial"/>
                <w:sz w:val="14"/>
                <w:szCs w:val="14"/>
                <w:color w:val="auto"/>
              </w:rPr>
              <w:t>$0.27</w:t>
            </w:r>
          </w:p>
        </w:tc>
        <w:tc>
          <w:tcPr>
            <w:tcW w:w="900" w:type="dxa"/>
            <w:vAlign w:val="bottom"/>
          </w:tcPr>
          <w:p>
            <w:pPr>
              <w:jc w:val="center"/>
              <w:ind w:left="393"/>
              <w:spacing w:after="0"/>
              <w:rPr>
                <w:sz w:val="20"/>
                <w:szCs w:val="20"/>
                <w:color w:val="auto"/>
              </w:rPr>
            </w:pPr>
            <w:r>
              <w:rPr>
                <w:rFonts w:ascii="Arial" w:cs="Arial" w:eastAsia="Arial" w:hAnsi="Arial"/>
                <w:sz w:val="14"/>
                <w:szCs w:val="14"/>
                <w:color w:val="auto"/>
              </w:rPr>
              <w:t>$0.01</w:t>
            </w:r>
          </w:p>
        </w:tc>
        <w:tc>
          <w:tcPr>
            <w:tcW w:w="900" w:type="dxa"/>
            <w:vAlign w:val="bottom"/>
          </w:tcPr>
          <w:p>
            <w:pPr>
              <w:jc w:val="center"/>
              <w:ind w:left="392"/>
              <w:spacing w:after="0"/>
              <w:rPr>
                <w:sz w:val="20"/>
                <w:szCs w:val="20"/>
                <w:color w:val="auto"/>
              </w:rPr>
            </w:pPr>
            <w:r>
              <w:rPr>
                <w:rFonts w:ascii="Arial" w:cs="Arial" w:eastAsia="Arial" w:hAnsi="Arial"/>
                <w:sz w:val="14"/>
                <w:szCs w:val="14"/>
                <w:color w:val="auto"/>
              </w:rPr>
              <w:t>$0.14</w:t>
            </w:r>
          </w:p>
        </w:tc>
        <w:tc>
          <w:tcPr>
            <w:tcW w:w="780" w:type="dxa"/>
            <w:vAlign w:val="bottom"/>
          </w:tcPr>
          <w:p>
            <w:pPr>
              <w:jc w:val="right"/>
              <w:spacing w:after="0"/>
              <w:rPr>
                <w:sz w:val="20"/>
                <w:szCs w:val="20"/>
                <w:color w:val="auto"/>
              </w:rPr>
            </w:pPr>
            <w:r>
              <w:rPr>
                <w:rFonts w:ascii="Arial" w:cs="Arial" w:eastAsia="Arial" w:hAnsi="Arial"/>
                <w:sz w:val="14"/>
                <w:szCs w:val="14"/>
                <w:color w:val="auto"/>
              </w:rPr>
              <w:t>$0.03</w:t>
            </w:r>
          </w:p>
        </w:tc>
        <w:tc>
          <w:tcPr>
            <w:tcW w:w="780" w:type="dxa"/>
            <w:vAlign w:val="bottom"/>
          </w:tcPr>
          <w:p>
            <w:pPr>
              <w:ind w:left="400"/>
              <w:spacing w:after="0"/>
              <w:rPr>
                <w:sz w:val="20"/>
                <w:szCs w:val="20"/>
                <w:color w:val="auto"/>
              </w:rPr>
            </w:pPr>
            <w:r>
              <w:rPr>
                <w:rFonts w:ascii="Arial" w:cs="Arial" w:eastAsia="Arial" w:hAnsi="Arial"/>
                <w:sz w:val="14"/>
                <w:szCs w:val="14"/>
                <w:color w:val="auto"/>
              </w:rPr>
              <w:t>$0.01</w:t>
            </w:r>
          </w:p>
        </w:tc>
        <w:tc>
          <w:tcPr>
            <w:tcW w:w="660" w:type="dxa"/>
            <w:vAlign w:val="bottom"/>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GAAP results for the six months ended June 30, 2017 include:</w:t>
      </w:r>
    </w:p>
    <w:p>
      <w:pPr>
        <w:spacing w:after="0" w:line="73" w:lineRule="exact"/>
        <w:rPr>
          <w:sz w:val="20"/>
          <w:szCs w:val="20"/>
          <w:color w:val="auto"/>
        </w:rPr>
      </w:pPr>
    </w:p>
    <w:p>
      <w:pPr>
        <w:ind w:left="300" w:hanging="253"/>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55" w:lineRule="exact"/>
        <w:rPr>
          <w:rFonts w:ascii="Arial" w:cs="Arial" w:eastAsia="Arial" w:hAnsi="Arial"/>
          <w:sz w:val="14"/>
          <w:szCs w:val="14"/>
          <w:color w:val="auto"/>
        </w:rPr>
      </w:pPr>
    </w:p>
    <w:p>
      <w:pPr>
        <w:ind w:left="300" w:hanging="253"/>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300" w:hanging="257"/>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300" w:hanging="257"/>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300" w:hanging="253"/>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Caisson-related acquisition costs and gain on acquisition</w:t>
      </w:r>
    </w:p>
    <w:p>
      <w:pPr>
        <w:spacing w:after="0" w:line="55" w:lineRule="exact"/>
        <w:rPr>
          <w:rFonts w:ascii="Arial" w:cs="Arial" w:eastAsia="Arial" w:hAnsi="Arial"/>
          <w:sz w:val="14"/>
          <w:szCs w:val="14"/>
          <w:color w:val="auto"/>
        </w:rPr>
      </w:pPr>
    </w:p>
    <w:p>
      <w:pPr>
        <w:ind w:left="300" w:hanging="249"/>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Impairment of an equity-method investment, Highlife</w:t>
      </w:r>
    </w:p>
    <w:p>
      <w:pPr>
        <w:spacing w:after="0" w:line="55"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Contingent consideration related to acquisitions, legal expenses primarily related to 3T Heater-Cooler defense, gain on sale of Instituto Europeo di Oncologia S.R.L. and other</w:t>
      </w:r>
    </w:p>
    <w:p>
      <w:pPr>
        <w:spacing w:after="0" w:line="1" w:lineRule="exact"/>
        <w:rPr>
          <w:rFonts w:ascii="Arial" w:cs="Arial" w:eastAsia="Arial" w:hAnsi="Arial"/>
          <w:sz w:val="14"/>
          <w:szCs w:val="14"/>
          <w:color w:val="auto"/>
        </w:rPr>
      </w:pPr>
    </w:p>
    <w:p>
      <w:pPr>
        <w:ind w:left="300" w:hanging="261"/>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matters</w:t>
      </w:r>
    </w:p>
    <w:p>
      <w:pPr>
        <w:spacing w:after="0" w:line="55" w:lineRule="exact"/>
        <w:rPr>
          <w:rFonts w:ascii="Arial" w:cs="Arial" w:eastAsia="Arial" w:hAnsi="Arial"/>
          <w:sz w:val="14"/>
          <w:szCs w:val="14"/>
          <w:color w:val="auto"/>
        </w:rPr>
      </w:pPr>
    </w:p>
    <w:p>
      <w:pPr>
        <w:ind w:left="300" w:hanging="257"/>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55" w:lineRule="exact"/>
        <w:rPr>
          <w:sz w:val="20"/>
          <w:szCs w:val="20"/>
          <w:color w:val="auto"/>
        </w:rPr>
      </w:pPr>
    </w:p>
    <w:p>
      <w:pPr>
        <w:ind w:left="80"/>
        <w:spacing w:after="0"/>
        <w:rPr>
          <w:sz w:val="20"/>
          <w:szCs w:val="20"/>
          <w:color w:val="auto"/>
        </w:rPr>
      </w:pPr>
      <w:r>
        <w:rPr>
          <w:rFonts w:ascii="Arial" w:cs="Arial" w:eastAsia="Arial" w:hAnsi="Arial"/>
          <w:sz w:val="14"/>
          <w:szCs w:val="14"/>
          <w:color w:val="auto"/>
        </w:rPr>
        <w:t>(I) Primarily relates to discrete tax items and the tax impact of intercompany transactions</w:t>
      </w:r>
    </w:p>
    <w:p>
      <w:pPr>
        <w:spacing w:after="0" w:line="55" w:lineRule="exact"/>
        <w:rPr>
          <w:sz w:val="20"/>
          <w:szCs w:val="20"/>
          <w:color w:val="auto"/>
        </w:rPr>
      </w:pPr>
    </w:p>
    <w:p>
      <w:pPr>
        <w:ind w:left="40" w:right="4660" w:firstLine="19"/>
        <w:spacing w:after="0" w:line="338" w:lineRule="auto"/>
        <w:tabs>
          <w:tab w:leader="none" w:pos="310" w:val="left"/>
        </w:tabs>
        <w:numPr>
          <w:ilvl w:val="1"/>
          <w:numId w:val="18"/>
        </w:numPr>
        <w:rPr>
          <w:rFonts w:ascii="Arial" w:cs="Arial" w:eastAsia="Arial" w:hAnsi="Arial"/>
          <w:sz w:val="14"/>
          <w:szCs w:val="14"/>
          <w:color w:val="auto"/>
        </w:rPr>
      </w:pPr>
      <w:r>
        <w:rPr>
          <w:rFonts w:ascii="Arial" w:cs="Arial" w:eastAsia="Arial" w:hAnsi="Arial"/>
          <w:sz w:val="14"/>
          <w:szCs w:val="14"/>
          <w:color w:val="auto"/>
        </w:rPr>
        <w:t>Primarily relates to intellectual property migration and other non-recurring impacts to interest expense * Numbers may not add up precisely due to rounding.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1004"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LIVANOVA PLC AND SUBSIDIARIES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CONDENSED CONSOLIDATED BALANCE SHEETS - UNAUDITED</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(U.S. dollars in millions)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960" w:type="dxa"/>
            <w:vAlign w:val="bottom"/>
          </w:tcPr>
          <w:p>
            <w:pPr>
              <w:spacing w:after="0"/>
              <w:rPr>
                <w:sz w:val="19"/>
                <w:szCs w:val="19"/>
                <w:color w:val="auto"/>
              </w:rPr>
            </w:pPr>
          </w:p>
        </w:tc>
        <w:tc>
          <w:tcPr>
            <w:tcW w:w="2280" w:type="dxa"/>
            <w:vAlign w:val="bottom"/>
            <w:gridSpan w:val="2"/>
          </w:tcPr>
          <w:p>
            <w:pPr>
              <w:ind w:left="560"/>
              <w:spacing w:after="0"/>
              <w:rPr>
                <w:sz w:val="20"/>
                <w:szCs w:val="20"/>
                <w:color w:val="auto"/>
              </w:rPr>
            </w:pPr>
            <w:r>
              <w:rPr>
                <w:rFonts w:ascii="Arial" w:cs="Arial" w:eastAsia="Arial" w:hAnsi="Arial"/>
                <w:sz w:val="16"/>
                <w:szCs w:val="16"/>
                <w:b w:val="1"/>
                <w:bCs w:val="1"/>
                <w:color w:val="auto"/>
              </w:rPr>
              <w:t>June 30, 2018</w:t>
            </w:r>
          </w:p>
        </w:tc>
        <w:tc>
          <w:tcPr>
            <w:tcW w:w="214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 2017</w:t>
            </w:r>
          </w:p>
        </w:tc>
        <w:tc>
          <w:tcPr>
            <w:tcW w:w="0" w:type="dxa"/>
            <w:vAlign w:val="bottom"/>
          </w:tcPr>
          <w:p>
            <w:pPr>
              <w:spacing w:after="0"/>
              <w:rPr>
                <w:sz w:val="1"/>
                <w:szCs w:val="1"/>
                <w:color w:val="auto"/>
              </w:rPr>
            </w:pPr>
          </w:p>
        </w:tc>
      </w:tr>
      <w:tr>
        <w:trPr>
          <w:trHeight w:val="251"/>
        </w:trPr>
        <w:tc>
          <w:tcPr>
            <w:tcW w:w="6960" w:type="dxa"/>
            <w:vAlign w:val="bottom"/>
          </w:tcPr>
          <w:p>
            <w:pPr>
              <w:ind w:left="120"/>
              <w:spacing w:after="0"/>
              <w:rPr>
                <w:sz w:val="20"/>
                <w:szCs w:val="20"/>
                <w:color w:val="auto"/>
              </w:rPr>
            </w:pPr>
            <w:r>
              <w:rPr>
                <w:rFonts w:ascii="Arial" w:cs="Arial" w:eastAsia="Arial" w:hAnsi="Arial"/>
                <w:sz w:val="16"/>
                <w:szCs w:val="16"/>
                <w:b w:val="1"/>
                <w:bCs w:val="1"/>
                <w:color w:val="auto"/>
              </w:rPr>
              <w:t>ASSETS</w:t>
            </w:r>
          </w:p>
        </w:tc>
        <w:tc>
          <w:tcPr>
            <w:tcW w:w="2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6"/>
                <w:szCs w:val="16"/>
                <w:color w:val="auto"/>
              </w:rPr>
              <w:t>Current Assets:</w:t>
            </w:r>
          </w:p>
        </w:tc>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$47.4</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261.9</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282.1</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157.8</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144.5</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Prepaid and refundable taxes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2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Assets of discontinued operations</w:t>
            </w:r>
          </w:p>
        </w:tc>
        <w:tc>
          <w:tcPr>
            <w:tcW w:w="2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250.7</w:t>
            </w:r>
          </w:p>
        </w:tc>
        <w:tc>
          <w:tcPr>
            <w:tcW w:w="0" w:type="dxa"/>
            <w:vAlign w:val="bottom"/>
          </w:tcPr>
          <w:p>
            <w:pPr>
              <w:spacing w:after="0"/>
              <w:rPr>
                <w:sz w:val="1"/>
                <w:szCs w:val="1"/>
                <w:color w:val="auto"/>
              </w:rPr>
            </w:pPr>
          </w:p>
        </w:tc>
      </w:tr>
      <w:tr>
        <w:trPr>
          <w:trHeight w:val="283"/>
        </w:trPr>
        <w:tc>
          <w:tcPr>
            <w:tcW w:w="696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4"/>
                <w:szCs w:val="24"/>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0"/>
                <w:szCs w:val="20"/>
                <w:color w:val="auto"/>
              </w:rPr>
            </w:pPr>
            <w:r>
              <w:rPr>
                <w:rFonts w:ascii="Arial" w:cs="Arial" w:eastAsia="Arial" w:hAnsi="Arial"/>
                <w:sz w:val="16"/>
                <w:szCs w:val="16"/>
                <w:color w:val="auto"/>
              </w:rPr>
              <w:t>Total Current Assets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554.7</w:t>
            </w:r>
          </w:p>
        </w:tc>
        <w:tc>
          <w:tcPr>
            <w:tcW w:w="120" w:type="dxa"/>
            <w:vAlign w:val="bottom"/>
          </w:tcPr>
          <w:p>
            <w:pPr>
              <w:spacing w:after="0"/>
              <w:rPr>
                <w:sz w:val="21"/>
                <w:szCs w:val="21"/>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869.9</w:t>
            </w:r>
          </w:p>
        </w:tc>
        <w:tc>
          <w:tcPr>
            <w:tcW w:w="0" w:type="dxa"/>
            <w:vAlign w:val="bottom"/>
          </w:tcPr>
          <w:p>
            <w:pPr>
              <w:spacing w:after="0"/>
              <w:rPr>
                <w:sz w:val="1"/>
                <w:szCs w:val="1"/>
                <w:color w:val="auto"/>
              </w:rPr>
            </w:pPr>
          </w:p>
        </w:tc>
      </w:tr>
      <w:tr>
        <w:trPr>
          <w:trHeight w:val="237"/>
        </w:trPr>
        <w:tc>
          <w:tcPr>
            <w:tcW w:w="6960" w:type="dxa"/>
            <w:vAlign w:val="bottom"/>
          </w:tcPr>
          <w:p>
            <w:pPr>
              <w:ind w:left="120"/>
              <w:spacing w:after="0"/>
              <w:rPr>
                <w:sz w:val="20"/>
                <w:szCs w:val="20"/>
                <w:color w:val="auto"/>
              </w:rPr>
            </w:pPr>
            <w:r>
              <w:rPr>
                <w:rFonts w:ascii="Arial" w:cs="Arial" w:eastAsia="Arial" w:hAnsi="Arial"/>
                <w:sz w:val="16"/>
                <w:szCs w:val="16"/>
                <w:color w:val="auto"/>
              </w:rPr>
              <w:t>Property, plant and equipment, net</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186.2</w:t>
            </w:r>
          </w:p>
        </w:tc>
        <w:tc>
          <w:tcPr>
            <w:tcW w:w="120" w:type="dxa"/>
            <w:vAlign w:val="bottom"/>
          </w:tcPr>
          <w:p>
            <w:pPr>
              <w:spacing w:after="0"/>
              <w:rPr>
                <w:sz w:val="20"/>
                <w:szCs w:val="20"/>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192.4</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Goodwill</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965.7</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784.2</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Intangible assets, net</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798.4</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535.4</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Investments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Deferred tax assets, net</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83"/>
        </w:trPr>
        <w:tc>
          <w:tcPr>
            <w:tcW w:w="6960" w:type="dxa"/>
            <w:vAlign w:val="bottom"/>
          </w:tcPr>
          <w:p>
            <w:pPr>
              <w:ind w:left="120"/>
              <w:spacing w:after="0"/>
              <w:rPr>
                <w:sz w:val="20"/>
                <w:szCs w:val="20"/>
                <w:color w:val="auto"/>
              </w:rPr>
            </w:pPr>
            <w:r>
              <w:rPr>
                <w:rFonts w:ascii="Arial" w:cs="Arial" w:eastAsia="Arial" w:hAnsi="Arial"/>
                <w:sz w:val="16"/>
                <w:szCs w:val="16"/>
                <w:color w:val="auto"/>
              </w:rPr>
              <w:t>Other assets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4"/>
                <w:szCs w:val="24"/>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64"/>
        </w:trPr>
        <w:tc>
          <w:tcPr>
            <w:tcW w:w="6960" w:type="dxa"/>
            <w:vAlign w:val="bottom"/>
          </w:tcPr>
          <w:p>
            <w:pPr>
              <w:spacing w:after="0"/>
              <w:rPr>
                <w:sz w:val="20"/>
                <w:szCs w:val="20"/>
                <w:color w:val="auto"/>
              </w:rPr>
            </w:pPr>
            <w:r>
              <w:rPr>
                <w:rFonts w:ascii="Arial" w:cs="Arial" w:eastAsia="Arial" w:hAnsi="Arial"/>
                <w:sz w:val="16"/>
                <w:szCs w:val="16"/>
                <w:color w:val="auto"/>
              </w:rPr>
              <w:t>Total Assets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$2,597.1</w:t>
            </w:r>
          </w:p>
        </w:tc>
        <w:tc>
          <w:tcPr>
            <w:tcW w:w="120" w:type="dxa"/>
            <w:vAlign w:val="bottom"/>
          </w:tcPr>
          <w:p>
            <w:pPr>
              <w:spacing w:after="0"/>
              <w:rPr>
                <w:sz w:val="22"/>
                <w:szCs w:val="22"/>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$2,503.9</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LIABILITIES AND STOCKHOLDERS' EQUITY</w:t>
            </w: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96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6"/>
                <w:szCs w:val="16"/>
                <w:color w:val="auto"/>
              </w:rPr>
              <w:t>Current Liabilities:</w:t>
            </w:r>
          </w:p>
        </w:tc>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Current debt obligations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Accrued liabilities and other</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86.2</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Taxes payable</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Accrued employee compensation and related benefits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83"/>
        </w:trPr>
        <w:tc>
          <w:tcPr>
            <w:tcW w:w="6960" w:type="dxa"/>
            <w:vAlign w:val="bottom"/>
          </w:tcPr>
          <w:p>
            <w:pPr>
              <w:ind w:left="120"/>
              <w:spacing w:after="0"/>
              <w:rPr>
                <w:sz w:val="20"/>
                <w:szCs w:val="20"/>
                <w:color w:val="auto"/>
              </w:rPr>
            </w:pPr>
            <w:r>
              <w:rPr>
                <w:rFonts w:ascii="Arial" w:cs="Arial" w:eastAsia="Arial" w:hAnsi="Arial"/>
                <w:sz w:val="16"/>
                <w:szCs w:val="16"/>
                <w:color w:val="auto"/>
              </w:rPr>
              <w:t>Liabilities of discontinued operations</w:t>
            </w:r>
          </w:p>
        </w:tc>
        <w:tc>
          <w:tcPr>
            <w:tcW w:w="2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2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368.0</w:t>
            </w:r>
          </w:p>
        </w:tc>
        <w:tc>
          <w:tcPr>
            <w:tcW w:w="120" w:type="dxa"/>
            <w:vAlign w:val="bottom"/>
          </w:tcPr>
          <w:p>
            <w:pPr>
              <w:spacing w:after="0"/>
              <w:rPr>
                <w:sz w:val="21"/>
                <w:szCs w:val="21"/>
                <w:color w:val="auto"/>
              </w:rPr>
            </w:pPr>
          </w:p>
        </w:tc>
        <w:tc>
          <w:tcPr>
            <w:tcW w:w="2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406.0</w:t>
            </w:r>
          </w:p>
        </w:tc>
        <w:tc>
          <w:tcPr>
            <w:tcW w:w="0" w:type="dxa"/>
            <w:vAlign w:val="bottom"/>
          </w:tcPr>
          <w:p>
            <w:pPr>
              <w:spacing w:after="0"/>
              <w:rPr>
                <w:sz w:val="1"/>
                <w:szCs w:val="1"/>
                <w:color w:val="auto"/>
              </w:rPr>
            </w:pPr>
          </w:p>
        </w:tc>
      </w:tr>
      <w:tr>
        <w:trPr>
          <w:trHeight w:val="237"/>
        </w:trPr>
        <w:tc>
          <w:tcPr>
            <w:tcW w:w="6960" w:type="dxa"/>
            <w:vAlign w:val="bottom"/>
          </w:tcPr>
          <w:p>
            <w:pPr>
              <w:ind w:left="120"/>
              <w:spacing w:after="0"/>
              <w:rPr>
                <w:sz w:val="20"/>
                <w:szCs w:val="20"/>
                <w:color w:val="auto"/>
              </w:rPr>
            </w:pPr>
            <w:r>
              <w:rPr>
                <w:rFonts w:ascii="Arial" w:cs="Arial" w:eastAsia="Arial" w:hAnsi="Arial"/>
                <w:sz w:val="16"/>
                <w:szCs w:val="16"/>
                <w:color w:val="auto"/>
              </w:rPr>
              <w:t>Long-term debt obligations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20"/>
                <w:szCs w:val="20"/>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Contingent consideration</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178.4</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Deferred income taxes liability</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154.4</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Long-term employee compensation and related benefits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83"/>
        </w:trPr>
        <w:tc>
          <w:tcPr>
            <w:tcW w:w="6960" w:type="dxa"/>
            <w:vAlign w:val="bottom"/>
          </w:tcPr>
          <w:p>
            <w:pPr>
              <w:ind w:left="120"/>
              <w:spacing w:after="0"/>
              <w:rPr>
                <w:sz w:val="20"/>
                <w:szCs w:val="20"/>
                <w:color w:val="auto"/>
              </w:rPr>
            </w:pPr>
            <w:r>
              <w:rPr>
                <w:rFonts w:ascii="Arial" w:cs="Arial" w:eastAsia="Arial" w:hAnsi="Arial"/>
                <w:sz w:val="16"/>
                <w:szCs w:val="16"/>
                <w:color w:val="auto"/>
              </w:rPr>
              <w:t>Other long-term liabilities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4"/>
                <w:szCs w:val="24"/>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0"/>
                <w:szCs w:val="20"/>
                <w:color w:val="auto"/>
              </w:rPr>
            </w:pPr>
            <w:r>
              <w:rPr>
                <w:rFonts w:ascii="Arial" w:cs="Arial" w:eastAsia="Arial" w:hAnsi="Arial"/>
                <w:sz w:val="16"/>
                <w:szCs w:val="16"/>
                <w:color w:val="auto"/>
              </w:rPr>
              <w:t>Total Liabilities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814.1</w:t>
            </w:r>
          </w:p>
        </w:tc>
        <w:tc>
          <w:tcPr>
            <w:tcW w:w="120" w:type="dxa"/>
            <w:vAlign w:val="bottom"/>
          </w:tcPr>
          <w:p>
            <w:pPr>
              <w:spacing w:after="0"/>
              <w:rPr>
                <w:sz w:val="21"/>
                <w:szCs w:val="21"/>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688.6</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1,783.0</w:t>
            </w:r>
          </w:p>
        </w:tc>
        <w:tc>
          <w:tcPr>
            <w:tcW w:w="120" w:type="dxa"/>
            <w:vAlign w:val="bottom"/>
          </w:tcPr>
          <w:p>
            <w:pPr>
              <w:spacing w:after="0"/>
              <w:rPr>
                <w:sz w:val="21"/>
                <w:szCs w:val="21"/>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1,815.3</w:t>
            </w:r>
          </w:p>
        </w:tc>
        <w:tc>
          <w:tcPr>
            <w:tcW w:w="0" w:type="dxa"/>
            <w:vAlign w:val="bottom"/>
          </w:tcPr>
          <w:p>
            <w:pPr>
              <w:spacing w:after="0"/>
              <w:rPr>
                <w:sz w:val="1"/>
                <w:szCs w:val="1"/>
                <w:color w:val="auto"/>
              </w:rPr>
            </w:pPr>
          </w:p>
        </w:tc>
      </w:tr>
      <w:tr>
        <w:trPr>
          <w:trHeight w:val="267"/>
        </w:trPr>
        <w:tc>
          <w:tcPr>
            <w:tcW w:w="696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$2,597.1</w:t>
            </w:r>
          </w:p>
        </w:tc>
        <w:tc>
          <w:tcPr>
            <w:tcW w:w="120" w:type="dxa"/>
            <w:vAlign w:val="bottom"/>
          </w:tcPr>
          <w:p>
            <w:pPr>
              <w:spacing w:after="0"/>
              <w:rPr>
                <w:sz w:val="23"/>
                <w:szCs w:val="23"/>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$2,503.9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hanging="112"/>
        <w:spacing w:after="0"/>
        <w:tabs>
          <w:tab w:leader="none" w:pos="1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783" w:right="2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LIVANOVA PLC AND SUBSIDIARIES</w:t>
      </w:r>
    </w:p>
    <w:p>
      <w:pPr>
        <w:spacing w:after="0" w:line="40" w:lineRule="exact"/>
        <w:rPr>
          <w:sz w:val="20"/>
          <w:szCs w:val="20"/>
          <w:color w:val="auto"/>
        </w:rPr>
      </w:pPr>
    </w:p>
    <w:p>
      <w:pPr>
        <w:ind w:right="3680"/>
        <w:spacing w:after="0" w:line="300" w:lineRule="auto"/>
        <w:rPr>
          <w:sz w:val="20"/>
          <w:szCs w:val="20"/>
          <w:color w:val="auto"/>
        </w:rPr>
      </w:pPr>
      <w:r>
        <w:rPr>
          <w:rFonts w:ascii="Arial" w:cs="Arial" w:eastAsia="Arial" w:hAnsi="Arial"/>
          <w:sz w:val="20"/>
          <w:szCs w:val="20"/>
          <w:b w:val="1"/>
          <w:bCs w:val="1"/>
          <w:color w:val="auto"/>
        </w:rPr>
        <w:t>CONDENSED CONSOLIDATED STATEMENTS OF CASH FLOW - UNAUDITED (U.S. dollars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0" w:type="dxa"/>
            <w:vAlign w:val="bottom"/>
          </w:tcPr>
          <w:p>
            <w:pPr>
              <w:spacing w:after="0"/>
              <w:rPr>
                <w:sz w:val="19"/>
                <w:szCs w:val="19"/>
                <w:color w:val="auto"/>
              </w:rPr>
            </w:pPr>
          </w:p>
        </w:tc>
        <w:tc>
          <w:tcPr>
            <w:tcW w:w="346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74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6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22"/>
                <w:szCs w:val="22"/>
                <w:color w:val="auto"/>
              </w:rPr>
            </w:pPr>
          </w:p>
        </w:tc>
        <w:tc>
          <w:tcPr>
            <w:tcW w:w="16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251"/>
        </w:trPr>
        <w:tc>
          <w:tcPr>
            <w:tcW w:w="740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$28.3</w:t>
            </w:r>
          </w:p>
        </w:tc>
        <w:tc>
          <w:tcPr>
            <w:tcW w:w="220" w:type="dxa"/>
            <w:vAlign w:val="bottom"/>
          </w:tcPr>
          <w:p>
            <w:pPr>
              <w:spacing w:after="0"/>
              <w:rPr>
                <w:sz w:val="21"/>
                <w:szCs w:val="21"/>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$58.8</w:t>
            </w:r>
          </w:p>
        </w:tc>
      </w:tr>
      <w:tr>
        <w:trPr>
          <w:trHeight w:val="270"/>
        </w:trPr>
        <w:tc>
          <w:tcPr>
            <w:tcW w:w="7400" w:type="dxa"/>
            <w:vAlign w:val="bottom"/>
          </w:tcPr>
          <w:p>
            <w:pPr>
              <w:spacing w:after="0"/>
              <w:rPr>
                <w:sz w:val="20"/>
                <w:szCs w:val="20"/>
                <w:color w:val="auto"/>
              </w:rPr>
            </w:pPr>
            <w:r>
              <w:rPr>
                <w:rFonts w:ascii="Arial" w:cs="Arial" w:eastAsia="Arial" w:hAnsi="Arial"/>
                <w:sz w:val="16"/>
                <w:szCs w:val="16"/>
                <w:color w:val="auto"/>
              </w:rPr>
              <w:t>Non-cash items included in net income:</w:t>
            </w: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16.6</w:t>
            </w:r>
          </w:p>
        </w:tc>
        <w:tc>
          <w:tcPr>
            <w:tcW w:w="22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18.0</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Amortization</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18.6</w:t>
            </w:r>
          </w:p>
        </w:tc>
        <w:tc>
          <w:tcPr>
            <w:tcW w:w="22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23.1</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22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8.6</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Deferred income tax benefit</w:t>
            </w:r>
          </w:p>
        </w:tc>
        <w:tc>
          <w:tcPr>
            <w:tcW w:w="1620" w:type="dxa"/>
            <w:vAlign w:val="bottom"/>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Losses from equity method investments</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18.5</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Gain on acquisitions</w:t>
            </w:r>
          </w:p>
        </w:tc>
        <w:tc>
          <w:tcPr>
            <w:tcW w:w="1620" w:type="dxa"/>
            <w:vAlign w:val="bottom"/>
          </w:tcPr>
          <w:p>
            <w:pPr>
              <w:jc w:val="right"/>
              <w:spacing w:after="0"/>
              <w:rPr>
                <w:sz w:val="20"/>
                <w:szCs w:val="20"/>
                <w:color w:val="auto"/>
              </w:rPr>
            </w:pPr>
            <w:r>
              <w:rPr>
                <w:rFonts w:ascii="Arial" w:cs="Arial" w:eastAsia="Arial" w:hAnsi="Arial"/>
                <w:sz w:val="16"/>
                <w:szCs w:val="16"/>
                <w:color w:val="auto"/>
              </w:rPr>
              <w:t>(11.5)</w:t>
            </w:r>
          </w:p>
        </w:tc>
        <w:tc>
          <w:tcPr>
            <w:tcW w:w="2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(39.4)</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Impairment of property, plant and equipment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22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Amortization of income taxes payable on inter-company transfers of property</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17.8</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Remeasurement of contingent consideration to fair value</w:t>
            </w:r>
          </w:p>
        </w:tc>
        <w:tc>
          <w:tcPr>
            <w:tcW w:w="1620" w:type="dxa"/>
            <w:vAlign w:val="bottom"/>
          </w:tcPr>
          <w:p>
            <w:pPr>
              <w:jc w:val="right"/>
              <w:spacing w:after="0"/>
              <w:rPr>
                <w:sz w:val="20"/>
                <w:szCs w:val="20"/>
                <w:color w:val="auto"/>
              </w:rPr>
            </w:pPr>
            <w:r>
              <w:rPr>
                <w:rFonts w:ascii="Arial" w:cs="Arial" w:eastAsia="Arial" w:hAnsi="Arial"/>
                <w:sz w:val="16"/>
                <w:szCs w:val="16"/>
                <w:color w:val="auto"/>
              </w:rPr>
              <w:t>(5.5)</w:t>
            </w:r>
          </w:p>
        </w:tc>
        <w:tc>
          <w:tcPr>
            <w:tcW w:w="22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Other</w:t>
            </w:r>
          </w:p>
        </w:tc>
        <w:tc>
          <w:tcPr>
            <w:tcW w:w="1620" w:type="dxa"/>
            <w:vAlign w:val="bottom"/>
          </w:tcPr>
          <w:p>
            <w:pPr>
              <w:jc w:val="right"/>
              <w:spacing w:after="0"/>
              <w:rPr>
                <w:sz w:val="20"/>
                <w:szCs w:val="20"/>
                <w:color w:val="auto"/>
              </w:rPr>
            </w:pPr>
            <w:r>
              <w:rPr>
                <w:rFonts w:ascii="Arial" w:cs="Arial" w:eastAsia="Arial" w:hAnsi="Arial"/>
                <w:sz w:val="16"/>
                <w:szCs w:val="16"/>
                <w:color w:val="auto"/>
              </w:rPr>
              <w:t>(0.9)</w:t>
            </w:r>
          </w:p>
        </w:tc>
        <w:tc>
          <w:tcPr>
            <w:tcW w:w="22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70"/>
        </w:trPr>
        <w:tc>
          <w:tcPr>
            <w:tcW w:w="7400" w:type="dxa"/>
            <w:vAlign w:val="bottom"/>
          </w:tcPr>
          <w:p>
            <w:pPr>
              <w:spacing w:after="0"/>
              <w:rPr>
                <w:sz w:val="20"/>
                <w:szCs w:val="20"/>
                <w:color w:val="auto"/>
              </w:rPr>
            </w:pPr>
            <w:r>
              <w:rPr>
                <w:rFonts w:ascii="Arial" w:cs="Arial" w:eastAsia="Arial" w:hAnsi="Arial"/>
                <w:sz w:val="16"/>
                <w:szCs w:val="16"/>
                <w:b w:val="1"/>
                <w:bCs w:val="1"/>
                <w:color w:val="auto"/>
              </w:rPr>
              <w:t>Changes in operating assets and liabilities:</w:t>
            </w: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Accounts receivable, net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21.8</w:t>
            </w:r>
          </w:p>
        </w:tc>
        <w:tc>
          <w:tcPr>
            <w:tcW w:w="2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1620" w:type="dxa"/>
            <w:vAlign w:val="bottom"/>
          </w:tcPr>
          <w:p>
            <w:pPr>
              <w:jc w:val="right"/>
              <w:spacing w:after="0"/>
              <w:rPr>
                <w:sz w:val="20"/>
                <w:szCs w:val="20"/>
                <w:color w:val="auto"/>
              </w:rPr>
            </w:pPr>
            <w:r>
              <w:rPr>
                <w:rFonts w:ascii="Arial" w:cs="Arial" w:eastAsia="Arial" w:hAnsi="Arial"/>
                <w:sz w:val="16"/>
                <w:szCs w:val="16"/>
                <w:color w:val="auto"/>
              </w:rPr>
              <w:t>(11.3)</w:t>
            </w:r>
          </w:p>
        </w:tc>
        <w:tc>
          <w:tcPr>
            <w:tcW w:w="2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Other current and non-current assets</w:t>
            </w:r>
          </w:p>
        </w:tc>
        <w:tc>
          <w:tcPr>
            <w:tcW w:w="1620" w:type="dxa"/>
            <w:vAlign w:val="bottom"/>
          </w:tcPr>
          <w:p>
            <w:pPr>
              <w:jc w:val="right"/>
              <w:spacing w:after="0"/>
              <w:rPr>
                <w:sz w:val="20"/>
                <w:szCs w:val="20"/>
                <w:color w:val="auto"/>
              </w:rPr>
            </w:pPr>
            <w:r>
              <w:rPr>
                <w:rFonts w:ascii="Arial" w:cs="Arial" w:eastAsia="Arial" w:hAnsi="Arial"/>
                <w:sz w:val="16"/>
                <w:szCs w:val="16"/>
                <w:color w:val="auto"/>
              </w:rPr>
              <w:t>(15.8)</w:t>
            </w:r>
          </w:p>
        </w:tc>
        <w:tc>
          <w:tcPr>
            <w:tcW w:w="2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Accounts payable and accrued current and non-current liabilities</w:t>
            </w:r>
          </w:p>
        </w:tc>
        <w:tc>
          <w:tcPr>
            <w:tcW w:w="162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83"/>
        </w:trPr>
        <w:tc>
          <w:tcPr>
            <w:tcW w:w="7400" w:type="dxa"/>
            <w:vAlign w:val="bottom"/>
          </w:tcPr>
          <w:p>
            <w:pPr>
              <w:ind w:left="320"/>
              <w:spacing w:after="0"/>
              <w:rPr>
                <w:sz w:val="20"/>
                <w:szCs w:val="20"/>
                <w:color w:val="auto"/>
              </w:rPr>
            </w:pPr>
            <w:r>
              <w:rPr>
                <w:rFonts w:ascii="Arial" w:cs="Arial" w:eastAsia="Arial" w:hAnsi="Arial"/>
                <w:sz w:val="16"/>
                <w:szCs w:val="16"/>
                <w:color w:val="auto"/>
              </w:rPr>
              <w:t>Restructuring reserve</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r>
      <w:tr>
        <w:trPr>
          <w:trHeight w:val="250"/>
        </w:trPr>
        <w:tc>
          <w:tcPr>
            <w:tcW w:w="7400" w:type="dxa"/>
            <w:vAlign w:val="bottom"/>
          </w:tcPr>
          <w:p>
            <w:pPr>
              <w:ind w:left="460"/>
              <w:spacing w:after="0"/>
              <w:rPr>
                <w:sz w:val="20"/>
                <w:szCs w:val="20"/>
                <w:color w:val="auto"/>
              </w:rPr>
            </w:pPr>
            <w:r>
              <w:rPr>
                <w:rFonts w:ascii="Arial" w:cs="Arial" w:eastAsia="Arial" w:hAnsi="Arial"/>
                <w:sz w:val="16"/>
                <w:szCs w:val="16"/>
                <w:b w:val="1"/>
                <w:bCs w:val="1"/>
                <w:color w:val="auto"/>
              </w:rPr>
              <w:t>Net cash provided by operating activities</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48.5</w:t>
            </w:r>
          </w:p>
        </w:tc>
        <w:tc>
          <w:tcPr>
            <w:tcW w:w="220" w:type="dxa"/>
            <w:vAlign w:val="bottom"/>
          </w:tcPr>
          <w:p>
            <w:pPr>
              <w:spacing w:after="0"/>
              <w:rPr>
                <w:sz w:val="21"/>
                <w:szCs w:val="21"/>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31.6</w:t>
            </w:r>
          </w:p>
        </w:tc>
      </w:tr>
      <w:tr>
        <w:trPr>
          <w:trHeight w:val="386"/>
        </w:trPr>
        <w:tc>
          <w:tcPr>
            <w:tcW w:w="74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Acquisitions, net of cash acquired</w:t>
            </w:r>
          </w:p>
        </w:tc>
        <w:tc>
          <w:tcPr>
            <w:tcW w:w="1620" w:type="dxa"/>
            <w:vAlign w:val="bottom"/>
          </w:tcPr>
          <w:p>
            <w:pPr>
              <w:jc w:val="right"/>
              <w:spacing w:after="0"/>
              <w:rPr>
                <w:sz w:val="20"/>
                <w:szCs w:val="20"/>
                <w:color w:val="auto"/>
              </w:rPr>
            </w:pPr>
            <w:r>
              <w:rPr>
                <w:rFonts w:ascii="Arial" w:cs="Arial" w:eastAsia="Arial" w:hAnsi="Arial"/>
                <w:sz w:val="16"/>
                <w:szCs w:val="16"/>
                <w:color w:val="auto"/>
              </w:rPr>
              <w:t>(279.9)</w:t>
            </w:r>
          </w:p>
        </w:tc>
        <w:tc>
          <w:tcPr>
            <w:tcW w:w="2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Purchases of property, plant and equipment and other</w:t>
            </w:r>
          </w:p>
        </w:tc>
        <w:tc>
          <w:tcPr>
            <w:tcW w:w="1620" w:type="dxa"/>
            <w:vAlign w:val="bottom"/>
          </w:tcPr>
          <w:p>
            <w:pPr>
              <w:jc w:val="right"/>
              <w:spacing w:after="0"/>
              <w:rPr>
                <w:sz w:val="20"/>
                <w:szCs w:val="20"/>
                <w:color w:val="auto"/>
              </w:rPr>
            </w:pPr>
            <w:r>
              <w:rPr>
                <w:rFonts w:ascii="Arial" w:cs="Arial" w:eastAsia="Arial" w:hAnsi="Arial"/>
                <w:sz w:val="16"/>
                <w:szCs w:val="16"/>
                <w:color w:val="auto"/>
              </w:rPr>
              <w:t>(13.2)</w:t>
            </w:r>
          </w:p>
        </w:tc>
        <w:tc>
          <w:tcPr>
            <w:tcW w:w="2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Proceeds from the sale of CRM business franchise</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186.7</w:t>
            </w:r>
          </w:p>
        </w:tc>
        <w:tc>
          <w:tcPr>
            <w:tcW w:w="22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Proceeds from sale of cost-method investment</w:t>
            </w:r>
          </w:p>
        </w:tc>
        <w:tc>
          <w:tcPr>
            <w:tcW w:w="1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Loans to equity method investees</w:t>
            </w:r>
          </w:p>
        </w:tc>
        <w:tc>
          <w:tcPr>
            <w:tcW w:w="1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Proceeds from asset sales</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22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283"/>
        </w:trPr>
        <w:tc>
          <w:tcPr>
            <w:tcW w:w="7400" w:type="dxa"/>
            <w:vAlign w:val="bottom"/>
          </w:tcPr>
          <w:p>
            <w:pPr>
              <w:ind w:left="320"/>
              <w:spacing w:after="0"/>
              <w:rPr>
                <w:sz w:val="20"/>
                <w:szCs w:val="20"/>
                <w:color w:val="auto"/>
              </w:rPr>
            </w:pPr>
            <w:r>
              <w:rPr>
                <w:rFonts w:ascii="Arial" w:cs="Arial" w:eastAsia="Arial" w:hAnsi="Arial"/>
                <w:sz w:val="16"/>
                <w:szCs w:val="16"/>
                <w:color w:val="auto"/>
              </w:rPr>
              <w:t>Other</w:t>
            </w:r>
          </w:p>
        </w:tc>
        <w:tc>
          <w:tcPr>
            <w:tcW w:w="1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50"/>
        </w:trPr>
        <w:tc>
          <w:tcPr>
            <w:tcW w:w="7400" w:type="dxa"/>
            <w:vAlign w:val="bottom"/>
          </w:tcPr>
          <w:p>
            <w:pPr>
              <w:ind w:left="460"/>
              <w:spacing w:after="0"/>
              <w:rPr>
                <w:sz w:val="20"/>
                <w:szCs w:val="20"/>
                <w:color w:val="auto"/>
              </w:rPr>
            </w:pPr>
            <w:r>
              <w:rPr>
                <w:rFonts w:ascii="Arial" w:cs="Arial" w:eastAsia="Arial" w:hAnsi="Arial"/>
                <w:sz w:val="16"/>
                <w:szCs w:val="16"/>
                <w:b w:val="1"/>
                <w:bCs w:val="1"/>
                <w:color w:val="auto"/>
              </w:rPr>
              <w:t>Net cash used in investing activities</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(93.2)</w:t>
            </w:r>
          </w:p>
        </w:tc>
        <w:tc>
          <w:tcPr>
            <w:tcW w:w="220" w:type="dxa"/>
            <w:vAlign w:val="bottom"/>
          </w:tcPr>
          <w:p>
            <w:pPr>
              <w:spacing w:after="0"/>
              <w:rPr>
                <w:sz w:val="21"/>
                <w:szCs w:val="21"/>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w:t>
            </w:r>
          </w:p>
        </w:tc>
      </w:tr>
      <w:tr>
        <w:trPr>
          <w:trHeight w:val="386"/>
        </w:trPr>
        <w:tc>
          <w:tcPr>
            <w:tcW w:w="74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Change in short-term borrowing, net</w:t>
            </w:r>
          </w:p>
        </w:tc>
        <w:tc>
          <w:tcPr>
            <w:tcW w:w="1620" w:type="dxa"/>
            <w:vAlign w:val="bottom"/>
          </w:tcPr>
          <w:p>
            <w:pPr>
              <w:jc w:val="right"/>
              <w:spacing w:after="0"/>
              <w:rPr>
                <w:sz w:val="20"/>
                <w:szCs w:val="20"/>
                <w:color w:val="auto"/>
              </w:rPr>
            </w:pPr>
            <w:r>
              <w:rPr>
                <w:rFonts w:ascii="Arial" w:cs="Arial" w:eastAsia="Arial" w:hAnsi="Arial"/>
                <w:sz w:val="16"/>
                <w:szCs w:val="16"/>
                <w:color w:val="auto"/>
              </w:rPr>
              <w:t>(18.0)</w:t>
            </w:r>
          </w:p>
        </w:tc>
        <w:tc>
          <w:tcPr>
            <w:tcW w:w="2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Proceeds from short-term borrowing (maturities greater than 90 days)</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240.0</w:t>
            </w:r>
          </w:p>
        </w:tc>
        <w:tc>
          <w:tcPr>
            <w:tcW w:w="22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20.0</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Repayment of short-term borrowing (maturities greater than 90 days)</w:t>
            </w:r>
          </w:p>
        </w:tc>
        <w:tc>
          <w:tcPr>
            <w:tcW w:w="1620" w:type="dxa"/>
            <w:vAlign w:val="bottom"/>
          </w:tcPr>
          <w:p>
            <w:pPr>
              <w:jc w:val="right"/>
              <w:spacing w:after="0"/>
              <w:rPr>
                <w:sz w:val="20"/>
                <w:szCs w:val="20"/>
                <w:color w:val="auto"/>
              </w:rPr>
            </w:pPr>
            <w:r>
              <w:rPr>
                <w:rFonts w:ascii="Arial" w:cs="Arial" w:eastAsia="Arial" w:hAnsi="Arial"/>
                <w:sz w:val="16"/>
                <w:szCs w:val="16"/>
                <w:color w:val="auto"/>
              </w:rPr>
              <w:t>(190.0)</w:t>
            </w:r>
          </w:p>
        </w:tc>
        <w:tc>
          <w:tcPr>
            <w:tcW w:w="22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Repayment of long-term debt obligations</w:t>
            </w:r>
          </w:p>
        </w:tc>
        <w:tc>
          <w:tcPr>
            <w:tcW w:w="1620" w:type="dxa"/>
            <w:vAlign w:val="bottom"/>
          </w:tcPr>
          <w:p>
            <w:pPr>
              <w:jc w:val="right"/>
              <w:spacing w:after="0"/>
              <w:rPr>
                <w:sz w:val="20"/>
                <w:szCs w:val="20"/>
                <w:color w:val="auto"/>
              </w:rPr>
            </w:pPr>
            <w:r>
              <w:rPr>
                <w:rFonts w:ascii="Arial" w:cs="Arial" w:eastAsia="Arial" w:hAnsi="Arial"/>
                <w:sz w:val="16"/>
                <w:szCs w:val="16"/>
                <w:color w:val="auto"/>
              </w:rPr>
              <w:t>(12.2)</w:t>
            </w:r>
          </w:p>
        </w:tc>
        <w:tc>
          <w:tcPr>
            <w:tcW w:w="2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Proceeds from exercise of stock options</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Payment of deferred consideration - acquisition of Caisson Interventional, LLC</w:t>
            </w:r>
          </w:p>
        </w:tc>
        <w:tc>
          <w:tcPr>
            <w:tcW w:w="1620" w:type="dxa"/>
            <w:vAlign w:val="bottom"/>
          </w:tcPr>
          <w:p>
            <w:pPr>
              <w:jc w:val="right"/>
              <w:spacing w:after="0"/>
              <w:rPr>
                <w:sz w:val="20"/>
                <w:szCs w:val="20"/>
                <w:color w:val="auto"/>
              </w:rPr>
            </w:pPr>
            <w:r>
              <w:rPr>
                <w:rFonts w:ascii="Arial" w:cs="Arial" w:eastAsia="Arial" w:hAnsi="Arial"/>
                <w:sz w:val="16"/>
                <w:szCs w:val="16"/>
                <w:color w:val="auto"/>
              </w:rPr>
              <w:t>(14.1)</w:t>
            </w:r>
          </w:p>
        </w:tc>
        <w:tc>
          <w:tcPr>
            <w:tcW w:w="22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400" w:type="dxa"/>
            <w:vAlign w:val="bottom"/>
          </w:tcPr>
          <w:p>
            <w:pPr>
              <w:ind w:left="320"/>
              <w:spacing w:after="0"/>
              <w:rPr>
                <w:sz w:val="20"/>
                <w:szCs w:val="20"/>
                <w:color w:val="auto"/>
              </w:rPr>
            </w:pPr>
            <w:r>
              <w:rPr>
                <w:rFonts w:ascii="Arial" w:cs="Arial" w:eastAsia="Arial" w:hAnsi="Arial"/>
                <w:sz w:val="16"/>
                <w:szCs w:val="16"/>
                <w:color w:val="auto"/>
              </w:rPr>
              <w:t>Shares repurchased from employees for minimum tax withholding</w:t>
            </w:r>
          </w:p>
        </w:tc>
        <w:tc>
          <w:tcPr>
            <w:tcW w:w="1620" w:type="dxa"/>
            <w:vAlign w:val="bottom"/>
          </w:tcPr>
          <w:p>
            <w:pPr>
              <w:jc w:val="right"/>
              <w:spacing w:after="0"/>
              <w:rPr>
                <w:sz w:val="20"/>
                <w:szCs w:val="20"/>
                <w:color w:val="auto"/>
              </w:rPr>
            </w:pPr>
            <w:r>
              <w:rPr>
                <w:rFonts w:ascii="Arial" w:cs="Arial" w:eastAsia="Arial" w:hAnsi="Arial"/>
                <w:sz w:val="16"/>
                <w:szCs w:val="16"/>
                <w:color w:val="auto"/>
              </w:rPr>
              <w:t>(7.1)</w:t>
            </w:r>
          </w:p>
        </w:tc>
        <w:tc>
          <w:tcPr>
            <w:tcW w:w="2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83"/>
        </w:trPr>
        <w:tc>
          <w:tcPr>
            <w:tcW w:w="7400" w:type="dxa"/>
            <w:vAlign w:val="bottom"/>
          </w:tcPr>
          <w:p>
            <w:pPr>
              <w:ind w:left="320"/>
              <w:spacing w:after="0"/>
              <w:rPr>
                <w:sz w:val="20"/>
                <w:szCs w:val="20"/>
                <w:color w:val="auto"/>
              </w:rPr>
            </w:pPr>
            <w:r>
              <w:rPr>
                <w:rFonts w:ascii="Arial" w:cs="Arial" w:eastAsia="Arial" w:hAnsi="Arial"/>
                <w:sz w:val="16"/>
                <w:szCs w:val="16"/>
                <w:color w:val="auto"/>
              </w:rPr>
              <w:t>Other</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50"/>
        </w:trPr>
        <w:tc>
          <w:tcPr>
            <w:tcW w:w="7400" w:type="dxa"/>
            <w:vAlign w:val="bottom"/>
          </w:tcPr>
          <w:p>
            <w:pPr>
              <w:ind w:left="46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0.9</w:t>
            </w:r>
          </w:p>
        </w:tc>
        <w:tc>
          <w:tcPr>
            <w:tcW w:w="22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r>
      <w:tr>
        <w:trPr>
          <w:trHeight w:val="385"/>
        </w:trPr>
        <w:tc>
          <w:tcPr>
            <w:tcW w:w="740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7400" w:type="dxa"/>
            <w:vAlign w:val="bottom"/>
          </w:tcPr>
          <w:p>
            <w:pPr>
              <w:ind w:left="46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(46.2)</w:t>
            </w:r>
          </w:p>
        </w:tc>
        <w:tc>
          <w:tcPr>
            <w:tcW w:w="2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b w:val="1"/>
                <w:bCs w:val="1"/>
                <w:color w:val="auto"/>
              </w:rPr>
              <w:t>2.9</w:t>
            </w:r>
          </w:p>
        </w:tc>
      </w:tr>
      <w:tr>
        <w:trPr>
          <w:trHeight w:val="405"/>
        </w:trPr>
        <w:tc>
          <w:tcPr>
            <w:tcW w:w="740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93.6</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w:t>
            </w:r>
          </w:p>
        </w:tc>
      </w:tr>
      <w:tr>
        <w:trPr>
          <w:trHeight w:val="267"/>
        </w:trPr>
        <w:tc>
          <w:tcPr>
            <w:tcW w:w="7400" w:type="dxa"/>
            <w:vAlign w:val="bottom"/>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$47.4</w:t>
            </w:r>
          </w:p>
        </w:tc>
        <w:tc>
          <w:tcPr>
            <w:tcW w:w="220" w:type="dxa"/>
            <w:vAlign w:val="bottom"/>
          </w:tcPr>
          <w:p>
            <w:pPr>
              <w:spacing w:after="0"/>
              <w:rPr>
                <w:sz w:val="23"/>
                <w:szCs w:val="23"/>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$42.7</w:t>
            </w:r>
          </w:p>
        </w:tc>
      </w:tr>
      <w:tr>
        <w:trPr>
          <w:trHeight w:val="20"/>
        </w:trPr>
        <w:tc>
          <w:tcPr>
            <w:tcW w:w="7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4"/>
          <w:szCs w:val="14"/>
          <w:color w:val="auto"/>
        </w:rPr>
        <w:t>Numbers may not add up precisely due to rounding.</w:t>
      </w:r>
    </w:p>
    <w:p>
      <w:pPr>
        <w:sectPr>
          <w:pgSz w:w="11900" w:h="16838" w:orient="portrait"/>
          <w:cols w:equalWidth="0" w:num="1">
            <w:col w:w="10860"/>
          </w:cols>
          <w:pgMar w:left="540" w:top="774" w:right="499" w:bottom="1440" w:gutter="0" w:footer="0" w:header="0"/>
        </w:sect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0860"/>
          </w:cols>
          <w:pgMar w:left="540" w:top="774" w:right="499" w:bottom="1440" w:gutter="0" w:footer="0" w:header="0"/>
          <w:type w:val="continuous"/>
        </w:sectPr>
      </w:pPr>
    </w:p>
    <w:bookmarkStart w:id="21" w:name="page22"/>
    <w:bookmarkEnd w:id="21"/>
    <w:p>
      <w:pPr>
        <w:ind w:left="40"/>
        <w:spacing w:after="0"/>
        <w:rPr>
          <w:sz w:val="20"/>
          <w:szCs w:val="20"/>
          <w:color w:val="auto"/>
        </w:rPr>
      </w:pPr>
      <w:r>
        <w:rPr>
          <w:rFonts w:ascii="Arial" w:cs="Arial" w:eastAsia="Arial" w:hAnsi="Arial"/>
          <w:sz w:val="18"/>
          <w:szCs w:val="18"/>
          <w:b w:val="1"/>
          <w:bCs w:val="1"/>
          <w:color w:val="auto"/>
        </w:rPr>
        <w:t>RECONCILIATION OF GAAP TO NON-GAAP FINANCIAL MEASURES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8"/>
              </w:rPr>
              <w:t>Adjusted</w:t>
            </w:r>
          </w:p>
        </w:tc>
      </w:tr>
      <w:tr>
        <w:trPr>
          <w:trHeight w:val="203"/>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Termination of</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Financial</w:t>
            </w:r>
          </w:p>
        </w:tc>
      </w:tr>
      <w:tr>
        <w:trPr>
          <w:trHeight w:val="203"/>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GAAP</w:t>
            </w:r>
          </w:p>
        </w:tc>
        <w:tc>
          <w:tcPr>
            <w:tcW w:w="17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Impact of Foreign</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9"/>
              </w:rPr>
              <w:t>Contract</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Measure</w:t>
            </w:r>
          </w:p>
        </w:tc>
      </w:tr>
      <w:tr>
        <w:trPr>
          <w:trHeight w:val="203"/>
        </w:trPr>
        <w:tc>
          <w:tcPr>
            <w:tcW w:w="346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Three Months Ended</w:t>
            </w:r>
          </w:p>
        </w:tc>
        <w:tc>
          <w:tcPr>
            <w:tcW w:w="15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Financial</w:t>
            </w:r>
          </w:p>
        </w:tc>
        <w:tc>
          <w:tcPr>
            <w:tcW w:w="17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Currency</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Manufacturing</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Underlying</w:t>
            </w:r>
          </w:p>
        </w:tc>
      </w:tr>
      <w:tr>
        <w:trPr>
          <w:trHeight w:val="246"/>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June 30, 2018</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Measure</w:t>
            </w:r>
          </w:p>
        </w:tc>
        <w:tc>
          <w:tcPr>
            <w:tcW w:w="140" w:type="dxa"/>
            <w:vAlign w:val="bottom"/>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Fluctuations</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Acquisitions</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Agreement</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Sales Growth</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Sales growth percent</w:t>
            </w:r>
          </w:p>
        </w:tc>
        <w:tc>
          <w:tcPr>
            <w:tcW w:w="1360" w:type="dxa"/>
            <w:vAlign w:val="bottom"/>
          </w:tcPr>
          <w:p>
            <w:pPr>
              <w:jc w:val="center"/>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7"/>
              </w:rPr>
              <w:t>0.8%</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8.7%</w:t>
            </w:r>
          </w:p>
        </w:tc>
      </w:tr>
    </w:tbl>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sectPr>
      <w:pgSz w:w="11900" w:h="16838" w:orient="portrait"/>
      <w:cols w:equalWidth="0" w:num="1">
        <w:col w:w="11420"/>
      </w:cols>
      <w:pgMar w:left="240" w:top="7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lowerRoman"/>
      <w:start w:val="12"/>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upperLetter"/>
      <w:start w:val="1"/>
    </w:lvl>
  </w:abstractNum>
  <w:abstractNum w:abstractNumId="11">
    <w:nsid w:val="41A7C4C9"/>
    <w:multiLevelType w:val="hybridMultilevel"/>
    <w:lvl w:ilvl="0">
      <w:lvlJc w:val="left"/>
      <w:lvlText w:val="*"/>
      <w:numFmt w:val="bullet"/>
      <w:start w:val="1"/>
    </w:lvl>
    <w:lvl w:ilvl="1">
      <w:lvlJc w:val="left"/>
      <w:lvlText w:val="(%2)"/>
      <w:numFmt w:val="upperLetter"/>
      <w:start w:val="10"/>
    </w:lvl>
  </w:abstractNum>
  <w:abstractNum w:abstractNumId="12">
    <w:nsid w:val="6B68079A"/>
    <w:multiLevelType w:val="hybridMultilevel"/>
    <w:lvl w:ilvl="0">
      <w:lvlJc w:val="left"/>
      <w:lvlText w:val="(%1)"/>
      <w:numFmt w:val="upperLetter"/>
      <w:start w:val="1"/>
    </w:lvl>
  </w:abstractNum>
  <w:abstractNum w:abstractNumId="13">
    <w:nsid w:val="4E6AFB66"/>
    <w:multiLevelType w:val="hybridMultilevel"/>
    <w:lvl w:ilvl="0">
      <w:lvlJc w:val="left"/>
      <w:lvlText w:val="*"/>
      <w:numFmt w:val="bullet"/>
      <w:start w:val="1"/>
    </w:lvl>
    <w:lvl w:ilvl="1">
      <w:lvlJc w:val="left"/>
      <w:lvlText w:val="(%2)"/>
      <w:numFmt w:val="upperLetter"/>
      <w:start w:val="10"/>
    </w:lvl>
  </w:abstractNum>
  <w:abstractNum w:abstractNumId="14">
    <w:nsid w:val="25E45D32"/>
    <w:multiLevelType w:val="hybridMultilevel"/>
    <w:lvl w:ilvl="0">
      <w:lvlJc w:val="left"/>
      <w:lvlText w:val="(%1)"/>
      <w:numFmt w:val="upperLetter"/>
      <w:start w:val="1"/>
    </w:lvl>
  </w:abstractNum>
  <w:abstractNum w:abstractNumId="15">
    <w:nsid w:val="519B500D"/>
    <w:multiLevelType w:val="hybridMultilevel"/>
    <w:lvl w:ilvl="0">
      <w:lvlJc w:val="left"/>
      <w:lvlText w:val="*"/>
      <w:numFmt w:val="bullet"/>
      <w:start w:val="1"/>
    </w:lvl>
    <w:lvl w:ilvl="1">
      <w:lvlJc w:val="left"/>
      <w:lvlText w:val="(%2)"/>
      <w:numFmt w:val="upperLetter"/>
      <w:start w:val="10"/>
    </w:lvl>
  </w:abstractNum>
  <w:abstractNum w:abstractNumId="16">
    <w:nsid w:val="431BD7B7"/>
    <w:multiLevelType w:val="hybridMultilevel"/>
    <w:lvl w:ilvl="0">
      <w:lvlJc w:val="left"/>
      <w:lvlText w:val="(%1)"/>
      <w:numFmt w:val="upperLetter"/>
      <w:start w:val="1"/>
    </w:lvl>
  </w:abstractNum>
  <w:abstractNum w:abstractNumId="17">
    <w:nsid w:val="3F2DBA31"/>
    <w:multiLevelType w:val="hybridMultilevel"/>
    <w:lvl w:ilvl="0">
      <w:lvlJc w:val="left"/>
      <w:lvlText w:val="*"/>
      <w:numFmt w:val="bullet"/>
      <w:start w:val="1"/>
    </w:lvl>
    <w:lvl w:ilvl="1">
      <w:lvlJc w:val="left"/>
      <w:lvlText w:val="(%2)"/>
      <w:numFmt w:val="upperLetter"/>
      <w:start w:val="10"/>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2019-12-28T20:46:45Z</dcterms:created>
  <dcterms:modified xsi:type="dcterms:W3CDTF">2019-12-28T20:46:45Z</dcterms:modified>
</cp:coreProperties>
</file>