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Moore Daniel Jeffrey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12/01/2021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81.734</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28,630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pursuant to a Rule 10b5-1 Plan adopted by reporting person on May 18, 2021.</w:t>
      </w:r>
    </w:p>
    <w:p>
      <w:pPr>
        <w:spacing w:after="0" w:line="50" w:lineRule="exact"/>
        <w:rPr>
          <w:rFonts w:ascii="Arial" w:cs="Arial" w:eastAsia="Arial" w:hAnsi="Arial"/>
          <w:sz w:val="13"/>
          <w:szCs w:val="13"/>
          <w:color w:val="008000"/>
        </w:rPr>
      </w:pPr>
    </w:p>
    <w:p>
      <w:pPr>
        <w:ind w:left="40" w:right="28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14 separate sales on the transaction date at prices ranging from $81.00 to $83.00. The reporting person hereby undertakes to provide upon request to the SEC, the issuer or any stockholder of the issuer, the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Daniel J. Moore</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12/03/2021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2021-12-03T08:15:31Z</dcterms:created>
  <dcterms:modified xsi:type="dcterms:W3CDTF">2021-12-03T08:15:31Z</dcterms:modified>
</cp:coreProperties>
</file>