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North Wharf Road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(0)203 786 5275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21"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On October 19, 2015, pursuant to the terms of a definitive Transaction Agreement entered into by LivaNova PLC (“</w:t>
      </w:r>
      <w:r>
        <w:rPr>
          <w:rFonts w:ascii="Arial" w:cs="Arial" w:eastAsia="Arial" w:hAnsi="Arial"/>
          <w:sz w:val="16"/>
          <w:szCs w:val="16"/>
          <w:i w:val="1"/>
          <w:iCs w:val="1"/>
          <w:color w:val="auto"/>
        </w:rPr>
        <w:t>LivaNova</w:t>
      </w:r>
      <w:r>
        <w:rPr>
          <w:rFonts w:ascii="Arial" w:cs="Arial" w:eastAsia="Arial" w:hAnsi="Arial"/>
          <w:sz w:val="16"/>
          <w:szCs w:val="16"/>
          <w:color w:val="auto"/>
        </w:rPr>
        <w:t>”), Cyberonics, Inc. (“</w:t>
      </w:r>
      <w:r>
        <w:rPr>
          <w:rFonts w:ascii="Arial" w:cs="Arial" w:eastAsia="Arial" w:hAnsi="Arial"/>
          <w:sz w:val="16"/>
          <w:szCs w:val="16"/>
          <w:i w:val="1"/>
          <w:iCs w:val="1"/>
          <w:color w:val="auto"/>
        </w:rPr>
        <w:t>Cyberonics</w:t>
      </w:r>
      <w:r>
        <w:rPr>
          <w:rFonts w:ascii="Arial" w:cs="Arial" w:eastAsia="Arial" w:hAnsi="Arial"/>
          <w:sz w:val="16"/>
          <w:szCs w:val="16"/>
          <w:color w:val="auto"/>
        </w:rPr>
        <w:t>”), Sorin S.p.A. (“</w:t>
      </w:r>
      <w:r>
        <w:rPr>
          <w:rFonts w:ascii="Arial" w:cs="Arial" w:eastAsia="Arial" w:hAnsi="Arial"/>
          <w:sz w:val="16"/>
          <w:szCs w:val="16"/>
          <w:i w:val="1"/>
          <w:iCs w:val="1"/>
          <w:color w:val="auto"/>
        </w:rPr>
        <w:t>Sorin</w:t>
      </w:r>
      <w:r>
        <w:rPr>
          <w:rFonts w:ascii="Arial" w:cs="Arial" w:eastAsia="Arial" w:hAnsi="Arial"/>
          <w:sz w:val="16"/>
          <w:szCs w:val="16"/>
          <w:color w:val="auto"/>
        </w:rPr>
        <w:t>”) and Cypher Merger Sub, Inc. (“</w:t>
      </w:r>
      <w:r>
        <w:rPr>
          <w:rFonts w:ascii="Arial" w:cs="Arial" w:eastAsia="Arial" w:hAnsi="Arial"/>
          <w:sz w:val="16"/>
          <w:szCs w:val="16"/>
          <w:i w:val="1"/>
          <w:iCs w:val="1"/>
          <w:color w:val="auto"/>
        </w:rPr>
        <w:t>Merger Sub</w:t>
      </w:r>
      <w:r>
        <w:rPr>
          <w:rFonts w:ascii="Arial" w:cs="Arial" w:eastAsia="Arial" w:hAnsi="Arial"/>
          <w:sz w:val="16"/>
          <w:szCs w:val="16"/>
          <w:color w:val="auto"/>
        </w:rPr>
        <w:t>”), dated March 23, 2015, Sorin merged with and into LivaNova, with LivaNova continuing as the surviving company (the “</w:t>
      </w:r>
      <w:r>
        <w:rPr>
          <w:rFonts w:ascii="Arial" w:cs="Arial" w:eastAsia="Arial" w:hAnsi="Arial"/>
          <w:sz w:val="16"/>
          <w:szCs w:val="16"/>
          <w:i w:val="1"/>
          <w:iCs w:val="1"/>
          <w:color w:val="auto"/>
        </w:rPr>
        <w:t>Sorin Merger</w:t>
      </w:r>
      <w:r>
        <w:rPr>
          <w:rFonts w:ascii="Arial" w:cs="Arial" w:eastAsia="Arial" w:hAnsi="Arial"/>
          <w:sz w:val="16"/>
          <w:szCs w:val="16"/>
          <w:color w:val="auto"/>
        </w:rPr>
        <w:t>”), immediately followed by the merger of Merger Sub with and into Cyberonics, with Cyberonics continuing as the surviving company and as a wholly-owned subsidiary of LivaNova (the “Cyberonics Merger”, and together with the Sorin Merger, the “</w:t>
      </w:r>
      <w:r>
        <w:rPr>
          <w:rFonts w:ascii="Arial" w:cs="Arial" w:eastAsia="Arial" w:hAnsi="Arial"/>
          <w:sz w:val="16"/>
          <w:szCs w:val="16"/>
          <w:i w:val="1"/>
          <w:iCs w:val="1"/>
          <w:color w:val="auto"/>
        </w:rPr>
        <w:t>Mergers</w:t>
      </w:r>
      <w:r>
        <w:rPr>
          <w:rFonts w:ascii="Arial" w:cs="Arial" w:eastAsia="Arial" w:hAnsi="Arial"/>
          <w:sz w:val="16"/>
          <w:szCs w:val="16"/>
          <w:color w:val="auto"/>
        </w:rPr>
        <w:t>”). As a result of the Mergers, LivaNova became the holding company of the combined businesses of Cyberonics and Sorin.</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KPMG LLP (“</w:t>
      </w:r>
      <w:r>
        <w:rPr>
          <w:rFonts w:ascii="Arial" w:cs="Arial" w:eastAsia="Arial" w:hAnsi="Arial"/>
          <w:sz w:val="16"/>
          <w:szCs w:val="16"/>
          <w:i w:val="1"/>
          <w:iCs w:val="1"/>
          <w:color w:val="auto"/>
        </w:rPr>
        <w:t>KPMG</w:t>
      </w:r>
      <w:r>
        <w:rPr>
          <w:rFonts w:ascii="Arial" w:cs="Arial" w:eastAsia="Arial" w:hAnsi="Arial"/>
          <w:sz w:val="16"/>
          <w:szCs w:val="16"/>
          <w:color w:val="auto"/>
        </w:rPr>
        <w:t>”) was the independent registered public accountant of Cyberonics prior to consummation of the Mergers and the independent auditor that audited Cyberonics’ financial statements for the fiscal years ended April 25, 2014 and April 24, 2015. As previously reported on the Current Report on Form 8-K filed by LivaNova on October 19, 2015, the Audit &amp; Compliance Committee (the “</w:t>
      </w:r>
      <w:r>
        <w:rPr>
          <w:rFonts w:ascii="Arial" w:cs="Arial" w:eastAsia="Arial" w:hAnsi="Arial"/>
          <w:sz w:val="16"/>
          <w:szCs w:val="16"/>
          <w:i w:val="1"/>
          <w:iCs w:val="1"/>
          <w:color w:val="auto"/>
        </w:rPr>
        <w:t>Audit Committee</w:t>
      </w:r>
      <w:r>
        <w:rPr>
          <w:rFonts w:ascii="Arial" w:cs="Arial" w:eastAsia="Arial" w:hAnsi="Arial"/>
          <w:sz w:val="16"/>
          <w:szCs w:val="16"/>
          <w:color w:val="auto"/>
        </w:rPr>
        <w:t>”) of the board of directors of LivaNova determined it would dismiss KPMG upon completion by KPMG following the Mergers of its review, in accordance with auditing standards generally accepted in the United States of America, applicable to the interim financial information of Cyberonics included in a Transition Report on Form 10-Q (the “</w:t>
      </w:r>
      <w:r>
        <w:rPr>
          <w:rFonts w:ascii="Arial" w:cs="Arial" w:eastAsia="Arial" w:hAnsi="Arial"/>
          <w:sz w:val="16"/>
          <w:szCs w:val="16"/>
          <w:i w:val="1"/>
          <w:iCs w:val="1"/>
          <w:color w:val="auto"/>
        </w:rPr>
        <w:t>Transitional Form 10-Q</w:t>
      </w:r>
      <w:r>
        <w:rPr>
          <w:rFonts w:ascii="Arial" w:cs="Arial" w:eastAsia="Arial" w:hAnsi="Arial"/>
          <w:sz w:val="16"/>
          <w:szCs w:val="16"/>
          <w:color w:val="auto"/>
        </w:rPr>
        <w:t>”) filed by LivaNova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as the successor company to Cyberonics, to report the results for Cyberonics and its consolidated subsidiaries for the transitional period beginning on July 25, 2015 and ending on October 18, 2015.</w:t>
      </w:r>
    </w:p>
    <w:p>
      <w:pPr>
        <w:spacing w:after="0" w:line="167"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In connection therewith, on December 31, 2015, the Audit Committee of LivaNova formally dismissed KPMG, in recognition that KPMG has completed its review of the interim financial information of Cyberonics and thereby its services on behalf of LivaNova and Cyberonics.</w:t>
      </w:r>
    </w:p>
    <w:p>
      <w:pPr>
        <w:spacing w:after="0" w:line="14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KPMG’s reports on Cyberonics’ financial statements for each of the fiscal years ended April 25, 2014 and April 24, 2015 did not contain an adverse opinion or disclaimer of opinion, nor were they qualified or modified as to uncertainty, audit scope or accounting principles.</w:t>
      </w:r>
    </w:p>
    <w:p>
      <w:pPr>
        <w:spacing w:after="0" w:line="14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During the years ended April 25, 2014 and April 24, 2015, and the subsequent interim period through December 2, 2015, (i) there were no disagreements with KPMG on any matter of accounting principle or practice, financial statement disclosure or auditing scope or procedure which, if not resolved to KPMG’s satisfaction, would have caused them to make references to the subject matter of the disagreement in connection with its reports on the financial statements of Cyberonics for such periods, and (ii) there were no reportable events of the type described in Item 304(a)(1)(v) of Regulation S-K.</w:t>
      </w:r>
    </w:p>
    <w:p>
      <w:pPr>
        <w:spacing w:after="0" w:line="154"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LivaNova has provided KPMG with a copy of the foregoing statements and requested that KPMG provide it with a letter addressed to the SEC stating whether it agrees with the foregoing statements. A copy of KPMG’s letter, dated December 31, 2015, is filed as Exhibit 16.1 to this Current Report on Form 8-K.</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Exhibit Index following the signature page hereto is incorporated herein by reference.</w:t>
      </w:r>
    </w:p>
    <w:p>
      <w:pPr>
        <w:sectPr>
          <w:pgSz w:w="11900" w:h="16838" w:orient="portrait"/>
          <w:cols w:equalWidth="0" w:num="1">
            <w:col w:w="11380"/>
          </w:cols>
          <w:pgMar w:left="240" w:top="27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LivaNova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31, 2015</w:t>
      </w:r>
    </w:p>
    <w:p>
      <w:pPr>
        <w:spacing w:after="0" w:line="11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BRIAN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Brian Sheridan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Company Secretary</w:t>
      </w:r>
    </w:p>
    <w:p>
      <w:pPr>
        <w:sectPr>
          <w:pgSz w:w="11900" w:h="16838" w:orient="portrait"/>
          <w:cols w:equalWidth="0" w:num="1">
            <w:col w:w="11220"/>
          </w:cols>
          <w:pgMar w:left="240" w:top="270" w:right="4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KPMG LLP to the U.S. Securities and Exchange Commission*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were previously principal accountants for LivaNova PLC, and, under the date of June 15, 2015, we reported on the consolidated financial statements of Cyberonics, Inc. as of and for the years ended April 24, 2015 and April 25, 2014, and the effectiveness of internal control over financial reporting as of April 24, 2015. On October 19, 2015, we were notified that LivaNova PLC engaged PricewaterhouseCoopers SpA as its principal accountant for the year ending December 31, 2015 and that the auditor-client relationship with KPMG LLP will cease when the Audit Committee dismisses KPMG upon completion by KPMG LLP of the review, in accordance with auditing standards generally accepted in the United States of America, of the interim financial information of Cyberonics, Inc. included in a Transition Report on Form 10Q filed by LivaNova PLC with the Securities and Exchange Commission, as the successor company to Cyberonics, Inc., to report the results for Cyberonics, Inc. and its consolidated subsidiaries for the transitional period beginning on July 25, 2015 and ending on October 18, 2015. On December 02, 2015, we completed our review and the auditor-client relationship ceased. We have read LivaNova PLC’s statements included under Item 4.01 of its Form 8-K dated December 31, 2015, and we agree with such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2019-12-09T06:47:07Z</dcterms:created>
  <dcterms:modified xsi:type="dcterms:W3CDTF">2019-12-09T06:47:07Z</dcterms:modified>
</cp:coreProperties>
</file>