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November 2, 2022</w:t>
      </w:r>
    </w:p>
    <w:p>
      <w:pPr>
        <w:spacing w:after="0" w:line="287" w:lineRule="exact"/>
        <w:rPr>
          <w:sz w:val="24"/>
          <w:szCs w:val="24"/>
          <w:color w:val="auto"/>
        </w:rPr>
      </w:pPr>
    </w:p>
    <w:p>
      <w:pPr>
        <w:ind w:right="2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September 30, 2022, which was filed with the Securities and Exchange Commission on November 2, 2022.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27940</wp:posOffset>
            </wp:positionV>
            <wp:extent cx="5203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Damien McDonald</w:t>
      </w:r>
    </w:p>
    <w:p>
      <w:pPr>
        <w:spacing w:after="0" w:line="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2022-11-02T12:45:10Z</dcterms:created>
  <dcterms:modified xsi:type="dcterms:W3CDTF">2022-11-02T12:45:10Z</dcterms:modified>
</cp:coreProperties>
</file>