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203835</wp:posOffset>
            </wp:positionH>
            <wp:positionV relativeFrom="page">
              <wp:posOffset>296545</wp:posOffset>
            </wp:positionV>
            <wp:extent cx="714184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845"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328295</wp:posOffset>
            </wp:positionV>
            <wp:extent cx="714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8255"/>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2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 (Amendment No. )</w:t>
      </w:r>
    </w:p>
    <w:p>
      <w:pPr>
        <w:spacing w:after="0" w:line="15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07"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3"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5"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ind w:left="300" w:hanging="299"/>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6" w:lineRule="exact"/>
        <w:rPr>
          <w:sz w:val="24"/>
          <w:szCs w:val="24"/>
          <w:color w:val="auto"/>
        </w:rPr>
      </w:pPr>
    </w:p>
    <w:p>
      <w:pPr>
        <w:ind w:left="300" w:hanging="299"/>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39370</wp:posOffset>
            </wp:positionV>
            <wp:extent cx="7141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6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44"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07" w:lineRule="exact"/>
        <w:rPr>
          <w:sz w:val="24"/>
          <w:szCs w:val="24"/>
          <w:color w:val="auto"/>
        </w:rPr>
      </w:pPr>
    </w:p>
    <w:p>
      <w:pPr>
        <w:ind w:left="300" w:hanging="299"/>
        <w:spacing w:after="0"/>
        <w:tabs>
          <w:tab w:leader="none" w:pos="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7" w:lineRule="exact"/>
        <w:rPr>
          <w:sz w:val="24"/>
          <w:szCs w:val="24"/>
          <w:color w:val="auto"/>
        </w:rPr>
      </w:pPr>
    </w:p>
    <w:p>
      <w:pPr>
        <w:ind w:left="300" w:hanging="299"/>
        <w:spacing w:after="0"/>
        <w:tabs>
          <w:tab w:leader="none" w:pos="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1" w:lineRule="exact"/>
        <w:rPr>
          <w:rFonts w:ascii="MS PGothic" w:cs="MS PGothic" w:eastAsia="MS PGothic" w:hAnsi="MS PGothic"/>
          <w:sz w:val="17"/>
          <w:szCs w:val="17"/>
          <w:color w:val="auto"/>
        </w:rPr>
      </w:pPr>
    </w:p>
    <w:p>
      <w:pPr>
        <w:ind w:left="300" w:hanging="299"/>
        <w:spacing w:after="0"/>
        <w:tabs>
          <w:tab w:leader="none" w:pos="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141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154305</wp:posOffset>
            </wp:positionV>
            <wp:extent cx="714184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845"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433705</wp:posOffset>
            </wp:positionV>
            <wp:extent cx="7141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39"/>
          </w:cols>
          <w:pgMar w:left="320" w:top="73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11" w:lineRule="exact"/>
        <w:rPr>
          <w:sz w:val="20"/>
          <w:szCs w:val="20"/>
          <w:color w:val="auto"/>
        </w:rPr>
      </w:pPr>
    </w:p>
    <w:p>
      <w:pPr>
        <w:ind w:right="40" w:firstLine="603"/>
        <w:spacing w:after="0" w:line="251" w:lineRule="auto"/>
        <w:rPr>
          <w:sz w:val="20"/>
          <w:szCs w:val="20"/>
          <w:color w:val="auto"/>
        </w:rPr>
      </w:pPr>
      <w:r>
        <w:rPr>
          <w:rFonts w:ascii="Times New Roman" w:cs="Times New Roman" w:eastAsia="Times New Roman" w:hAnsi="Times New Roman"/>
          <w:sz w:val="17"/>
          <w:szCs w:val="17"/>
          <w:color w:val="auto"/>
        </w:rPr>
        <w:t>On April 26, 2024, LivaNova PLC (the “Company”) filed its definitive proxy statement and notice of Annual General Meeting (the “Proxy Statement”) with the Securities and Exchange Commission (“SEC”) in connection with the Company’s 2024 Annual General Meeting of Shareholders (“AGM”) to be held on June 11, 2024. This supplement (the “Supplement”) to the Proxy Statement is being filed to add Proposal No. 12, which is a non-binding, advisory vote on the frequency of holding an advisory vote on the compensation of the Company’s named executive officers, which is required by SEC rules to be included every six years. Specifically, the Company is asking its shareholders to vote, on a non-binding, advisory basis, with respect to the frequency of holding an advisory vote on executive compensation, as described herein. The recommendation of the Company’s Board of Directors (the “Board”) is that the Company continue to hold such an advisory vote on an annual basis and that the shareholders therefore vote for a frequency of “1 YEAR”.</w:t>
      </w:r>
    </w:p>
    <w:p>
      <w:pPr>
        <w:spacing w:after="0" w:line="177" w:lineRule="exact"/>
        <w:rPr>
          <w:sz w:val="20"/>
          <w:szCs w:val="20"/>
          <w:color w:val="auto"/>
        </w:rPr>
      </w:pPr>
    </w:p>
    <w:p>
      <w:pPr>
        <w:ind w:firstLine="603"/>
        <w:spacing w:after="0" w:line="255" w:lineRule="auto"/>
        <w:rPr>
          <w:sz w:val="20"/>
          <w:szCs w:val="20"/>
          <w:color w:val="auto"/>
        </w:rPr>
      </w:pPr>
      <w:r>
        <w:rPr>
          <w:rFonts w:ascii="Times New Roman" w:cs="Times New Roman" w:eastAsia="Times New Roman" w:hAnsi="Times New Roman"/>
          <w:sz w:val="17"/>
          <w:szCs w:val="17"/>
          <w:color w:val="auto"/>
        </w:rPr>
        <w:t>Other than the changes described in this Supplement, which adds Proposal No. 12 and makes other conforming changes to the Proxy Statement, no other changes have been made to the Proxy Statement, and the Proxy Statement continues to be in full force and effect as originally prepared. Accordingly, we urge you to read the Supplement carefully and in its entirety together with the Proxy Statement. A form of the revised proxy card reflecting the addition of Proposal No. 12 has also been included in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248920</wp:posOffset>
            </wp:positionV>
            <wp:extent cx="7141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LivaNova PLC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 Eastbourne Terrace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London W2 6LG, United Kingdom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 to the Proxy Statement and Notice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2024 Annual General Meeting of Shareholders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Tuesday, June 11, 2024</w:t>
      </w:r>
    </w:p>
    <w:p>
      <w:pPr>
        <w:spacing w:after="0" w:line="190" w:lineRule="exact"/>
        <w:rPr>
          <w:sz w:val="20"/>
          <w:szCs w:val="20"/>
          <w:color w:val="auto"/>
        </w:rPr>
      </w:pPr>
    </w:p>
    <w:p>
      <w:pPr>
        <w:ind w:right="40" w:firstLine="603"/>
        <w:spacing w:after="0" w:line="252" w:lineRule="auto"/>
        <w:rPr>
          <w:sz w:val="20"/>
          <w:szCs w:val="20"/>
          <w:color w:val="auto"/>
        </w:rPr>
      </w:pPr>
      <w:r>
        <w:rPr>
          <w:rFonts w:ascii="Times New Roman" w:cs="Times New Roman" w:eastAsia="Times New Roman" w:hAnsi="Times New Roman"/>
          <w:sz w:val="17"/>
          <w:szCs w:val="17"/>
          <w:color w:val="auto"/>
        </w:rPr>
        <w:t>On April 26, 2024, LivaNova PLC (the “Company”) filed its definitive proxy statement and notice of Annual General Meeting (the “Proxy Statement”) with the Securities and Exchange Commission (“SEC”) in connection with the Company’s 2024 Annual General Meeting of Shareholders (“AGM”) to be held on June 11, 2024. Subsequent to that date, the Company determined that it had inadvertently omitted a required proposal to shareholders related to the frequency of future advisory votes regarding the compensation of the Company’s named executive officers. This Supplement has been prepared to provide our shareholders with information regarding a new Proposal No. 12, a non-binding, advisory vote regarding the frequency with which the Company’s shareholders shall have the advisory, non-binding say-on-pay vote on compensation paid to its named executive officers.</w:t>
      </w:r>
    </w:p>
    <w:p>
      <w:pPr>
        <w:spacing w:after="0" w:line="176" w:lineRule="exact"/>
        <w:rPr>
          <w:sz w:val="20"/>
          <w:szCs w:val="20"/>
          <w:color w:val="auto"/>
        </w:rPr>
      </w:pPr>
    </w:p>
    <w:p>
      <w:pPr>
        <w:ind w:right="180" w:firstLine="603"/>
        <w:spacing w:after="0" w:line="276" w:lineRule="auto"/>
        <w:rPr>
          <w:sz w:val="20"/>
          <w:szCs w:val="20"/>
          <w:color w:val="auto"/>
        </w:rPr>
      </w:pPr>
      <w:r>
        <w:rPr>
          <w:rFonts w:ascii="Times New Roman" w:cs="Times New Roman" w:eastAsia="Times New Roman" w:hAnsi="Times New Roman"/>
          <w:sz w:val="16"/>
          <w:szCs w:val="16"/>
          <w:color w:val="auto"/>
        </w:rPr>
        <w:t xml:space="preserve">This Supplement is being furnished to our shareholders of record at the close of business on April 15, 2024, the record date for the determination of shareholders entitled to attend the AGM. This Supplement supplements and amends the Proxy Statement, dated April 26, 2024, previously made available to our shareholders. This Supplement does not provide all of the information that is important to your decision at the AGM. Additional information is included in the Proxy Statement that was previously made available to our shareholders. </w:t>
      </w:r>
      <w:r>
        <w:rPr>
          <w:rFonts w:ascii="Times New Roman" w:cs="Times New Roman" w:eastAsia="Times New Roman" w:hAnsi="Times New Roman"/>
          <w:sz w:val="16"/>
          <w:szCs w:val="16"/>
          <w:b w:val="1"/>
          <w:bCs w:val="1"/>
          <w:color w:val="auto"/>
        </w:rPr>
        <w:t>We encourage you to carefully read this Supplement together with the Proxy Statement</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ind w:right="280" w:firstLine="603"/>
        <w:spacing w:after="0" w:line="273" w:lineRule="auto"/>
        <w:rPr>
          <w:sz w:val="20"/>
          <w:szCs w:val="20"/>
          <w:color w:val="auto"/>
        </w:rPr>
      </w:pPr>
      <w:r>
        <w:rPr>
          <w:rFonts w:ascii="Times New Roman" w:cs="Times New Roman" w:eastAsia="Times New Roman" w:hAnsi="Times New Roman"/>
          <w:sz w:val="17"/>
          <w:szCs w:val="17"/>
          <w:color w:val="auto"/>
        </w:rPr>
        <w:t>We urge shareholders of record to vote on Proposals 1 through 12 by following the methods described in the Proxy Statement. Please note that, if you vote again, it will revoke all proxies previously submitted. Accordingly, it is important to indicate your vote on each proposal.</w:t>
      </w:r>
    </w:p>
    <w:p>
      <w:pPr>
        <w:spacing w:after="0" w:line="158" w:lineRule="exact"/>
        <w:rPr>
          <w:sz w:val="20"/>
          <w:szCs w:val="20"/>
          <w:color w:val="auto"/>
        </w:rPr>
      </w:pPr>
    </w:p>
    <w:p>
      <w:pPr>
        <w:ind w:right="60" w:firstLine="603"/>
        <w:spacing w:after="0" w:line="273" w:lineRule="auto"/>
        <w:rPr>
          <w:sz w:val="20"/>
          <w:szCs w:val="20"/>
          <w:color w:val="auto"/>
        </w:rPr>
      </w:pPr>
      <w:r>
        <w:rPr>
          <w:rFonts w:ascii="Times New Roman" w:cs="Times New Roman" w:eastAsia="Times New Roman" w:hAnsi="Times New Roman"/>
          <w:sz w:val="17"/>
          <w:szCs w:val="17"/>
          <w:color w:val="auto"/>
        </w:rPr>
        <w:t>If you are a shareholder of record and you execute and return a new proxy but do not give instructions, your proxy will be voted “FOR” all nominees set forth in Proposal 1, “FOR” Proposals 2-11 and “1 YEAR” for Proposal 12.</w:t>
      </w:r>
    </w:p>
    <w:p>
      <w:pPr>
        <w:spacing w:after="0" w:line="158"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If you have already voted and do not take further action, your previously submitted proxy will be voted at the AGM with respect to Proposals 1-11 but will not be counted in determining the outcome of Proposal 12.</w:t>
      </w:r>
    </w:p>
    <w:p>
      <w:pPr>
        <w:spacing w:after="0" w:line="158" w:lineRule="exact"/>
        <w:rPr>
          <w:sz w:val="20"/>
          <w:szCs w:val="20"/>
          <w:color w:val="auto"/>
        </w:rPr>
      </w:pPr>
    </w:p>
    <w:p>
      <w:pPr>
        <w:ind w:right="40" w:firstLine="603"/>
        <w:spacing w:after="0" w:line="273" w:lineRule="auto"/>
        <w:rPr>
          <w:sz w:val="20"/>
          <w:szCs w:val="20"/>
          <w:color w:val="auto"/>
        </w:rPr>
      </w:pPr>
      <w:r>
        <w:rPr>
          <w:rFonts w:ascii="Times New Roman" w:cs="Times New Roman" w:eastAsia="Times New Roman" w:hAnsi="Times New Roman"/>
          <w:sz w:val="17"/>
          <w:szCs w:val="17"/>
          <w:color w:val="auto"/>
        </w:rPr>
        <w:t>Except for the addition of Proposal No. 12, this Supplement does not modify, amend, supplement or otherwise affect any matter presented for consideration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238760</wp:posOffset>
            </wp:positionV>
            <wp:extent cx="7141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Proposal No. 12 — Advisory (Non-Binding) Vote to Approve Executive Compensation (Say on Pay)</w:t>
      </w:r>
    </w:p>
    <w:p>
      <w:pPr>
        <w:sectPr>
          <w:pgSz w:w="11900" w:h="16838" w:orient="portrait"/>
          <w:cols w:equalWidth="0" w:num="1">
            <w:col w:w="11140"/>
          </w:cols>
          <w:pgMar w:left="320" w:top="848" w:right="439" w:bottom="1440" w:gutter="0" w:footer="0" w:header="0"/>
        </w:sectPr>
      </w:pPr>
    </w:p>
    <w:p>
      <w:pPr>
        <w:spacing w:after="0" w:line="235" w:lineRule="exact"/>
        <w:rPr>
          <w:sz w:val="20"/>
          <w:szCs w:val="20"/>
          <w:color w:val="auto"/>
        </w:rPr>
      </w:pPr>
    </w:p>
    <w:p>
      <w:pPr>
        <w:jc w:val="both"/>
        <w:ind w:left="100"/>
        <w:spacing w:after="0" w:line="248" w:lineRule="auto"/>
        <w:rPr>
          <w:sz w:val="20"/>
          <w:szCs w:val="20"/>
          <w:color w:val="auto"/>
        </w:rPr>
      </w:pPr>
      <w:r>
        <w:rPr>
          <w:rFonts w:ascii="Times New Roman" w:cs="Times New Roman" w:eastAsia="Times New Roman" w:hAnsi="Times New Roman"/>
          <w:sz w:val="17"/>
          <w:szCs w:val="17"/>
          <w:color w:val="231F20"/>
        </w:rPr>
        <w:t>In addition to providing shareholders with the opportunity to cast a “say on pay” advisory vote on the compensation of our Named Executive Officers (“NEOs”) (see Proposal No. 2), in accordance with SEC rules, we are also providing our shareholders with the opportunity to indicate how frequently we should seek an advisory vote on the compensation of our NEOs in the future. This non-binding, advisory vote is commonly referred to as a “Say-on-Frequency” vote. Under this proposal, our shareholders may indicate whether they would prefer to have an advisory vote on executive compensation every 1 year, 2 years, or 3 years. The Compensation and Human Capital Management Committee and the Board believe that the advisory vote on executive compensation should be conducted every year because it will enable our shareholders to vote, on an advisory basis, on the most recent executive compensation information that is presented in our proxy statement, leading to more meaningful and timely communication between us and our shareholders on the compensation of our NEOs. You may cast your vote on your preferred voting frequency by choosing any of the following four options with respect to this proposal: “1 year,” “2 years,” “3 years,” or “abstain.” The Say-on-Frequency vote is advisory, and therefore not binding on us, the Board, or the Compensation and Human Capital Management Committee. That said, the Board and the Compensation and Human Capital Management Committee value the opinions expressed by shareholders in their vote on this proposal and will consider the option that receives the most votes in determining the frequency of future advisory votes on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-2433955</wp:posOffset>
            </wp:positionV>
            <wp:extent cx="7141845" cy="2441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24415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262255</wp:posOffset>
            </wp:positionV>
            <wp:extent cx="7141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231F20"/>
        </w:rPr>
        <w:t>The advisory vote regarding the frequency of the shareholder vote described in this proposal shall be determined by the option (every 1 year, 2 years or 3 years) receiving the most votes.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the matter is considered non-routine and brokers are not entitled to vote on such proposals in the absence of voting instructions from the beneficial owner.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1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231F20"/>
        </w:rPr>
        <w:t>The Board recommends shareholders vote for a frequency of every “1 Year.”</w:t>
      </w:r>
    </w:p>
    <w:p>
      <w:pPr>
        <w:sectPr>
          <w:pgSz w:w="11900" w:h="16838" w:orient="portrait"/>
          <w:cols w:equalWidth="0" w:num="2">
            <w:col w:w="6540" w:space="200"/>
            <w:col w:w="4400"/>
          </w:cols>
          <w:pgMar w:left="320" w:top="848" w:right="439" w:bottom="1440" w:gutter="0" w:footer="0" w:header="0"/>
          <w:type w:val="continuous"/>
        </w:sectPr>
      </w:pPr>
    </w:p>
    <w:bookmarkStart w:id="4" w:name="page5"/>
    <w:bookmarkEnd w:id="4"/>
    <w:p>
      <w:pPr>
        <w:jc w:val="both"/>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424180</wp:posOffset>
            </wp:positionV>
            <wp:extent cx="6886575" cy="8881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6575" cy="8881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both"/>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20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2024-06-06T05:14:12Z</dcterms:created>
  <dcterms:modified xsi:type="dcterms:W3CDTF">2024-06-06T05:14:12Z</dcterms:modified>
</cp:coreProperties>
</file>