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-238760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11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-1595755</wp:posOffset>
            </wp:positionH>
            <wp:positionV relativeFrom="paragraph">
              <wp:posOffset>23495</wp:posOffset>
            </wp:positionV>
            <wp:extent cx="7044690" cy="5029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690" cy="5029200"/>
                    </a:xfrm>
                    <a:prstGeom prst="rect">
                      <a:avLst/>
                    </a:prstGeom>
                    <a:noFill/>
                  </pic:spPr>
                </pic:pic>
              </a:graphicData>
            </a:graphic>
          </wp:anchor>
        </w:drawing>
      </w:r>
    </w:p>
    <w:p>
      <w:pPr>
        <w:spacing w:after="0" w:line="111" w:lineRule="exact"/>
        <w:rPr>
          <w:sz w:val="24"/>
          <w:szCs w:val="24"/>
          <w:color w:val="auto"/>
        </w:rPr>
      </w:pPr>
    </w:p>
    <w:p>
      <w:pPr>
        <w:sectPr>
          <w:pgSz w:w="11900" w:h="16838" w:orient="portrait"/>
          <w:cols w:equalWidth="0" w:num="2">
            <w:col w:w="2180" w:space="32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Story Brooke</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40"/>
              <w:spacing w:after="0"/>
              <w:rPr>
                <w:sz w:val="20"/>
                <w:szCs w:val="20"/>
                <w:color w:val="auto"/>
              </w:rPr>
            </w:pPr>
            <w:r>
              <w:rPr>
                <w:rFonts w:ascii="Arial" w:cs="Arial" w:eastAsia="Arial" w:hAnsi="Arial"/>
                <w:sz w:val="13"/>
                <w:szCs w:val="13"/>
                <w:color w:val="auto"/>
              </w:rPr>
              <w:t>(First)</w:t>
            </w:r>
          </w:p>
        </w:tc>
        <w:tc>
          <w:tcPr>
            <w:tcW w:w="132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7"/>
                <w:szCs w:val="17"/>
                <w:color w:val="0000FF"/>
              </w:rPr>
              <w:t>20 EASTBOURNE TERRACE</w:t>
            </w:r>
          </w:p>
        </w:tc>
        <w:tc>
          <w:tcPr>
            <w:tcW w:w="1320" w:type="dxa"/>
            <w:vAlign w:val="bottom"/>
          </w:tcPr>
          <w:p>
            <w:pPr>
              <w:spacing w:after="0"/>
              <w:rPr>
                <w:sz w:val="24"/>
                <w:szCs w:val="24"/>
                <w:color w:val="auto"/>
              </w:rPr>
            </w:pPr>
          </w:p>
        </w:tc>
      </w:tr>
      <w:tr>
        <w:trPr>
          <w:trHeight w:val="207"/>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340" w:type="dxa"/>
            <w:vAlign w:val="bottom"/>
          </w:tcPr>
          <w:p>
            <w:pPr>
              <w:ind w:left="240"/>
              <w:spacing w:after="0"/>
              <w:rPr>
                <w:sz w:val="20"/>
                <w:szCs w:val="20"/>
                <w:color w:val="auto"/>
              </w:rPr>
            </w:pPr>
            <w:r>
              <w:rPr>
                <w:rFonts w:ascii="Arial" w:cs="Arial" w:eastAsia="Arial" w:hAnsi="Arial"/>
                <w:sz w:val="17"/>
                <w:szCs w:val="17"/>
                <w:color w:val="0000FF"/>
              </w:rPr>
              <w:t>X0</w:t>
            </w:r>
          </w:p>
        </w:tc>
        <w:tc>
          <w:tcPr>
            <w:tcW w:w="1320" w:type="dxa"/>
            <w:vAlign w:val="bottom"/>
          </w:tcPr>
          <w:p>
            <w:pPr>
              <w:ind w:left="140"/>
              <w:spacing w:after="0"/>
              <w:rPr>
                <w:sz w:val="20"/>
                <w:szCs w:val="20"/>
                <w:color w:val="auto"/>
              </w:rPr>
            </w:pPr>
            <w:r>
              <w:rPr>
                <w:rFonts w:ascii="Arial" w:cs="Arial" w:eastAsia="Arial" w:hAnsi="Arial"/>
                <w:sz w:val="17"/>
                <w:szCs w:val="17"/>
                <w:color w:val="0000FF"/>
              </w:rPr>
              <w:t>W26LG</w:t>
            </w:r>
          </w:p>
        </w:tc>
      </w:tr>
      <w:tr>
        <w:trPr>
          <w:trHeight w:val="154"/>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40"/>
              <w:spacing w:after="0"/>
              <w:rPr>
                <w:sz w:val="20"/>
                <w:szCs w:val="20"/>
                <w:color w:val="auto"/>
              </w:rPr>
            </w:pPr>
            <w:r>
              <w:rPr>
                <w:rFonts w:ascii="Arial" w:cs="Arial" w:eastAsia="Arial" w:hAnsi="Arial"/>
                <w:sz w:val="13"/>
                <w:szCs w:val="13"/>
                <w:color w:val="auto"/>
              </w:rPr>
              <w:t>(State)</w:t>
            </w:r>
          </w:p>
        </w:tc>
        <w:tc>
          <w:tcPr>
            <w:tcW w:w="132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LivaNova PLC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LIVN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2"/>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360" w:type="dxa"/>
            <w:vAlign w:val="bottom"/>
            <w:gridSpan w:val="3"/>
          </w:tcPr>
          <w:p>
            <w:pPr>
              <w:ind w:left="80"/>
              <w:spacing w:after="0"/>
              <w:rPr>
                <w:sz w:val="20"/>
                <w:szCs w:val="20"/>
                <w:color w:val="auto"/>
              </w:rPr>
            </w:pPr>
            <w:r>
              <w:rPr>
                <w:rFonts w:ascii="Arial" w:cs="Arial" w:eastAsia="Arial" w:hAnsi="Arial"/>
                <w:sz w:val="17"/>
                <w:szCs w:val="17"/>
                <w:color w:val="0000FF"/>
              </w:rPr>
              <w:t>06/15/2023</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8"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8" w:lineRule="exact"/>
        <w:rPr>
          <w:sz w:val="24"/>
          <w:szCs w:val="24"/>
          <w:color w:val="auto"/>
        </w:rPr>
      </w:pPr>
    </w:p>
    <w:p>
      <w:pPr>
        <w:ind w:left="34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80"/>
            <w:col w:w="724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78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 (Instr. 3</w:t>
            </w: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2,680</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79"/>
              <w:spacing w:after="0" w:line="128" w:lineRule="exact"/>
              <w:rPr>
                <w:sz w:val="20"/>
                <w:szCs w:val="20"/>
                <w:color w:val="auto"/>
              </w:rPr>
            </w:pPr>
            <w:r>
              <w:rPr>
                <w:rFonts w:ascii="Arial" w:cs="Arial" w:eastAsia="Arial" w:hAnsi="Arial"/>
                <w:sz w:val="13"/>
                <w:szCs w:val="13"/>
                <w:color w:val="0000FF"/>
              </w:rPr>
              <w:t>06/15/2023</w:t>
            </w:r>
          </w:p>
        </w:tc>
        <w:tc>
          <w:tcPr>
            <w:tcW w:w="1120" w:type="dxa"/>
            <w:vAlign w:val="bottom"/>
          </w:tcPr>
          <w:p>
            <w:pPr>
              <w:spacing w:after="0"/>
              <w:rPr>
                <w:sz w:val="11"/>
                <w:szCs w:val="11"/>
                <w:color w:val="auto"/>
              </w:rPr>
            </w:pPr>
          </w:p>
        </w:tc>
        <w:tc>
          <w:tcPr>
            <w:tcW w:w="460" w:type="dxa"/>
            <w:vAlign w:val="bottom"/>
          </w:tcPr>
          <w:p>
            <w:pPr>
              <w:ind w:left="200"/>
              <w:spacing w:after="0" w:line="128" w:lineRule="exact"/>
              <w:rPr>
                <w:sz w:val="20"/>
                <w:szCs w:val="20"/>
                <w:color w:val="auto"/>
              </w:rPr>
            </w:pPr>
            <w:r>
              <w:rPr>
                <w:rFonts w:ascii="Arial" w:cs="Arial" w:eastAsia="Arial" w:hAnsi="Arial"/>
                <w:sz w:val="13"/>
                <w:szCs w:val="13"/>
                <w:color w:val="0000FF"/>
              </w:rPr>
              <w:t>A</w:t>
            </w:r>
          </w:p>
        </w:tc>
        <w:tc>
          <w:tcPr>
            <w:tcW w:w="320" w:type="dxa"/>
            <w:vAlign w:val="bottom"/>
          </w:tcPr>
          <w:p>
            <w:pPr>
              <w:spacing w:after="0"/>
              <w:rPr>
                <w:sz w:val="11"/>
                <w:szCs w:val="11"/>
                <w:color w:val="auto"/>
              </w:rPr>
            </w:pPr>
          </w:p>
        </w:tc>
        <w:tc>
          <w:tcPr>
            <w:tcW w:w="460" w:type="dxa"/>
            <w:vAlign w:val="bottom"/>
          </w:tcPr>
          <w:p>
            <w:pPr>
              <w:ind w:left="80"/>
              <w:spacing w:after="0" w:line="128" w:lineRule="exact"/>
              <w:rPr>
                <w:sz w:val="20"/>
                <w:szCs w:val="20"/>
                <w:color w:val="auto"/>
              </w:rPr>
            </w:pPr>
            <w:r>
              <w:rPr>
                <w:rFonts w:ascii="Arial" w:cs="Arial" w:eastAsia="Arial" w:hAnsi="Arial"/>
                <w:sz w:val="13"/>
                <w:szCs w:val="13"/>
                <w:color w:val="0000FF"/>
              </w:rPr>
              <w:t>2,680</w:t>
            </w:r>
          </w:p>
        </w:tc>
        <w:tc>
          <w:tcPr>
            <w:tcW w:w="280" w:type="dxa"/>
            <w:vAlign w:val="bottom"/>
          </w:tcPr>
          <w:p>
            <w:pPr>
              <w:spacing w:after="0"/>
              <w:rPr>
                <w:sz w:val="11"/>
                <w:szCs w:val="11"/>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jc w:val="right"/>
              <w:ind w:right="242"/>
              <w:spacing w:after="0"/>
              <w:rPr>
                <w:sz w:val="20"/>
                <w:szCs w:val="20"/>
                <w:color w:val="auto"/>
              </w:rPr>
            </w:pPr>
            <w:r>
              <w:rPr>
                <w:rFonts w:ascii="Arial" w:cs="Arial" w:eastAsia="Arial" w:hAnsi="Arial"/>
                <w:sz w:val="11"/>
                <w:szCs w:val="11"/>
                <w:color w:val="008000"/>
              </w:rPr>
              <w:t>(2)</w:t>
            </w: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40"/>
              <w:spacing w:after="0" w:line="128" w:lineRule="exact"/>
              <w:rPr>
                <w:sz w:val="20"/>
                <w:szCs w:val="20"/>
                <w:color w:val="auto"/>
              </w:rPr>
            </w:pPr>
            <w:r>
              <w:rPr>
                <w:rFonts w:ascii="Arial" w:cs="Arial" w:eastAsia="Arial" w:hAnsi="Arial"/>
                <w:sz w:val="13"/>
                <w:szCs w:val="13"/>
                <w:color w:val="0000FF"/>
              </w:rPr>
              <w:t>2,680</w:t>
            </w:r>
          </w:p>
        </w:tc>
        <w:tc>
          <w:tcPr>
            <w:tcW w:w="740" w:type="dxa"/>
            <w:vAlign w:val="bottom"/>
          </w:tcPr>
          <w:p>
            <w:pPr>
              <w:ind w:left="320"/>
              <w:spacing w:after="0" w:line="128"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ind w:left="120"/>
              <w:spacing w:after="0" w:line="146"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5"/>
        <w:spacing w:after="0" w:line="258"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15, 2023, reporting person was granted RSUs to vest and forfeiture restrictions thereon to lapse on June 15, 2024, subject to continued service during the vesting period and the award agreement.</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Mohr, POA</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06/20/2023</w:t>
            </w:r>
          </w:p>
        </w:tc>
      </w:tr>
      <w:tr>
        <w:trPr>
          <w:trHeight w:val="229"/>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6136"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2023-06-20T14:38:22Z</dcterms:created>
  <dcterms:modified xsi:type="dcterms:W3CDTF">2023-06-20T14:38:22Z</dcterms:modified>
</cp:coreProperties>
</file>