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59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63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Skeffington Keyna Pidcock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03/30/2020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24"/>
        <w:spacing w:after="0"/>
        <w:rPr>
          <w:sz w:val="20"/>
          <w:szCs w:val="20"/>
          <w:color w:val="auto"/>
        </w:rPr>
      </w:pPr>
      <w:r>
        <w:rPr>
          <w:rFonts w:ascii="Arial" w:cs="Arial" w:eastAsia="Arial" w:hAnsi="Arial"/>
          <w:sz w:val="17"/>
          <w:szCs w:val="17"/>
          <w:color w:val="0000FF"/>
        </w:rPr>
        <w:t>General Counsel</w:t>
      </w:r>
    </w:p>
    <w:p>
      <w:pPr>
        <w:spacing w:after="0" w:line="301" w:lineRule="exact"/>
        <w:rPr>
          <w:sz w:val="24"/>
          <w:szCs w:val="24"/>
          <w:color w:val="auto"/>
        </w:rPr>
      </w:pPr>
    </w:p>
    <w:p>
      <w:pPr>
        <w:sectPr>
          <w:pgSz w:w="11900" w:h="16838" w:orient="portrait"/>
          <w:cols w:equalWidth="0" w:num="3">
            <w:col w:w="3180" w:space="720"/>
            <w:col w:w="3116" w:space="720"/>
            <w:col w:w="3344"/>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148590</wp:posOffset>
            </wp:positionV>
            <wp:extent cx="6969760" cy="128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88415"/>
                    </a:xfrm>
                    <a:prstGeom prst="rect">
                      <a:avLst/>
                    </a:prstGeom>
                    <a:noFill/>
                  </pic:spPr>
                </pic:pic>
              </a:graphicData>
            </a:graphic>
          </wp:anchor>
        </w:drawing>
      </w:r>
    </w:p>
    <w:p>
      <w:pPr>
        <w:spacing w:after="0" w:line="293" w:lineRule="exact"/>
        <w:rPr>
          <w:sz w:val="24"/>
          <w:szCs w:val="24"/>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03/30/2020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660" w:type="dxa"/>
            <w:vAlign w:val="bottom"/>
            <w:tcBorders>
              <w:bottom w:val="single" w:sz="8" w:color="2C2C2C"/>
            </w:tcBorders>
          </w:tcPr>
          <w:p>
            <w:pPr>
              <w:jc w:val="right"/>
              <w:ind w:right="63"/>
              <w:spacing w:after="0"/>
              <w:rPr>
                <w:sz w:val="20"/>
                <w:szCs w:val="20"/>
                <w:color w:val="auto"/>
              </w:rPr>
            </w:pPr>
            <w:r>
              <w:rPr>
                <w:rFonts w:ascii="Arial" w:cs="Arial" w:eastAsia="Arial" w:hAnsi="Arial"/>
                <w:sz w:val="17"/>
                <w:szCs w:val="17"/>
                <w:color w:val="0000FF"/>
              </w:rPr>
              <w:t>579</w:t>
            </w:r>
          </w:p>
        </w:tc>
        <w:tc>
          <w:tcPr>
            <w:tcW w:w="660" w:type="dxa"/>
            <w:vAlign w:val="bottom"/>
            <w:tcBorders>
              <w:bottom w:val="single" w:sz="8" w:color="2C2C2C"/>
            </w:tcBorders>
          </w:tcPr>
          <w:p>
            <w:pPr>
              <w:jc w:val="right"/>
              <w:ind w:right="137"/>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6"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7"/>
                <w:szCs w:val="17"/>
                <w:color w:val="0000FF"/>
              </w:rPr>
              <w:t>2,489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03/30/2020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line="306" w:lineRule="exact"/>
              <w:rPr>
                <w:sz w:val="20"/>
                <w:szCs w:val="20"/>
                <w:color w:val="auto"/>
              </w:rPr>
            </w:pPr>
            <w:r>
              <w:rPr>
                <w:rFonts w:ascii="Arial" w:cs="Arial" w:eastAsia="Arial" w:hAnsi="Arial"/>
                <w:sz w:val="33"/>
                <w:szCs w:val="33"/>
                <w:color w:val="0000FF"/>
                <w:vertAlign w:val="subscript"/>
              </w:rPr>
              <w:t>273</w:t>
            </w:r>
            <w:r>
              <w:rPr>
                <w:rFonts w:ascii="Arial" w:cs="Arial" w:eastAsia="Arial" w:hAnsi="Arial"/>
                <w:sz w:val="11"/>
                <w:szCs w:val="11"/>
                <w:color w:val="008000"/>
              </w:rPr>
              <w:t>(2)</w:t>
            </w:r>
          </w:p>
        </w:tc>
        <w:tc>
          <w:tcPr>
            <w:tcW w:w="660" w:type="dxa"/>
            <w:vAlign w:val="bottom"/>
            <w:tcBorders>
              <w:bottom w:val="single" w:sz="8" w:color="2C2C2C"/>
            </w:tcBorders>
          </w:tcPr>
          <w:p>
            <w:pPr>
              <w:jc w:val="right"/>
              <w:ind w:right="137"/>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45.75</w:t>
            </w:r>
          </w:p>
        </w:tc>
        <w:tc>
          <w:tcPr>
            <w:tcW w:w="1280" w:type="dxa"/>
            <w:vAlign w:val="bottom"/>
            <w:tcBorders>
              <w:bottom w:val="single" w:sz="8" w:color="2C2C2C"/>
            </w:tcBorders>
            <w:gridSpan w:val="3"/>
          </w:tcPr>
          <w:p>
            <w:pPr>
              <w:jc w:val="right"/>
              <w:ind w:right="400"/>
              <w:spacing w:after="0"/>
              <w:rPr>
                <w:sz w:val="20"/>
                <w:szCs w:val="20"/>
                <w:color w:val="auto"/>
              </w:rPr>
            </w:pPr>
            <w:r>
              <w:rPr>
                <w:rFonts w:ascii="Arial" w:cs="Arial" w:eastAsia="Arial" w:hAnsi="Arial"/>
                <w:sz w:val="17"/>
                <w:szCs w:val="17"/>
                <w:color w:val="0000FF"/>
              </w:rPr>
              <w:t>2,216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spacing w:after="0"/>
              <w:rPr>
                <w:sz w:val="20"/>
                <w:szCs w:val="20"/>
                <w:color w:val="auto"/>
              </w:rPr>
            </w:pPr>
            <w:r>
              <w:rPr>
                <w:rFonts w:ascii="Arial" w:cs="Arial" w:eastAsia="Arial" w:hAnsi="Arial"/>
                <w:sz w:val="13"/>
                <w:szCs w:val="13"/>
                <w:color w:val="0000FF"/>
              </w:rPr>
              <w:t>579</w:t>
            </w: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(4)</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579</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14,148</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(5)</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(5)</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5,737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19,885</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(7)</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(7)</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5,737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25,622</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5,737</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1"/>
                <w:szCs w:val="11"/>
                <w:color w:val="008000"/>
                <w:w w:val="88"/>
              </w:rPr>
              <w:t>(8)</w:t>
            </w:r>
          </w:p>
        </w:tc>
        <w:tc>
          <w:tcPr>
            <w:tcW w:w="660" w:type="dxa"/>
            <w:vAlign w:val="bottom"/>
            <w:vMerge w:val="restart"/>
          </w:tcPr>
          <w:p>
            <w:pPr>
              <w:jc w:val="center"/>
              <w:ind w:right="3"/>
              <w:spacing w:after="0"/>
              <w:rPr>
                <w:sz w:val="20"/>
                <w:szCs w:val="20"/>
                <w:color w:val="auto"/>
              </w:rPr>
            </w:pPr>
            <w:r>
              <w:rPr>
                <w:rFonts w:ascii="Arial" w:cs="Arial" w:eastAsia="Arial" w:hAnsi="Arial"/>
                <w:sz w:val="11"/>
                <w:szCs w:val="11"/>
                <w:color w:val="008000"/>
                <w:w w:val="88"/>
              </w:rPr>
              <w:t>(8)</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5,737</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31,359</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right"/>
              <w:ind w:right="137"/>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91"/>
              </w:rPr>
              <w:t>(10)</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15,703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3"/>
                <w:szCs w:val="13"/>
                <w:color w:val="0000FF"/>
                <w:w w:val="99"/>
              </w:rPr>
              <w:t>Appreciation</w:t>
            </w:r>
          </w:p>
        </w:tc>
        <w:tc>
          <w:tcPr>
            <w:tcW w:w="760" w:type="dxa"/>
            <w:vAlign w:val="bottom"/>
            <w:vMerge w:val="continue"/>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Arial" w:cs="Arial" w:eastAsia="Arial" w:hAnsi="Arial"/>
                <w:sz w:val="13"/>
                <w:szCs w:val="13"/>
                <w:color w:val="0000FF"/>
                <w:w w:val="89"/>
              </w:rPr>
              <w:t>03/30/2020</w:t>
            </w:r>
          </w:p>
        </w:tc>
        <w:tc>
          <w:tcPr>
            <w:tcW w:w="1060" w:type="dxa"/>
            <w:vAlign w:val="bottom"/>
          </w:tcPr>
          <w:p>
            <w:pPr>
              <w:spacing w:after="0"/>
              <w:rPr>
                <w:sz w:val="10"/>
                <w:szCs w:val="10"/>
                <w:color w:val="auto"/>
              </w:rPr>
            </w:pPr>
          </w:p>
        </w:tc>
        <w:tc>
          <w:tcPr>
            <w:tcW w:w="620" w:type="dxa"/>
            <w:vAlign w:val="bottom"/>
          </w:tcPr>
          <w:p>
            <w:pPr>
              <w:ind w:left="180"/>
              <w:spacing w:after="0" w:line="12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color w:val="0000FF"/>
                <w:w w:val="90"/>
              </w:rPr>
              <w:t>15,703</w:t>
            </w:r>
          </w:p>
        </w:tc>
        <w:tc>
          <w:tcPr>
            <w:tcW w:w="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43"/>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tcPr>
          <w:p>
            <w:pPr>
              <w:ind w:left="240"/>
              <w:spacing w:after="0" w:line="124" w:lineRule="exact"/>
              <w:rPr>
                <w:sz w:val="20"/>
                <w:szCs w:val="20"/>
                <w:color w:val="auto"/>
              </w:rPr>
            </w:pPr>
            <w:r>
              <w:rPr>
                <w:rFonts w:ascii="Arial" w:cs="Arial" w:eastAsia="Arial" w:hAnsi="Arial"/>
                <w:sz w:val="13"/>
                <w:szCs w:val="13"/>
                <w:color w:val="0000FF"/>
                <w:w w:val="85"/>
              </w:rPr>
              <w:t>43,986</w:t>
            </w:r>
          </w:p>
        </w:tc>
        <w:tc>
          <w:tcPr>
            <w:tcW w:w="260" w:type="dxa"/>
            <w:vAlign w:val="bottom"/>
          </w:tcPr>
          <w:p>
            <w:pPr>
              <w:spacing w:after="0"/>
              <w:rPr>
                <w:sz w:val="10"/>
                <w:szCs w:val="10"/>
                <w:color w:val="auto"/>
              </w:rPr>
            </w:pP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137"/>
              <w:spacing w:after="0" w:line="141"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-2981325</wp:posOffset>
            </wp:positionV>
            <wp:extent cx="7034530" cy="3022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02260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1" w:lineRule="exact"/>
        <w:rPr>
          <w:rFonts w:ascii="Arial" w:cs="Arial" w:eastAsia="Arial" w:hAnsi="Arial"/>
          <w:sz w:val="13"/>
          <w:szCs w:val="13"/>
          <w:color w:val="008000"/>
        </w:rPr>
      </w:pPr>
    </w:p>
    <w:p>
      <w:pPr>
        <w:ind w:left="40" w:right="40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7" w:lineRule="exact"/>
        <w:rPr>
          <w:rFonts w:ascii="Arial" w:cs="Arial" w:eastAsia="Arial" w:hAnsi="Arial"/>
          <w:sz w:val="13"/>
          <w:szCs w:val="13"/>
          <w:color w:val="008000"/>
        </w:rPr>
      </w:pPr>
    </w:p>
    <w:p>
      <w:pPr>
        <w:ind w:left="40" w:right="24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2019, subject to continued service during the vesting period and the award agreement.</w:t>
      </w:r>
    </w:p>
    <w:p>
      <w:pPr>
        <w:spacing w:after="0" w:line="27" w:lineRule="exact"/>
        <w:rPr>
          <w:rFonts w:ascii="Arial" w:cs="Arial" w:eastAsia="Arial" w:hAnsi="Arial"/>
          <w:sz w:val="13"/>
          <w:szCs w:val="13"/>
          <w:color w:val="008000"/>
        </w:rPr>
      </w:pPr>
    </w:p>
    <w:p>
      <w:pPr>
        <w:ind w:left="40" w:right="24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2020, subject to continued service during the vesting period and the award agreement.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1" w:lineRule="exact"/>
        <w:rPr>
          <w:rFonts w:ascii="Arial" w:cs="Arial" w:eastAsia="Arial" w:hAnsi="Arial"/>
          <w:sz w:val="13"/>
          <w:szCs w:val="13"/>
          <w:color w:val="008000"/>
        </w:rPr>
      </w:pPr>
    </w:p>
    <w:p>
      <w:pPr>
        <w:ind w:left="40" w:right="380"/>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5,737 PSUs to vest or lapse on the filing of the Company's Annual Report on Form 10-K for the fiscal year ending December 31, 2022 ("2022 Form 10-K") based on the rank of the Company's total shareholder return for the three-year period ending December 31, 2022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2" w:lineRule="exact"/>
        <w:rPr>
          <w:rFonts w:ascii="Arial" w:cs="Arial" w:eastAsia="Arial" w:hAnsi="Arial"/>
          <w:sz w:val="13"/>
          <w:szCs w:val="13"/>
          <w:color w:val="008000"/>
        </w:rPr>
      </w:pPr>
    </w:p>
    <w:p>
      <w:pPr>
        <w:ind w:left="40" w:right="580"/>
        <w:spacing w:after="0" w:line="26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2020, reporting person was granted 5,737 PSUs to vest or lapse on the filing of the Company's 2022 Form 10-K for the fiscal year ending December 31, 2022 based on how the Company's cumulative adjusted free cash flow for fiscal years 2020, 2021 and 2022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16"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$43.57 Conversion or Exercise Price of Derivative Security.</w:t>
      </w:r>
    </w:p>
    <w:p>
      <w:pPr>
        <w:spacing w:after="0" w:line="41" w:lineRule="exact"/>
        <w:rPr>
          <w:rFonts w:ascii="Arial" w:cs="Arial" w:eastAsia="Arial" w:hAnsi="Arial"/>
          <w:sz w:val="13"/>
          <w:szCs w:val="13"/>
          <w:color w:val="008000"/>
        </w:rPr>
      </w:pPr>
    </w:p>
    <w:p>
      <w:pPr>
        <w:ind w:left="40" w:right="180"/>
        <w:spacing w:after="0" w:line="244" w:lineRule="auto"/>
        <w:tabs>
          <w:tab w:leader="none" w:pos="2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2020.</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Sarah K. Mohr, POA</w:t>
            </w:r>
          </w:p>
        </w:tc>
        <w:tc>
          <w:tcPr>
            <w:tcW w:w="6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04/01/2020</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7" w:lineRule="exact"/>
        <w:rPr>
          <w:sz w:val="20"/>
          <w:szCs w:val="20"/>
          <w:color w:val="auto"/>
        </w:rPr>
      </w:pPr>
    </w:p>
    <w:p>
      <w:pPr>
        <w:ind w:right="200" w:firstLine="613"/>
        <w:spacing w:after="0" w:line="326"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5" w:lineRule="exact"/>
        <w:rPr>
          <w:sz w:val="20"/>
          <w:szCs w:val="20"/>
          <w:color w:val="auto"/>
        </w:rPr>
      </w:pPr>
    </w:p>
    <w:p>
      <w:pPr>
        <w:ind w:left="1220" w:hanging="605"/>
        <w:spacing w:after="0" w:line="31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20" w:right="160" w:hanging="605"/>
        <w:spacing w:after="0" w:line="33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3" w:lineRule="exact"/>
        <w:rPr>
          <w:rFonts w:ascii="Arial" w:cs="Arial" w:eastAsia="Arial" w:hAnsi="Arial"/>
          <w:sz w:val="17"/>
          <w:szCs w:val="17"/>
          <w:color w:val="auto"/>
        </w:rPr>
      </w:pPr>
    </w:p>
    <w:p>
      <w:pPr>
        <w:jc w:val="both"/>
        <w:ind w:left="1220" w:right="20" w:hanging="605"/>
        <w:spacing w:after="0" w:line="331"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firstLine="613"/>
        <w:spacing w:after="0" w:line="302"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9" w:lineRule="exact"/>
        <w:rPr>
          <w:sz w:val="20"/>
          <w:szCs w:val="20"/>
          <w:color w:val="auto"/>
        </w:rPr>
      </w:pPr>
    </w:p>
    <w:p>
      <w:pPr>
        <w:ind w:right="140" w:firstLine="613"/>
        <w:spacing w:after="0" w:line="284"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120" w:firstLine="613"/>
        <w:spacing w:after="0" w:line="332"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4" w:lineRule="exact"/>
        <w:rPr>
          <w:sz w:val="20"/>
          <w:szCs w:val="20"/>
          <w:color w:val="auto"/>
        </w:rPr>
      </w:pPr>
    </w:p>
    <w:p>
      <w:pPr>
        <w:ind w:right="20" w:firstLine="613"/>
        <w:spacing w:after="0" w:line="28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-13970</wp:posOffset>
            </wp:positionV>
            <wp:extent cx="1396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60"/>
      </w:cols>
      <w:pgMar w:left="460" w:top="34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28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2020-04-01T19:37:24Z</dcterms:created>
  <dcterms:modified xsi:type="dcterms:W3CDTF">2020-04-01T19:37:24Z</dcterms:modified>
</cp:coreProperties>
</file>