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G5509L101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Harris Associates L.P.</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04-3276558</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1,845,813</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2,697,007</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2,697,007</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5.6%</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G5509L101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Harris Associates Inc.</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04-3276549</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Delaware</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1,845,813</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2,697,007</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2,697,007</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5.6%</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CO</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340" w:hanging="413"/>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LIVANOVA PLC</w:t>
      </w:r>
    </w:p>
    <w:p>
      <w:pPr>
        <w:spacing w:after="0" w:line="101" w:lineRule="exact"/>
        <w:rPr>
          <w:rFonts w:ascii="Arial" w:cs="Arial" w:eastAsia="Arial" w:hAnsi="Arial"/>
          <w:sz w:val="22"/>
          <w:szCs w:val="22"/>
          <w:b w:val="1"/>
          <w:bCs w:val="1"/>
          <w:color w:val="auto"/>
        </w:rPr>
      </w:pPr>
    </w:p>
    <w:p>
      <w:pPr>
        <w:ind w:left="1340" w:hanging="413"/>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20 Eastbourne Terrace, London United Kingdom W2 6LG</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40" w:hanging="413"/>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34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Associates L.P. ("Harris")</w:t>
      </w: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Harris Associates Inc. ("General Partner")</w:t>
      </w:r>
    </w:p>
    <w:p>
      <w:pPr>
        <w:spacing w:after="0" w:line="101" w:lineRule="exact"/>
        <w:rPr>
          <w:rFonts w:ascii="Arial" w:cs="Arial" w:eastAsia="Arial" w:hAnsi="Arial"/>
          <w:sz w:val="22"/>
          <w:szCs w:val="22"/>
          <w:b w:val="1"/>
          <w:bCs w:val="1"/>
          <w:color w:val="auto"/>
        </w:rPr>
      </w:pPr>
    </w:p>
    <w:p>
      <w:pPr>
        <w:ind w:left="1340" w:hanging="413"/>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340" w:right="3820"/>
        <w:spacing w:after="0" w:line="237" w:lineRule="auto"/>
        <w:rPr>
          <w:rFonts w:ascii="Arial" w:cs="Arial" w:eastAsia="Arial" w:hAnsi="Arial"/>
          <w:sz w:val="22"/>
          <w:szCs w:val="22"/>
          <w:b w:val="1"/>
          <w:bCs w:val="1"/>
          <w:color w:val="auto"/>
        </w:rPr>
      </w:pPr>
      <w:r>
        <w:rPr>
          <w:rFonts w:ascii="Arial" w:cs="Arial" w:eastAsia="Arial" w:hAnsi="Arial"/>
          <w:sz w:val="22"/>
          <w:szCs w:val="22"/>
          <w:color w:val="auto"/>
        </w:rPr>
        <w:t>Both Harris and the General Partner maintain their principal offices at: 111 S. Wacker Drive, Suite 4600, Chicago IL 60606</w:t>
      </w:r>
    </w:p>
    <w:p>
      <w:pPr>
        <w:spacing w:after="0" w:line="97" w:lineRule="exact"/>
        <w:rPr>
          <w:rFonts w:ascii="Arial" w:cs="Arial" w:eastAsia="Arial" w:hAnsi="Arial"/>
          <w:sz w:val="22"/>
          <w:szCs w:val="22"/>
          <w:b w:val="1"/>
          <w:bCs w:val="1"/>
          <w:color w:val="auto"/>
        </w:rPr>
      </w:pPr>
    </w:p>
    <w:p>
      <w:pPr>
        <w:ind w:left="1340" w:hanging="413"/>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4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Harris is a Delaware limited partnership.</w:t>
      </w: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The General Partner is a Delaware corporation.</w:t>
      </w:r>
    </w:p>
    <w:p>
      <w:pPr>
        <w:spacing w:after="0" w:line="101" w:lineRule="exact"/>
        <w:rPr>
          <w:rFonts w:ascii="Arial" w:cs="Arial" w:eastAsia="Arial" w:hAnsi="Arial"/>
          <w:sz w:val="22"/>
          <w:szCs w:val="22"/>
          <w:b w:val="1"/>
          <w:bCs w:val="1"/>
          <w:color w:val="auto"/>
        </w:rPr>
      </w:pPr>
    </w:p>
    <w:p>
      <w:pPr>
        <w:ind w:left="1340" w:right="7540" w:hanging="413"/>
        <w:spacing w:after="0" w:line="335"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Ordinary Shares</w:t>
      </w:r>
    </w:p>
    <w:p>
      <w:pPr>
        <w:spacing w:after="0" w:line="11" w:lineRule="exact"/>
        <w:rPr>
          <w:rFonts w:ascii="Arial" w:cs="Arial" w:eastAsia="Arial" w:hAnsi="Arial"/>
          <w:sz w:val="19"/>
          <w:szCs w:val="19"/>
          <w:b w:val="1"/>
          <w:bCs w:val="1"/>
          <w:color w:val="auto"/>
        </w:rPr>
      </w:pPr>
    </w:p>
    <w:p>
      <w:pPr>
        <w:ind w:left="1340" w:right="8460" w:hanging="413"/>
        <w:spacing w:after="0" w:line="335"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G5509L101</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1340" w:hanging="413"/>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Broker or dealer registered under Section 15 of the Act (15 U.S.C. 78o).</w:t>
      </w:r>
    </w:p>
    <w:p>
      <w:pPr>
        <w:spacing w:after="0" w:line="125" w:lineRule="exact"/>
        <w:rPr>
          <w:rFonts w:ascii="Arial" w:cs="Arial" w:eastAsia="Arial" w:hAnsi="Arial"/>
          <w:sz w:val="22"/>
          <w:szCs w:val="22"/>
          <w:color w:val="auto"/>
        </w:rPr>
      </w:pPr>
    </w:p>
    <w:p>
      <w:pPr>
        <w:ind w:left="1340" w:hanging="413"/>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Bank as defined in Section 3(a)(6) of the Act (15 U.S.C. 78c).</w:t>
      </w:r>
    </w:p>
    <w:p>
      <w:pPr>
        <w:spacing w:after="0" w:line="125" w:lineRule="exact"/>
        <w:rPr>
          <w:rFonts w:ascii="Arial" w:cs="Arial" w:eastAsia="Arial" w:hAnsi="Arial"/>
          <w:sz w:val="22"/>
          <w:szCs w:val="22"/>
          <w:color w:val="auto"/>
        </w:rPr>
      </w:pPr>
    </w:p>
    <w:p>
      <w:pPr>
        <w:ind w:left="1340" w:hanging="413"/>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r>
        <w:rPr>
          <w:rFonts w:ascii="Arial" w:cs="Arial" w:eastAsia="Arial" w:hAnsi="Arial"/>
          <w:sz w:val="19"/>
          <w:szCs w:val="19"/>
          <w:color w:val="auto"/>
        </w:rPr>
        <w:t>Insurance Company as defined in Section 3(a)(19) of the Act (15 U.S.C. 78c).</w:t>
      </w:r>
    </w:p>
    <w:p>
      <w:pPr>
        <w:sectPr>
          <w:pgSz w:w="11900" w:h="16845" w:orient="portrait"/>
          <w:cols w:equalWidth="0" w:num="1">
            <w:col w:w="11260"/>
          </w:cols>
          <w:pgMar w:left="320" w:top="423" w:right="319" w:bottom="0" w:gutter="0" w:footer="0" w:header="0"/>
        </w:sectPr>
      </w:pPr>
    </w:p>
    <w:p>
      <w:pPr>
        <w:spacing w:after="0" w:line="24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  [ ]</w:t>
      </w:r>
    </w:p>
    <w:p>
      <w:pPr>
        <w:spacing w:after="0" w:line="247"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22"/>
          <w:szCs w:val="22"/>
          <w:color w:val="auto"/>
        </w:rPr>
        <w:t>(e)</w:t>
        <w:tab/>
        <w:t>[X]</w:t>
      </w:r>
    </w:p>
    <w:p>
      <w:pPr>
        <w:spacing w:after="0" w:line="125"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22"/>
          <w:szCs w:val="22"/>
          <w:color w:val="auto"/>
        </w:rPr>
        <w:t>(f)</w:t>
        <w:tab/>
        <w:t>[ ]</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(g)  [ ]</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(h)  [ ]</w:t>
      </w:r>
    </w:p>
    <w:p>
      <w:pPr>
        <w:spacing w:after="0" w:line="247"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22"/>
          <w:szCs w:val="22"/>
          <w:color w:val="auto"/>
        </w:rPr>
        <w:t>(i)</w:t>
        <w:tab/>
        <w:t>[ ]</w:t>
      </w:r>
    </w:p>
    <w:p>
      <w:pPr>
        <w:spacing w:after="0" w:line="247" w:lineRule="exact"/>
        <w:rPr>
          <w:sz w:val="20"/>
          <w:szCs w:val="20"/>
          <w:color w:val="auto"/>
        </w:rPr>
      </w:pPr>
    </w:p>
    <w:p>
      <w:pPr>
        <w:ind w:left="920"/>
        <w:spacing w:after="0"/>
        <w:tabs>
          <w:tab w:leader="none" w:pos="1320" w:val="left"/>
        </w:tabs>
        <w:rPr>
          <w:sz w:val="20"/>
          <w:szCs w:val="20"/>
          <w:color w:val="auto"/>
        </w:rPr>
      </w:pPr>
      <w:r>
        <w:rPr>
          <w:rFonts w:ascii="Arial" w:cs="Arial" w:eastAsia="Arial" w:hAnsi="Arial"/>
          <w:sz w:val="22"/>
          <w:szCs w:val="22"/>
          <w:color w:val="auto"/>
        </w:rPr>
        <w:t>(j)</w:t>
        <w:tab/>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90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45" w:orient="portrait"/>
          <w:cols w:equalWidth="0" w:num="2">
            <w:col w:w="2000" w:space="200"/>
            <w:col w:w="906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340" w:hanging="413"/>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40" w:right="200"/>
        <w:spacing w:after="0" w:line="251" w:lineRule="auto"/>
        <w:rPr>
          <w:rFonts w:ascii="Arial" w:cs="Arial" w:eastAsia="Arial" w:hAnsi="Arial"/>
          <w:sz w:val="22"/>
          <w:szCs w:val="22"/>
          <w:color w:val="auto"/>
        </w:rPr>
      </w:pPr>
      <w:r>
        <w:rPr>
          <w:rFonts w:ascii="Arial" w:cs="Arial" w:eastAsia="Arial" w:hAnsi="Arial"/>
          <w:sz w:val="22"/>
          <w:szCs w:val="22"/>
          <w:color w:val="auto"/>
        </w:rPr>
        <w:t>By reason of advisory and other relationships with the person who owns the Shares, Harris may be deemed to be the beneficial owner of the following shares: 2,697,007</w:t>
      </w:r>
    </w:p>
    <w:p>
      <w:pPr>
        <w:spacing w:after="0" w:line="200" w:lineRule="exact"/>
        <w:rPr>
          <w:rFonts w:ascii="Arial" w:cs="Arial" w:eastAsia="Arial" w:hAnsi="Arial"/>
          <w:sz w:val="22"/>
          <w:szCs w:val="22"/>
          <w:color w:val="auto"/>
        </w:rPr>
      </w:pPr>
    </w:p>
    <w:p>
      <w:pPr>
        <w:jc w:val="both"/>
        <w:ind w:left="1340" w:right="220"/>
        <w:spacing w:after="0" w:line="297" w:lineRule="auto"/>
        <w:rPr>
          <w:rFonts w:ascii="Arial" w:cs="Arial" w:eastAsia="Arial" w:hAnsi="Arial"/>
          <w:sz w:val="22"/>
          <w:szCs w:val="22"/>
          <w:color w:val="auto"/>
        </w:rPr>
      </w:pPr>
      <w:r>
        <w:rPr>
          <w:rFonts w:ascii="Arial" w:cs="Arial" w:eastAsia="Arial" w:hAnsi="Arial"/>
          <w:sz w:val="19"/>
          <w:szCs w:val="19"/>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53" w:lineRule="exact"/>
        <w:rPr>
          <w:rFonts w:ascii="Arial" w:cs="Arial" w:eastAsia="Arial" w:hAnsi="Arial"/>
          <w:sz w:val="22"/>
          <w:szCs w:val="22"/>
          <w:color w:val="auto"/>
        </w:rPr>
      </w:pPr>
    </w:p>
    <w:p>
      <w:pPr>
        <w:ind w:left="1340" w:hanging="413"/>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5.6%</w:t>
      </w:r>
    </w:p>
    <w:p>
      <w:pPr>
        <w:spacing w:after="0" w:line="125" w:lineRule="exact"/>
        <w:rPr>
          <w:rFonts w:ascii="Arial" w:cs="Arial" w:eastAsia="Arial" w:hAnsi="Arial"/>
          <w:sz w:val="22"/>
          <w:szCs w:val="22"/>
          <w:color w:val="auto"/>
        </w:rPr>
      </w:pPr>
    </w:p>
    <w:p>
      <w:pPr>
        <w:ind w:left="1340" w:hanging="413"/>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ectPr>
          <w:pgSz w:w="11900" w:h="16845" w:orient="portrait"/>
          <w:cols w:equalWidth="0" w:num="1">
            <w:col w:w="11260"/>
          </w:cols>
          <w:pgMar w:left="320" w:top="423" w:right="319" w:bottom="0" w:gutter="0" w:footer="0" w:header="0"/>
          <w:type w:val="continuous"/>
        </w:sectPr>
      </w:pPr>
    </w:p>
    <w:p>
      <w:pPr>
        <w:spacing w:after="0" w:line="125" w:lineRule="exact"/>
        <w:rPr>
          <w:sz w:val="20"/>
          <w:szCs w:val="20"/>
          <w:color w:val="auto"/>
        </w:rPr>
      </w:pPr>
    </w:p>
    <w:p>
      <w:pPr>
        <w:ind w:left="2200" w:hanging="867"/>
        <w:spacing w:after="0"/>
        <w:tabs>
          <w:tab w:leader="none" w:pos="2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200" w:hanging="867"/>
        <w:spacing w:after="0"/>
        <w:tabs>
          <w:tab w:leader="none" w:pos="2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200" w:hanging="867"/>
        <w:spacing w:after="0" w:line="183" w:lineRule="auto"/>
        <w:tabs>
          <w:tab w:leader="none" w:pos="2200" w:val="left"/>
        </w:tabs>
        <w:numPr>
          <w:ilvl w:val="0"/>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200" w:hanging="867"/>
        <w:spacing w:after="0"/>
        <w:tabs>
          <w:tab w:leader="none" w:pos="2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shared power to dispose or to direct the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1,845,813</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2,697,007</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ectPr>
          <w:pgSz w:w="11900" w:h="16845" w:orient="portrait"/>
          <w:cols w:equalWidth="0" w:num="2">
            <w:col w:w="6380" w:space="340"/>
            <w:col w:w="4540"/>
          </w:cols>
          <w:pgMar w:left="320" w:top="423" w:right="319" w:bottom="0" w:gutter="0" w:footer="0" w:header="0"/>
          <w:type w:val="continuous"/>
        </w:sectPr>
      </w:pPr>
    </w:p>
    <w:bookmarkStart w:id="4" w:name="page5"/>
    <w:bookmarkEnd w:id="4"/>
    <w:p>
      <w:pPr>
        <w:ind w:left="2200"/>
        <w:spacing w:after="0"/>
        <w:rPr>
          <w:sz w:val="20"/>
          <w:szCs w:val="20"/>
          <w:color w:val="auto"/>
        </w:rPr>
      </w:pPr>
      <w:r>
        <w:rPr>
          <w:rFonts w:ascii="Arial" w:cs="Arial" w:eastAsia="Arial" w:hAnsi="Arial"/>
          <w:sz w:val="22"/>
          <w:szCs w:val="22"/>
          <w:color w:val="auto"/>
        </w:rPr>
        <w:t>disposition of</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44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20" w:top="118" w:right="479" w:bottom="1440" w:gutter="0" w:footer="0" w:header="0"/>
        </w:sectPr>
      </w:pPr>
    </w:p>
    <w:bookmarkStart w:id="5" w:name="page6"/>
    <w:bookmarkEnd w:id="5"/>
    <w:p>
      <w:pPr>
        <w:jc w:val="center"/>
        <w:ind w:right="-2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left="240"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Harris Associates L.P.</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Rana J. Wright</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Date: February 14, 2020</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Name: Rana J. Wright</w:t>
      </w:r>
    </w:p>
    <w:p>
      <w:pPr>
        <w:spacing w:after="0" w:line="44" w:lineRule="exact"/>
        <w:rPr>
          <w:sz w:val="20"/>
          <w:szCs w:val="20"/>
          <w:color w:val="auto"/>
        </w:rPr>
      </w:pPr>
    </w:p>
    <w:p>
      <w:pPr>
        <w:ind w:left="2420"/>
        <w:spacing w:after="0"/>
        <w:rPr>
          <w:sz w:val="20"/>
          <w:szCs w:val="20"/>
          <w:color w:val="auto"/>
        </w:rPr>
      </w:pPr>
      <w:r>
        <w:rPr>
          <w:rFonts w:ascii="Arial" w:cs="Arial" w:eastAsia="Arial" w:hAnsi="Arial"/>
          <w:sz w:val="22"/>
          <w:szCs w:val="22"/>
          <w:color w:val="auto"/>
        </w:rPr>
        <w:t>Title: General Counsel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**Harris Associates Inc., for itself and as General Partner of Harris Associates L.P.</w:t>
      </w:r>
    </w:p>
    <w:sectPr>
      <w:pgSz w:w="11900" w:h="16838" w:orient="portrait"/>
      <w:cols w:equalWidth="0" w:num="1">
        <w:col w:w="9259"/>
      </w:cols>
      <w:pgMar w:left="120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2020-02-14T13:43:13Z</dcterms:created>
  <dcterms:modified xsi:type="dcterms:W3CDTF">2020-02-14T13:43:13Z</dcterms:modified>
</cp:coreProperties>
</file>