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331"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11"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Date of Report (Date of earliest event reported): November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306705</wp:posOffset>
            </wp:positionV>
            <wp:extent cx="1475105"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5105"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LivaNova PLC</w:t>
      </w:r>
    </w:p>
    <w:p>
      <w:pPr>
        <w:spacing w:after="0" w:line="40"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88" w:lineRule="exact"/>
        <w:rPr>
          <w:sz w:val="24"/>
          <w:szCs w:val="24"/>
          <w:color w:val="auto"/>
        </w:rPr>
      </w:pPr>
    </w:p>
    <w:tbl>
      <w:tblPr>
        <w:tblLayout w:type="fixed"/>
        <w:tblInd w:w="860" w:type="dxa"/>
        <w:tblCellMar>
          <w:top w:w="0" w:type="dxa"/>
          <w:left w:w="0" w:type="dxa"/>
          <w:bottom w:w="0" w:type="dxa"/>
          <w:right w:w="0" w:type="dxa"/>
        </w:tblCellMar>
      </w:tblPr>
      <w:tr>
        <w:trPr>
          <w:trHeight w:val="207"/>
        </w:trPr>
        <w:tc>
          <w:tcPr>
            <w:tcW w:w="2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England and Wales</w:t>
            </w:r>
          </w:p>
        </w:tc>
        <w:tc>
          <w:tcPr>
            <w:tcW w:w="5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001-37599</w:t>
            </w:r>
          </w:p>
        </w:tc>
        <w:tc>
          <w:tcPr>
            <w:tcW w:w="174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98-1268150</w:t>
            </w:r>
          </w:p>
        </w:tc>
      </w:tr>
      <w:tr>
        <w:trPr>
          <w:trHeight w:val="203"/>
        </w:trPr>
        <w:tc>
          <w:tcPr>
            <w:tcW w:w="222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0"/>
              </w:rPr>
              <w:t>(State or Other Jurisdiction</w:t>
            </w:r>
          </w:p>
        </w:tc>
        <w:tc>
          <w:tcPr>
            <w:tcW w:w="542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3"/>
              </w:rPr>
              <w:t>(Commission</w:t>
            </w:r>
          </w:p>
        </w:tc>
        <w:tc>
          <w:tcPr>
            <w:tcW w:w="1740" w:type="dxa"/>
            <w:vAlign w:val="bottom"/>
          </w:tcPr>
          <w:p>
            <w:pPr>
              <w:jc w:val="center"/>
              <w:ind w:left="310"/>
              <w:spacing w:after="0" w:line="202" w:lineRule="exact"/>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110"/>
              <w:spacing w:after="0"/>
              <w:rPr>
                <w:sz w:val="20"/>
                <w:szCs w:val="20"/>
                <w:color w:val="auto"/>
              </w:rPr>
            </w:pPr>
            <w:r>
              <w:rPr>
                <w:rFonts w:ascii="Arial" w:cs="Arial" w:eastAsia="Arial" w:hAnsi="Arial"/>
                <w:sz w:val="18"/>
                <w:szCs w:val="18"/>
                <w:color w:val="auto"/>
                <w:w w:val="94"/>
              </w:rPr>
              <w:t>File Number)</w:t>
            </w:r>
          </w:p>
        </w:tc>
        <w:tc>
          <w:tcPr>
            <w:tcW w:w="1740" w:type="dxa"/>
            <w:vAlign w:val="bottom"/>
          </w:tcPr>
          <w:p>
            <w:pPr>
              <w:jc w:val="center"/>
              <w:ind w:left="310"/>
              <w:spacing w:after="0"/>
              <w:rPr>
                <w:sz w:val="20"/>
                <w:szCs w:val="20"/>
                <w:color w:val="auto"/>
              </w:rPr>
            </w:pPr>
            <w:r>
              <w:rPr>
                <w:rFonts w:ascii="Arial" w:cs="Arial" w:eastAsia="Arial" w:hAnsi="Arial"/>
                <w:sz w:val="18"/>
                <w:szCs w:val="18"/>
                <w:color w:val="auto"/>
                <w:w w:val="95"/>
              </w:rPr>
              <w:t>Identification No.)</w:t>
            </w:r>
          </w:p>
        </w:tc>
      </w:tr>
      <w:tr>
        <w:trPr>
          <w:trHeight w:val="846"/>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5 Merchant Square</w:t>
            </w:r>
          </w:p>
        </w:tc>
        <w:tc>
          <w:tcPr>
            <w:tcW w:w="1740" w:type="dxa"/>
            <w:vAlign w:val="bottom"/>
          </w:tcPr>
          <w:p>
            <w:pPr>
              <w:spacing w:after="0"/>
              <w:rPr>
                <w:sz w:val="24"/>
                <w:szCs w:val="24"/>
                <w:color w:val="auto"/>
              </w:rPr>
            </w:pPr>
          </w:p>
        </w:tc>
      </w:tr>
      <w:tr>
        <w:trPr>
          <w:trHeight w:val="203"/>
        </w:trPr>
        <w:tc>
          <w:tcPr>
            <w:tcW w:w="2220" w:type="dxa"/>
            <w:vAlign w:val="bottom"/>
          </w:tcPr>
          <w:p>
            <w:pPr>
              <w:spacing w:after="0"/>
              <w:rPr>
                <w:sz w:val="17"/>
                <w:szCs w:val="17"/>
                <w:color w:val="auto"/>
              </w:rPr>
            </w:pPr>
          </w:p>
        </w:tc>
        <w:tc>
          <w:tcPr>
            <w:tcW w:w="54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4"/>
              </w:rPr>
              <w:t>North Wharf Road</w:t>
            </w:r>
          </w:p>
        </w:tc>
        <w:tc>
          <w:tcPr>
            <w:tcW w:w="174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542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3"/>
              </w:rPr>
              <w:t>London, W2 1AY</w:t>
            </w:r>
          </w:p>
        </w:tc>
        <w:tc>
          <w:tcPr>
            <w:tcW w:w="1740" w:type="dxa"/>
            <w:vAlign w:val="bottom"/>
          </w:tcPr>
          <w:p>
            <w:pPr>
              <w:spacing w:after="0"/>
              <w:rPr>
                <w:sz w:val="17"/>
                <w:szCs w:val="17"/>
                <w:color w:val="auto"/>
              </w:rPr>
            </w:pPr>
          </w:p>
        </w:tc>
      </w:tr>
      <w:tr>
        <w:trPr>
          <w:trHeight w:val="207"/>
        </w:trPr>
        <w:tc>
          <w:tcPr>
            <w:tcW w:w="2220" w:type="dxa"/>
            <w:vAlign w:val="bottom"/>
          </w:tcPr>
          <w:p>
            <w:pPr>
              <w:spacing w:after="0"/>
              <w:rPr>
                <w:sz w:val="17"/>
                <w:szCs w:val="17"/>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4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40" w:type="dxa"/>
            <w:vAlign w:val="bottom"/>
          </w:tcPr>
          <w:p>
            <w:pPr>
              <w:spacing w:after="0"/>
              <w:rPr>
                <w:sz w:val="20"/>
                <w:szCs w:val="20"/>
                <w:color w:val="auto"/>
              </w:rPr>
            </w:pPr>
          </w:p>
        </w:tc>
      </w:tr>
      <w:tr>
        <w:trPr>
          <w:trHeight w:val="377"/>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(44) 203 786 5275</w:t>
            </w: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(Registrant's Telephone Number, Including Area Code)</w:t>
            </w:r>
          </w:p>
        </w:tc>
        <w:tc>
          <w:tcPr>
            <w:tcW w:w="174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4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40" w:type="dxa"/>
            <w:vAlign w:val="bottom"/>
          </w:tcPr>
          <w:p>
            <w:pPr>
              <w:spacing w:after="0"/>
              <w:rPr>
                <w:sz w:val="20"/>
                <w:szCs w:val="20"/>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firstLine="648"/>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9"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1078230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801" w:right="899" w:bottom="1440" w:gutter="0" w:footer="0" w:header="0"/>
        </w:sectPr>
      </w:pPr>
    </w:p>
    <w:bookmarkStart w:id="1" w:name="page2"/>
    <w:bookmarkEnd w:id="1"/>
    <w:p>
      <w:pPr>
        <w:spacing w:after="0"/>
        <w:tabs>
          <w:tab w:leader="none" w:pos="2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On November 15, 2016, the Board of Directors of LivaNova PLC ("LivaNova" or the "Company") approved an amendment (the "Amended Share Repurchase Program") to the share repurchase program previously approved by the Board of Directors on August 1, 2016 (the "Share Repurchase Program".) The Share Repurchase Program had authorized the Company to repurchase up to $30 million of the Company's ordinary shares from September 1, 2016 through December 31, 2016 (with further repurchases in each of 2017 and 2018.) The Amended Share Repurchase Program authorizes the Company to repurchase up to $50 million of the Company's ordinary shares through December 31, 2016 (instead of the orginally authorized $30 million.) The Amended Share Repurchase Program is in accordance with an authority approved by the Company's shareholders at its annual general meeting on June 15, 2016. Purchases of the ordinary shares under the Amended Share Repurchase Program will be carried out on NASDAQ and will be notified to the market through a UK Regulatory Information Service on the business day following the calendar day on which the repurchase occurred. Ordinary shares repurchased by the Company through the Amended Share Repurchase Program will be cancelled. Until further notice, the Amended Share Repurchase Program will be conducted pursuant to Rule 10b5-1 under the US Securities Exchange Act and may therefore continue during closed periods in accordance with applicable restrictions.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18"/>
          <w:szCs w:val="18"/>
          <w:color w:val="auto"/>
        </w:rPr>
        <w:t>Date: November 15, 2016</w:t>
      </w:r>
      <w:r>
        <w:rPr>
          <w:sz w:val="20"/>
          <w:szCs w:val="20"/>
          <w:color w:val="auto"/>
        </w:rPr>
        <w:tab/>
      </w:r>
      <w:r>
        <w:rPr>
          <w:rFonts w:ascii="Arial" w:cs="Arial" w:eastAsia="Arial" w:hAnsi="Arial"/>
          <w:sz w:val="16"/>
          <w:szCs w:val="16"/>
          <w:color w:val="auto"/>
        </w:rPr>
        <w:t>By:/s/ Catherine Moroz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-10160</wp:posOffset>
            </wp:positionV>
            <wp:extent cx="1743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Catherine Moroz</w:t>
      </w:r>
    </w:p>
    <w:p>
      <w:pPr>
        <w:spacing w:after="0" w:line="35" w:lineRule="exact"/>
        <w:rPr>
          <w:sz w:val="20"/>
          <w:szCs w:val="20"/>
          <w:color w:val="auto"/>
        </w:rPr>
      </w:pPr>
    </w:p>
    <w:p>
      <w:pPr>
        <w:ind w:left="602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Deputy Company Secretary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sectPr>
      <w:pgSz w:w="11900" w:h="16838" w:orient="portrait"/>
      <w:cols w:equalWidth="0" w:num="1">
        <w:col w:w="11420"/>
      </w:cols>
      <w:pgMar w:left="240" w:top="3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2019-12-09T01:52:33Z</dcterms:created>
  <dcterms:modified xsi:type="dcterms:W3CDTF">2019-12-09T01:52:33Z</dcterms:modified>
</cp:coreProperties>
</file>