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154305</wp:posOffset>
            </wp:positionV>
            <wp:extent cx="1705610"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05610"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LivaNova PLC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23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England and Wales</w:t>
            </w:r>
          </w:p>
        </w:tc>
        <w:tc>
          <w:tcPr>
            <w:tcW w:w="5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92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16"/>
        </w:trPr>
        <w:tc>
          <w:tcPr>
            <w:tcW w:w="23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(Commission</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File Number)</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360" w:type="dxa"/>
            <w:vAlign w:val="bottom"/>
          </w:tcPr>
          <w:p>
            <w:pPr>
              <w:spacing w:after="0"/>
              <w:rPr>
                <w:sz w:val="24"/>
                <w:szCs w:val="24"/>
                <w:color w:val="auto"/>
              </w:rPr>
            </w:pPr>
          </w:p>
        </w:tc>
        <w:tc>
          <w:tcPr>
            <w:tcW w:w="5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920" w:type="dxa"/>
            <w:vAlign w:val="bottom"/>
          </w:tcPr>
          <w:p>
            <w:pPr>
              <w:spacing w:after="0"/>
              <w:rPr>
                <w:sz w:val="24"/>
                <w:szCs w:val="24"/>
                <w:color w:val="auto"/>
              </w:rPr>
            </w:pPr>
          </w:p>
        </w:tc>
      </w:tr>
      <w:tr>
        <w:trPr>
          <w:trHeight w:val="216"/>
        </w:trPr>
        <w:tc>
          <w:tcPr>
            <w:tcW w:w="2360" w:type="dxa"/>
            <w:vAlign w:val="bottom"/>
          </w:tcPr>
          <w:p>
            <w:pPr>
              <w:spacing w:after="0"/>
              <w:rPr>
                <w:sz w:val="18"/>
                <w:szCs w:val="18"/>
                <w:color w:val="auto"/>
              </w:rPr>
            </w:pPr>
          </w:p>
        </w:tc>
        <w:tc>
          <w:tcPr>
            <w:tcW w:w="5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920" w:type="dxa"/>
            <w:vAlign w:val="bottom"/>
          </w:tcPr>
          <w:p>
            <w:pPr>
              <w:spacing w:after="0"/>
              <w:rPr>
                <w:sz w:val="18"/>
                <w:szCs w:val="18"/>
                <w:color w:val="auto"/>
              </w:rPr>
            </w:pPr>
          </w:p>
        </w:tc>
      </w:tr>
      <w:tr>
        <w:trPr>
          <w:trHeight w:val="220"/>
        </w:trPr>
        <w:tc>
          <w:tcPr>
            <w:tcW w:w="2360" w:type="dxa"/>
            <w:vAlign w:val="bottom"/>
          </w:tcPr>
          <w:p>
            <w:pPr>
              <w:spacing w:after="0"/>
              <w:rPr>
                <w:sz w:val="19"/>
                <w:szCs w:val="19"/>
                <w:color w:val="auto"/>
              </w:rPr>
            </w:pPr>
          </w:p>
        </w:tc>
        <w:tc>
          <w:tcPr>
            <w:tcW w:w="5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920" w:type="dxa"/>
            <w:vAlign w:val="bottom"/>
          </w:tcPr>
          <w:p>
            <w:pPr>
              <w:spacing w:after="0"/>
              <w:rPr>
                <w:sz w:val="19"/>
                <w:szCs w:val="19"/>
                <w:color w:val="auto"/>
              </w:rPr>
            </w:pPr>
          </w:p>
        </w:tc>
      </w:tr>
      <w:tr>
        <w:trPr>
          <w:trHeight w:val="234"/>
        </w:trPr>
        <w:tc>
          <w:tcPr>
            <w:tcW w:w="2360" w:type="dxa"/>
            <w:vAlign w:val="bottom"/>
          </w:tcPr>
          <w:p>
            <w:pPr>
              <w:spacing w:after="0"/>
              <w:rPr>
                <w:sz w:val="20"/>
                <w:szCs w:val="20"/>
                <w:color w:val="auto"/>
              </w:rPr>
            </w:pPr>
          </w:p>
        </w:tc>
        <w:tc>
          <w:tcPr>
            <w:tcW w:w="5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920" w:type="dxa"/>
            <w:vAlign w:val="bottom"/>
          </w:tcPr>
          <w:p>
            <w:pPr>
              <w:spacing w:after="0"/>
              <w:rPr>
                <w:sz w:val="20"/>
                <w:szCs w:val="20"/>
                <w:color w:val="auto"/>
              </w:rPr>
            </w:pPr>
          </w:p>
        </w:tc>
      </w:tr>
      <w:tr>
        <w:trPr>
          <w:trHeight w:val="414"/>
        </w:trPr>
        <w:tc>
          <w:tcPr>
            <w:tcW w:w="2360" w:type="dxa"/>
            <w:vAlign w:val="bottom"/>
          </w:tcPr>
          <w:p>
            <w:pPr>
              <w:spacing w:after="0"/>
              <w:rPr>
                <w:sz w:val="24"/>
                <w:szCs w:val="24"/>
                <w:color w:val="auto"/>
              </w:rPr>
            </w:pPr>
          </w:p>
        </w:tc>
        <w:tc>
          <w:tcPr>
            <w:tcW w:w="5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92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50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39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1"/>
        </w:trPr>
        <w:tc>
          <w:tcPr>
            <w:tcW w:w="4180" w:type="dxa"/>
            <w:vAlign w:val="bottom"/>
            <w:tcBorders>
              <w:top w:val="single" w:sz="8" w:color="auto"/>
              <w:left w:val="single" w:sz="8" w:color="auto"/>
              <w:bottom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1900" w:type="dxa"/>
            <w:vAlign w:val="bottom"/>
            <w:tcBorders>
              <w:top w:val="single" w:sz="8" w:color="auto"/>
              <w:bottom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Trading Symbol(s)</w:t>
            </w:r>
          </w:p>
        </w:tc>
        <w:tc>
          <w:tcPr>
            <w:tcW w:w="5160" w:type="dxa"/>
            <w:vAlign w:val="bottom"/>
            <w:tcBorders>
              <w:top w:val="single" w:sz="8" w:color="auto"/>
              <w:bottom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Name on each exchange on which registered</w:t>
            </w:r>
          </w:p>
        </w:tc>
      </w:tr>
      <w:tr>
        <w:trPr>
          <w:trHeight w:val="210"/>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LIVN</w:t>
            </w:r>
          </w:p>
        </w:tc>
        <w:tc>
          <w:tcPr>
            <w:tcW w:w="5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620"/>
        <w:spacing w:after="0" w:line="207" w:lineRule="exact"/>
        <w:tabs>
          <w:tab w:leader="none" w:pos="109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694690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LivaNova PLC (the “Company”) is providing an update on operations with respect to the cybersecurity incident initially disclosed on November 20,</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2023. At this time, all of the Company’s manufacturing sites worldwide are substantially operating at normal levels. As previously disclosed, promptly after detecting the cybersecurity issue, the Company began an investigation with assistance from external cybersecurity experts and coordinated with law enforcement. The Company took certain actions to remediate the issue, such as taking certain systems offline. Due to these and other measures, the Company believes it has contained the cybersecurity threat though its investigation and mitigation efforts are ongoing. The Company continues to assess the full impact of the cybersecurity event on its business, results of operations, cash flows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Section 27A of the Securities Act and Section 21E of the Exchange Act. These statements include, but are not limited to, express or implied forward-looking statements relating to the Company’s expectations regarding its ability to re-launch and maintain operations at its manufacturing sites and the impact of the cybersecurity event on the Company’s business, results of operations, cash flows or financial condition. There are a number of risks, uncertainties and other important factors, many of which are beyond the Company’s control, that could cause the Company’s actual results to differ materially from the forward-looking statements. Factors that could cause actual results to differ materially from those expressed or implied include the ongoing assessment of the incident, including the Company’s potential discovery of additional information related to the incident in connection with its investigation or otherwise, the legal, regulatory, reputational and financial risks resulting from the incident, the effectiveness of business continuity plans during the incident, and the other factors discussed under the section entitled “Risk Factors” of the Company’s Annual Reports on Form 10-K, Quarterly Reports on Form 10-Q, Current Reports on Form 8-K and other documents filed from time to time with the United States Securities and Exchange Commission by the Company. We caution you not to place undue reliance on any forward-looking statements, which are made only as of the date of this Current Report on Form 8-K. The Company does not undertake or assume any obligation to update publicly any of the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19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29"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LivaNova PLC</w:t>
            </w:r>
          </w:p>
        </w:tc>
      </w:tr>
      <w:tr>
        <w:trPr>
          <w:trHeight w:val="41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13, 2023</w:t>
            </w: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Hutchinson</w:t>
            </w:r>
          </w:p>
        </w:tc>
      </w:tr>
      <w:tr>
        <w:trPr>
          <w:trHeight w:val="191"/>
        </w:trPr>
        <w:tc>
          <w:tcPr>
            <w:tcW w:w="3740" w:type="dxa"/>
            <w:vAlign w:val="bottom"/>
          </w:tcPr>
          <w:p>
            <w:pPr>
              <w:spacing w:after="0"/>
              <w:rPr>
                <w:sz w:val="16"/>
                <w:szCs w:val="16"/>
                <w:color w:val="auto"/>
              </w:rPr>
            </w:pPr>
          </w:p>
        </w:tc>
        <w:tc>
          <w:tcPr>
            <w:tcW w:w="2460" w:type="dxa"/>
            <w:vAlign w:val="bottom"/>
          </w:tcPr>
          <w:p>
            <w:pPr>
              <w:ind w:left="19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Hutchinson</w:t>
            </w:r>
          </w:p>
        </w:tc>
      </w:tr>
      <w:tr>
        <w:trPr>
          <w:trHeight w:val="234"/>
        </w:trPr>
        <w:tc>
          <w:tcPr>
            <w:tcW w:w="3740" w:type="dxa"/>
            <w:vAlign w:val="bottom"/>
          </w:tcPr>
          <w:p>
            <w:pPr>
              <w:spacing w:after="0"/>
              <w:rPr>
                <w:sz w:val="20"/>
                <w:szCs w:val="20"/>
                <w:color w:val="auto"/>
              </w:rPr>
            </w:pP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SVP, Company Secretary &amp; Chief Legal Officer</w:t>
            </w:r>
          </w:p>
        </w:tc>
      </w:tr>
      <w:tr>
        <w:trPr>
          <w:trHeight w:val="675"/>
        </w:trPr>
        <w:tc>
          <w:tcPr>
            <w:tcW w:w="37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2023-12-13T07:32:46Z</dcterms:created>
  <dcterms:modified xsi:type="dcterms:W3CDTF">2023-12-13T07:32:46Z</dcterms:modified>
</cp:coreProperties>
</file>