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Manko Douglas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605</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605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97"/>
              <w:spacing w:after="0"/>
              <w:rPr>
                <w:sz w:val="20"/>
                <w:szCs w:val="20"/>
                <w:color w:val="auto"/>
              </w:rPr>
            </w:pPr>
            <w:r>
              <w:rPr>
                <w:rFonts w:ascii="Arial" w:cs="Arial" w:eastAsia="Arial" w:hAnsi="Arial"/>
                <w:sz w:val="14"/>
                <w:szCs w:val="14"/>
                <w:color w:val="0000FF"/>
              </w:rPr>
              <w:t>F</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165</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60.41</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440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605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08/05/2017</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605</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4,788</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August 5, 2017 vesting of 605 RSUs.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5, 2016, reporting person was granted RSUs subject to a four-year vesting schedule, vesting 25% on each of the next four anniversaries of August 5,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8"/>
              </w:rPr>
              <w:t>Douglas J. Manko</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08/08/2017</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2019-12-24T09:00:26Z</dcterms:created>
  <dcterms:modified xsi:type="dcterms:W3CDTF">2019-12-24T09:00:26Z</dcterms:modified>
</cp:coreProperties>
</file>