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409575</wp:posOffset>
            </wp:positionV>
            <wp:extent cx="714121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1587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 November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156845</wp:posOffset>
            </wp:positionV>
            <wp:extent cx="1379855" cy="4330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4330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LivaNova PLC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30" w:lineRule="exact"/>
        <w:rPr>
          <w:sz w:val="24"/>
          <w:szCs w:val="24"/>
          <w:color w:val="auto"/>
        </w:rPr>
      </w:pPr>
    </w:p>
    <w:tbl>
      <w:tblPr>
        <w:tblLayout w:type="fixed"/>
        <w:tblInd w:w="1380" w:type="dxa"/>
        <w:tblCellMar>
          <w:top w:w="0" w:type="dxa"/>
          <w:left w:w="0" w:type="dxa"/>
          <w:bottom w:w="0" w:type="dxa"/>
          <w:right w:w="0" w:type="dxa"/>
        </w:tblCellMar>
      </w:tblPr>
      <w:tr>
        <w:trPr>
          <w:trHeight w:val="218"/>
        </w:trPr>
        <w:tc>
          <w:tcPr>
            <w:tcW w:w="2100" w:type="dxa"/>
            <w:vAlign w:val="bottom"/>
          </w:tcPr>
          <w:p>
            <w:pPr>
              <w:jc w:val="center"/>
              <w:ind w:right="176"/>
              <w:spacing w:after="0"/>
              <w:rPr>
                <w:sz w:val="20"/>
                <w:szCs w:val="20"/>
                <w:color w:val="auto"/>
              </w:rPr>
            </w:pPr>
            <w:r>
              <w:rPr>
                <w:rFonts w:ascii="Arial" w:cs="Arial" w:eastAsia="Arial" w:hAnsi="Arial"/>
                <w:sz w:val="17"/>
                <w:szCs w:val="17"/>
                <w:b w:val="1"/>
                <w:bCs w:val="1"/>
                <w:color w:val="auto"/>
                <w:w w:val="89"/>
              </w:rPr>
              <w:t>England and Wales</w:t>
            </w:r>
          </w:p>
        </w:tc>
        <w:tc>
          <w:tcPr>
            <w:tcW w:w="4420" w:type="dxa"/>
            <w:vAlign w:val="bottom"/>
          </w:tcPr>
          <w:p>
            <w:pPr>
              <w:jc w:val="center"/>
              <w:ind w:right="76"/>
              <w:spacing w:after="0"/>
              <w:rPr>
                <w:sz w:val="20"/>
                <w:szCs w:val="20"/>
                <w:color w:val="auto"/>
              </w:rPr>
            </w:pPr>
            <w:r>
              <w:rPr>
                <w:rFonts w:ascii="Arial" w:cs="Arial" w:eastAsia="Arial" w:hAnsi="Arial"/>
                <w:sz w:val="17"/>
                <w:szCs w:val="17"/>
                <w:b w:val="1"/>
                <w:bCs w:val="1"/>
                <w:color w:val="auto"/>
                <w:w w:val="90"/>
              </w:rPr>
              <w:t>001-37599</w:t>
            </w:r>
          </w:p>
        </w:tc>
        <w:tc>
          <w:tcPr>
            <w:tcW w:w="1660" w:type="dxa"/>
            <w:vAlign w:val="bottom"/>
          </w:tcPr>
          <w:p>
            <w:pPr>
              <w:jc w:val="center"/>
              <w:ind w:left="336"/>
              <w:spacing w:after="0"/>
              <w:rPr>
                <w:sz w:val="20"/>
                <w:szCs w:val="20"/>
                <w:color w:val="auto"/>
              </w:rPr>
            </w:pPr>
            <w:r>
              <w:rPr>
                <w:rFonts w:ascii="Arial" w:cs="Arial" w:eastAsia="Arial" w:hAnsi="Arial"/>
                <w:sz w:val="17"/>
                <w:szCs w:val="17"/>
                <w:b w:val="1"/>
                <w:bCs w:val="1"/>
                <w:color w:val="auto"/>
                <w:w w:val="88"/>
              </w:rPr>
              <w:t>98-1268150</w:t>
            </w:r>
          </w:p>
        </w:tc>
      </w:tr>
      <w:tr>
        <w:trPr>
          <w:trHeight w:val="241"/>
        </w:trPr>
        <w:tc>
          <w:tcPr>
            <w:tcW w:w="2100" w:type="dxa"/>
            <w:vAlign w:val="bottom"/>
          </w:tcPr>
          <w:p>
            <w:pPr>
              <w:jc w:val="center"/>
              <w:ind w:right="196"/>
              <w:spacing w:after="0"/>
              <w:rPr>
                <w:sz w:val="20"/>
                <w:szCs w:val="20"/>
                <w:color w:val="auto"/>
              </w:rPr>
            </w:pPr>
            <w:r>
              <w:rPr>
                <w:rFonts w:ascii="Arial" w:cs="Arial" w:eastAsia="Arial" w:hAnsi="Arial"/>
                <w:sz w:val="17"/>
                <w:szCs w:val="17"/>
                <w:color w:val="auto"/>
                <w:w w:val="89"/>
              </w:rPr>
              <w:t>(State or Other Jurisdiction</w:t>
            </w:r>
          </w:p>
        </w:tc>
        <w:tc>
          <w:tcPr>
            <w:tcW w:w="4420" w:type="dxa"/>
            <w:vAlign w:val="bottom"/>
          </w:tcPr>
          <w:p>
            <w:pPr>
              <w:ind w:left="1660"/>
              <w:spacing w:after="0"/>
              <w:rPr>
                <w:sz w:val="20"/>
                <w:szCs w:val="20"/>
                <w:color w:val="auto"/>
              </w:rPr>
            </w:pPr>
            <w:r>
              <w:rPr>
                <w:rFonts w:ascii="Arial" w:cs="Arial" w:eastAsia="Arial" w:hAnsi="Arial"/>
                <w:sz w:val="17"/>
                <w:szCs w:val="17"/>
                <w:color w:val="auto"/>
              </w:rPr>
              <w:t>(Commission</w:t>
            </w:r>
          </w:p>
        </w:tc>
        <w:tc>
          <w:tcPr>
            <w:tcW w:w="1660" w:type="dxa"/>
            <w:vAlign w:val="bottom"/>
          </w:tcPr>
          <w:p>
            <w:pPr>
              <w:jc w:val="center"/>
              <w:ind w:left="296"/>
              <w:spacing w:after="0"/>
              <w:rPr>
                <w:sz w:val="20"/>
                <w:szCs w:val="20"/>
                <w:color w:val="auto"/>
              </w:rPr>
            </w:pPr>
            <w:r>
              <w:rPr>
                <w:rFonts w:ascii="Arial" w:cs="Arial" w:eastAsia="Arial" w:hAnsi="Arial"/>
                <w:sz w:val="17"/>
                <w:szCs w:val="17"/>
                <w:color w:val="auto"/>
                <w:w w:val="94"/>
              </w:rPr>
              <w:t>(IRS Employer</w:t>
            </w:r>
          </w:p>
        </w:tc>
      </w:tr>
      <w:tr>
        <w:trPr>
          <w:trHeight w:val="214"/>
        </w:trPr>
        <w:tc>
          <w:tcPr>
            <w:tcW w:w="2100" w:type="dxa"/>
            <w:vAlign w:val="bottom"/>
          </w:tcPr>
          <w:p>
            <w:pPr>
              <w:jc w:val="center"/>
              <w:ind w:right="136"/>
              <w:spacing w:after="0"/>
              <w:rPr>
                <w:sz w:val="20"/>
                <w:szCs w:val="20"/>
                <w:color w:val="auto"/>
              </w:rPr>
            </w:pPr>
            <w:r>
              <w:rPr>
                <w:rFonts w:ascii="Arial" w:cs="Arial" w:eastAsia="Arial" w:hAnsi="Arial"/>
                <w:sz w:val="17"/>
                <w:szCs w:val="17"/>
                <w:color w:val="auto"/>
                <w:w w:val="93"/>
              </w:rPr>
              <w:t>of Incorporation)</w:t>
            </w:r>
          </w:p>
        </w:tc>
        <w:tc>
          <w:tcPr>
            <w:tcW w:w="4420" w:type="dxa"/>
            <w:vAlign w:val="bottom"/>
          </w:tcPr>
          <w:p>
            <w:pPr>
              <w:jc w:val="center"/>
              <w:ind w:right="76"/>
              <w:spacing w:after="0"/>
              <w:rPr>
                <w:sz w:val="20"/>
                <w:szCs w:val="20"/>
                <w:color w:val="auto"/>
              </w:rPr>
            </w:pPr>
            <w:r>
              <w:rPr>
                <w:rFonts w:ascii="Arial" w:cs="Arial" w:eastAsia="Arial" w:hAnsi="Arial"/>
                <w:sz w:val="17"/>
                <w:szCs w:val="17"/>
                <w:color w:val="auto"/>
                <w:w w:val="91"/>
              </w:rPr>
              <w:t>File Number)</w:t>
            </w:r>
          </w:p>
        </w:tc>
        <w:tc>
          <w:tcPr>
            <w:tcW w:w="1660" w:type="dxa"/>
            <w:vAlign w:val="bottom"/>
          </w:tcPr>
          <w:p>
            <w:pPr>
              <w:jc w:val="center"/>
              <w:ind w:left="336"/>
              <w:spacing w:after="0"/>
              <w:rPr>
                <w:sz w:val="20"/>
                <w:szCs w:val="20"/>
                <w:color w:val="auto"/>
              </w:rPr>
            </w:pPr>
            <w:r>
              <w:rPr>
                <w:rFonts w:ascii="Arial" w:cs="Arial" w:eastAsia="Arial" w:hAnsi="Arial"/>
                <w:sz w:val="17"/>
                <w:szCs w:val="17"/>
                <w:color w:val="auto"/>
                <w:w w:val="93"/>
              </w:rPr>
              <w:t>Identification No.)</w:t>
            </w:r>
          </w:p>
        </w:tc>
      </w:tr>
      <w:tr>
        <w:trPr>
          <w:trHeight w:val="527"/>
        </w:trPr>
        <w:tc>
          <w:tcPr>
            <w:tcW w:w="2100" w:type="dxa"/>
            <w:vAlign w:val="bottom"/>
          </w:tcPr>
          <w:p>
            <w:pPr>
              <w:spacing w:after="0"/>
              <w:rPr>
                <w:sz w:val="24"/>
                <w:szCs w:val="24"/>
                <w:color w:val="auto"/>
              </w:rPr>
            </w:pPr>
          </w:p>
        </w:tc>
        <w:tc>
          <w:tcPr>
            <w:tcW w:w="4420" w:type="dxa"/>
            <w:vAlign w:val="bottom"/>
          </w:tcPr>
          <w:p>
            <w:pPr>
              <w:jc w:val="center"/>
              <w:ind w:right="56"/>
              <w:spacing w:after="0"/>
              <w:rPr>
                <w:sz w:val="20"/>
                <w:szCs w:val="20"/>
                <w:color w:val="auto"/>
              </w:rPr>
            </w:pPr>
            <w:r>
              <w:rPr>
                <w:rFonts w:ascii="Arial" w:cs="Arial" w:eastAsia="Arial" w:hAnsi="Arial"/>
                <w:sz w:val="17"/>
                <w:szCs w:val="17"/>
                <w:b w:val="1"/>
                <w:bCs w:val="1"/>
                <w:color w:val="auto"/>
                <w:w w:val="89"/>
              </w:rPr>
              <w:t>20 Eastbourne Terrace</w:t>
            </w:r>
          </w:p>
        </w:tc>
        <w:tc>
          <w:tcPr>
            <w:tcW w:w="1660" w:type="dxa"/>
            <w:vAlign w:val="bottom"/>
          </w:tcPr>
          <w:p>
            <w:pPr>
              <w:spacing w:after="0"/>
              <w:rPr>
                <w:sz w:val="24"/>
                <w:szCs w:val="24"/>
                <w:color w:val="auto"/>
              </w:rPr>
            </w:pPr>
          </w:p>
        </w:tc>
      </w:tr>
      <w:tr>
        <w:trPr>
          <w:trHeight w:val="202"/>
        </w:trPr>
        <w:tc>
          <w:tcPr>
            <w:tcW w:w="2100" w:type="dxa"/>
            <w:vAlign w:val="bottom"/>
          </w:tcPr>
          <w:p>
            <w:pPr>
              <w:spacing w:after="0"/>
              <w:rPr>
                <w:sz w:val="17"/>
                <w:szCs w:val="17"/>
                <w:color w:val="auto"/>
              </w:rPr>
            </w:pPr>
          </w:p>
        </w:tc>
        <w:tc>
          <w:tcPr>
            <w:tcW w:w="4420" w:type="dxa"/>
            <w:vAlign w:val="bottom"/>
          </w:tcPr>
          <w:p>
            <w:pPr>
              <w:jc w:val="center"/>
              <w:ind w:right="56"/>
              <w:spacing w:after="0"/>
              <w:rPr>
                <w:sz w:val="20"/>
                <w:szCs w:val="20"/>
                <w:color w:val="auto"/>
              </w:rPr>
            </w:pPr>
            <w:r>
              <w:rPr>
                <w:rFonts w:ascii="Arial" w:cs="Arial" w:eastAsia="Arial" w:hAnsi="Arial"/>
                <w:sz w:val="17"/>
                <w:szCs w:val="17"/>
                <w:b w:val="1"/>
                <w:bCs w:val="1"/>
                <w:color w:val="auto"/>
                <w:w w:val="94"/>
              </w:rPr>
              <w:t>London, W2 6LG</w:t>
            </w:r>
          </w:p>
        </w:tc>
        <w:tc>
          <w:tcPr>
            <w:tcW w:w="166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4420" w:type="dxa"/>
            <w:vAlign w:val="bottom"/>
          </w:tcPr>
          <w:p>
            <w:pPr>
              <w:jc w:val="center"/>
              <w:ind w:right="56"/>
              <w:spacing w:after="0"/>
              <w:rPr>
                <w:sz w:val="20"/>
                <w:szCs w:val="20"/>
                <w:color w:val="auto"/>
              </w:rPr>
            </w:pPr>
            <w:r>
              <w:rPr>
                <w:rFonts w:ascii="Arial" w:cs="Arial" w:eastAsia="Arial" w:hAnsi="Arial"/>
                <w:sz w:val="17"/>
                <w:szCs w:val="17"/>
                <w:b w:val="1"/>
                <w:bCs w:val="1"/>
                <w:color w:val="auto"/>
                <w:w w:val="91"/>
              </w:rPr>
              <w:t>United Kingdom</w:t>
            </w:r>
          </w:p>
        </w:tc>
        <w:tc>
          <w:tcPr>
            <w:tcW w:w="1660" w:type="dxa"/>
            <w:vAlign w:val="bottom"/>
          </w:tcPr>
          <w:p>
            <w:pPr>
              <w:spacing w:after="0"/>
              <w:rPr>
                <w:sz w:val="17"/>
                <w:szCs w:val="17"/>
                <w:color w:val="auto"/>
              </w:rPr>
            </w:pPr>
          </w:p>
        </w:tc>
      </w:tr>
      <w:tr>
        <w:trPr>
          <w:trHeight w:val="214"/>
        </w:trPr>
        <w:tc>
          <w:tcPr>
            <w:tcW w:w="2100" w:type="dxa"/>
            <w:vAlign w:val="bottom"/>
          </w:tcPr>
          <w:p>
            <w:pPr>
              <w:spacing w:after="0"/>
              <w:rPr>
                <w:sz w:val="18"/>
                <w:szCs w:val="18"/>
                <w:color w:val="auto"/>
              </w:rPr>
            </w:pPr>
          </w:p>
        </w:tc>
        <w:tc>
          <w:tcPr>
            <w:tcW w:w="4420" w:type="dxa"/>
            <w:vAlign w:val="bottom"/>
          </w:tcPr>
          <w:p>
            <w:pPr>
              <w:jc w:val="center"/>
              <w:ind w:right="36"/>
              <w:spacing w:after="0"/>
              <w:rPr>
                <w:sz w:val="20"/>
                <w:szCs w:val="20"/>
                <w:color w:val="auto"/>
              </w:rPr>
            </w:pPr>
            <w:r>
              <w:rPr>
                <w:rFonts w:ascii="Arial" w:cs="Arial" w:eastAsia="Arial" w:hAnsi="Arial"/>
                <w:sz w:val="17"/>
                <w:szCs w:val="17"/>
                <w:color w:val="auto"/>
                <w:w w:val="91"/>
              </w:rPr>
              <w:t>(Address of Principal Executive Offices)</w:t>
            </w:r>
          </w:p>
        </w:tc>
        <w:tc>
          <w:tcPr>
            <w:tcW w:w="1660" w:type="dxa"/>
            <w:vAlign w:val="bottom"/>
          </w:tcPr>
          <w:p>
            <w:pPr>
              <w:spacing w:after="0"/>
              <w:rPr>
                <w:sz w:val="18"/>
                <w:szCs w:val="18"/>
                <w:color w:val="auto"/>
              </w:rPr>
            </w:pPr>
          </w:p>
        </w:tc>
      </w:tr>
      <w:tr>
        <w:trPr>
          <w:trHeight w:val="418"/>
        </w:trPr>
        <w:tc>
          <w:tcPr>
            <w:tcW w:w="2100" w:type="dxa"/>
            <w:vAlign w:val="bottom"/>
          </w:tcPr>
          <w:p>
            <w:pPr>
              <w:spacing w:after="0"/>
              <w:rPr>
                <w:sz w:val="24"/>
                <w:szCs w:val="24"/>
                <w:color w:val="auto"/>
              </w:rPr>
            </w:pPr>
          </w:p>
        </w:tc>
        <w:tc>
          <w:tcPr>
            <w:tcW w:w="4420" w:type="dxa"/>
            <w:vAlign w:val="bottom"/>
          </w:tcPr>
          <w:p>
            <w:pPr>
              <w:jc w:val="center"/>
              <w:ind w:right="56"/>
              <w:spacing w:after="0"/>
              <w:rPr>
                <w:sz w:val="20"/>
                <w:szCs w:val="20"/>
                <w:color w:val="auto"/>
              </w:rPr>
            </w:pPr>
            <w:r>
              <w:rPr>
                <w:rFonts w:ascii="Arial" w:cs="Arial" w:eastAsia="Arial" w:hAnsi="Arial"/>
                <w:sz w:val="17"/>
                <w:szCs w:val="17"/>
                <w:b w:val="1"/>
                <w:bCs w:val="1"/>
                <w:color w:val="auto"/>
                <w:w w:val="90"/>
              </w:rPr>
              <w:t>+44 20 33250660</w:t>
            </w:r>
          </w:p>
        </w:tc>
        <w:tc>
          <w:tcPr>
            <w:tcW w:w="166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4420" w:type="dxa"/>
            <w:vAlign w:val="bottom"/>
          </w:tcPr>
          <w:p>
            <w:pPr>
              <w:jc w:val="center"/>
              <w:ind w:right="36"/>
              <w:spacing w:after="0"/>
              <w:rPr>
                <w:sz w:val="20"/>
                <w:szCs w:val="20"/>
                <w:color w:val="auto"/>
              </w:rPr>
            </w:pPr>
            <w:r>
              <w:rPr>
                <w:rFonts w:ascii="Arial" w:cs="Arial" w:eastAsia="Arial" w:hAnsi="Arial"/>
                <w:sz w:val="17"/>
                <w:szCs w:val="17"/>
                <w:color w:val="auto"/>
                <w:w w:val="90"/>
              </w:rPr>
              <w:t>(Registrant’s Telephone Number, Including Area Code)</w:t>
            </w:r>
          </w:p>
        </w:tc>
        <w:tc>
          <w:tcPr>
            <w:tcW w:w="1660" w:type="dxa"/>
            <w:vAlign w:val="bottom"/>
          </w:tcPr>
          <w:p>
            <w:pPr>
              <w:spacing w:after="0"/>
              <w:rPr>
                <w:sz w:val="18"/>
                <w:szCs w:val="18"/>
                <w:color w:val="auto"/>
              </w:rPr>
            </w:pPr>
          </w:p>
        </w:tc>
      </w:tr>
    </w:tbl>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is intended to simultaneously satisfy the filing obligation of the registrant under any of the following provisions (see</w:t>
      </w:r>
    </w:p>
    <w:p>
      <w:pPr>
        <w:spacing w:after="0" w:line="42" w:lineRule="exact"/>
        <w:rPr>
          <w:sz w:val="24"/>
          <w:szCs w:val="24"/>
          <w:color w:val="auto"/>
        </w:rPr>
      </w:pPr>
    </w:p>
    <w:p>
      <w:pPr>
        <w:spacing w:after="0"/>
        <w:rPr>
          <w:sz w:val="20"/>
          <w:szCs w:val="20"/>
          <w:color w:val="auto"/>
        </w:rPr>
      </w:pPr>
      <w:r>
        <w:rPr>
          <w:rFonts w:ascii="Arial" w:cs="Arial" w:eastAsia="Arial" w:hAnsi="Arial"/>
          <w:sz w:val="17"/>
          <w:szCs w:val="17"/>
          <w:color w:val="auto"/>
        </w:rPr>
        <w:t>General Instructions A.2. below):</w:t>
      </w:r>
    </w:p>
    <w:p>
      <w:pPr>
        <w:spacing w:after="0" w:line="260" w:lineRule="exact"/>
        <w:rPr>
          <w:sz w:val="24"/>
          <w:szCs w:val="24"/>
          <w:color w:val="auto"/>
        </w:rPr>
      </w:pPr>
    </w:p>
    <w:p>
      <w:pPr>
        <w:ind w:left="220" w:hanging="219"/>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7"/>
          <w:szCs w:val="17"/>
          <w:color w:val="auto"/>
        </w:rPr>
        <w:t>Written communications pursuant to Rule 425 under the Securities Act (17 CFR 230.425)</w:t>
      </w:r>
    </w:p>
    <w:p>
      <w:pPr>
        <w:spacing w:after="0" w:line="259" w:lineRule="exact"/>
        <w:rPr>
          <w:rFonts w:ascii="MS PGothic" w:cs="MS PGothic" w:eastAsia="MS PGothic" w:hAnsi="MS PGothic"/>
          <w:sz w:val="20"/>
          <w:szCs w:val="20"/>
          <w:color w:val="auto"/>
        </w:rPr>
      </w:pPr>
    </w:p>
    <w:p>
      <w:pPr>
        <w:ind w:left="220" w:hanging="219"/>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7"/>
          <w:szCs w:val="17"/>
          <w:color w:val="auto"/>
        </w:rPr>
        <w:t>Soliciting material pursuant to Rule 14a-12 under the Exchange Act (17 CFR 240.14a-12)</w:t>
      </w:r>
    </w:p>
    <w:p>
      <w:pPr>
        <w:spacing w:after="0" w:line="259" w:lineRule="exact"/>
        <w:rPr>
          <w:rFonts w:ascii="MS PGothic" w:cs="MS PGothic" w:eastAsia="MS PGothic" w:hAnsi="MS PGothic"/>
          <w:sz w:val="20"/>
          <w:szCs w:val="20"/>
          <w:color w:val="auto"/>
        </w:rPr>
      </w:pPr>
    </w:p>
    <w:p>
      <w:pPr>
        <w:ind w:left="220" w:hanging="219"/>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7"/>
          <w:szCs w:val="17"/>
          <w:color w:val="auto"/>
        </w:rPr>
        <w:t>Pre-commencement communications pursuant to Rule 14d-2(b) under the Exchange Act (17 CFR 240.14d-2(b))</w:t>
      </w:r>
    </w:p>
    <w:p>
      <w:pPr>
        <w:spacing w:after="0" w:line="259" w:lineRule="exact"/>
        <w:rPr>
          <w:rFonts w:ascii="MS PGothic" w:cs="MS PGothic" w:eastAsia="MS PGothic" w:hAnsi="MS PGothic"/>
          <w:sz w:val="20"/>
          <w:szCs w:val="20"/>
          <w:color w:val="auto"/>
        </w:rPr>
      </w:pPr>
    </w:p>
    <w:p>
      <w:pPr>
        <w:ind w:right="3500" w:firstLine="1"/>
        <w:spacing w:after="0" w:line="398" w:lineRule="auto"/>
        <w:tabs>
          <w:tab w:leader="none" w:pos="219" w:val="left"/>
        </w:tabs>
        <w:numPr>
          <w:ilvl w:val="0"/>
          <w:numId w:val="1"/>
        </w:numPr>
        <w:rPr>
          <w:rFonts w:ascii="MS PGothic" w:cs="MS PGothic" w:eastAsia="MS PGothic" w:hAnsi="MS PGothic"/>
          <w:sz w:val="20"/>
          <w:szCs w:val="20"/>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8"/>
        </w:trPr>
        <w:tc>
          <w:tcPr>
            <w:tcW w:w="4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Name on each exchange on which registered</w:t>
            </w:r>
          </w:p>
        </w:tc>
      </w:tr>
      <w:tr>
        <w:trPr>
          <w:trHeight w:val="207"/>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NASDAQ Global Market</w:t>
            </w:r>
          </w:p>
        </w:tc>
      </w:tr>
    </w:tbl>
    <w:p>
      <w:pPr>
        <w:spacing w:after="0" w:line="303" w:lineRule="exact"/>
        <w:rPr>
          <w:sz w:val="24"/>
          <w:szCs w:val="24"/>
          <w:color w:val="auto"/>
        </w:rPr>
      </w:pPr>
    </w:p>
    <w:p>
      <w:pPr>
        <w:spacing w:after="0" w:line="271"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7800"/>
        <w:spacing w:after="0" w:line="196" w:lineRule="exact"/>
        <w:tabs>
          <w:tab w:leader="none" w:pos="10720" w:val="left"/>
        </w:tabs>
        <w:rPr>
          <w:sz w:val="20"/>
          <w:szCs w:val="20"/>
          <w:color w:val="auto"/>
        </w:rPr>
      </w:pPr>
      <w:r>
        <w:rPr>
          <w:rFonts w:ascii="Arial" w:cs="Arial" w:eastAsia="Arial" w:hAnsi="Arial"/>
          <w:sz w:val="17"/>
          <w:szCs w:val="17"/>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394" w:lineRule="exact"/>
        <w:rPr>
          <w:sz w:val="24"/>
          <w:szCs w:val="24"/>
          <w:color w:val="auto"/>
        </w:rPr>
      </w:pPr>
    </w:p>
    <w:p>
      <w:pPr>
        <w:spacing w:after="0" w:line="271"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3" w:lineRule="exact"/>
        <w:rPr>
          <w:sz w:val="24"/>
          <w:szCs w:val="24"/>
          <w:color w:val="auto"/>
        </w:rPr>
      </w:pPr>
    </w:p>
    <w:p>
      <w:pPr>
        <w:ind w:left="10740"/>
        <w:spacing w:after="0" w:line="201" w:lineRule="exact"/>
        <w:rPr>
          <w:sz w:val="20"/>
          <w:szCs w:val="20"/>
          <w:color w:val="auto"/>
        </w:rPr>
      </w:pP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443230</wp:posOffset>
            </wp:positionV>
            <wp:extent cx="716661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6610" cy="412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182880</wp:posOffset>
            </wp:positionV>
            <wp:extent cx="714121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Results of Operations and Financial Condition.</w:t>
      </w:r>
    </w:p>
    <w:p>
      <w:pPr>
        <w:spacing w:after="0" w:line="226" w:lineRule="exact"/>
        <w:rPr>
          <w:sz w:val="20"/>
          <w:szCs w:val="20"/>
          <w:color w:val="auto"/>
        </w:rPr>
      </w:pPr>
    </w:p>
    <w:p>
      <w:pPr>
        <w:ind w:right="20" w:firstLine="607"/>
        <w:spacing w:after="0" w:line="292" w:lineRule="auto"/>
        <w:rPr>
          <w:sz w:val="20"/>
          <w:szCs w:val="20"/>
          <w:color w:val="auto"/>
        </w:rPr>
      </w:pPr>
      <w:r>
        <w:rPr>
          <w:rFonts w:ascii="Arial" w:cs="Arial" w:eastAsia="Arial" w:hAnsi="Arial"/>
          <w:sz w:val="15"/>
          <w:szCs w:val="15"/>
          <w:color w:val="auto"/>
        </w:rPr>
        <w:t xml:space="preserve">On November 2, 2022, LivaNova PLC (the “Company”) issued a press release announcing financial results for the quarter ended September 30, 2022. The Company will host a business update conference call and webcast today, November 2, 2022, at 12 p.m. London time (8 a.m. Eastern Daylight Time), during which the Company will discuss the financial results. The conference call will be available through the LivaNova website at </w:t>
      </w:r>
      <w:r>
        <w:rPr>
          <w:rFonts w:ascii="Arial" w:cs="Arial" w:eastAsia="Arial" w:hAnsi="Arial"/>
          <w:sz w:val="15"/>
          <w:szCs w:val="15"/>
          <w:color w:val="3051F2"/>
        </w:rPr>
        <w:t>www.livanova.com/events</w:t>
      </w:r>
      <w:r>
        <w:rPr>
          <w:rFonts w:ascii="Arial" w:cs="Arial" w:eastAsia="Arial" w:hAnsi="Arial"/>
          <w:sz w:val="15"/>
          <w:szCs w:val="15"/>
          <w:color w:val="auto"/>
        </w:rPr>
        <w:t>.</w:t>
      </w:r>
    </w:p>
    <w:p>
      <w:pPr>
        <w:spacing w:after="0" w:line="166" w:lineRule="exact"/>
        <w:rPr>
          <w:sz w:val="20"/>
          <w:szCs w:val="20"/>
          <w:color w:val="auto"/>
        </w:rPr>
      </w:pPr>
    </w:p>
    <w:p>
      <w:pPr>
        <w:ind w:right="20" w:firstLine="607"/>
        <w:spacing w:after="0" w:line="236" w:lineRule="auto"/>
        <w:rPr>
          <w:sz w:val="20"/>
          <w:szCs w:val="20"/>
          <w:color w:val="auto"/>
        </w:rPr>
      </w:pPr>
      <w:r>
        <w:rPr>
          <w:rFonts w:ascii="Arial" w:cs="Arial" w:eastAsia="Arial" w:hAnsi="Arial"/>
          <w:sz w:val="17"/>
          <w:szCs w:val="17"/>
          <w:color w:val="auto"/>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540" w:type="dxa"/>
            <w:vAlign w:val="bottom"/>
            <w:gridSpan w:val="3"/>
          </w:tcPr>
          <w:p>
            <w:pPr>
              <w:spacing w:after="0"/>
              <w:rPr>
                <w:sz w:val="20"/>
                <w:szCs w:val="20"/>
                <w:color w:val="auto"/>
              </w:rPr>
            </w:pPr>
            <w:r>
              <w:rPr>
                <w:rFonts w:ascii="Arial" w:cs="Arial" w:eastAsia="Arial" w:hAnsi="Arial"/>
                <w:sz w:val="17"/>
                <w:szCs w:val="17"/>
                <w:color w:val="auto"/>
              </w:rPr>
              <w:t>(d)  Exhibits.</w:t>
            </w:r>
          </w:p>
        </w:tc>
        <w:tc>
          <w:tcPr>
            <w:tcW w:w="8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30"/>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7"/>
                <w:szCs w:val="17"/>
                <w:b w:val="1"/>
                <w:bCs w:val="1"/>
                <w:color w:val="auto"/>
                <w:w w:val="91"/>
              </w:rPr>
              <w:t>Exhibit</w:t>
            </w:r>
          </w:p>
        </w:tc>
        <w:tc>
          <w:tcPr>
            <w:tcW w:w="980" w:type="dxa"/>
            <w:vAlign w:val="bottom"/>
          </w:tcPr>
          <w:p>
            <w:pPr>
              <w:spacing w:after="0"/>
              <w:rPr>
                <w:sz w:val="24"/>
                <w:szCs w:val="24"/>
                <w:color w:val="auto"/>
              </w:rPr>
            </w:pPr>
          </w:p>
        </w:tc>
        <w:tc>
          <w:tcPr>
            <w:tcW w:w="9700" w:type="dxa"/>
            <w:vAlign w:val="bottom"/>
            <w:gridSpan w:val="3"/>
          </w:tcPr>
          <w:p>
            <w:pPr>
              <w:spacing w:after="0"/>
              <w:rPr>
                <w:sz w:val="20"/>
                <w:szCs w:val="20"/>
                <w:color w:val="auto"/>
              </w:rPr>
            </w:pPr>
            <w:r>
              <w:rPr>
                <w:rFonts w:ascii="Arial" w:cs="Arial" w:eastAsia="Arial" w:hAnsi="Arial"/>
                <w:sz w:val="17"/>
                <w:szCs w:val="17"/>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195"/>
        </w:trPr>
        <w:tc>
          <w:tcPr>
            <w:tcW w:w="560" w:type="dxa"/>
            <w:vAlign w:val="bottom"/>
            <w:gridSpan w:val="2"/>
          </w:tcPr>
          <w:p>
            <w:pPr>
              <w:ind w:left="20"/>
              <w:spacing w:after="0"/>
              <w:rPr>
                <w:sz w:val="20"/>
                <w:szCs w:val="20"/>
                <w:color w:val="auto"/>
              </w:rPr>
            </w:pPr>
            <w:r>
              <w:rPr>
                <w:rFonts w:ascii="Arial" w:cs="Arial" w:eastAsia="Arial" w:hAnsi="Arial"/>
                <w:sz w:val="17"/>
                <w:szCs w:val="17"/>
                <w:color w:val="auto"/>
              </w:rPr>
              <w:t>99.1</w:t>
            </w:r>
          </w:p>
        </w:tc>
        <w:tc>
          <w:tcPr>
            <w:tcW w:w="980" w:type="dxa"/>
            <w:vAlign w:val="bottom"/>
          </w:tcPr>
          <w:p>
            <w:pPr>
              <w:spacing w:after="0"/>
              <w:rPr>
                <w:sz w:val="16"/>
                <w:szCs w:val="16"/>
                <w:color w:val="auto"/>
              </w:rPr>
            </w:pPr>
          </w:p>
        </w:tc>
        <w:tc>
          <w:tcPr>
            <w:tcW w:w="38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88"/>
              </w:rPr>
              <w:t>Press Release of LivaNova PLC dated November 2, 2022</w:t>
            </w:r>
          </w:p>
        </w:tc>
        <w:tc>
          <w:tcPr>
            <w:tcW w:w="5820" w:type="dxa"/>
            <w:vAlign w:val="bottom"/>
          </w:tcPr>
          <w:p>
            <w:pPr>
              <w:spacing w:after="0"/>
              <w:rPr>
                <w:sz w:val="16"/>
                <w:szCs w:val="16"/>
                <w:color w:val="auto"/>
              </w:rPr>
            </w:pPr>
          </w:p>
        </w:tc>
      </w:tr>
      <w:tr>
        <w:trPr>
          <w:trHeight w:val="232"/>
        </w:trPr>
        <w:tc>
          <w:tcPr>
            <w:tcW w:w="560" w:type="dxa"/>
            <w:vAlign w:val="bottom"/>
            <w:gridSpan w:val="2"/>
          </w:tcPr>
          <w:p>
            <w:pPr>
              <w:ind w:left="20"/>
              <w:spacing w:after="0"/>
              <w:rPr>
                <w:sz w:val="20"/>
                <w:szCs w:val="20"/>
                <w:color w:val="auto"/>
              </w:rPr>
            </w:pPr>
            <w:r>
              <w:rPr>
                <w:rFonts w:ascii="Arial" w:cs="Arial" w:eastAsia="Arial" w:hAnsi="Arial"/>
                <w:sz w:val="17"/>
                <w:szCs w:val="17"/>
                <w:color w:val="auto"/>
              </w:rPr>
              <w:t>104</w:t>
            </w:r>
          </w:p>
        </w:tc>
        <w:tc>
          <w:tcPr>
            <w:tcW w:w="980" w:type="dxa"/>
            <w:vAlign w:val="bottom"/>
          </w:tcPr>
          <w:p>
            <w:pPr>
              <w:spacing w:after="0"/>
              <w:rPr>
                <w:sz w:val="20"/>
                <w:szCs w:val="20"/>
                <w:color w:val="auto"/>
              </w:rPr>
            </w:pPr>
          </w:p>
        </w:tc>
        <w:tc>
          <w:tcPr>
            <w:tcW w:w="9700" w:type="dxa"/>
            <w:vAlign w:val="bottom"/>
            <w:gridSpan w:val="3"/>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1408"/>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7120890</wp:posOffset>
            </wp:positionH>
            <wp:positionV relativeFrom="paragraph">
              <wp:posOffset>-27940</wp:posOffset>
            </wp:positionV>
            <wp:extent cx="3365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7"/>
          <w:szCs w:val="17"/>
          <w:b w:val="1"/>
          <w:bCs w:val="1"/>
          <w:color w:val="auto"/>
        </w:rPr>
        <w:t>SIGNATURE</w:t>
      </w:r>
    </w:p>
    <w:p>
      <w:pPr>
        <w:spacing w:after="0" w:line="238"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LivaNova PLC</w:t>
      </w: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7"/>
          <w:szCs w:val="17"/>
          <w:color w:val="auto"/>
        </w:rPr>
        <w:t>Date: November 2, 2022</w:t>
      </w:r>
      <w:r>
        <w:rPr>
          <w:sz w:val="20"/>
          <w:szCs w:val="20"/>
          <w:color w:val="auto"/>
        </w:rPr>
        <w:tab/>
      </w:r>
      <w:r>
        <w:rPr>
          <w:rFonts w:ascii="Arial" w:cs="Arial" w:eastAsia="Arial" w:hAnsi="Arial"/>
          <w:sz w:val="15"/>
          <w:szCs w:val="15"/>
          <w:color w:val="auto"/>
        </w:rPr>
        <w:t>By: /s/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-3175</wp:posOffset>
            </wp:positionV>
            <wp:extent cx="963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spacing w:after="0" w:line="37"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Name: Keyna Skeffington</w:t>
      </w:r>
    </w:p>
    <w:p>
      <w:pPr>
        <w:spacing w:after="0" w:line="19"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Title: Senior Vice President &amp; General Counsel</w:t>
      </w:r>
    </w:p>
    <w:p>
      <w:pPr>
        <w:sectPr>
          <w:pgSz w:w="11900" w:h="16838" w:orient="portrait"/>
          <w:cols w:equalWidth="0" w:num="1">
            <w:col w:w="11140"/>
          </w:cols>
          <w:pgMar w:left="320" w:top="957" w:right="439" w:bottom="1440" w:gutter="0" w:footer="0" w:header="0"/>
        </w:sectPr>
      </w:pPr>
    </w:p>
    <w:bookmarkStart w:id="3" w:name="page4"/>
    <w:bookmarkEnd w:id="3"/>
    <w:p>
      <w:pPr>
        <w:spacing w:after="0" w:line="115" w:lineRule="exact"/>
        <w:rPr>
          <w:sz w:val="20"/>
          <w:szCs w:val="20"/>
          <w:color w:val="auto"/>
        </w:rPr>
      </w:pPr>
    </w:p>
    <w:p>
      <w:pPr>
        <w:jc w:val="right"/>
        <w:spacing w:after="0"/>
        <w:rPr>
          <w:sz w:val="20"/>
          <w:szCs w:val="20"/>
          <w:color w:val="auto"/>
        </w:rPr>
      </w:pPr>
      <w:r>
        <w:rPr>
          <w:rFonts w:ascii="Arial" w:cs="Arial" w:eastAsia="Arial" w:hAnsi="Arial"/>
          <w:sz w:val="19"/>
          <w:szCs w:val="19"/>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166370</wp:posOffset>
            </wp:positionV>
            <wp:extent cx="1572895" cy="449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2895" cy="44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9"/>
          <w:szCs w:val="19"/>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714121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7"/>
          <w:szCs w:val="27"/>
          <w:color w:val="6D2077"/>
        </w:rPr>
        <w:t>LivaNova Reports Third-Quarter 2022 Results</w:t>
      </w:r>
    </w:p>
    <w:p>
      <w:pPr>
        <w:spacing w:after="0" w:line="200" w:lineRule="exact"/>
        <w:rPr>
          <w:sz w:val="20"/>
          <w:szCs w:val="20"/>
          <w:color w:val="auto"/>
        </w:rPr>
      </w:pPr>
    </w:p>
    <w:p>
      <w:pPr>
        <w:spacing w:after="0" w:line="365" w:lineRule="exact"/>
        <w:rPr>
          <w:sz w:val="20"/>
          <w:szCs w:val="20"/>
          <w:color w:val="auto"/>
        </w:rPr>
      </w:pPr>
    </w:p>
    <w:p>
      <w:pPr>
        <w:spacing w:after="0" w:line="388" w:lineRule="auto"/>
        <w:rPr>
          <w:sz w:val="20"/>
          <w:szCs w:val="20"/>
          <w:color w:val="auto"/>
        </w:rPr>
      </w:pPr>
      <w:r>
        <w:rPr>
          <w:rFonts w:ascii="Arial" w:cs="Arial" w:eastAsia="Arial" w:hAnsi="Arial"/>
          <w:sz w:val="19"/>
          <w:szCs w:val="19"/>
          <w:b w:val="1"/>
          <w:bCs w:val="1"/>
          <w:color w:val="auto"/>
        </w:rPr>
        <w:t xml:space="preserve">London, November 2, 2022 – </w:t>
      </w:r>
      <w:r>
        <w:rPr>
          <w:rFonts w:ascii="Arial" w:cs="Arial" w:eastAsia="Arial" w:hAnsi="Arial"/>
          <w:sz w:val="19"/>
          <w:szCs w:val="19"/>
          <w:color w:val="auto"/>
        </w:rPr>
        <w:t>LivaNova PLC (Nasdaq: LIVN), a market-leading medical technology and innovation company, today</w:t>
      </w:r>
      <w:r>
        <w:rPr>
          <w:rFonts w:ascii="Arial" w:cs="Arial" w:eastAsia="Arial" w:hAnsi="Arial"/>
          <w:sz w:val="19"/>
          <w:szCs w:val="19"/>
          <w:b w:val="1"/>
          <w:bCs w:val="1"/>
          <w:color w:val="auto"/>
        </w:rPr>
        <w:t xml:space="preserve"> </w:t>
      </w:r>
      <w:r>
        <w:rPr>
          <w:rFonts w:ascii="Arial" w:cs="Arial" w:eastAsia="Arial" w:hAnsi="Arial"/>
          <w:sz w:val="19"/>
          <w:szCs w:val="19"/>
          <w:color w:val="auto"/>
        </w:rPr>
        <w:t>reported results for the quarter ended September 30, 2022.</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Financial Summary and Highlights</w:t>
      </w:r>
      <w:r>
        <w:rPr>
          <w:rFonts w:ascii="Arial" w:cs="Arial" w:eastAsia="Arial" w:hAnsi="Arial"/>
          <w:sz w:val="24"/>
          <w:szCs w:val="24"/>
          <w:b w:val="1"/>
          <w:bCs w:val="1"/>
          <w:color w:val="auto"/>
          <w:vertAlign w:val="superscript"/>
        </w:rPr>
        <w:t>1</w:t>
      </w:r>
    </w:p>
    <w:p>
      <w:pPr>
        <w:spacing w:after="0" w:line="188" w:lineRule="exact"/>
        <w:rPr>
          <w:sz w:val="20"/>
          <w:szCs w:val="20"/>
          <w:color w:val="auto"/>
        </w:rPr>
      </w:pPr>
    </w:p>
    <w:p>
      <w:pPr>
        <w:ind w:left="300" w:hanging="223"/>
        <w:spacing w:after="0" w:line="267" w:lineRule="auto"/>
        <w:tabs>
          <w:tab w:leader="none" w:pos="251" w:val="left"/>
        </w:tabs>
        <w:numPr>
          <w:ilvl w:val="0"/>
          <w:numId w:val="2"/>
        </w:numPr>
        <w:rPr>
          <w:rFonts w:ascii="Arial" w:cs="Arial" w:eastAsia="Arial" w:hAnsi="Arial"/>
          <w:sz w:val="19"/>
          <w:szCs w:val="19"/>
          <w:b w:val="1"/>
          <w:bCs w:val="1"/>
          <w:color w:val="auto"/>
        </w:rPr>
      </w:pPr>
      <w:r>
        <w:rPr>
          <w:rFonts w:ascii="Arial" w:cs="Arial" w:eastAsia="Arial" w:hAnsi="Arial"/>
          <w:sz w:val="19"/>
          <w:szCs w:val="19"/>
          <w:color w:val="auto"/>
        </w:rPr>
        <w:t>Revenue of $252.6 million for the quarter decreased 0.2 percent on a reported basis and increased 5.2 percent on a constant-currency basis, as compared to the prior-year period</w:t>
      </w:r>
    </w:p>
    <w:p>
      <w:pPr>
        <w:spacing w:after="0" w:line="107" w:lineRule="exact"/>
        <w:rPr>
          <w:rFonts w:ascii="Arial" w:cs="Arial" w:eastAsia="Arial" w:hAnsi="Arial"/>
          <w:sz w:val="19"/>
          <w:szCs w:val="19"/>
          <w:b w:val="1"/>
          <w:bCs w:val="1"/>
          <w:color w:val="auto"/>
        </w:rPr>
      </w:pPr>
    </w:p>
    <w:p>
      <w:pPr>
        <w:ind w:left="300" w:hanging="223"/>
        <w:spacing w:after="0" w:line="267" w:lineRule="auto"/>
        <w:tabs>
          <w:tab w:leader="none" w:pos="251" w:val="left"/>
        </w:tabs>
        <w:numPr>
          <w:ilvl w:val="0"/>
          <w:numId w:val="2"/>
        </w:numPr>
        <w:rPr>
          <w:rFonts w:ascii="Arial" w:cs="Arial" w:eastAsia="Arial" w:hAnsi="Arial"/>
          <w:sz w:val="19"/>
          <w:szCs w:val="19"/>
          <w:color w:val="auto"/>
        </w:rPr>
      </w:pPr>
      <w:r>
        <w:rPr>
          <w:rFonts w:ascii="Arial" w:cs="Arial" w:eastAsia="Arial" w:hAnsi="Arial"/>
          <w:sz w:val="19"/>
          <w:szCs w:val="19"/>
          <w:color w:val="auto"/>
        </w:rPr>
        <w:t>U.S. GAAP diluted loss per share was $2.01, including a non-cash goodwill impairment charge of approximately $2.40 per share, and adjusted diluted earnings per share was $0.58</w:t>
      </w:r>
    </w:p>
    <w:p>
      <w:pPr>
        <w:spacing w:after="0" w:line="120" w:lineRule="exact"/>
        <w:rPr>
          <w:rFonts w:ascii="Arial" w:cs="Arial" w:eastAsia="Arial" w:hAnsi="Arial"/>
          <w:sz w:val="19"/>
          <w:szCs w:val="19"/>
          <w:color w:val="auto"/>
        </w:rPr>
      </w:pPr>
    </w:p>
    <w:p>
      <w:pPr>
        <w:ind w:left="300" w:hanging="223"/>
        <w:spacing w:after="0" w:line="267" w:lineRule="auto"/>
        <w:tabs>
          <w:tab w:leader="none" w:pos="251" w:val="left"/>
        </w:tabs>
        <w:numPr>
          <w:ilvl w:val="0"/>
          <w:numId w:val="2"/>
        </w:numPr>
        <w:rPr>
          <w:rFonts w:ascii="Arial" w:cs="Arial" w:eastAsia="Arial" w:hAnsi="Arial"/>
          <w:sz w:val="19"/>
          <w:szCs w:val="19"/>
          <w:color w:val="auto"/>
        </w:rPr>
      </w:pPr>
      <w:r>
        <w:rPr>
          <w:rFonts w:ascii="Arial" w:cs="Arial" w:eastAsia="Arial" w:hAnsi="Arial"/>
          <w:sz w:val="19"/>
          <w:szCs w:val="19"/>
          <w:color w:val="auto"/>
        </w:rPr>
        <w:t>Michael Hutchinson named LivaNova Senior Vice President, Chief Legal Officer and Company Secretary, succeeding Keyna Skeffington, who will retire as previously announced</w:t>
      </w:r>
    </w:p>
    <w:p>
      <w:pPr>
        <w:spacing w:after="0" w:line="386" w:lineRule="exact"/>
        <w:rPr>
          <w:sz w:val="20"/>
          <w:szCs w:val="20"/>
          <w:color w:val="auto"/>
        </w:rPr>
      </w:pPr>
    </w:p>
    <w:p>
      <w:pPr>
        <w:jc w:val="both"/>
        <w:spacing w:after="0" w:line="354" w:lineRule="auto"/>
        <w:rPr>
          <w:sz w:val="20"/>
          <w:szCs w:val="20"/>
          <w:color w:val="auto"/>
        </w:rPr>
      </w:pPr>
      <w:r>
        <w:rPr>
          <w:rFonts w:ascii="Arial" w:cs="Arial" w:eastAsia="Arial" w:hAnsi="Arial"/>
          <w:sz w:val="19"/>
          <w:szCs w:val="19"/>
          <w:color w:val="auto"/>
        </w:rPr>
        <w:t>“Our revenue growth in the third quarter, excluding foreign currency impact, reflects solid execution driven by our Neuromodulation and Cardiopulmonary business units,” said Damien McDonald, Chief Executive Officer of LivaNova. “We saw improving revenue growth across all regions in Neuromodulation and year-over-year growth in Cardiopulmonary as cardiac surgery procedure volumes continue to recover. Our full-year 2022 outlook is unchanged, and we remain focused on executing on our core growth drivers, delivering on our clinical and product pipeline opportunities, and generating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1209675</wp:posOffset>
            </wp:positionV>
            <wp:extent cx="1604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0" w:hanging="79"/>
        <w:spacing w:after="0" w:line="224" w:lineRule="auto"/>
        <w:tabs>
          <w:tab w:leader="none" w:pos="78"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Constant-currency percent change, adjusted operating income, adjusted diluted earnings per share and adjusted free cash flow are non-GAAP measures. For an explanation of these and other non-GAAP measures used in this release, see the section entitled "Use of Non-GAAP Financial Measures." For reconciliations of certain non-GAAP measures, see the tables that accompany this press release.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Third-Quarter 2022 Results</w:t>
      </w: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revenue for the third quarter of 2022 by segment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gridSpan w:val="4"/>
          </w:tcPr>
          <w:p>
            <w:pPr>
              <w:jc w:val="right"/>
              <w:ind w:right="460"/>
              <w:spacing w:after="0"/>
              <w:rPr>
                <w:sz w:val="20"/>
                <w:szCs w:val="20"/>
                <w:color w:val="auto"/>
              </w:rPr>
            </w:pPr>
            <w:r>
              <w:rPr>
                <w:rFonts w:ascii="Arial" w:cs="Arial" w:eastAsia="Arial" w:hAnsi="Arial"/>
                <w:sz w:val="17"/>
                <w:szCs w:val="17"/>
                <w:b w:val="1"/>
                <w:bCs w:val="1"/>
                <w:color w:val="auto"/>
              </w:rPr>
              <w:t>Three Months Ended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27"/>
        </w:trPr>
        <w:tc>
          <w:tcPr>
            <w:tcW w:w="3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b w:val="1"/>
                <w:bCs w:val="1"/>
                <w:color w:val="auto"/>
              </w:rPr>
              <w:t>September 30,</w:t>
            </w: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9"/>
                <w:szCs w:val="19"/>
                <w:b w:val="1"/>
                <w:bCs w:val="1"/>
                <w:color w:val="auto"/>
                <w:w w:val="98"/>
              </w:rPr>
              <w:t>Constant-Currency</w:t>
            </w:r>
          </w:p>
        </w:tc>
      </w:tr>
      <w:tr>
        <w:trPr>
          <w:trHeight w:val="233"/>
        </w:trPr>
        <w:tc>
          <w:tcPr>
            <w:tcW w:w="4960" w:type="dxa"/>
            <w:vAlign w:val="bottom"/>
            <w:gridSpan w:val="3"/>
          </w:tcPr>
          <w:p>
            <w:pPr>
              <w:ind w:left="4480"/>
              <w:spacing w:after="0"/>
              <w:rPr>
                <w:sz w:val="20"/>
                <w:szCs w:val="20"/>
                <w:color w:val="auto"/>
              </w:rPr>
            </w:pPr>
            <w:r>
              <w:rPr>
                <w:rFonts w:ascii="Arial" w:cs="Arial" w:eastAsia="Arial" w:hAnsi="Arial"/>
                <w:sz w:val="17"/>
                <w:szCs w:val="17"/>
                <w:b w:val="1"/>
                <w:bCs w:val="1"/>
                <w:color w:val="auto"/>
              </w:rPr>
              <w:t>2022</w:t>
            </w:r>
          </w:p>
        </w:tc>
        <w:tc>
          <w:tcPr>
            <w:tcW w:w="198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2021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gridSpan w:val="2"/>
          </w:tcPr>
          <w:p>
            <w:pPr>
              <w:ind w:left="420"/>
              <w:spacing w:after="0"/>
              <w:rPr>
                <w:sz w:val="20"/>
                <w:szCs w:val="20"/>
                <w:color w:val="auto"/>
              </w:rPr>
            </w:pPr>
            <w:r>
              <w:rPr>
                <w:rFonts w:ascii="Arial" w:cs="Arial" w:eastAsia="Arial" w:hAnsi="Arial"/>
                <w:sz w:val="19"/>
                <w:szCs w:val="19"/>
                <w:b w:val="1"/>
                <w:bCs w:val="1"/>
                <w:color w:val="auto"/>
              </w:rPr>
              <w:t>% Change</w:t>
            </w:r>
          </w:p>
        </w:tc>
        <w:tc>
          <w:tcPr>
            <w:tcW w:w="1740" w:type="dxa"/>
            <w:vAlign w:val="bottom"/>
          </w:tcPr>
          <w:p>
            <w:pPr>
              <w:jc w:val="right"/>
              <w:ind w:right="333"/>
              <w:spacing w:after="0"/>
              <w:rPr>
                <w:sz w:val="20"/>
                <w:szCs w:val="20"/>
                <w:color w:val="auto"/>
              </w:rPr>
            </w:pPr>
            <w:r>
              <w:rPr>
                <w:rFonts w:ascii="Arial" w:cs="Arial" w:eastAsia="Arial" w:hAnsi="Arial"/>
                <w:sz w:val="19"/>
                <w:szCs w:val="19"/>
                <w:b w:val="1"/>
                <w:bCs w:val="1"/>
                <w:color w:val="auto"/>
              </w:rPr>
              <w:t>% Change</w:t>
            </w:r>
          </w:p>
        </w:tc>
      </w:tr>
      <w:tr>
        <w:trPr>
          <w:trHeight w:val="207"/>
        </w:trPr>
        <w:tc>
          <w:tcPr>
            <w:tcW w:w="372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Cardiopulmonary</w:t>
            </w:r>
          </w:p>
        </w:tc>
        <w:tc>
          <w:tcPr>
            <w:tcW w:w="1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99"/>
              </w:rPr>
              <w:t>$121.0</w:t>
            </w:r>
          </w:p>
        </w:tc>
        <w:tc>
          <w:tcPr>
            <w:tcW w:w="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$123.2</w:t>
            </w:r>
          </w:p>
        </w:tc>
        <w:tc>
          <w:tcPr>
            <w:tcW w:w="8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6.6 %</w:t>
            </w:r>
          </w:p>
        </w:tc>
      </w:tr>
      <w:tr>
        <w:trPr>
          <w:trHeight w:val="215"/>
        </w:trPr>
        <w:tc>
          <w:tcPr>
            <w:tcW w:w="4960" w:type="dxa"/>
            <w:vAlign w:val="bottom"/>
            <w:gridSpan w:val="3"/>
          </w:tcPr>
          <w:p>
            <w:pPr>
              <w:ind w:left="20"/>
              <w:spacing w:after="0"/>
              <w:rPr>
                <w:sz w:val="20"/>
                <w:szCs w:val="20"/>
                <w:color w:val="auto"/>
              </w:rPr>
            </w:pPr>
            <w:r>
              <w:rPr>
                <w:rFonts w:ascii="Arial" w:cs="Arial" w:eastAsia="Arial" w:hAnsi="Arial"/>
                <w:sz w:val="17"/>
                <w:szCs w:val="17"/>
                <w:color w:val="auto"/>
              </w:rPr>
              <w:t>Neuromodulation</w:t>
            </w:r>
          </w:p>
        </w:tc>
        <w:tc>
          <w:tcPr>
            <w:tcW w:w="660" w:type="dxa"/>
            <w:vAlign w:val="bottom"/>
          </w:tcPr>
          <w:p>
            <w:pPr>
              <w:jc w:val="right"/>
              <w:spacing w:after="0"/>
              <w:rPr>
                <w:sz w:val="20"/>
                <w:szCs w:val="20"/>
                <w:color w:val="auto"/>
              </w:rPr>
            </w:pPr>
            <w:r>
              <w:rPr>
                <w:rFonts w:ascii="Arial" w:cs="Arial" w:eastAsia="Arial" w:hAnsi="Arial"/>
                <w:sz w:val="17"/>
                <w:szCs w:val="17"/>
                <w:color w:val="auto"/>
              </w:rPr>
              <w:t>121.8</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113.3</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7.5 %</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10.4 %</w:t>
            </w:r>
          </w:p>
        </w:tc>
      </w:tr>
      <w:tr>
        <w:trPr>
          <w:trHeight w:val="215"/>
        </w:trPr>
        <w:tc>
          <w:tcPr>
            <w:tcW w:w="4960" w:type="dxa"/>
            <w:vAlign w:val="bottom"/>
            <w:gridSpan w:val="3"/>
          </w:tcPr>
          <w:p>
            <w:pPr>
              <w:ind w:left="20"/>
              <w:spacing w:after="0"/>
              <w:rPr>
                <w:sz w:val="20"/>
                <w:szCs w:val="20"/>
                <w:color w:val="auto"/>
              </w:rPr>
            </w:pPr>
            <w:r>
              <w:rPr>
                <w:rFonts w:ascii="Arial" w:cs="Arial" w:eastAsia="Arial" w:hAnsi="Arial"/>
                <w:sz w:val="17"/>
                <w:szCs w:val="17"/>
                <w:color w:val="auto"/>
              </w:rPr>
              <w:t>Advanced Circulatory Support</w:t>
            </w:r>
          </w:p>
        </w:tc>
        <w:tc>
          <w:tcPr>
            <w:tcW w:w="660" w:type="dxa"/>
            <w:vAlign w:val="bottom"/>
          </w:tcPr>
          <w:p>
            <w:pPr>
              <w:jc w:val="right"/>
              <w:spacing w:after="0"/>
              <w:rPr>
                <w:sz w:val="20"/>
                <w:szCs w:val="20"/>
                <w:color w:val="auto"/>
              </w:rPr>
            </w:pPr>
            <w:r>
              <w:rPr>
                <w:rFonts w:ascii="Arial" w:cs="Arial" w:eastAsia="Arial" w:hAnsi="Arial"/>
                <w:sz w:val="17"/>
                <w:szCs w:val="17"/>
                <w:color w:val="auto"/>
              </w:rPr>
              <w:t>8.6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15.4</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(43.9)%</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(43.8)%</w:t>
            </w:r>
          </w:p>
        </w:tc>
      </w:tr>
      <w:tr>
        <w:trPr>
          <w:trHeight w:val="215"/>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5.0 %</w:t>
            </w:r>
          </w:p>
        </w:tc>
      </w:tr>
      <w:tr>
        <w:trPr>
          <w:trHeight w:val="208"/>
        </w:trPr>
        <w:tc>
          <w:tcPr>
            <w:tcW w:w="4960" w:type="dxa"/>
            <w:vAlign w:val="bottom"/>
            <w:gridSpan w:val="3"/>
          </w:tcPr>
          <w:p>
            <w:pPr>
              <w:ind w:left="20"/>
              <w:spacing w:after="0"/>
              <w:rPr>
                <w:sz w:val="20"/>
                <w:szCs w:val="20"/>
                <w:color w:val="auto"/>
              </w:rPr>
            </w:pPr>
            <w:r>
              <w:rPr>
                <w:rFonts w:ascii="Arial" w:cs="Arial" w:eastAsia="Arial" w:hAnsi="Arial"/>
                <w:sz w:val="17"/>
                <w:szCs w:val="17"/>
                <w:color w:val="auto"/>
              </w:rPr>
              <w:t>Total Net Revenue</w:t>
            </w:r>
          </w:p>
        </w:tc>
        <w:tc>
          <w:tcPr>
            <w:tcW w:w="660" w:type="dxa"/>
            <w:vAlign w:val="bottom"/>
          </w:tcPr>
          <w:p>
            <w:pPr>
              <w:ind w:left="120"/>
              <w:spacing w:after="0"/>
              <w:rPr>
                <w:sz w:val="20"/>
                <w:szCs w:val="20"/>
                <w:color w:val="auto"/>
              </w:rPr>
            </w:pPr>
            <w:r>
              <w:rPr>
                <w:rFonts w:ascii="Arial" w:cs="Arial" w:eastAsia="Arial" w:hAnsi="Arial"/>
                <w:sz w:val="17"/>
                <w:szCs w:val="17"/>
                <w:color w:val="auto"/>
                <w:w w:val="99"/>
              </w:rPr>
              <w:t>$252.6</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$253.2</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5.2 %</w:t>
            </w:r>
          </w:p>
        </w:tc>
      </w:tr>
      <w:tr>
        <w:trPr>
          <w:trHeight w:val="20"/>
        </w:trPr>
        <w:tc>
          <w:tcPr>
            <w:tcW w:w="3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both"/>
        <w:ind w:left="220" w:hanging="219"/>
        <w:spacing w:after="0" w:line="252" w:lineRule="auto"/>
        <w:tabs>
          <w:tab w:leader="none" w:pos="172" w:val="left"/>
        </w:tabs>
        <w:numPr>
          <w:ilvl w:val="0"/>
          <w:numId w:val="4"/>
        </w:numPr>
        <w:rPr>
          <w:rFonts w:ascii="Arial" w:cs="Arial" w:eastAsia="Arial" w:hAnsi="Arial"/>
          <w:sz w:val="15"/>
          <w:szCs w:val="15"/>
          <w:color w:val="auto"/>
        </w:rPr>
      </w:pPr>
      <w:r>
        <w:rPr>
          <w:rFonts w:ascii="Arial" w:cs="Arial" w:eastAsia="Arial" w:hAnsi="Arial"/>
          <w:sz w:val="15"/>
          <w:szCs w:val="15"/>
          <w:color w:val="auto"/>
        </w:rPr>
        <w:t>Note: Constant-currency growth accounts for the impact from fluctuations in the various currencies in which the Company operates as compared to reported growth. Constant-currency percent change is a non-GAAP metric. For an explanation of this and other non-GAAP metrics used in this release, see the section entitled "Use of Non-GAAP Financial Measures."</w:t>
      </w:r>
    </w:p>
    <w:p>
      <w:pPr>
        <w:spacing w:after="0" w:line="50" w:lineRule="exact"/>
        <w:rPr>
          <w:rFonts w:ascii="Arial" w:cs="Arial" w:eastAsia="Arial" w:hAnsi="Arial"/>
          <w:sz w:val="15"/>
          <w:szCs w:val="15"/>
          <w:color w:val="auto"/>
        </w:rPr>
      </w:pPr>
    </w:p>
    <w:p>
      <w:pPr>
        <w:ind w:left="180" w:hanging="179"/>
        <w:spacing w:after="0"/>
        <w:tabs>
          <w:tab w:leader="none" w:pos="1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324" w:lineRule="auto"/>
        <w:rPr>
          <w:sz w:val="20"/>
          <w:szCs w:val="20"/>
          <w:color w:val="auto"/>
        </w:rPr>
      </w:pPr>
      <w:r>
        <w:rPr>
          <w:rFonts w:ascii="Arial" w:cs="Arial" w:eastAsia="Arial" w:hAnsi="Arial"/>
          <w:sz w:val="19"/>
          <w:szCs w:val="19"/>
          <w:b w:val="1"/>
          <w:bCs w:val="1"/>
          <w:color w:val="auto"/>
        </w:rPr>
        <w:t xml:space="preserve">Cardiopulmonary </w:t>
      </w:r>
      <w:r>
        <w:rPr>
          <w:rFonts w:ascii="Arial" w:cs="Arial" w:eastAsia="Arial" w:hAnsi="Arial"/>
          <w:sz w:val="19"/>
          <w:szCs w:val="19"/>
          <w:color w:val="auto"/>
        </w:rPr>
        <w:t>revenue increased 6.6 percent</w:t>
      </w:r>
      <w:r>
        <w:rPr>
          <w:rFonts w:ascii="Arial" w:cs="Arial" w:eastAsia="Arial" w:hAnsi="Arial"/>
          <w:sz w:val="24"/>
          <w:szCs w:val="24"/>
          <w:color w:val="auto"/>
          <w:vertAlign w:val="superscript"/>
        </w:rPr>
        <w:t>2</w:t>
      </w:r>
      <w:r>
        <w:rPr>
          <w:rFonts w:ascii="Arial" w:cs="Arial" w:eastAsia="Arial" w:hAnsi="Arial"/>
          <w:sz w:val="19"/>
          <w:szCs w:val="19"/>
          <w:b w:val="1"/>
          <w:bCs w:val="1"/>
          <w:color w:val="auto"/>
        </w:rPr>
        <w:t xml:space="preserve"> </w:t>
      </w:r>
      <w:r>
        <w:rPr>
          <w:rFonts w:ascii="Arial" w:cs="Arial" w:eastAsia="Arial" w:hAnsi="Arial"/>
          <w:sz w:val="19"/>
          <w:szCs w:val="19"/>
          <w:color w:val="auto"/>
        </w:rPr>
        <w:t>versus the third quarter of 2021 driven by the Rest of World and Europe regions. This</w:t>
      </w:r>
      <w:r>
        <w:rPr>
          <w:rFonts w:ascii="Arial" w:cs="Arial" w:eastAsia="Arial" w:hAnsi="Arial"/>
          <w:sz w:val="19"/>
          <w:szCs w:val="19"/>
          <w:b w:val="1"/>
          <w:bCs w:val="1"/>
          <w:color w:val="auto"/>
        </w:rPr>
        <w:t xml:space="preserve"> </w:t>
      </w:r>
      <w:r>
        <w:rPr>
          <w:rFonts w:ascii="Arial" w:cs="Arial" w:eastAsia="Arial" w:hAnsi="Arial"/>
          <w:sz w:val="19"/>
          <w:szCs w:val="19"/>
          <w:color w:val="auto"/>
        </w:rPr>
        <w:t>growth was primarily driven by oxygenator revenue due to an increase in cardiac surgery procedures and strength in heart-lung machine placements in the Rest of World region.</w:t>
      </w:r>
    </w:p>
    <w:p>
      <w:pPr>
        <w:spacing w:after="0" w:line="21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b w:val="1"/>
          <w:bCs w:val="1"/>
          <w:color w:val="auto"/>
        </w:rPr>
        <w:t xml:space="preserve">Neuromodulation </w:t>
      </w:r>
      <w:r>
        <w:rPr>
          <w:rFonts w:ascii="Arial" w:cs="Arial" w:eastAsia="Arial" w:hAnsi="Arial"/>
          <w:sz w:val="19"/>
          <w:szCs w:val="19"/>
          <w:color w:val="auto"/>
        </w:rPr>
        <w:t>revenue increased 10.4 percent</w:t>
      </w:r>
      <w:r>
        <w:rPr>
          <w:rFonts w:ascii="Arial" w:cs="Arial" w:eastAsia="Arial" w:hAnsi="Arial"/>
          <w:sz w:val="24"/>
          <w:szCs w:val="24"/>
          <w:color w:val="auto"/>
          <w:vertAlign w:val="superscript"/>
        </w:rPr>
        <w:t>2</w:t>
      </w:r>
      <w:r>
        <w:rPr>
          <w:rFonts w:ascii="Arial" w:cs="Arial" w:eastAsia="Arial" w:hAnsi="Arial"/>
          <w:sz w:val="19"/>
          <w:szCs w:val="19"/>
          <w:b w:val="1"/>
          <w:bCs w:val="1"/>
          <w:color w:val="auto"/>
        </w:rPr>
        <w:t xml:space="preserve"> </w:t>
      </w:r>
      <w:r>
        <w:rPr>
          <w:rFonts w:ascii="Arial" w:cs="Arial" w:eastAsia="Arial" w:hAnsi="Arial"/>
          <w:sz w:val="19"/>
          <w:szCs w:val="19"/>
          <w:color w:val="auto"/>
        </w:rPr>
        <w:t>versus the third quarter of 2021 with growth across all regions. This increase was</w:t>
      </w:r>
      <w:r>
        <w:rPr>
          <w:rFonts w:ascii="Arial" w:cs="Arial" w:eastAsia="Arial" w:hAnsi="Arial"/>
          <w:sz w:val="19"/>
          <w:szCs w:val="19"/>
          <w:b w:val="1"/>
          <w:bCs w:val="1"/>
          <w:color w:val="auto"/>
        </w:rPr>
        <w:t xml:space="preserve"> </w:t>
      </w:r>
      <w:r>
        <w:rPr>
          <w:rFonts w:ascii="Arial" w:cs="Arial" w:eastAsia="Arial" w:hAnsi="Arial"/>
          <w:sz w:val="19"/>
          <w:szCs w:val="19"/>
          <w:color w:val="auto"/>
        </w:rPr>
        <w:t>driven by improving market dynamics.</w:t>
      </w:r>
    </w:p>
    <w:p>
      <w:pPr>
        <w:spacing w:after="0" w:line="206" w:lineRule="exact"/>
        <w:rPr>
          <w:sz w:val="20"/>
          <w:szCs w:val="20"/>
          <w:color w:val="auto"/>
        </w:rPr>
      </w:pPr>
    </w:p>
    <w:p>
      <w:pPr>
        <w:jc w:val="both"/>
        <w:spacing w:after="0" w:line="324" w:lineRule="auto"/>
        <w:rPr>
          <w:sz w:val="20"/>
          <w:szCs w:val="20"/>
          <w:color w:val="auto"/>
        </w:rPr>
      </w:pPr>
      <w:r>
        <w:rPr>
          <w:rFonts w:ascii="Arial" w:cs="Arial" w:eastAsia="Arial" w:hAnsi="Arial"/>
          <w:sz w:val="19"/>
          <w:szCs w:val="19"/>
          <w:b w:val="1"/>
          <w:bCs w:val="1"/>
          <w:color w:val="auto"/>
        </w:rPr>
        <w:t xml:space="preserve">Advanced Circulatory Support (ACS) </w:t>
      </w:r>
      <w:r>
        <w:rPr>
          <w:rFonts w:ascii="Arial" w:cs="Arial" w:eastAsia="Arial" w:hAnsi="Arial"/>
          <w:sz w:val="19"/>
          <w:szCs w:val="19"/>
          <w:color w:val="auto"/>
        </w:rPr>
        <w:t>revenue decreased 43.8 percent</w:t>
      </w:r>
      <w:r>
        <w:rPr>
          <w:rFonts w:ascii="Arial" w:cs="Arial" w:eastAsia="Arial" w:hAnsi="Arial"/>
          <w:sz w:val="24"/>
          <w:szCs w:val="24"/>
          <w:color w:val="auto"/>
          <w:vertAlign w:val="superscript"/>
        </w:rPr>
        <w:t>2</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to the third quarter of 2021 primarily due to a</w:t>
      </w:r>
      <w:r>
        <w:rPr>
          <w:rFonts w:ascii="Arial" w:cs="Arial" w:eastAsia="Arial" w:hAnsi="Arial"/>
          <w:sz w:val="19"/>
          <w:szCs w:val="19"/>
          <w:b w:val="1"/>
          <w:bCs w:val="1"/>
          <w:color w:val="auto"/>
        </w:rPr>
        <w:t xml:space="preserve"> </w:t>
      </w:r>
      <w:r>
        <w:rPr>
          <w:rFonts w:ascii="Arial" w:cs="Arial" w:eastAsia="Arial" w:hAnsi="Arial"/>
          <w:sz w:val="19"/>
          <w:szCs w:val="19"/>
          <w:color w:val="auto"/>
        </w:rPr>
        <w:t>reduction in patients treated with extracorporeal membrane oxygenation (ECMO) related to fewer severe COVID-19 cases, hospital-related challenges and product mix, which was partially offset by growth in non-COVID-19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1619250</wp:posOffset>
            </wp:positionV>
            <wp:extent cx="1604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hanging="59"/>
        <w:spacing w:after="0"/>
        <w:tabs>
          <w:tab w:leader="none" w:pos="60" w:val="left"/>
        </w:tabs>
        <w:numPr>
          <w:ilvl w:val="0"/>
          <w:numId w:val="5"/>
        </w:numPr>
        <w:rPr>
          <w:rFonts w:ascii="Arial" w:cs="Arial" w:eastAsia="Arial" w:hAnsi="Arial"/>
          <w:sz w:val="13"/>
          <w:szCs w:val="13"/>
          <w:color w:val="auto"/>
          <w:vertAlign w:val="superscript"/>
        </w:rPr>
      </w:pPr>
      <w:r>
        <w:rPr>
          <w:rFonts w:ascii="Arial" w:cs="Arial" w:eastAsia="Arial" w:hAnsi="Arial"/>
          <w:sz w:val="10"/>
          <w:szCs w:val="10"/>
          <w:color w:val="auto"/>
        </w:rPr>
        <w:t>Revenue growth rates reflect comparable, constant currency growth.</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i w:val="1"/>
          <w:iCs w:val="1"/>
          <w:color w:val="auto"/>
        </w:rPr>
        <w:t>Financial Performance</w:t>
      </w:r>
      <w:r>
        <w:rPr>
          <w:rFonts w:ascii="Arial" w:cs="Arial" w:eastAsia="Arial" w:hAnsi="Arial"/>
          <w:sz w:val="24"/>
          <w:szCs w:val="24"/>
          <w:b w:val="1"/>
          <w:bCs w:val="1"/>
          <w:i w:val="1"/>
          <w:iCs w:val="1"/>
          <w:color w:val="auto"/>
          <w:vertAlign w:val="superscript"/>
        </w:rPr>
        <w:t>3</w:t>
      </w:r>
    </w:p>
    <w:p>
      <w:pPr>
        <w:spacing w:after="0" w:line="125" w:lineRule="exact"/>
        <w:rPr>
          <w:sz w:val="20"/>
          <w:szCs w:val="20"/>
          <w:color w:val="auto"/>
        </w:rPr>
      </w:pPr>
    </w:p>
    <w:p>
      <w:pPr>
        <w:jc w:val="both"/>
        <w:spacing w:after="0" w:line="352" w:lineRule="auto"/>
        <w:rPr>
          <w:sz w:val="20"/>
          <w:szCs w:val="20"/>
          <w:color w:val="auto"/>
        </w:rPr>
      </w:pPr>
      <w:r>
        <w:rPr>
          <w:rFonts w:ascii="Arial" w:cs="Arial" w:eastAsia="Arial" w:hAnsi="Arial"/>
          <w:sz w:val="19"/>
          <w:szCs w:val="19"/>
          <w:color w:val="auto"/>
        </w:rPr>
        <w:t>On a U.S. GAAP basis, third-quarter 2022 operating loss was $132.0 million, as compared to an operating income of $16.4 million for the third quarter of 2021. Reported results include a non-cash goodwill impairment charge of $129.4 million for the ACS reporting unit reflecting current market conditions. Adjusted operating income for the third quarter of 2022 was $36.6 million, as compared to $46.5 million for the third quarter of 2021.</w:t>
      </w:r>
    </w:p>
    <w:p>
      <w:pPr>
        <w:spacing w:after="0" w:line="209" w:lineRule="exact"/>
        <w:rPr>
          <w:sz w:val="20"/>
          <w:szCs w:val="20"/>
          <w:color w:val="auto"/>
        </w:rPr>
      </w:pPr>
    </w:p>
    <w:p>
      <w:pPr>
        <w:jc w:val="both"/>
        <w:spacing w:after="0" w:line="355" w:lineRule="auto"/>
        <w:rPr>
          <w:sz w:val="20"/>
          <w:szCs w:val="20"/>
          <w:color w:val="auto"/>
        </w:rPr>
      </w:pPr>
      <w:r>
        <w:rPr>
          <w:rFonts w:ascii="Arial" w:cs="Arial" w:eastAsia="Arial" w:hAnsi="Arial"/>
          <w:sz w:val="19"/>
          <w:szCs w:val="19"/>
          <w:color w:val="auto"/>
        </w:rPr>
        <w:t>On a U.S. GAAP basis, third-quarter 2022 diluted loss per share was $2.01, as compared to a diluted loss per share of $0.84 in the third quarter of 2021. Third-quarter 2022 adjusted diluted earnings per share was $0.58, as compared to $0.66 per share in the third quarter of 2021.</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Appointment of Chief Legal Officer and Company Secretary</w:t>
      </w:r>
    </w:p>
    <w:p>
      <w:pPr>
        <w:spacing w:after="0" w:line="334" w:lineRule="exact"/>
        <w:rPr>
          <w:sz w:val="20"/>
          <w:szCs w:val="20"/>
          <w:color w:val="auto"/>
        </w:rPr>
      </w:pPr>
    </w:p>
    <w:p>
      <w:pPr>
        <w:jc w:val="both"/>
        <w:spacing w:after="0" w:line="352" w:lineRule="auto"/>
        <w:rPr>
          <w:sz w:val="20"/>
          <w:szCs w:val="20"/>
          <w:color w:val="auto"/>
        </w:rPr>
      </w:pPr>
      <w:r>
        <w:rPr>
          <w:rFonts w:ascii="Arial" w:cs="Arial" w:eastAsia="Arial" w:hAnsi="Arial"/>
          <w:sz w:val="19"/>
          <w:szCs w:val="19"/>
          <w:color w:val="auto"/>
        </w:rPr>
        <w:t>Today, LivaNova announced that Michael Hutchinson has been named LivaNova Senior Vice President, Chief Legal Officer and Company Secretary, effective November 14, 2022. He succeeds Keyna Skeffington, who will assist with the transition and retire from the Company on June 30, 2023. Hutchinson joins LivaNova having previously served as Chief Legal Officer and General Counsel of several companies, including Varian Medical Systems and Stryker Corporation.</w:t>
      </w:r>
    </w:p>
    <w:p>
      <w:pPr>
        <w:spacing w:after="0" w:line="209" w:lineRule="exact"/>
        <w:rPr>
          <w:sz w:val="20"/>
          <w:szCs w:val="20"/>
          <w:color w:val="auto"/>
        </w:rPr>
      </w:pPr>
    </w:p>
    <w:p>
      <w:pPr>
        <w:jc w:val="both"/>
        <w:spacing w:after="0" w:line="355" w:lineRule="auto"/>
        <w:rPr>
          <w:sz w:val="20"/>
          <w:szCs w:val="20"/>
          <w:color w:val="auto"/>
        </w:rPr>
      </w:pPr>
      <w:r>
        <w:rPr>
          <w:rFonts w:ascii="Arial" w:cs="Arial" w:eastAsia="Arial" w:hAnsi="Arial"/>
          <w:sz w:val="19"/>
          <w:szCs w:val="19"/>
          <w:color w:val="auto"/>
        </w:rPr>
        <w:t>"At LivaNova, we seek out leaders with a patient-first approach who will guide our company as we develop innovative products and therapies," McDonald said. "Mike has a strong medical device industry background. His legal and business acumen and strategic counsel will benefit the entire team, and we look forward to welcoming him to LivaNova."</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Full-Year 2022 Outlook</w:t>
      </w:r>
    </w:p>
    <w:p>
      <w:pPr>
        <w:spacing w:after="0" w:line="334" w:lineRule="exact"/>
        <w:rPr>
          <w:sz w:val="20"/>
          <w:szCs w:val="20"/>
          <w:color w:val="auto"/>
        </w:rPr>
      </w:pPr>
    </w:p>
    <w:p>
      <w:pPr>
        <w:jc w:val="both"/>
        <w:spacing w:after="0" w:line="350" w:lineRule="auto"/>
        <w:rPr>
          <w:sz w:val="20"/>
          <w:szCs w:val="20"/>
          <w:color w:val="auto"/>
        </w:rPr>
      </w:pPr>
      <w:r>
        <w:rPr>
          <w:rFonts w:ascii="Arial" w:cs="Arial" w:eastAsia="Arial" w:hAnsi="Arial"/>
          <w:sz w:val="19"/>
          <w:szCs w:val="19"/>
          <w:color w:val="auto"/>
        </w:rPr>
        <w:t>LivaNova continues to expect revenue for full-year 2022 to grow between 4 and 6 percent on a constant-currency basis, excluding the impact of the Heart Valves divestiture. Foreign currency is now expected to be a 5 percent headwind.</w:t>
      </w:r>
    </w:p>
    <w:p>
      <w:pPr>
        <w:spacing w:after="0" w:line="209" w:lineRule="exact"/>
        <w:rPr>
          <w:sz w:val="20"/>
          <w:szCs w:val="20"/>
          <w:color w:val="auto"/>
        </w:rPr>
      </w:pPr>
    </w:p>
    <w:p>
      <w:pPr>
        <w:jc w:val="both"/>
        <w:spacing w:after="0" w:line="350" w:lineRule="auto"/>
        <w:rPr>
          <w:sz w:val="20"/>
          <w:szCs w:val="20"/>
          <w:color w:val="auto"/>
        </w:rPr>
      </w:pPr>
      <w:r>
        <w:rPr>
          <w:rFonts w:ascii="Arial" w:cs="Arial" w:eastAsia="Arial" w:hAnsi="Arial"/>
          <w:sz w:val="19"/>
          <w:szCs w:val="19"/>
          <w:color w:val="auto"/>
        </w:rPr>
        <w:t>Adjusted diluted earnings per share for 2022 remains in the range of $2.25 to $2.45, assuming a fully diluted share count of 54 million for full-year 2022. The Company continues to estimate that adjusted free cash flow will be in the range of $60 to $80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375920</wp:posOffset>
            </wp:positionV>
            <wp:extent cx="1604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80" w:hanging="79"/>
        <w:spacing w:after="0" w:line="228" w:lineRule="auto"/>
        <w:tabs>
          <w:tab w:leader="none" w:pos="75"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During the fourth quarter of 2021, the Company identified and rectified an error related to foreign currency exchange rates utilized to calculate inventory and cost of sales for the years ended December 31, 2017 through 2020 and the nine months ended September 30, 2021. Accordingly, prior period results on a GAAP and non-GAAP basis were revised. See the section entitled "Supplemental Unaudited Revised Financial Information and Non-GAAP Measures" in the Form 8-K furnished on February 23, 2022.</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27" w:right="339" w:bottom="1440" w:gutter="0" w:footer="0" w:header="0"/>
        </w:sectPr>
      </w:pPr>
    </w:p>
    <w:bookmarkStart w:id="6" w:name="page7"/>
    <w:bookmarkEnd w:id="6"/>
    <w:p>
      <w:pPr>
        <w:spacing w:after="0" w:line="3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Conference Call Instructions</w:t>
      </w:r>
    </w:p>
    <w:p>
      <w:pPr>
        <w:spacing w:after="0" w:line="334" w:lineRule="exact"/>
        <w:rPr>
          <w:sz w:val="20"/>
          <w:szCs w:val="20"/>
          <w:color w:val="auto"/>
        </w:rPr>
      </w:pPr>
    </w:p>
    <w:p>
      <w:pPr>
        <w:jc w:val="both"/>
        <w:spacing w:after="0" w:line="354" w:lineRule="auto"/>
        <w:rPr>
          <w:sz w:val="20"/>
          <w:szCs w:val="20"/>
          <w:color w:val="auto"/>
        </w:rPr>
      </w:pPr>
      <w:r>
        <w:rPr>
          <w:rFonts w:ascii="Arial" w:cs="Arial" w:eastAsia="Arial" w:hAnsi="Arial"/>
          <w:sz w:val="19"/>
          <w:szCs w:val="19"/>
          <w:color w:val="auto"/>
        </w:rPr>
        <w:t xml:space="preserve">The Company will host a live audiocast at 12 p.m. London time (8 a.m. EDT) on Wednesday, November 2, 2022 that will be accessible at </w:t>
      </w:r>
      <w:r>
        <w:rPr>
          <w:rFonts w:ascii="Arial" w:cs="Arial" w:eastAsia="Arial" w:hAnsi="Arial"/>
          <w:sz w:val="19"/>
          <w:szCs w:val="19"/>
          <w:u w:val="single" w:color="auto"/>
          <w:color w:val="0E32E1"/>
        </w:rPr>
        <w:t>www.livanova.com/events</w:t>
      </w:r>
      <w:r>
        <w:rPr>
          <w:rFonts w:ascii="Arial" w:cs="Arial" w:eastAsia="Arial" w:hAnsi="Arial"/>
          <w:sz w:val="19"/>
          <w:szCs w:val="19"/>
          <w:color w:val="000000"/>
        </w:rPr>
        <w:t>. Listeners should register in advance and log on approximately 10 minutes early to ensure proper setup. To</w:t>
      </w:r>
      <w:r>
        <w:rPr>
          <w:rFonts w:ascii="Arial" w:cs="Arial" w:eastAsia="Arial" w:hAnsi="Arial"/>
          <w:sz w:val="19"/>
          <w:szCs w:val="19"/>
          <w:color w:val="0E32E1"/>
        </w:rPr>
        <w:t xml:space="preserve"> </w:t>
      </w:r>
      <w:r>
        <w:rPr>
          <w:rFonts w:ascii="Arial" w:cs="Arial" w:eastAsia="Arial" w:hAnsi="Arial"/>
          <w:sz w:val="19"/>
          <w:szCs w:val="19"/>
          <w:color w:val="000000"/>
        </w:rPr>
        <w:t xml:space="preserve">listen to the conference call by telephone, dial +1 844 200 6205 (if dialing from within the U.S.) or +1 929 526 1599 (if dialing from outside the U.S.). The conference call access code is 548193. Within 24 hours of the audiocast, a replay will be available at </w:t>
      </w:r>
      <w:r>
        <w:rPr>
          <w:rFonts w:ascii="Arial" w:cs="Arial" w:eastAsia="Arial" w:hAnsi="Arial"/>
          <w:sz w:val="19"/>
          <w:szCs w:val="19"/>
          <w:u w:val="single" w:color="auto"/>
          <w:color w:val="0E32E1"/>
        </w:rPr>
        <w:t>www.livanova.com/events</w:t>
      </w:r>
      <w:r>
        <w:rPr>
          <w:rFonts w:ascii="Arial" w:cs="Arial" w:eastAsia="Arial" w:hAnsi="Arial"/>
          <w:sz w:val="19"/>
          <w:szCs w:val="19"/>
          <w:color w:val="000000"/>
        </w:rPr>
        <w:t>, where it will be archived and accessible for approximately 90 days.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6D2077"/>
        </w:rPr>
        <w:t>About LivaNova</w:t>
      </w:r>
    </w:p>
    <w:p>
      <w:pPr>
        <w:spacing w:after="0" w:line="312" w:lineRule="exact"/>
        <w:rPr>
          <w:sz w:val="20"/>
          <w:szCs w:val="20"/>
          <w:color w:val="auto"/>
        </w:rPr>
      </w:pPr>
    </w:p>
    <w:p>
      <w:pPr>
        <w:jc w:val="both"/>
        <w:spacing w:after="0" w:line="354" w:lineRule="auto"/>
        <w:rPr>
          <w:sz w:val="20"/>
          <w:szCs w:val="20"/>
          <w:color w:val="auto"/>
        </w:rPr>
      </w:pPr>
      <w:r>
        <w:rPr>
          <w:rFonts w:ascii="Arial" w:cs="Arial" w:eastAsia="Arial" w:hAnsi="Arial"/>
          <w:sz w:val="19"/>
          <w:szCs w:val="19"/>
          <w:color w:val="auto"/>
        </w:rPr>
        <w:t xml:space="preserve">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3,000 employees and has a presence in more than 100 countries for the benefit of patients, healthcare professionals and healthcare systems worldwide. For more information, please visit </w:t>
      </w:r>
      <w:r>
        <w:rPr>
          <w:rFonts w:ascii="Arial" w:cs="Arial" w:eastAsia="Arial" w:hAnsi="Arial"/>
          <w:sz w:val="19"/>
          <w:szCs w:val="19"/>
          <w:u w:val="single" w:color="auto"/>
          <w:color w:val="0E32E1"/>
        </w:rPr>
        <w:t>www.livanova.com</w:t>
      </w:r>
      <w:r>
        <w:rPr>
          <w:rFonts w:ascii="Arial" w:cs="Arial" w:eastAsia="Arial" w:hAnsi="Arial"/>
          <w:sz w:val="19"/>
          <w:szCs w:val="19"/>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6D2077"/>
        </w:rPr>
        <w:t>Use of Non-GAAP Financial Measures</w:t>
      </w:r>
    </w:p>
    <w:p>
      <w:pPr>
        <w:spacing w:after="0" w:line="312" w:lineRule="exact"/>
        <w:rPr>
          <w:sz w:val="20"/>
          <w:szCs w:val="20"/>
          <w:color w:val="auto"/>
        </w:rPr>
      </w:pPr>
    </w:p>
    <w:p>
      <w:pPr>
        <w:jc w:val="both"/>
        <w:spacing w:after="0" w:line="353" w:lineRule="auto"/>
        <w:rPr>
          <w:sz w:val="20"/>
          <w:szCs w:val="20"/>
          <w:color w:val="auto"/>
        </w:rPr>
      </w:pPr>
      <w:r>
        <w:rPr>
          <w:rFonts w:ascii="Arial" w:cs="Arial" w:eastAsia="Arial" w:hAnsi="Arial"/>
          <w:sz w:val="19"/>
          <w:szCs w:val="19"/>
          <w:color w:val="auto"/>
        </w:rPr>
        <w:t>In this press release, management has disclosed financial measurements that present financial information not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operating performance measures as prescribed by GAAP.</w:t>
      </w:r>
    </w:p>
    <w:p>
      <w:pPr>
        <w:spacing w:after="0" w:line="207" w:lineRule="exact"/>
        <w:rPr>
          <w:sz w:val="20"/>
          <w:szCs w:val="20"/>
          <w:color w:val="auto"/>
        </w:rPr>
      </w:pPr>
    </w:p>
    <w:p>
      <w:pPr>
        <w:jc w:val="both"/>
        <w:spacing w:after="0" w:line="354" w:lineRule="auto"/>
        <w:rPr>
          <w:sz w:val="20"/>
          <w:szCs w:val="20"/>
          <w:color w:val="auto"/>
        </w:rPr>
      </w:pPr>
      <w:r>
        <w:rPr>
          <w:rFonts w:ascii="Arial" w:cs="Arial" w:eastAsia="Arial" w:hAnsi="Arial"/>
          <w:sz w:val="19"/>
          <w:szCs w:val="19"/>
          <w:color w:val="auto"/>
        </w:rPr>
        <w:t>Unless otherwise noted, all revenue growth rates in this release reflect comparable, constant-currency growth. Management believes that referring to comparable, constant-currency growth is the most useful way to evaluate the revenue performance of LivaNova and to compare the revenue performance of current periods to prior periods on a consistent basis. Constant-currency growth, a non-GAAP financial measure, measures the change in revenue between current and prior-year periods using average exchange rates in effect during the applicable prior-year period.</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LivaNova calculates forward-looking non-GAAP financial measures based on internal forecasts that omit certain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61" w:lineRule="exact"/>
        <w:rPr>
          <w:sz w:val="20"/>
          <w:szCs w:val="20"/>
          <w:color w:val="auto"/>
        </w:rPr>
      </w:pPr>
    </w:p>
    <w:p>
      <w:pPr>
        <w:jc w:val="both"/>
        <w:spacing w:after="0" w:line="399" w:lineRule="auto"/>
        <w:rPr>
          <w:sz w:val="20"/>
          <w:szCs w:val="20"/>
          <w:color w:val="auto"/>
        </w:rPr>
      </w:pPr>
      <w:r>
        <w:rPr>
          <w:rFonts w:ascii="Arial" w:cs="Arial" w:eastAsia="Arial" w:hAnsi="Arial"/>
          <w:sz w:val="17"/>
          <w:szCs w:val="17"/>
          <w:color w:val="auto"/>
        </w:rPr>
        <w:t>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 other items such as, but not limited to, changes in fair value of derivatives and contingent consideration arrangements and asset impairment charges that would be included in comparable GAAP financial measures. The most directly comparable GAAP measure for constant-currency net revenue, non-GAAP adjusted tax rate and adjusted diluted earnings per share are net revenue, the effective tax rate and earnings per share, respectively. The most directly comparable GAAP measure for adjusted free cash flow is net cash provided by operating activities.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other tax matters. Accordingly, forward-looking GAAP financial measures and reconciliations to the most directly comparable forward-looking GAAP financial measures are not available without unreasonable effort.</w:t>
      </w:r>
    </w:p>
    <w:p>
      <w:pPr>
        <w:spacing w:after="0" w:line="200" w:lineRule="exact"/>
        <w:rPr>
          <w:sz w:val="20"/>
          <w:szCs w:val="20"/>
          <w:color w:val="auto"/>
        </w:rPr>
      </w:pPr>
    </w:p>
    <w:p>
      <w:pPr>
        <w:spacing w:after="0" w:line="298" w:lineRule="exact"/>
        <w:rPr>
          <w:sz w:val="20"/>
          <w:szCs w:val="20"/>
          <w:color w:val="auto"/>
        </w:rPr>
      </w:pPr>
    </w:p>
    <w:p>
      <w:pPr>
        <w:jc w:val="both"/>
        <w:spacing w:after="0" w:line="399" w:lineRule="auto"/>
        <w:rPr>
          <w:sz w:val="20"/>
          <w:szCs w:val="20"/>
          <w:color w:val="auto"/>
        </w:rPr>
      </w:pPr>
      <w:r>
        <w:rPr>
          <w:rFonts w:ascii="Arial" w:cs="Arial" w:eastAsia="Arial" w:hAnsi="Arial"/>
          <w:sz w:val="17"/>
          <w:szCs w:val="17"/>
          <w:color w:val="auto"/>
        </w:rPr>
        <w:t>The Company also believes adjusted financial measures such as adjusted gross profit percentage, adjusted selling, general and administrative expense, adjusted research and development expense, adjusted other operating expenses, adjusted operating income, adjusted income tax expense, adjusted net income and adjusted diluted earnings per share, are measures by which LivaNova generally uses to facilitate management review of the operational performance of the company, to serve as a basis for strategic planning and to assist in the design of compensation incentive plans. Additionally, the Company also uses the non-GAAP liquidity measure adjusted free cash flow.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6D2077"/>
        </w:rPr>
        <w:t>Safe Harbor Statement</w:t>
      </w:r>
    </w:p>
    <w:p>
      <w:pPr>
        <w:spacing w:after="0" w:line="300" w:lineRule="exact"/>
        <w:rPr>
          <w:sz w:val="20"/>
          <w:szCs w:val="20"/>
          <w:color w:val="auto"/>
        </w:rPr>
      </w:pPr>
    </w:p>
    <w:p>
      <w:pPr>
        <w:jc w:val="both"/>
        <w:spacing w:after="0" w:line="408" w:lineRule="auto"/>
        <w:rPr>
          <w:sz w:val="20"/>
          <w:szCs w:val="20"/>
          <w:color w:val="auto"/>
        </w:rPr>
      </w:pPr>
      <w:r>
        <w:rPr>
          <w:rFonts w:ascii="Arial" w:cs="Arial" w:eastAsia="Arial" w:hAnsi="Arial"/>
          <w:sz w:val="17"/>
          <w:szCs w:val="17"/>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61" w:lineRule="exact"/>
        <w:rPr>
          <w:sz w:val="20"/>
          <w:szCs w:val="20"/>
          <w:color w:val="auto"/>
        </w:rPr>
      </w:pPr>
    </w:p>
    <w:p>
      <w:pPr>
        <w:jc w:val="both"/>
        <w:spacing w:after="0" w:line="397" w:lineRule="auto"/>
        <w:rPr>
          <w:sz w:val="20"/>
          <w:szCs w:val="20"/>
          <w:color w:val="auto"/>
        </w:rPr>
      </w:pPr>
      <w:r>
        <w:rPr>
          <w:rFonts w:ascii="Arial" w:cs="Arial" w:eastAsia="Arial" w:hAnsi="Arial"/>
          <w:sz w:val="17"/>
          <w:szCs w:val="17"/>
          <w:color w:val="auto"/>
        </w:rPr>
        <w:t>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"outlook,"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revenue, adjusted diluted earnings per share, cash flow from operations, capital expenditures, depreciation and amortization, advancing our growth, driving product launches and funding our equity investments, executing on our synergy targets and retaining our focus, energy and discipline as a company, and serving the needs of our customers and patients. Important factors that may cause actual results to differ include, but are not limited to: (i) risks related to reductions, interruptions or increasing costs related to the supply of raw materials and components and the distribution of finished products, including as a result of inflation and war; (ii) volatility in the global market and worldwide economic conditions, including volatility caused by the invasion of Ukraine, inflation, changes to existing trade agreements and relationships between the U.S. and other countries including the implementation of sanctions; (iii) non-U.S. operational and economic risks and concerns including the effect of changes in foreign exchange rates on quarterly operating results; (iv) failure to retain key personnel, prevent labor shortages, or manage labor costs; (v) risks associated with the impairment of goodwill and other assets resulting from acquisitions; (vi) risks relating to the effects of interest rate fluctuations on our operating results; (vii) risks relating to the outbreak and spread of COVID-19 and its variants around the world, including market volatility, reductions in business operations and reduction in medical procedures; (viii) changes in technology, including the development of superior or alternative technology or devices by competitors and/or competition from providers of alternative medical therapies; (ix) losses or costs from pending or future lawsuits and governmental investigations, including any amount of liability or damages imposed by the Appeals Court or the Supreme Court of Italy with respect to SNIA S.p.A.; (x) failure to develop and commercialize new products and the rate and degree of market acceptance of such products; (xi) failure to obtain approvals or maintain the current regulatory approvals for our products’ approved indications; (xii) failure to comply with, or changes in, laws, regulations or administrative practices affecting government regulation of our products, including, but not limited to, U.S. Food and Drug Administration (“FDA”) laws and regulations; (xiii) changes in customer spending patterns; (xiv)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61"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to establish, expand or maintain market acceptance of our products for the treatment of our approved indications; (xv) 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 (xvi) failure to obtain or maintain coverage and reimbursement for our products’ approved indications and risks related to cost containment efforts of healthcare purchasing organizations; (xvii) unfavorable results from clinical studies or failure to meet milestones; (xviii) risks relating to our indebtedness under the exchangeable senior notes, our revolving credit facility and our 2022 Term Facilities; (xix) effectiveness of our internal controls over financial reporting; (xx) changes in our profitability and/or failure to manage costs and expenses; (xxi) fluctuations in future quarterly operating results and/or variations in revenue and operating expenses relative to estimates; (xxii) cyber-attacks or other disruptions to our information technology systems;</w:t>
      </w:r>
    </w:p>
    <w:p>
      <w:pPr>
        <w:spacing w:after="0" w:line="5" w:lineRule="exact"/>
        <w:rPr>
          <w:sz w:val="20"/>
          <w:szCs w:val="20"/>
          <w:color w:val="auto"/>
        </w:rPr>
      </w:pPr>
    </w:p>
    <w:p>
      <w:pPr>
        <w:jc w:val="both"/>
        <w:ind w:firstLine="1"/>
        <w:spacing w:after="0" w:line="400" w:lineRule="auto"/>
        <w:tabs>
          <w:tab w:leader="none" w:pos="504"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product liability, intellectual property, shareholder-related, environmental-related, income tax and other litigation, disputes, losses and costs; (xxiv) protection, expiration and validity of our intellectual property; (xxv) failure to comply with applicable U.S. laws and regulations, including federal and state privacy and security laws and regulations, and applicable non-U.S. laws and regulations; (xxvi) harsh weather or natural disasters, including as a result of climate change, that interrupt our business operations or the business operations of our hospital-customers or failure to comply with evolving environmental laws; (xxvii) failure of new acquisitions to further our strategic objectives or strengthen our existing businesses; (xxviii) changes in tax laws and regulations, including exposure to additional income tax liabilities; (xxix) changes in our common stock price; and (xxx) activist investors causing disruptions to the business.</w:t>
      </w:r>
    </w:p>
    <w:p>
      <w:pPr>
        <w:spacing w:after="0" w:line="183" w:lineRule="exact"/>
        <w:rPr>
          <w:sz w:val="20"/>
          <w:szCs w:val="20"/>
          <w:color w:val="auto"/>
        </w:rPr>
      </w:pPr>
    </w:p>
    <w:p>
      <w:pPr>
        <w:jc w:val="both"/>
        <w:spacing w:after="0" w:line="352" w:lineRule="auto"/>
        <w:rPr>
          <w:sz w:val="20"/>
          <w:szCs w:val="20"/>
          <w:color w:val="auto"/>
        </w:rPr>
      </w:pPr>
      <w:r>
        <w:rPr>
          <w:rFonts w:ascii="Arial" w:cs="Arial" w:eastAsia="Arial" w:hAnsi="Arial"/>
          <w:sz w:val="19"/>
          <w:szCs w:val="19"/>
          <w:color w:val="auto"/>
        </w:rPr>
        <w:t>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209" w:lineRule="exact"/>
        <w:rPr>
          <w:sz w:val="20"/>
          <w:szCs w:val="20"/>
          <w:color w:val="auto"/>
        </w:rPr>
      </w:pPr>
    </w:p>
    <w:p>
      <w:pPr>
        <w:jc w:val="both"/>
        <w:spacing w:after="0" w:line="354" w:lineRule="auto"/>
        <w:rPr>
          <w:sz w:val="20"/>
          <w:szCs w:val="20"/>
          <w:color w:val="auto"/>
        </w:rPr>
      </w:pPr>
      <w:r>
        <w:rPr>
          <w:rFonts w:ascii="Arial" w:cs="Arial" w:eastAsia="Arial" w:hAnsi="Arial"/>
          <w:sz w:val="19"/>
          <w:szCs w:val="19"/>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color w:val="auto"/>
        </w:rPr>
        <w:t>Briana Gotlin</w:t>
      </w:r>
    </w:p>
    <w:p>
      <w:pPr>
        <w:spacing w:after="0"/>
        <w:rPr>
          <w:sz w:val="20"/>
          <w:szCs w:val="20"/>
          <w:color w:val="auto"/>
        </w:rPr>
      </w:pPr>
      <w:r>
        <w:rPr>
          <w:rFonts w:ascii="Arial" w:cs="Arial" w:eastAsia="Arial" w:hAnsi="Arial"/>
          <w:sz w:val="19"/>
          <w:szCs w:val="19"/>
          <w:color w:val="auto"/>
        </w:rPr>
        <w:t>Director, Investor Relations</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Phone: +1 281 895 2382</w:t>
      </w:r>
    </w:p>
    <w:p>
      <w:pPr>
        <w:spacing w:after="0"/>
        <w:rPr>
          <w:sz w:val="20"/>
          <w:szCs w:val="20"/>
          <w:color w:val="auto"/>
        </w:rPr>
      </w:pPr>
      <w:r>
        <w:rPr>
          <w:rFonts w:ascii="Arial" w:cs="Arial" w:eastAsia="Arial" w:hAnsi="Arial"/>
          <w:sz w:val="19"/>
          <w:szCs w:val="19"/>
          <w:color w:val="auto"/>
        </w:rPr>
        <w:t>e-mail: InvestorRelations@livanova.com</w:t>
      </w:r>
    </w:p>
    <w:p>
      <w:pPr>
        <w:spacing w:after="0" w:line="310"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059"/>
          </w:cols>
          <w:pgMar w:left="400" w:top="1359" w:right="1440" w:bottom="1440" w:gutter="0" w:footer="0" w:header="0"/>
        </w:sectPr>
      </w:pPr>
    </w:p>
    <w:bookmarkStart w:id="11" w:name="page12"/>
    <w:bookmarkEnd w:id="11"/>
    <w:tbl>
      <w:tblPr>
        <w:tblLayout w:type="fixed"/>
        <w:tblInd w:w="9" w:type="dxa"/>
        <w:tblCellMar>
          <w:top w:w="0" w:type="dxa"/>
          <w:left w:w="0" w:type="dxa"/>
          <w:bottom w:w="0" w:type="dxa"/>
          <w:right w:w="0" w:type="dxa"/>
        </w:tblCellMar>
      </w:tblPr>
      <w:tr>
        <w:trPr>
          <w:trHeight w:val="215"/>
        </w:trPr>
        <w:tc>
          <w:tcPr>
            <w:tcW w:w="4540" w:type="dxa"/>
            <w:vAlign w:val="bottom"/>
          </w:tcPr>
          <w:p>
            <w:pPr>
              <w:spacing w:after="0"/>
              <w:rPr>
                <w:sz w:val="20"/>
                <w:szCs w:val="20"/>
                <w:color w:val="auto"/>
              </w:rPr>
            </w:pPr>
            <w:r>
              <w:rPr>
                <w:rFonts w:ascii="Arial" w:cs="Arial" w:eastAsia="Arial" w:hAnsi="Arial"/>
                <w:sz w:val="17"/>
                <w:szCs w:val="17"/>
                <w:b w:val="1"/>
                <w:bCs w:val="1"/>
                <w:color w:val="auto"/>
              </w:rPr>
              <w:t>LIVANOVA PLC</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40" w:type="dxa"/>
            <w:vAlign w:val="bottom"/>
          </w:tcPr>
          <w:p>
            <w:pPr>
              <w:spacing w:after="0"/>
              <w:rPr>
                <w:sz w:val="20"/>
                <w:szCs w:val="20"/>
                <w:color w:val="auto"/>
              </w:rPr>
            </w:pPr>
            <w:r>
              <w:rPr>
                <w:rFonts w:ascii="Arial" w:cs="Arial" w:eastAsia="Arial" w:hAnsi="Arial"/>
                <w:sz w:val="17"/>
                <w:szCs w:val="17"/>
                <w:b w:val="1"/>
                <w:bCs w:val="1"/>
                <w:color w:val="auto"/>
              </w:rPr>
              <w:t>NET REVENUE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7"/>
                <w:szCs w:val="17"/>
                <w:b w:val="1"/>
                <w:bCs w:val="1"/>
                <w:color w:val="auto"/>
              </w:rPr>
              <w:t>(U.S. dollars in millions)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gridSpan w:val="4"/>
            <w:vMerge w:val="restart"/>
          </w:tcPr>
          <w:p>
            <w:pPr>
              <w:ind w:left="480"/>
              <w:spacing w:after="0"/>
              <w:rPr>
                <w:sz w:val="20"/>
                <w:szCs w:val="20"/>
                <w:color w:val="auto"/>
              </w:rPr>
            </w:pPr>
            <w:r>
              <w:rPr>
                <w:rFonts w:ascii="Arial" w:cs="Arial" w:eastAsia="Arial" w:hAnsi="Arial"/>
                <w:sz w:val="17"/>
                <w:szCs w:val="17"/>
                <w:b w:val="1"/>
                <w:bCs w:val="1"/>
                <w:color w:val="auto"/>
                <w:w w:val="99"/>
              </w:rPr>
              <w:t>Three Months Ended September 30,</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vMerge w:val="continue"/>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vMerge w:val="restart"/>
          </w:tcPr>
          <w:p>
            <w:pPr>
              <w:jc w:val="center"/>
              <w:ind w:right="160"/>
              <w:spacing w:after="0"/>
              <w:rPr>
                <w:sz w:val="20"/>
                <w:szCs w:val="20"/>
                <w:color w:val="auto"/>
              </w:rPr>
            </w:pPr>
            <w:r>
              <w:rPr>
                <w:rFonts w:ascii="Arial" w:cs="Arial" w:eastAsia="Arial" w:hAnsi="Arial"/>
                <w:sz w:val="17"/>
                <w:szCs w:val="17"/>
                <w:b w:val="1"/>
                <w:bCs w:val="1"/>
                <w:color w:val="auto"/>
                <w:w w:val="99"/>
              </w:rPr>
              <w:t>% Change at Actual</w:t>
            </w:r>
          </w:p>
        </w:tc>
        <w:tc>
          <w:tcPr>
            <w:tcW w:w="1860" w:type="dxa"/>
            <w:vAlign w:val="bottom"/>
          </w:tcPr>
          <w:p>
            <w:pPr>
              <w:jc w:val="center"/>
              <w:spacing w:after="0" w:line="157" w:lineRule="exact"/>
              <w:rPr>
                <w:sz w:val="20"/>
                <w:szCs w:val="20"/>
                <w:color w:val="auto"/>
              </w:rPr>
            </w:pPr>
            <w:r>
              <w:rPr>
                <w:rFonts w:ascii="Arial" w:cs="Arial" w:eastAsia="Arial" w:hAnsi="Arial"/>
                <w:sz w:val="17"/>
                <w:szCs w:val="17"/>
                <w:b w:val="1"/>
                <w:bCs w:val="1"/>
                <w:color w:val="auto"/>
                <w:w w:val="99"/>
              </w:rPr>
              <w:t>% Change at</w:t>
            </w:r>
          </w:p>
        </w:tc>
        <w:tc>
          <w:tcPr>
            <w:tcW w:w="0" w:type="dxa"/>
            <w:vAlign w:val="bottom"/>
          </w:tcPr>
          <w:p>
            <w:pPr>
              <w:spacing w:after="0"/>
              <w:rPr>
                <w:sz w:val="1"/>
                <w:szCs w:val="1"/>
                <w:color w:val="auto"/>
              </w:rPr>
            </w:pPr>
          </w:p>
        </w:tc>
      </w:tr>
      <w:tr>
        <w:trPr>
          <w:trHeight w:val="164"/>
        </w:trPr>
        <w:tc>
          <w:tcPr>
            <w:tcW w:w="4540" w:type="dxa"/>
            <w:vAlign w:val="bottom"/>
          </w:tcPr>
          <w:p>
            <w:pPr>
              <w:spacing w:after="0"/>
              <w:rPr>
                <w:sz w:val="14"/>
                <w:szCs w:val="14"/>
                <w:color w:val="auto"/>
              </w:rPr>
            </w:pPr>
          </w:p>
        </w:tc>
        <w:tc>
          <w:tcPr>
            <w:tcW w:w="1320" w:type="dxa"/>
            <w:vAlign w:val="bottom"/>
            <w:vMerge w:val="restart"/>
          </w:tcPr>
          <w:p>
            <w:pPr>
              <w:jc w:val="right"/>
              <w:ind w:right="39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1320" w:type="dxa"/>
            <w:vAlign w:val="bottom"/>
            <w:vMerge w:val="restart"/>
          </w:tcPr>
          <w:p>
            <w:pPr>
              <w:ind w:left="480"/>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860" w:type="dxa"/>
            <w:vAlign w:val="bottom"/>
          </w:tcPr>
          <w:p>
            <w:pPr>
              <w:jc w:val="center"/>
              <w:spacing w:after="0" w:line="164" w:lineRule="exact"/>
              <w:rPr>
                <w:sz w:val="20"/>
                <w:szCs w:val="20"/>
                <w:color w:val="auto"/>
              </w:rPr>
            </w:pPr>
            <w:r>
              <w:rPr>
                <w:rFonts w:ascii="Arial" w:cs="Arial" w:eastAsia="Arial" w:hAnsi="Arial"/>
                <w:sz w:val="17"/>
                <w:szCs w:val="17"/>
                <w:b w:val="1"/>
                <w:bCs w:val="1"/>
                <w:color w:val="auto"/>
                <w:w w:val="98"/>
              </w:rPr>
              <w:t>Constant-Currency</w:t>
            </w:r>
          </w:p>
        </w:tc>
        <w:tc>
          <w:tcPr>
            <w:tcW w:w="0" w:type="dxa"/>
            <w:vAlign w:val="bottom"/>
          </w:tcPr>
          <w:p>
            <w:pPr>
              <w:spacing w:after="0"/>
              <w:rPr>
                <w:sz w:val="1"/>
                <w:szCs w:val="1"/>
                <w:color w:val="auto"/>
              </w:rPr>
            </w:pPr>
          </w:p>
        </w:tc>
      </w:tr>
      <w:tr>
        <w:trPr>
          <w:trHeight w:val="227"/>
        </w:trPr>
        <w:tc>
          <w:tcPr>
            <w:tcW w:w="4540" w:type="dxa"/>
            <w:vAlign w:val="bottom"/>
            <w:vMerge w:val="restart"/>
          </w:tcPr>
          <w:p>
            <w:pPr>
              <w:spacing w:after="0"/>
              <w:rPr>
                <w:sz w:val="20"/>
                <w:szCs w:val="20"/>
                <w:color w:val="auto"/>
              </w:rPr>
            </w:pPr>
            <w:r>
              <w:rPr>
                <w:rFonts w:ascii="Arial" w:cs="Arial" w:eastAsia="Arial" w:hAnsi="Arial"/>
                <w:sz w:val="17"/>
                <w:szCs w:val="17"/>
                <w:b w:val="1"/>
                <w:bCs w:val="1"/>
                <w:color w:val="auto"/>
              </w:rPr>
              <w:t>Cardiopulmonary</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8"/>
              </w:rPr>
              <w:t>Currency Rates</w:t>
            </w:r>
          </w:p>
        </w:tc>
        <w:tc>
          <w:tcPr>
            <w:tcW w:w="1860" w:type="dxa"/>
            <w:vAlign w:val="bottom"/>
          </w:tcPr>
          <w:p>
            <w:pPr>
              <w:jc w:val="center"/>
              <w:spacing w:after="0" w:line="228" w:lineRule="exact"/>
              <w:rPr>
                <w:sz w:val="20"/>
                <w:szCs w:val="20"/>
                <w:color w:val="auto"/>
              </w:rPr>
            </w:pPr>
            <w:r>
              <w:rPr>
                <w:rFonts w:ascii="Arial" w:cs="Arial" w:eastAsia="Arial" w:hAnsi="Arial"/>
                <w:sz w:val="17"/>
                <w:szCs w:val="17"/>
                <w:b w:val="1"/>
                <w:bCs w:val="1"/>
                <w:color w:val="auto"/>
                <w:w w:val="93"/>
              </w:rPr>
              <w:t xml:space="preserve">Rates </w:t>
            </w:r>
            <w:r>
              <w:rPr>
                <w:rFonts w:ascii="Arial" w:cs="Arial" w:eastAsia="Arial" w:hAnsi="Arial"/>
                <w:sz w:val="21"/>
                <w:szCs w:val="21"/>
                <w:b w:val="1"/>
                <w:bCs w:val="1"/>
                <w:color w:val="auto"/>
                <w:w w:val="93"/>
                <w:vertAlign w:val="superscript"/>
              </w:rPr>
              <w:t>(1)</w:t>
            </w:r>
          </w:p>
        </w:tc>
        <w:tc>
          <w:tcPr>
            <w:tcW w:w="0" w:type="dxa"/>
            <w:vAlign w:val="bottom"/>
          </w:tcPr>
          <w:p>
            <w:pPr>
              <w:spacing w:after="0"/>
              <w:rPr>
                <w:sz w:val="1"/>
                <w:szCs w:val="1"/>
                <w:color w:val="auto"/>
              </w:rPr>
            </w:pPr>
          </w:p>
        </w:tc>
      </w:tr>
      <w:tr>
        <w:trPr>
          <w:trHeight w:val="194"/>
        </w:trPr>
        <w:tc>
          <w:tcPr>
            <w:tcW w:w="4540" w:type="dxa"/>
            <w:vAlign w:val="bottom"/>
            <w:vMerge w:val="continue"/>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$38.5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$40.1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5"/>
        </w:trPr>
        <w:tc>
          <w:tcPr>
            <w:tcW w:w="454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32.9</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2.8 %</w:t>
            </w:r>
          </w:p>
        </w:tc>
        <w:tc>
          <w:tcPr>
            <w:tcW w:w="0" w:type="dxa"/>
            <w:vAlign w:val="bottom"/>
          </w:tcPr>
          <w:p>
            <w:pPr>
              <w:spacing w:after="0"/>
              <w:rPr>
                <w:sz w:val="1"/>
                <w:szCs w:val="1"/>
                <w:color w:val="auto"/>
              </w:rPr>
            </w:pPr>
          </w:p>
        </w:tc>
      </w:tr>
      <w:tr>
        <w:trPr>
          <w:trHeight w:val="215"/>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6.9 %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17.7 %</w:t>
            </w:r>
          </w:p>
        </w:tc>
        <w:tc>
          <w:tcPr>
            <w:tcW w:w="0" w:type="dxa"/>
            <w:vAlign w:val="bottom"/>
          </w:tcPr>
          <w:p>
            <w:pPr>
              <w:spacing w:after="0"/>
              <w:rPr>
                <w:sz w:val="1"/>
                <w:szCs w:val="1"/>
                <w:color w:val="auto"/>
              </w:rPr>
            </w:pPr>
          </w:p>
        </w:tc>
      </w:tr>
      <w:tr>
        <w:trPr>
          <w:trHeight w:val="207"/>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121.0</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6.6 %</w:t>
            </w:r>
          </w:p>
        </w:tc>
        <w:tc>
          <w:tcPr>
            <w:tcW w:w="0" w:type="dxa"/>
            <w:vAlign w:val="bottom"/>
          </w:tcPr>
          <w:p>
            <w:pPr>
              <w:spacing w:after="0"/>
              <w:rPr>
                <w:sz w:val="1"/>
                <w:szCs w:val="1"/>
                <w:color w:val="auto"/>
              </w:rPr>
            </w:pPr>
          </w:p>
        </w:tc>
      </w:tr>
      <w:tr>
        <w:trPr>
          <w:trHeight w:val="202"/>
        </w:trPr>
        <w:tc>
          <w:tcPr>
            <w:tcW w:w="4540" w:type="dxa"/>
            <w:vAlign w:val="bottom"/>
          </w:tcPr>
          <w:p>
            <w:pPr>
              <w:spacing w:after="0"/>
              <w:rPr>
                <w:sz w:val="20"/>
                <w:szCs w:val="20"/>
                <w:color w:val="auto"/>
              </w:rPr>
            </w:pPr>
            <w:r>
              <w:rPr>
                <w:rFonts w:ascii="Arial" w:cs="Arial" w:eastAsia="Arial" w:hAnsi="Arial"/>
                <w:sz w:val="17"/>
                <w:szCs w:val="17"/>
                <w:b w:val="1"/>
                <w:bCs w:val="1"/>
                <w:color w:val="auto"/>
              </w:rPr>
              <w:t>Neuromodulation</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96.5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88.7</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8.8 %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8.8 %</w:t>
            </w:r>
          </w:p>
        </w:tc>
        <w:tc>
          <w:tcPr>
            <w:tcW w:w="0" w:type="dxa"/>
            <w:vAlign w:val="bottom"/>
          </w:tcPr>
          <w:p>
            <w:pPr>
              <w:spacing w:after="0"/>
              <w:rPr>
                <w:sz w:val="1"/>
                <w:szCs w:val="1"/>
                <w:color w:val="auto"/>
              </w:rPr>
            </w:pPr>
          </w:p>
        </w:tc>
      </w:tr>
      <w:tr>
        <w:trPr>
          <w:trHeight w:val="215"/>
        </w:trPr>
        <w:tc>
          <w:tcPr>
            <w:tcW w:w="454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12.5</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4.8 %</w:t>
            </w:r>
          </w:p>
        </w:tc>
        <w:tc>
          <w:tcPr>
            <w:tcW w:w="0" w:type="dxa"/>
            <w:vAlign w:val="bottom"/>
          </w:tcPr>
          <w:p>
            <w:pPr>
              <w:spacing w:after="0"/>
              <w:rPr>
                <w:sz w:val="1"/>
                <w:szCs w:val="1"/>
                <w:color w:val="auto"/>
              </w:rPr>
            </w:pPr>
          </w:p>
        </w:tc>
      </w:tr>
      <w:tr>
        <w:trPr>
          <w:trHeight w:val="215"/>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17.9 %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28.5 %</w:t>
            </w:r>
          </w:p>
        </w:tc>
        <w:tc>
          <w:tcPr>
            <w:tcW w:w="0" w:type="dxa"/>
            <w:vAlign w:val="bottom"/>
          </w:tcPr>
          <w:p>
            <w:pPr>
              <w:spacing w:after="0"/>
              <w:rPr>
                <w:sz w:val="1"/>
                <w:szCs w:val="1"/>
                <w:color w:val="auto"/>
              </w:rPr>
            </w:pPr>
          </w:p>
        </w:tc>
      </w:tr>
      <w:tr>
        <w:trPr>
          <w:trHeight w:val="207"/>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113.3</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7.5 %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10.4 %</w:t>
            </w:r>
          </w:p>
        </w:tc>
        <w:tc>
          <w:tcPr>
            <w:tcW w:w="0" w:type="dxa"/>
            <w:vAlign w:val="bottom"/>
          </w:tcPr>
          <w:p>
            <w:pPr>
              <w:spacing w:after="0"/>
              <w:rPr>
                <w:sz w:val="1"/>
                <w:szCs w:val="1"/>
                <w:color w:val="auto"/>
              </w:rPr>
            </w:pPr>
          </w:p>
        </w:tc>
      </w:tr>
      <w:tr>
        <w:trPr>
          <w:trHeight w:val="202"/>
        </w:trPr>
        <w:tc>
          <w:tcPr>
            <w:tcW w:w="4540" w:type="dxa"/>
            <w:vAlign w:val="bottom"/>
          </w:tcPr>
          <w:p>
            <w:pPr>
              <w:spacing w:after="0"/>
              <w:rPr>
                <w:sz w:val="20"/>
                <w:szCs w:val="20"/>
                <w:color w:val="auto"/>
              </w:rPr>
            </w:pPr>
            <w:r>
              <w:rPr>
                <w:rFonts w:ascii="Arial" w:cs="Arial" w:eastAsia="Arial" w:hAnsi="Arial"/>
                <w:sz w:val="17"/>
                <w:szCs w:val="17"/>
                <w:b w:val="1"/>
                <w:bCs w:val="1"/>
                <w:color w:val="auto"/>
              </w:rPr>
              <w:t>Advanced Circulatory Support</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14.9</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15"/>
        </w:trPr>
        <w:tc>
          <w:tcPr>
            <w:tcW w:w="454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8"/>
                <w:szCs w:val="18"/>
                <w:color w:val="auto"/>
              </w:rPr>
            </w:pPr>
          </w:p>
        </w:tc>
        <w:tc>
          <w:tcPr>
            <w:tcW w:w="1940" w:type="dxa"/>
            <w:vAlign w:val="bottom"/>
            <w:gridSpan w:val="2"/>
          </w:tcPr>
          <w:p>
            <w:pPr>
              <w:ind w:left="1560"/>
              <w:spacing w:after="0"/>
              <w:rPr>
                <w:sz w:val="20"/>
                <w:szCs w:val="20"/>
                <w:color w:val="auto"/>
              </w:rPr>
            </w:pPr>
            <w:r>
              <w:rPr>
                <w:rFonts w:ascii="Arial" w:cs="Arial" w:eastAsia="Arial" w:hAnsi="Arial"/>
                <w:sz w:val="17"/>
                <w:szCs w:val="17"/>
                <w:color w:val="auto"/>
              </w:rPr>
              <w:t>NM</w:t>
            </w:r>
          </w:p>
        </w:tc>
        <w:tc>
          <w:tcPr>
            <w:tcW w:w="186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5"/>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1940" w:type="dxa"/>
            <w:vAlign w:val="bottom"/>
            <w:gridSpan w:val="2"/>
          </w:tcPr>
          <w:p>
            <w:pPr>
              <w:ind w:left="1560"/>
              <w:spacing w:after="0"/>
              <w:rPr>
                <w:sz w:val="20"/>
                <w:szCs w:val="20"/>
                <w:color w:val="auto"/>
              </w:rPr>
            </w:pPr>
            <w:r>
              <w:rPr>
                <w:rFonts w:ascii="Arial" w:cs="Arial" w:eastAsia="Arial" w:hAnsi="Arial"/>
                <w:sz w:val="17"/>
                <w:szCs w:val="17"/>
                <w:color w:val="auto"/>
              </w:rPr>
              <w:t>NM</w:t>
            </w:r>
          </w:p>
        </w:tc>
        <w:tc>
          <w:tcPr>
            <w:tcW w:w="186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7"/>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(43.9)%</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02"/>
        </w:trPr>
        <w:tc>
          <w:tcPr>
            <w:tcW w:w="4540" w:type="dxa"/>
            <w:vAlign w:val="bottom"/>
          </w:tcPr>
          <w:p>
            <w:pPr>
              <w:spacing w:after="0"/>
              <w:rPr>
                <w:sz w:val="20"/>
                <w:szCs w:val="20"/>
                <w:color w:val="auto"/>
              </w:rPr>
            </w:pPr>
            <w:r>
              <w:rPr>
                <w:rFonts w:ascii="Arial" w:cs="Arial" w:eastAsia="Arial" w:hAnsi="Arial"/>
                <w:sz w:val="17"/>
                <w:szCs w:val="17"/>
                <w:b w:val="1"/>
                <w:bCs w:val="1"/>
                <w:color w:val="auto"/>
              </w:rPr>
              <w:t>Other</w:t>
            </w: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420" w:type="dxa"/>
            <w:vAlign w:val="bottom"/>
            <w:gridSpan w:val="2"/>
            <w:vMerge w:val="continue"/>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86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15"/>
        </w:trPr>
        <w:tc>
          <w:tcPr>
            <w:tcW w:w="4540" w:type="dxa"/>
            <w:vAlign w:val="bottom"/>
          </w:tcPr>
          <w:p>
            <w:pPr>
              <w:ind w:left="100"/>
              <w:spacing w:after="0"/>
              <w:rPr>
                <w:sz w:val="20"/>
                <w:szCs w:val="20"/>
                <w:color w:val="auto"/>
              </w:rPr>
            </w:pPr>
            <w:r>
              <w:rPr>
                <w:rFonts w:ascii="Arial" w:cs="Arial" w:eastAsia="Arial" w:hAnsi="Arial"/>
                <w:sz w:val="17"/>
                <w:szCs w:val="17"/>
                <w:color w:val="auto"/>
              </w:rPr>
              <w:t>Europe</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86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15"/>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207"/>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202"/>
        </w:trPr>
        <w:tc>
          <w:tcPr>
            <w:tcW w:w="4540" w:type="dxa"/>
            <w:vAlign w:val="bottom"/>
          </w:tcPr>
          <w:p>
            <w:pPr>
              <w:spacing w:after="0"/>
              <w:rPr>
                <w:sz w:val="20"/>
                <w:szCs w:val="20"/>
                <w:color w:val="auto"/>
              </w:rPr>
            </w:pPr>
            <w:r>
              <w:rPr>
                <w:rFonts w:ascii="Arial" w:cs="Arial" w:eastAsia="Arial" w:hAnsi="Arial"/>
                <w:sz w:val="17"/>
                <w:szCs w:val="17"/>
                <w:b w:val="1"/>
                <w:bCs w:val="1"/>
                <w:color w:val="auto"/>
              </w:rPr>
              <w:t>Totals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143.4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143.8</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7"/>
        </w:trPr>
        <w:tc>
          <w:tcPr>
            <w:tcW w:w="4540" w:type="dxa"/>
            <w:vAlign w:val="bottom"/>
          </w:tcPr>
          <w:p>
            <w:pPr>
              <w:ind w:left="100"/>
              <w:spacing w:after="0" w:line="227"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1"/>
                <w:szCs w:val="21"/>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45.7</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2.8 %</w:t>
            </w:r>
          </w:p>
        </w:tc>
        <w:tc>
          <w:tcPr>
            <w:tcW w:w="0" w:type="dxa"/>
            <w:vAlign w:val="bottom"/>
          </w:tcPr>
          <w:p>
            <w:pPr>
              <w:spacing w:after="0"/>
              <w:rPr>
                <w:sz w:val="1"/>
                <w:szCs w:val="1"/>
                <w:color w:val="auto"/>
              </w:rPr>
            </w:pPr>
          </w:p>
        </w:tc>
      </w:tr>
      <w:tr>
        <w:trPr>
          <w:trHeight w:val="203"/>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63.7</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8.6 %</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19.4 %</w:t>
            </w:r>
          </w:p>
        </w:tc>
        <w:tc>
          <w:tcPr>
            <w:tcW w:w="0" w:type="dxa"/>
            <w:vAlign w:val="bottom"/>
          </w:tcPr>
          <w:p>
            <w:pPr>
              <w:spacing w:after="0"/>
              <w:rPr>
                <w:sz w:val="1"/>
                <w:szCs w:val="1"/>
                <w:color w:val="auto"/>
              </w:rPr>
            </w:pPr>
          </w:p>
        </w:tc>
      </w:tr>
      <w:tr>
        <w:trPr>
          <w:trHeight w:val="208"/>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5.2 %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9" w:right="40" w:hanging="409"/>
        <w:spacing w:after="0" w:line="231" w:lineRule="auto"/>
        <w:tabs>
          <w:tab w:leader="none" w:pos="409"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Constant-currency growth, a non-GAAP financial measure, measures the change in revenue between current and prior-year periods using average exchange rates in effect during the applicable prior-year period.</w:t>
      </w:r>
    </w:p>
    <w:p>
      <w:pPr>
        <w:spacing w:after="0" w:line="21" w:lineRule="exact"/>
        <w:rPr>
          <w:rFonts w:ascii="Arial" w:cs="Arial" w:eastAsia="Arial" w:hAnsi="Arial"/>
          <w:sz w:val="15"/>
          <w:szCs w:val="15"/>
          <w:color w:val="auto"/>
        </w:rPr>
      </w:pPr>
    </w:p>
    <w:p>
      <w:pPr>
        <w:ind w:left="409" w:right="480" w:hanging="409"/>
        <w:spacing w:after="0" w:line="231" w:lineRule="auto"/>
        <w:tabs>
          <w:tab w:leader="none" w:pos="409" w:val="left"/>
        </w:tabs>
        <w:numPr>
          <w:ilvl w:val="0"/>
          <w:numId w:val="8"/>
        </w:numPr>
        <w:rPr>
          <w:rFonts w:ascii="Arial" w:cs="Arial" w:eastAsia="Arial" w:hAnsi="Arial"/>
          <w:sz w:val="15"/>
          <w:szCs w:val="15"/>
          <w:color w:val="auto"/>
        </w:rPr>
      </w:pPr>
      <w:r>
        <w:rPr>
          <w:rFonts w:ascii="Arial" w:cs="Arial" w:eastAsia="Arial" w:hAnsi="Arial"/>
          <w:sz w:val="15"/>
          <w:szCs w:val="15"/>
          <w:color w:val="auto"/>
        </w:rPr>
        <w:t>Europe revenue includes those countries in which we have a direct sales presence, whereas European countries in which we sell through distributors are included in “Rest of World.”</w:t>
      </w:r>
    </w:p>
    <w:p>
      <w:pPr>
        <w:spacing w:after="0" w:line="22" w:lineRule="exact"/>
        <w:rPr>
          <w:sz w:val="20"/>
          <w:szCs w:val="20"/>
          <w:color w:val="auto"/>
        </w:rPr>
      </w:pPr>
    </w:p>
    <w:p>
      <w:pPr>
        <w:ind w:left="9"/>
        <w:spacing w:after="0"/>
        <w:tabs>
          <w:tab w:leader="none" w:pos="389" w:val="left"/>
        </w:tabs>
        <w:rPr>
          <w:sz w:val="20"/>
          <w:szCs w:val="20"/>
          <w:color w:val="auto"/>
        </w:rPr>
      </w:pPr>
      <w:r>
        <w:rPr>
          <w:rFonts w:ascii="Arial" w:cs="Arial" w:eastAsia="Arial" w:hAnsi="Arial"/>
          <w:sz w:val="15"/>
          <w:szCs w:val="15"/>
          <w:color w:val="auto"/>
        </w:rPr>
        <w:t>NM</w:t>
        <w:tab/>
        <w:t>Indicates that variance as a percentage is not meaningful.</w:t>
      </w:r>
    </w:p>
    <w:p>
      <w:pPr>
        <w:spacing w:after="0" w:line="30" w:lineRule="exact"/>
        <w:rPr>
          <w:sz w:val="20"/>
          <w:szCs w:val="20"/>
          <w:color w:val="auto"/>
        </w:rPr>
      </w:pPr>
    </w:p>
    <w:p>
      <w:pPr>
        <w:ind w:left="409" w:hanging="409"/>
        <w:spacing w:after="0"/>
        <w:tabs>
          <w:tab w:leader="none" w:pos="409"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revenue results presented are unaudited.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09"/>
          </w:cols>
          <w:pgMar w:left="351" w:top="1370" w:right="339" w:bottom="1440" w:gutter="0" w:footer="0" w:header="0"/>
        </w:sectPr>
      </w:pPr>
    </w:p>
    <w:bookmarkStart w:id="12" w:name="page13"/>
    <w:bookmarkEnd w:id="12"/>
    <w:p>
      <w:pPr>
        <w:spacing w:after="0" w:line="385" w:lineRule="exact"/>
        <w:rPr>
          <w:sz w:val="20"/>
          <w:szCs w:val="20"/>
          <w:color w:val="auto"/>
        </w:rPr>
      </w:pPr>
    </w:p>
    <w:tbl>
      <w:tblPr>
        <w:tblLayout w:type="fixed"/>
        <w:tblInd w:w="9" w:type="dxa"/>
        <w:tblCellMar>
          <w:top w:w="0" w:type="dxa"/>
          <w:left w:w="0" w:type="dxa"/>
          <w:bottom w:w="0" w:type="dxa"/>
          <w:right w:w="0" w:type="dxa"/>
        </w:tblCellMar>
      </w:tblPr>
      <w:tr>
        <w:trPr>
          <w:trHeight w:val="215"/>
        </w:trPr>
        <w:tc>
          <w:tcPr>
            <w:tcW w:w="4500" w:type="dxa"/>
            <w:vAlign w:val="bottom"/>
          </w:tcPr>
          <w:p>
            <w:pPr>
              <w:spacing w:after="0"/>
              <w:rPr>
                <w:sz w:val="20"/>
                <w:szCs w:val="20"/>
                <w:color w:val="auto"/>
              </w:rPr>
            </w:pPr>
            <w:r>
              <w:rPr>
                <w:rFonts w:ascii="Arial" w:cs="Arial" w:eastAsia="Arial" w:hAnsi="Arial"/>
                <w:sz w:val="17"/>
                <w:szCs w:val="17"/>
                <w:b w:val="1"/>
                <w:bCs w:val="1"/>
                <w:color w:val="auto"/>
              </w:rPr>
              <w:t>LIVANOVA PLC</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Pr>
          <w:p>
            <w:pPr>
              <w:spacing w:after="0"/>
              <w:rPr>
                <w:sz w:val="20"/>
                <w:szCs w:val="20"/>
                <w:color w:val="auto"/>
              </w:rPr>
            </w:pPr>
            <w:r>
              <w:rPr>
                <w:rFonts w:ascii="Arial" w:cs="Arial" w:eastAsia="Arial" w:hAnsi="Arial"/>
                <w:sz w:val="17"/>
                <w:szCs w:val="17"/>
                <w:b w:val="1"/>
                <w:bCs w:val="1"/>
                <w:color w:val="auto"/>
              </w:rPr>
              <w:t>NET REVENUE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7"/>
                <w:szCs w:val="17"/>
                <w:b w:val="1"/>
                <w:bCs w:val="1"/>
                <w:color w:val="auto"/>
              </w:rPr>
              <w:t>(U.S. dollars in millions)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gridSpan w:val="5"/>
            <w:vMerge w:val="restart"/>
          </w:tcPr>
          <w:p>
            <w:pPr>
              <w:jc w:val="right"/>
              <w:ind w:right="100"/>
              <w:spacing w:after="0"/>
              <w:rPr>
                <w:sz w:val="20"/>
                <w:szCs w:val="20"/>
                <w:color w:val="auto"/>
              </w:rPr>
            </w:pPr>
            <w:r>
              <w:rPr>
                <w:rFonts w:ascii="Arial" w:cs="Arial" w:eastAsia="Arial" w:hAnsi="Arial"/>
                <w:sz w:val="17"/>
                <w:szCs w:val="17"/>
                <w:b w:val="1"/>
                <w:bCs w:val="1"/>
                <w:color w:val="auto"/>
              </w:rPr>
              <w:t>Nine Months Ended September 30,</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5"/>
            <w:vMerge w:val="continue"/>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 Change at Actual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line="157" w:lineRule="exact"/>
              <w:rPr>
                <w:sz w:val="20"/>
                <w:szCs w:val="20"/>
                <w:color w:val="auto"/>
              </w:rPr>
            </w:pPr>
            <w:r>
              <w:rPr>
                <w:rFonts w:ascii="Arial" w:cs="Arial" w:eastAsia="Arial" w:hAnsi="Arial"/>
                <w:sz w:val="17"/>
                <w:szCs w:val="17"/>
                <w:b w:val="1"/>
                <w:bCs w:val="1"/>
                <w:color w:val="auto"/>
                <w:w w:val="99"/>
              </w:rPr>
              <w:t>% Change at</w:t>
            </w:r>
          </w:p>
        </w:tc>
        <w:tc>
          <w:tcPr>
            <w:tcW w:w="0" w:type="dxa"/>
            <w:vAlign w:val="bottom"/>
          </w:tcPr>
          <w:p>
            <w:pPr>
              <w:spacing w:after="0"/>
              <w:rPr>
                <w:sz w:val="1"/>
                <w:szCs w:val="1"/>
                <w:color w:val="auto"/>
              </w:rPr>
            </w:pPr>
          </w:p>
        </w:tc>
      </w:tr>
      <w:tr>
        <w:trPr>
          <w:trHeight w:val="164"/>
        </w:trPr>
        <w:tc>
          <w:tcPr>
            <w:tcW w:w="4500" w:type="dxa"/>
            <w:vAlign w:val="bottom"/>
          </w:tcPr>
          <w:p>
            <w:pPr>
              <w:spacing w:after="0"/>
              <w:rPr>
                <w:sz w:val="14"/>
                <w:szCs w:val="14"/>
                <w:color w:val="auto"/>
              </w:rPr>
            </w:pPr>
          </w:p>
        </w:tc>
        <w:tc>
          <w:tcPr>
            <w:tcW w:w="1320" w:type="dxa"/>
            <w:vAlign w:val="bottom"/>
            <w:vMerge w:val="restart"/>
          </w:tcPr>
          <w:p>
            <w:pPr>
              <w:jc w:val="right"/>
              <w:ind w:right="3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1340" w:type="dxa"/>
            <w:vAlign w:val="bottom"/>
            <w:vMerge w:val="restart"/>
          </w:tcPr>
          <w:p>
            <w:pPr>
              <w:jc w:val="right"/>
              <w:ind w:right="3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center"/>
              <w:spacing w:after="0" w:line="164" w:lineRule="exact"/>
              <w:rPr>
                <w:sz w:val="20"/>
                <w:szCs w:val="20"/>
                <w:color w:val="auto"/>
              </w:rPr>
            </w:pPr>
            <w:r>
              <w:rPr>
                <w:rFonts w:ascii="Arial" w:cs="Arial" w:eastAsia="Arial" w:hAnsi="Arial"/>
                <w:sz w:val="17"/>
                <w:szCs w:val="17"/>
                <w:b w:val="1"/>
                <w:bCs w:val="1"/>
                <w:color w:val="auto"/>
                <w:w w:val="99"/>
              </w:rPr>
              <w:t>Constant-Currency</w:t>
            </w:r>
          </w:p>
        </w:tc>
        <w:tc>
          <w:tcPr>
            <w:tcW w:w="0" w:type="dxa"/>
            <w:vAlign w:val="bottom"/>
          </w:tcPr>
          <w:p>
            <w:pPr>
              <w:spacing w:after="0"/>
              <w:rPr>
                <w:sz w:val="1"/>
                <w:szCs w:val="1"/>
                <w:color w:val="auto"/>
              </w:rPr>
            </w:pPr>
          </w:p>
        </w:tc>
      </w:tr>
      <w:tr>
        <w:trPr>
          <w:trHeight w:val="227"/>
        </w:trPr>
        <w:tc>
          <w:tcPr>
            <w:tcW w:w="4500" w:type="dxa"/>
            <w:vAlign w:val="bottom"/>
            <w:vMerge w:val="restart"/>
          </w:tcPr>
          <w:p>
            <w:pPr>
              <w:spacing w:after="0"/>
              <w:rPr>
                <w:sz w:val="20"/>
                <w:szCs w:val="20"/>
                <w:color w:val="auto"/>
              </w:rPr>
            </w:pPr>
            <w:r>
              <w:rPr>
                <w:rFonts w:ascii="Arial" w:cs="Arial" w:eastAsia="Arial" w:hAnsi="Arial"/>
                <w:sz w:val="17"/>
                <w:szCs w:val="17"/>
                <w:b w:val="1"/>
                <w:bCs w:val="1"/>
                <w:color w:val="auto"/>
              </w:rPr>
              <w:t>Cardiopulmonary</w:t>
            </w: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Currency Rates</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17"/>
                <w:szCs w:val="17"/>
                <w:b w:val="1"/>
                <w:bCs w:val="1"/>
                <w:color w:val="auto"/>
                <w:w w:val="93"/>
              </w:rPr>
              <w:t xml:space="preserve">Rates </w:t>
            </w:r>
            <w:r>
              <w:rPr>
                <w:rFonts w:ascii="Arial" w:cs="Arial" w:eastAsia="Arial" w:hAnsi="Arial"/>
                <w:sz w:val="21"/>
                <w:szCs w:val="21"/>
                <w:b w:val="1"/>
                <w:bCs w:val="1"/>
                <w:color w:val="auto"/>
                <w:w w:val="93"/>
                <w:vertAlign w:val="superscript"/>
              </w:rPr>
              <w:t>(1)</w:t>
            </w:r>
          </w:p>
        </w:tc>
        <w:tc>
          <w:tcPr>
            <w:tcW w:w="0" w:type="dxa"/>
            <w:vAlign w:val="bottom"/>
          </w:tcPr>
          <w:p>
            <w:pPr>
              <w:spacing w:after="0"/>
              <w:rPr>
                <w:sz w:val="1"/>
                <w:szCs w:val="1"/>
                <w:color w:val="auto"/>
              </w:rPr>
            </w:pPr>
          </w:p>
        </w:tc>
      </w:tr>
      <w:tr>
        <w:trPr>
          <w:trHeight w:val="194"/>
        </w:trPr>
        <w:tc>
          <w:tcPr>
            <w:tcW w:w="450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$114.4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$113.3</w:t>
            </w:r>
          </w:p>
        </w:tc>
        <w:tc>
          <w:tcPr>
            <w:tcW w:w="1820" w:type="dxa"/>
            <w:vAlign w:val="bottom"/>
            <w:gridSpan w:val="2"/>
          </w:tcPr>
          <w:p>
            <w:pPr>
              <w:jc w:val="right"/>
              <w:ind w:right="16"/>
              <w:spacing w:after="0"/>
              <w:rPr>
                <w:sz w:val="20"/>
                <w:szCs w:val="20"/>
                <w:color w:val="auto"/>
              </w:rPr>
            </w:pPr>
            <w:r>
              <w:rPr>
                <w:rFonts w:ascii="Arial" w:cs="Arial" w:eastAsia="Arial" w:hAnsi="Arial"/>
                <w:sz w:val="17"/>
                <w:szCs w:val="17"/>
                <w:color w:val="auto"/>
              </w:rPr>
              <w:t>1.0</w:t>
            </w:r>
          </w:p>
        </w:tc>
        <w:tc>
          <w:tcPr>
            <w:tcW w:w="16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15"/>
        </w:trPr>
        <w:tc>
          <w:tcPr>
            <w:tcW w:w="450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94.0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98.6</w:t>
            </w:r>
          </w:p>
        </w:tc>
        <w:tc>
          <w:tcPr>
            <w:tcW w:w="1980" w:type="dxa"/>
            <w:vAlign w:val="bottom"/>
            <w:gridSpan w:val="3"/>
          </w:tcPr>
          <w:p>
            <w:pPr>
              <w:jc w:val="right"/>
              <w:spacing w:after="0"/>
              <w:rPr>
                <w:sz w:val="20"/>
                <w:szCs w:val="20"/>
                <w:color w:val="auto"/>
              </w:rPr>
            </w:pPr>
            <w:r>
              <w:rPr>
                <w:rFonts w:ascii="Arial" w:cs="Arial" w:eastAsia="Arial" w:hAnsi="Arial"/>
                <w:sz w:val="17"/>
                <w:szCs w:val="17"/>
                <w:color w:val="auto"/>
              </w:rPr>
              <w:t>(4.7)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7.1 %</w:t>
            </w:r>
          </w:p>
        </w:tc>
        <w:tc>
          <w:tcPr>
            <w:tcW w:w="0" w:type="dxa"/>
            <w:vAlign w:val="bottom"/>
          </w:tcPr>
          <w:p>
            <w:pPr>
              <w:spacing w:after="0"/>
              <w:rPr>
                <w:sz w:val="1"/>
                <w:szCs w:val="1"/>
                <w:color w:val="auto"/>
              </w:rPr>
            </w:pPr>
          </w:p>
        </w:tc>
      </w:tr>
      <w:tr>
        <w:trPr>
          <w:trHeight w:val="215"/>
        </w:trPr>
        <w:tc>
          <w:tcPr>
            <w:tcW w:w="450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155.4</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137.9</w:t>
            </w:r>
          </w:p>
        </w:tc>
        <w:tc>
          <w:tcPr>
            <w:tcW w:w="1820" w:type="dxa"/>
            <w:vAlign w:val="bottom"/>
            <w:gridSpan w:val="2"/>
          </w:tcPr>
          <w:p>
            <w:pPr>
              <w:jc w:val="right"/>
              <w:ind w:right="16"/>
              <w:spacing w:after="0"/>
              <w:rPr>
                <w:sz w:val="20"/>
                <w:szCs w:val="20"/>
                <w:color w:val="auto"/>
              </w:rPr>
            </w:pPr>
            <w:r>
              <w:rPr>
                <w:rFonts w:ascii="Arial" w:cs="Arial" w:eastAsia="Arial" w:hAnsi="Arial"/>
                <w:sz w:val="17"/>
                <w:szCs w:val="17"/>
                <w:color w:val="auto"/>
              </w:rPr>
              <w:t>12.7</w:t>
            </w:r>
          </w:p>
        </w:tc>
        <w:tc>
          <w:tcPr>
            <w:tcW w:w="16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22.0 %</w:t>
            </w:r>
          </w:p>
        </w:tc>
        <w:tc>
          <w:tcPr>
            <w:tcW w:w="0" w:type="dxa"/>
            <w:vAlign w:val="bottom"/>
          </w:tcPr>
          <w:p>
            <w:pPr>
              <w:spacing w:after="0"/>
              <w:rPr>
                <w:sz w:val="1"/>
                <w:szCs w:val="1"/>
                <w:color w:val="auto"/>
              </w:rPr>
            </w:pPr>
          </w:p>
        </w:tc>
      </w:tr>
      <w:tr>
        <w:trPr>
          <w:trHeight w:val="207"/>
        </w:trPr>
        <w:tc>
          <w:tcPr>
            <w:tcW w:w="450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363.9</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349.8</w:t>
            </w:r>
          </w:p>
        </w:tc>
        <w:tc>
          <w:tcPr>
            <w:tcW w:w="1820" w:type="dxa"/>
            <w:vAlign w:val="bottom"/>
            <w:gridSpan w:val="2"/>
          </w:tcPr>
          <w:p>
            <w:pPr>
              <w:jc w:val="right"/>
              <w:ind w:right="16"/>
              <w:spacing w:after="0"/>
              <w:rPr>
                <w:sz w:val="20"/>
                <w:szCs w:val="20"/>
                <w:color w:val="auto"/>
              </w:rPr>
            </w:pPr>
            <w:r>
              <w:rPr>
                <w:rFonts w:ascii="Arial" w:cs="Arial" w:eastAsia="Arial" w:hAnsi="Arial"/>
                <w:sz w:val="17"/>
                <w:szCs w:val="17"/>
                <w:color w:val="auto"/>
              </w:rPr>
              <w:t>4.0</w:t>
            </w:r>
          </w:p>
        </w:tc>
        <w:tc>
          <w:tcPr>
            <w:tcW w:w="16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11.0 %</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20"/>
                <w:szCs w:val="20"/>
                <w:color w:val="auto"/>
              </w:rPr>
            </w:pPr>
            <w:r>
              <w:rPr>
                <w:rFonts w:ascii="Arial" w:cs="Arial" w:eastAsia="Arial" w:hAnsi="Arial"/>
                <w:sz w:val="17"/>
                <w:szCs w:val="17"/>
                <w:b w:val="1"/>
                <w:bCs w:val="1"/>
                <w:color w:val="auto"/>
              </w:rPr>
              <w:t>Neuromodulation</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0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275.1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262.8</w:t>
            </w:r>
          </w:p>
        </w:tc>
        <w:tc>
          <w:tcPr>
            <w:tcW w:w="1820" w:type="dxa"/>
            <w:vAlign w:val="bottom"/>
            <w:gridSpan w:val="2"/>
          </w:tcPr>
          <w:p>
            <w:pPr>
              <w:jc w:val="right"/>
              <w:ind w:right="16"/>
              <w:spacing w:after="0"/>
              <w:rPr>
                <w:sz w:val="20"/>
                <w:szCs w:val="20"/>
                <w:color w:val="auto"/>
              </w:rPr>
            </w:pPr>
            <w:r>
              <w:rPr>
                <w:rFonts w:ascii="Arial" w:cs="Arial" w:eastAsia="Arial" w:hAnsi="Arial"/>
                <w:sz w:val="17"/>
                <w:szCs w:val="17"/>
                <w:color w:val="auto"/>
              </w:rPr>
              <w:t>4.7</w:t>
            </w:r>
          </w:p>
        </w:tc>
        <w:tc>
          <w:tcPr>
            <w:tcW w:w="16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4.7 %</w:t>
            </w:r>
          </w:p>
        </w:tc>
        <w:tc>
          <w:tcPr>
            <w:tcW w:w="0" w:type="dxa"/>
            <w:vAlign w:val="bottom"/>
          </w:tcPr>
          <w:p>
            <w:pPr>
              <w:spacing w:after="0"/>
              <w:rPr>
                <w:sz w:val="1"/>
                <w:szCs w:val="1"/>
                <w:color w:val="auto"/>
              </w:rPr>
            </w:pPr>
          </w:p>
        </w:tc>
      </w:tr>
      <w:tr>
        <w:trPr>
          <w:trHeight w:val="215"/>
        </w:trPr>
        <w:tc>
          <w:tcPr>
            <w:tcW w:w="450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37.3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38.8</w:t>
            </w:r>
          </w:p>
        </w:tc>
        <w:tc>
          <w:tcPr>
            <w:tcW w:w="1980" w:type="dxa"/>
            <w:vAlign w:val="bottom"/>
            <w:gridSpan w:val="3"/>
          </w:tcPr>
          <w:p>
            <w:pPr>
              <w:jc w:val="right"/>
              <w:spacing w:after="0"/>
              <w:rPr>
                <w:sz w:val="20"/>
                <w:szCs w:val="20"/>
                <w:color w:val="auto"/>
              </w:rPr>
            </w:pPr>
            <w:r>
              <w:rPr>
                <w:rFonts w:ascii="Arial" w:cs="Arial" w:eastAsia="Arial" w:hAnsi="Arial"/>
                <w:sz w:val="17"/>
                <w:szCs w:val="17"/>
                <w:color w:val="auto"/>
              </w:rPr>
              <w:t>(3.9)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7.9 %</w:t>
            </w:r>
          </w:p>
        </w:tc>
        <w:tc>
          <w:tcPr>
            <w:tcW w:w="0" w:type="dxa"/>
            <w:vAlign w:val="bottom"/>
          </w:tcPr>
          <w:p>
            <w:pPr>
              <w:spacing w:after="0"/>
              <w:rPr>
                <w:sz w:val="1"/>
                <w:szCs w:val="1"/>
                <w:color w:val="auto"/>
              </w:rPr>
            </w:pPr>
          </w:p>
        </w:tc>
      </w:tr>
      <w:tr>
        <w:trPr>
          <w:trHeight w:val="215"/>
        </w:trPr>
        <w:tc>
          <w:tcPr>
            <w:tcW w:w="450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w:t>
            </w:r>
          </w:p>
        </w:tc>
        <w:tc>
          <w:tcPr>
            <w:tcW w:w="1820" w:type="dxa"/>
            <w:vAlign w:val="bottom"/>
            <w:gridSpan w:val="2"/>
          </w:tcPr>
          <w:p>
            <w:pPr>
              <w:jc w:val="right"/>
              <w:ind w:right="16"/>
              <w:spacing w:after="0"/>
              <w:rPr>
                <w:sz w:val="20"/>
                <w:szCs w:val="20"/>
                <w:color w:val="auto"/>
              </w:rPr>
            </w:pPr>
            <w:r>
              <w:rPr>
                <w:rFonts w:ascii="Arial" w:cs="Arial" w:eastAsia="Arial" w:hAnsi="Arial"/>
                <w:sz w:val="17"/>
                <w:szCs w:val="17"/>
                <w:color w:val="auto"/>
              </w:rPr>
              <w:t>13.3</w:t>
            </w:r>
          </w:p>
        </w:tc>
        <w:tc>
          <w:tcPr>
            <w:tcW w:w="16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21.0 %</w:t>
            </w:r>
          </w:p>
        </w:tc>
        <w:tc>
          <w:tcPr>
            <w:tcW w:w="0" w:type="dxa"/>
            <w:vAlign w:val="bottom"/>
          </w:tcPr>
          <w:p>
            <w:pPr>
              <w:spacing w:after="0"/>
              <w:rPr>
                <w:sz w:val="1"/>
                <w:szCs w:val="1"/>
                <w:color w:val="auto"/>
              </w:rPr>
            </w:pPr>
          </w:p>
        </w:tc>
      </w:tr>
      <w:tr>
        <w:trPr>
          <w:trHeight w:val="207"/>
        </w:trPr>
        <w:tc>
          <w:tcPr>
            <w:tcW w:w="450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349.9</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334.6</w:t>
            </w:r>
          </w:p>
        </w:tc>
        <w:tc>
          <w:tcPr>
            <w:tcW w:w="1820" w:type="dxa"/>
            <w:vAlign w:val="bottom"/>
            <w:gridSpan w:val="2"/>
          </w:tcPr>
          <w:p>
            <w:pPr>
              <w:jc w:val="right"/>
              <w:ind w:right="16"/>
              <w:spacing w:after="0"/>
              <w:rPr>
                <w:sz w:val="20"/>
                <w:szCs w:val="20"/>
                <w:color w:val="auto"/>
              </w:rPr>
            </w:pPr>
            <w:r>
              <w:rPr>
                <w:rFonts w:ascii="Arial" w:cs="Arial" w:eastAsia="Arial" w:hAnsi="Arial"/>
                <w:sz w:val="17"/>
                <w:szCs w:val="17"/>
                <w:color w:val="auto"/>
              </w:rPr>
              <w:t>4.6</w:t>
            </w:r>
          </w:p>
        </w:tc>
        <w:tc>
          <w:tcPr>
            <w:tcW w:w="16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6.7 %</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20"/>
                <w:szCs w:val="20"/>
                <w:color w:val="auto"/>
              </w:rPr>
            </w:pPr>
            <w:r>
              <w:rPr>
                <w:rFonts w:ascii="Arial" w:cs="Arial" w:eastAsia="Arial" w:hAnsi="Arial"/>
                <w:sz w:val="17"/>
                <w:szCs w:val="17"/>
                <w:b w:val="1"/>
                <w:bCs w:val="1"/>
                <w:color w:val="auto"/>
              </w:rPr>
              <w:t>Advanced Circulatory Support</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0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40.4</w:t>
            </w:r>
          </w:p>
        </w:tc>
        <w:tc>
          <w:tcPr>
            <w:tcW w:w="1980" w:type="dxa"/>
            <w:vAlign w:val="bottom"/>
            <w:gridSpan w:val="3"/>
          </w:tcPr>
          <w:p>
            <w:pPr>
              <w:jc w:val="right"/>
              <w:spacing w:after="0"/>
              <w:rPr>
                <w:sz w:val="20"/>
                <w:szCs w:val="20"/>
                <w:color w:val="auto"/>
              </w:rPr>
            </w:pPr>
            <w:r>
              <w:rPr>
                <w:rFonts w:ascii="Arial" w:cs="Arial" w:eastAsia="Arial" w:hAnsi="Arial"/>
                <w:sz w:val="17"/>
                <w:szCs w:val="17"/>
                <w:color w:val="auto"/>
              </w:rPr>
              <w:t>(30.3)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15"/>
        </w:trPr>
        <w:tc>
          <w:tcPr>
            <w:tcW w:w="450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7"/>
                <w:szCs w:val="17"/>
                <w:color w:val="auto"/>
              </w:rPr>
              <w:t>NM</w:t>
            </w:r>
          </w:p>
        </w:tc>
        <w:tc>
          <w:tcPr>
            <w:tcW w:w="186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5"/>
        </w:trPr>
        <w:tc>
          <w:tcPr>
            <w:tcW w:w="450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7"/>
                <w:szCs w:val="17"/>
                <w:color w:val="auto"/>
              </w:rPr>
              <w:t>NM</w:t>
            </w:r>
          </w:p>
        </w:tc>
        <w:tc>
          <w:tcPr>
            <w:tcW w:w="186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7"/>
        </w:trPr>
        <w:tc>
          <w:tcPr>
            <w:tcW w:w="450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w:t>
            </w:r>
          </w:p>
        </w:tc>
        <w:tc>
          <w:tcPr>
            <w:tcW w:w="1980" w:type="dxa"/>
            <w:vAlign w:val="bottom"/>
            <w:gridSpan w:val="3"/>
          </w:tcPr>
          <w:p>
            <w:pPr>
              <w:jc w:val="right"/>
              <w:spacing w:after="0"/>
              <w:rPr>
                <w:sz w:val="20"/>
                <w:szCs w:val="20"/>
                <w:color w:val="auto"/>
              </w:rPr>
            </w:pPr>
            <w:r>
              <w:rPr>
                <w:rFonts w:ascii="Arial" w:cs="Arial" w:eastAsia="Arial" w:hAnsi="Arial"/>
                <w:sz w:val="17"/>
                <w:szCs w:val="17"/>
                <w:color w:val="auto"/>
              </w:rPr>
              <w:t>(28.8)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20"/>
                <w:szCs w:val="20"/>
                <w:color w:val="auto"/>
              </w:rPr>
            </w:pPr>
            <w:r>
              <w:rPr>
                <w:rFonts w:ascii="Arial" w:cs="Arial" w:eastAsia="Arial" w:hAnsi="Arial"/>
                <w:sz w:val="17"/>
                <w:szCs w:val="17"/>
                <w:b w:val="1"/>
                <w:bCs w:val="1"/>
                <w:color w:val="auto"/>
              </w:rPr>
              <w:t>Other</w:t>
            </w: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00" w:type="dxa"/>
            <w:vAlign w:val="bottom"/>
          </w:tcPr>
          <w:p>
            <w:pPr>
              <w:ind w:left="100"/>
              <w:spacing w:after="0"/>
              <w:rPr>
                <w:sz w:val="20"/>
                <w:szCs w:val="20"/>
                <w:color w:val="auto"/>
              </w:rPr>
            </w:pPr>
            <w:r>
              <w:rPr>
                <w:rFonts w:ascii="Arial" w:cs="Arial" w:eastAsia="Arial" w:hAnsi="Arial"/>
                <w:sz w:val="17"/>
                <w:szCs w:val="17"/>
                <w:color w:val="auto"/>
              </w:rPr>
              <w:t>US</w:t>
            </w:r>
          </w:p>
        </w:tc>
        <w:tc>
          <w:tcPr>
            <w:tcW w:w="1420" w:type="dxa"/>
            <w:vAlign w:val="bottom"/>
            <w:gridSpan w:val="2"/>
            <w:vMerge w:val="continue"/>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4.9</w:t>
            </w:r>
          </w:p>
        </w:tc>
        <w:tc>
          <w:tcPr>
            <w:tcW w:w="1980" w:type="dxa"/>
            <w:vAlign w:val="bottom"/>
            <w:gridSpan w:val="3"/>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5"/>
        </w:trPr>
        <w:tc>
          <w:tcPr>
            <w:tcW w:w="4500" w:type="dxa"/>
            <w:vAlign w:val="bottom"/>
          </w:tcPr>
          <w:p>
            <w:pPr>
              <w:ind w:left="100"/>
              <w:spacing w:after="0"/>
              <w:rPr>
                <w:sz w:val="20"/>
                <w:szCs w:val="20"/>
                <w:color w:val="auto"/>
              </w:rPr>
            </w:pPr>
            <w:r>
              <w:rPr>
                <w:rFonts w:ascii="Arial" w:cs="Arial" w:eastAsia="Arial" w:hAnsi="Arial"/>
                <w:sz w:val="17"/>
                <w:szCs w:val="17"/>
                <w:color w:val="auto"/>
              </w:rPr>
              <w:t>Europe</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14.4</w:t>
            </w:r>
          </w:p>
        </w:tc>
        <w:tc>
          <w:tcPr>
            <w:tcW w:w="1980" w:type="dxa"/>
            <w:vAlign w:val="bottom"/>
            <w:gridSpan w:val="3"/>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5"/>
        </w:trPr>
        <w:tc>
          <w:tcPr>
            <w:tcW w:w="450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1980" w:type="dxa"/>
            <w:vAlign w:val="bottom"/>
            <w:gridSpan w:val="3"/>
          </w:tcPr>
          <w:p>
            <w:pPr>
              <w:jc w:val="right"/>
              <w:spacing w:after="0"/>
              <w:rPr>
                <w:sz w:val="20"/>
                <w:szCs w:val="20"/>
                <w:color w:val="auto"/>
              </w:rPr>
            </w:pPr>
            <w:r>
              <w:rPr>
                <w:rFonts w:ascii="Arial" w:cs="Arial" w:eastAsia="Arial" w:hAnsi="Arial"/>
                <w:sz w:val="17"/>
                <w:szCs w:val="17"/>
                <w:color w:val="auto"/>
              </w:rPr>
              <w:t>(82.1)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(79.8)%</w:t>
            </w:r>
          </w:p>
        </w:tc>
        <w:tc>
          <w:tcPr>
            <w:tcW w:w="0" w:type="dxa"/>
            <w:vAlign w:val="bottom"/>
          </w:tcPr>
          <w:p>
            <w:pPr>
              <w:spacing w:after="0"/>
              <w:rPr>
                <w:sz w:val="1"/>
                <w:szCs w:val="1"/>
                <w:color w:val="auto"/>
              </w:rPr>
            </w:pPr>
          </w:p>
        </w:tc>
      </w:tr>
      <w:tr>
        <w:trPr>
          <w:trHeight w:val="207"/>
        </w:trPr>
        <w:tc>
          <w:tcPr>
            <w:tcW w:w="450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w:t>
            </w:r>
          </w:p>
        </w:tc>
        <w:tc>
          <w:tcPr>
            <w:tcW w:w="1980" w:type="dxa"/>
            <w:vAlign w:val="bottom"/>
            <w:gridSpan w:val="3"/>
          </w:tcPr>
          <w:p>
            <w:pPr>
              <w:jc w:val="right"/>
              <w:spacing w:after="0"/>
              <w:rPr>
                <w:sz w:val="20"/>
                <w:szCs w:val="20"/>
                <w:color w:val="auto"/>
              </w:rPr>
            </w:pPr>
            <w:r>
              <w:rPr>
                <w:rFonts w:ascii="Arial" w:cs="Arial" w:eastAsia="Arial" w:hAnsi="Arial"/>
                <w:sz w:val="17"/>
                <w:szCs w:val="17"/>
                <w:color w:val="auto"/>
              </w:rPr>
              <w:t>(90.9)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(89.8)%</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20"/>
                <w:szCs w:val="20"/>
                <w:color w:val="auto"/>
              </w:rPr>
            </w:pPr>
            <w:r>
              <w:rPr>
                <w:rFonts w:ascii="Arial" w:cs="Arial" w:eastAsia="Arial" w:hAnsi="Arial"/>
                <w:sz w:val="17"/>
                <w:szCs w:val="17"/>
                <w:b w:val="1"/>
                <w:bCs w:val="1"/>
                <w:color w:val="auto"/>
              </w:rPr>
              <w:t>Totals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0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417.8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421.5</w:t>
            </w:r>
          </w:p>
        </w:tc>
        <w:tc>
          <w:tcPr>
            <w:tcW w:w="1980" w:type="dxa"/>
            <w:vAlign w:val="bottom"/>
            <w:gridSpan w:val="3"/>
          </w:tcPr>
          <w:p>
            <w:pPr>
              <w:jc w:val="right"/>
              <w:spacing w:after="0"/>
              <w:rPr>
                <w:sz w:val="20"/>
                <w:szCs w:val="20"/>
                <w:color w:val="auto"/>
              </w:rPr>
            </w:pPr>
            <w:r>
              <w:rPr>
                <w:rFonts w:ascii="Arial" w:cs="Arial" w:eastAsia="Arial" w:hAnsi="Arial"/>
                <w:sz w:val="17"/>
                <w:szCs w:val="17"/>
                <w:color w:val="auto"/>
              </w:rPr>
              <w:t>(0.9)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27"/>
        </w:trPr>
        <w:tc>
          <w:tcPr>
            <w:tcW w:w="4500" w:type="dxa"/>
            <w:vAlign w:val="bottom"/>
          </w:tcPr>
          <w:p>
            <w:pPr>
              <w:ind w:left="100"/>
              <w:spacing w:after="0" w:line="227"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1"/>
                <w:szCs w:val="21"/>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7"/>
                <w:szCs w:val="17"/>
                <w:color w:val="auto"/>
              </w:rPr>
              <w:t>132.5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152.6</w:t>
            </w:r>
          </w:p>
        </w:tc>
        <w:tc>
          <w:tcPr>
            <w:tcW w:w="1980" w:type="dxa"/>
            <w:vAlign w:val="bottom"/>
            <w:gridSpan w:val="3"/>
          </w:tcPr>
          <w:p>
            <w:pPr>
              <w:jc w:val="right"/>
              <w:spacing w:after="0"/>
              <w:rPr>
                <w:sz w:val="20"/>
                <w:szCs w:val="20"/>
                <w:color w:val="auto"/>
              </w:rPr>
            </w:pPr>
            <w:r>
              <w:rPr>
                <w:rFonts w:ascii="Arial" w:cs="Arial" w:eastAsia="Arial" w:hAnsi="Arial"/>
                <w:sz w:val="17"/>
                <w:szCs w:val="17"/>
                <w:color w:val="auto"/>
              </w:rPr>
              <w:t>(13.2) %</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2"/>
        </w:trPr>
        <w:tc>
          <w:tcPr>
            <w:tcW w:w="450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196.7</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191.3</w:t>
            </w:r>
          </w:p>
        </w:tc>
        <w:tc>
          <w:tcPr>
            <w:tcW w:w="1820" w:type="dxa"/>
            <w:vAlign w:val="bottom"/>
            <w:gridSpan w:val="2"/>
          </w:tcPr>
          <w:p>
            <w:pPr>
              <w:jc w:val="right"/>
              <w:ind w:right="16"/>
              <w:spacing w:after="0"/>
              <w:rPr>
                <w:sz w:val="20"/>
                <w:szCs w:val="20"/>
                <w:color w:val="auto"/>
              </w:rPr>
            </w:pPr>
            <w:r>
              <w:rPr>
                <w:rFonts w:ascii="Arial" w:cs="Arial" w:eastAsia="Arial" w:hAnsi="Arial"/>
                <w:sz w:val="17"/>
                <w:szCs w:val="17"/>
                <w:color w:val="auto"/>
              </w:rPr>
              <w:t>2.8</w:t>
            </w:r>
          </w:p>
        </w:tc>
        <w:tc>
          <w:tcPr>
            <w:tcW w:w="16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11.1 %</w:t>
            </w:r>
          </w:p>
        </w:tc>
        <w:tc>
          <w:tcPr>
            <w:tcW w:w="0" w:type="dxa"/>
            <w:vAlign w:val="bottom"/>
          </w:tcPr>
          <w:p>
            <w:pPr>
              <w:spacing w:after="0"/>
              <w:rPr>
                <w:sz w:val="1"/>
                <w:szCs w:val="1"/>
                <w:color w:val="auto"/>
              </w:rPr>
            </w:pPr>
          </w:p>
        </w:tc>
      </w:tr>
      <w:tr>
        <w:trPr>
          <w:trHeight w:val="207"/>
        </w:trPr>
        <w:tc>
          <w:tcPr>
            <w:tcW w:w="450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746.9</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765.3</w:t>
            </w:r>
          </w:p>
        </w:tc>
        <w:tc>
          <w:tcPr>
            <w:tcW w:w="1980" w:type="dxa"/>
            <w:vAlign w:val="bottom"/>
            <w:gridSpan w:val="3"/>
          </w:tcPr>
          <w:p>
            <w:pPr>
              <w:jc w:val="right"/>
              <w:spacing w:after="0"/>
              <w:rPr>
                <w:sz w:val="20"/>
                <w:szCs w:val="20"/>
                <w:color w:val="auto"/>
              </w:rPr>
            </w:pPr>
            <w:r>
              <w:rPr>
                <w:rFonts w:ascii="Arial" w:cs="Arial" w:eastAsia="Arial" w:hAnsi="Arial"/>
                <w:sz w:val="17"/>
                <w:szCs w:val="17"/>
                <w:color w:val="auto"/>
              </w:rPr>
              <w:t>(2.4)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1.8 %</w:t>
            </w:r>
          </w:p>
        </w:tc>
        <w:tc>
          <w:tcPr>
            <w:tcW w:w="0" w:type="dxa"/>
            <w:vAlign w:val="bottom"/>
          </w:tcPr>
          <w:p>
            <w:pPr>
              <w:spacing w:after="0"/>
              <w:rPr>
                <w:sz w:val="1"/>
                <w:szCs w:val="1"/>
                <w:color w:val="auto"/>
              </w:rPr>
            </w:pPr>
          </w:p>
        </w:tc>
      </w:tr>
      <w:tr>
        <w:trPr>
          <w:trHeight w:val="208"/>
        </w:trPr>
        <w:tc>
          <w:tcPr>
            <w:tcW w:w="4500" w:type="dxa"/>
            <w:vAlign w:val="bottom"/>
          </w:tcPr>
          <w:p>
            <w:pPr>
              <w:ind w:left="400"/>
              <w:spacing w:after="0" w:line="208" w:lineRule="exact"/>
              <w:rPr>
                <w:sz w:val="20"/>
                <w:szCs w:val="20"/>
                <w:color w:val="auto"/>
              </w:rPr>
            </w:pPr>
            <w:r>
              <w:rPr>
                <w:rFonts w:ascii="Arial" w:cs="Arial" w:eastAsia="Arial" w:hAnsi="Arial"/>
                <w:sz w:val="17"/>
                <w:szCs w:val="17"/>
                <w:color w:val="auto"/>
              </w:rPr>
              <w:t>Less: Heart Valves</w:t>
            </w:r>
            <w:r>
              <w:rPr>
                <w:rFonts w:ascii="Arial" w:cs="Arial" w:eastAsia="Arial" w:hAnsi="Arial"/>
                <w:sz w:val="21"/>
                <w:szCs w:val="21"/>
                <w:color w:val="auto"/>
                <w:vertAlign w:val="superscript"/>
              </w:rPr>
              <w:t>(3)</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36.2</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00" w:type="dxa"/>
            <w:vAlign w:val="bottom"/>
          </w:tcPr>
          <w:p>
            <w:pPr>
              <w:spacing w:after="0"/>
              <w:rPr>
                <w:sz w:val="20"/>
                <w:szCs w:val="20"/>
                <w:color w:val="auto"/>
              </w:rPr>
            </w:pPr>
            <w:r>
              <w:rPr>
                <w:rFonts w:ascii="Arial" w:cs="Arial" w:eastAsia="Arial" w:hAnsi="Arial"/>
                <w:sz w:val="17"/>
                <w:szCs w:val="17"/>
                <w:b w:val="1"/>
                <w:bCs w:val="1"/>
                <w:color w:val="auto"/>
              </w:rPr>
              <w:t>Total, Excluding Heart Valves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$746.9</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$729.1</w:t>
            </w:r>
          </w:p>
        </w:tc>
        <w:tc>
          <w:tcPr>
            <w:tcW w:w="1820" w:type="dxa"/>
            <w:vAlign w:val="bottom"/>
            <w:gridSpan w:val="2"/>
          </w:tcPr>
          <w:p>
            <w:pPr>
              <w:jc w:val="right"/>
              <w:ind w:right="16"/>
              <w:spacing w:after="0"/>
              <w:rPr>
                <w:sz w:val="20"/>
                <w:szCs w:val="20"/>
                <w:color w:val="auto"/>
              </w:rPr>
            </w:pPr>
            <w:r>
              <w:rPr>
                <w:rFonts w:ascii="Arial" w:cs="Arial" w:eastAsia="Arial" w:hAnsi="Arial"/>
                <w:sz w:val="17"/>
                <w:szCs w:val="17"/>
                <w:color w:val="auto"/>
              </w:rPr>
              <w:t>2.4</w:t>
            </w:r>
          </w:p>
        </w:tc>
        <w:tc>
          <w:tcPr>
            <w:tcW w:w="16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6.9 %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9" w:right="40" w:hanging="409"/>
        <w:spacing w:after="0" w:line="231" w:lineRule="auto"/>
        <w:tabs>
          <w:tab w:leader="none" w:pos="4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Constant-currency growth, a non-GAAP financial measure, measures the change in revenue between current and prior-year periods using average exchange rates in effect during the applicable prior-year period.</w:t>
      </w:r>
    </w:p>
    <w:p>
      <w:pPr>
        <w:spacing w:after="0" w:line="21" w:lineRule="exact"/>
        <w:rPr>
          <w:rFonts w:ascii="Arial" w:cs="Arial" w:eastAsia="Arial" w:hAnsi="Arial"/>
          <w:sz w:val="15"/>
          <w:szCs w:val="15"/>
          <w:color w:val="auto"/>
        </w:rPr>
      </w:pPr>
    </w:p>
    <w:p>
      <w:pPr>
        <w:ind w:left="409" w:right="480" w:hanging="409"/>
        <w:spacing w:after="0" w:line="231" w:lineRule="auto"/>
        <w:tabs>
          <w:tab w:leader="none" w:pos="4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Europe revenue includes those countries in which we have a direct sales presence, whereas European countries in which we sell through distributors are included in “Rest of World.”</w:t>
      </w:r>
    </w:p>
    <w:p>
      <w:pPr>
        <w:spacing w:after="0" w:line="21" w:lineRule="exact"/>
        <w:rPr>
          <w:rFonts w:ascii="Arial" w:cs="Arial" w:eastAsia="Arial" w:hAnsi="Arial"/>
          <w:sz w:val="15"/>
          <w:szCs w:val="15"/>
          <w:color w:val="auto"/>
        </w:rPr>
      </w:pPr>
    </w:p>
    <w:p>
      <w:pPr>
        <w:ind w:left="409" w:hanging="409"/>
        <w:spacing w:after="0"/>
        <w:tabs>
          <w:tab w:leader="none" w:pos="409" w:val="left"/>
        </w:tabs>
        <w:numPr>
          <w:ilvl w:val="0"/>
          <w:numId w:val="10"/>
        </w:numPr>
        <w:rPr>
          <w:rFonts w:ascii="Arial" w:cs="Arial" w:eastAsia="Arial" w:hAnsi="Arial"/>
          <w:sz w:val="15"/>
          <w:szCs w:val="15"/>
          <w:color w:val="auto"/>
        </w:rPr>
      </w:pPr>
      <w:r>
        <w:rPr>
          <w:rFonts w:ascii="Arial" w:cs="Arial" w:eastAsia="Arial" w:hAnsi="Arial"/>
          <w:sz w:val="15"/>
          <w:szCs w:val="15"/>
          <w:color w:val="auto"/>
        </w:rPr>
        <w:t>Other for the nine-month period ended September 30, 2021 includes net revenue of the Heart Valves business, which was divested effective June 1, 2021.</w:t>
      </w:r>
    </w:p>
    <w:p>
      <w:pPr>
        <w:spacing w:after="0" w:line="30" w:lineRule="exact"/>
        <w:rPr>
          <w:sz w:val="20"/>
          <w:szCs w:val="20"/>
          <w:color w:val="auto"/>
        </w:rPr>
      </w:pPr>
    </w:p>
    <w:p>
      <w:pPr>
        <w:ind w:left="9"/>
        <w:spacing w:after="0"/>
        <w:tabs>
          <w:tab w:leader="none" w:pos="389" w:val="left"/>
        </w:tabs>
        <w:rPr>
          <w:sz w:val="20"/>
          <w:szCs w:val="20"/>
          <w:color w:val="auto"/>
        </w:rPr>
      </w:pPr>
      <w:r>
        <w:rPr>
          <w:rFonts w:ascii="Arial" w:cs="Arial" w:eastAsia="Arial" w:hAnsi="Arial"/>
          <w:sz w:val="15"/>
          <w:szCs w:val="15"/>
          <w:color w:val="auto"/>
        </w:rPr>
        <w:t>NM</w:t>
        <w:tab/>
        <w:t>Indicates that variance as a percentage is not meaningful.</w:t>
      </w:r>
    </w:p>
    <w:p>
      <w:pPr>
        <w:spacing w:after="0" w:line="30" w:lineRule="exact"/>
        <w:rPr>
          <w:sz w:val="20"/>
          <w:szCs w:val="20"/>
          <w:color w:val="auto"/>
        </w:rPr>
      </w:pPr>
    </w:p>
    <w:p>
      <w:pPr>
        <w:ind w:left="409" w:hanging="409"/>
        <w:spacing w:after="0"/>
        <w:tabs>
          <w:tab w:leader="none" w:pos="409"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revenue results presented are unaudited. Numbers may not add precisely due to rounding.</w:t>
      </w: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09"/>
          </w:cols>
          <w:pgMar w:left="351" w:top="1440" w:right="339" w:bottom="1440" w:gutter="0" w:footer="0" w:header="0"/>
        </w:sectPr>
      </w:pPr>
    </w:p>
    <w:bookmarkStart w:id="13" w:name="page14"/>
    <w:bookmarkEnd w:id="13"/>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LIVANOVA PLC AND SUBSIDIARIES</w:t>
      </w:r>
    </w:p>
    <w:p>
      <w:pPr>
        <w:spacing w:after="0" w:line="27" w:lineRule="exact"/>
        <w:rPr>
          <w:sz w:val="20"/>
          <w:szCs w:val="20"/>
          <w:color w:val="auto"/>
        </w:rPr>
      </w:pPr>
    </w:p>
    <w:p>
      <w:pPr>
        <w:ind w:right="5460"/>
        <w:spacing w:after="0" w:line="287" w:lineRule="auto"/>
        <w:rPr>
          <w:sz w:val="20"/>
          <w:szCs w:val="20"/>
          <w:color w:val="auto"/>
        </w:rPr>
      </w:pPr>
      <w:r>
        <w:rPr>
          <w:rFonts w:ascii="Arial" w:cs="Arial" w:eastAsia="Arial" w:hAnsi="Arial"/>
          <w:sz w:val="17"/>
          <w:szCs w:val="17"/>
          <w:b w:val="1"/>
          <w:bCs w:val="1"/>
          <w:color w:val="auto"/>
        </w:rPr>
        <w:t>CONDENSED CONSOLIDATED STATEMENTS OF INCOME - UNAUDITED (U.S. dollars in millions, except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40" w:type="dxa"/>
            <w:vAlign w:val="bottom"/>
          </w:tcPr>
          <w:p>
            <w:pPr>
              <w:spacing w:after="0"/>
              <w:rPr>
                <w:sz w:val="19"/>
                <w:szCs w:val="19"/>
                <w:color w:val="auto"/>
              </w:rPr>
            </w:pPr>
          </w:p>
        </w:tc>
        <w:tc>
          <w:tcPr>
            <w:tcW w:w="3920" w:type="dxa"/>
            <w:vAlign w:val="bottom"/>
            <w:gridSpan w:val="6"/>
          </w:tcPr>
          <w:p>
            <w:pPr>
              <w:ind w:left="480"/>
              <w:spacing w:after="0"/>
              <w:rPr>
                <w:sz w:val="20"/>
                <w:szCs w:val="20"/>
                <w:color w:val="auto"/>
              </w:rPr>
            </w:pPr>
            <w:r>
              <w:rPr>
                <w:rFonts w:ascii="Arial" w:cs="Arial" w:eastAsia="Arial" w:hAnsi="Arial"/>
                <w:sz w:val="17"/>
                <w:szCs w:val="17"/>
                <w:b w:val="1"/>
                <w:bCs w:val="1"/>
                <w:color w:val="auto"/>
              </w:rPr>
              <w:t>Three Months Ended September 30,</w:t>
            </w:r>
          </w:p>
        </w:tc>
        <w:tc>
          <w:tcPr>
            <w:tcW w:w="1860" w:type="dxa"/>
            <w:vAlign w:val="bottom"/>
          </w:tcPr>
          <w:p>
            <w:pPr>
              <w:spacing w:after="0"/>
              <w:rPr>
                <w:sz w:val="19"/>
                <w:szCs w:val="19"/>
                <w:color w:val="auto"/>
              </w:rPr>
            </w:pPr>
          </w:p>
        </w:tc>
      </w:tr>
      <w:tr>
        <w:trPr>
          <w:trHeight w:val="208"/>
        </w:trPr>
        <w:tc>
          <w:tcPr>
            <w:tcW w:w="54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 Change</w:t>
            </w:r>
          </w:p>
        </w:tc>
      </w:tr>
      <w:tr>
        <w:trPr>
          <w:trHeight w:val="207"/>
        </w:trPr>
        <w:tc>
          <w:tcPr>
            <w:tcW w:w="6600" w:type="dxa"/>
            <w:vAlign w:val="bottom"/>
            <w:gridSpan w:val="2"/>
          </w:tcPr>
          <w:p>
            <w:pPr>
              <w:spacing w:after="0"/>
              <w:rPr>
                <w:sz w:val="20"/>
                <w:szCs w:val="20"/>
                <w:color w:val="auto"/>
              </w:rPr>
            </w:pPr>
            <w:r>
              <w:rPr>
                <w:rFonts w:ascii="Arial" w:cs="Arial" w:eastAsia="Arial" w:hAnsi="Arial"/>
                <w:sz w:val="17"/>
                <w:szCs w:val="17"/>
                <w:color w:val="auto"/>
              </w:rPr>
              <w:t>Net revenue</w:t>
            </w:r>
          </w:p>
        </w:tc>
        <w:tc>
          <w:tcPr>
            <w:tcW w:w="700" w:type="dxa"/>
            <w:vAlign w:val="bottom"/>
          </w:tcPr>
          <w:p>
            <w:pPr>
              <w:jc w:val="right"/>
              <w:spacing w:after="0"/>
              <w:rPr>
                <w:sz w:val="20"/>
                <w:szCs w:val="20"/>
                <w:color w:val="auto"/>
              </w:rPr>
            </w:pPr>
            <w:r>
              <w:rPr>
                <w:rFonts w:ascii="Arial" w:cs="Arial" w:eastAsia="Arial" w:hAnsi="Arial"/>
                <w:sz w:val="17"/>
                <w:szCs w:val="17"/>
                <w:color w:val="auto"/>
              </w:rPr>
              <w:t>$252.6</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$253.2</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7"/>
                <w:szCs w:val="17"/>
                <w:color w:val="auto"/>
              </w:rPr>
              <w:t>Cost of sales</w:t>
            </w: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w:t>
            </w: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w:t>
            </w:r>
          </w:p>
        </w:tc>
        <w:tc>
          <w:tcPr>
            <w:tcW w:w="10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r>
      <w:tr>
        <w:trPr>
          <w:trHeight w:val="207"/>
        </w:trPr>
        <w:tc>
          <w:tcPr>
            <w:tcW w:w="6600" w:type="dxa"/>
            <w:vAlign w:val="bottom"/>
            <w:gridSpan w:val="2"/>
          </w:tcPr>
          <w:p>
            <w:pPr>
              <w:ind w:left="100"/>
              <w:spacing w:after="0"/>
              <w:rPr>
                <w:sz w:val="20"/>
                <w:szCs w:val="20"/>
                <w:color w:val="auto"/>
              </w:rPr>
            </w:pPr>
            <w:r>
              <w:rPr>
                <w:rFonts w:ascii="Arial" w:cs="Arial" w:eastAsia="Arial" w:hAnsi="Arial"/>
                <w:sz w:val="17"/>
                <w:szCs w:val="17"/>
                <w:color w:val="auto"/>
              </w:rPr>
              <w:t>Gross profit</w:t>
            </w:r>
          </w:p>
        </w:tc>
        <w:tc>
          <w:tcPr>
            <w:tcW w:w="700" w:type="dxa"/>
            <w:vAlign w:val="bottom"/>
          </w:tcPr>
          <w:p>
            <w:pPr>
              <w:jc w:val="right"/>
              <w:spacing w:after="0"/>
              <w:rPr>
                <w:sz w:val="20"/>
                <w:szCs w:val="20"/>
                <w:color w:val="auto"/>
              </w:rPr>
            </w:pPr>
            <w:r>
              <w:rPr>
                <w:rFonts w:ascii="Arial" w:cs="Arial" w:eastAsia="Arial" w:hAnsi="Arial"/>
                <w:sz w:val="17"/>
                <w:szCs w:val="17"/>
                <w:color w:val="auto"/>
              </w:rPr>
              <w:t>170.9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168.7</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1.3 %</w:t>
            </w:r>
          </w:p>
        </w:tc>
      </w:tr>
      <w:tr>
        <w:trPr>
          <w:trHeight w:val="195"/>
        </w:trPr>
        <w:tc>
          <w:tcPr>
            <w:tcW w:w="5440" w:type="dxa"/>
            <w:vAlign w:val="bottom"/>
          </w:tcPr>
          <w:p>
            <w:pPr>
              <w:spacing w:after="0"/>
              <w:rPr>
                <w:sz w:val="20"/>
                <w:szCs w:val="20"/>
                <w:color w:val="auto"/>
              </w:rPr>
            </w:pPr>
            <w:r>
              <w:rPr>
                <w:rFonts w:ascii="Arial" w:cs="Arial" w:eastAsia="Arial" w:hAnsi="Arial"/>
                <w:sz w:val="17"/>
                <w:szCs w:val="17"/>
                <w:color w:val="auto"/>
              </w:rPr>
              <w:t>Operating expenses:</w:t>
            </w:r>
          </w:p>
        </w:tc>
        <w:tc>
          <w:tcPr>
            <w:tcW w:w="1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r>
      <w:tr>
        <w:trPr>
          <w:trHeight w:val="215"/>
        </w:trPr>
        <w:tc>
          <w:tcPr>
            <w:tcW w:w="6600" w:type="dxa"/>
            <w:vAlign w:val="bottom"/>
            <w:gridSpan w:val="2"/>
          </w:tcPr>
          <w:p>
            <w:pPr>
              <w:ind w:left="100"/>
              <w:spacing w:after="0"/>
              <w:rPr>
                <w:sz w:val="20"/>
                <w:szCs w:val="20"/>
                <w:color w:val="auto"/>
              </w:rPr>
            </w:pPr>
            <w:r>
              <w:rPr>
                <w:rFonts w:ascii="Arial" w:cs="Arial" w:eastAsia="Arial" w:hAnsi="Arial"/>
                <w:sz w:val="17"/>
                <w:szCs w:val="17"/>
                <w:color w:val="auto"/>
              </w:rPr>
              <w:t>Selling, general and administrative</w:t>
            </w:r>
          </w:p>
        </w:tc>
        <w:tc>
          <w:tcPr>
            <w:tcW w:w="700" w:type="dxa"/>
            <w:vAlign w:val="bottom"/>
          </w:tcPr>
          <w:p>
            <w:pPr>
              <w:jc w:val="right"/>
              <w:spacing w:after="0"/>
              <w:rPr>
                <w:sz w:val="20"/>
                <w:szCs w:val="20"/>
                <w:color w:val="auto"/>
              </w:rPr>
            </w:pPr>
            <w:r>
              <w:rPr>
                <w:rFonts w:ascii="Arial" w:cs="Arial" w:eastAsia="Arial" w:hAnsi="Arial"/>
                <w:sz w:val="17"/>
                <w:szCs w:val="17"/>
                <w:color w:val="auto"/>
              </w:rPr>
              <w:t>114.6</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109.0</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5"/>
        </w:trPr>
        <w:tc>
          <w:tcPr>
            <w:tcW w:w="6600" w:type="dxa"/>
            <w:vAlign w:val="bottom"/>
            <w:gridSpan w:val="2"/>
          </w:tcPr>
          <w:p>
            <w:pPr>
              <w:ind w:left="100"/>
              <w:spacing w:after="0"/>
              <w:rPr>
                <w:sz w:val="20"/>
                <w:szCs w:val="20"/>
                <w:color w:val="auto"/>
              </w:rPr>
            </w:pPr>
            <w:r>
              <w:rPr>
                <w:rFonts w:ascii="Arial" w:cs="Arial" w:eastAsia="Arial" w:hAnsi="Arial"/>
                <w:sz w:val="17"/>
                <w:szCs w:val="17"/>
                <w:color w:val="auto"/>
              </w:rPr>
              <w:t>Research and development</w:t>
            </w:r>
          </w:p>
        </w:tc>
        <w:tc>
          <w:tcPr>
            <w:tcW w:w="700" w:type="dxa"/>
            <w:vAlign w:val="bottom"/>
          </w:tcPr>
          <w:p>
            <w:pPr>
              <w:jc w:val="right"/>
              <w:spacing w:after="0"/>
              <w:rPr>
                <w:sz w:val="20"/>
                <w:szCs w:val="20"/>
                <w:color w:val="auto"/>
              </w:rPr>
            </w:pPr>
            <w:r>
              <w:rPr>
                <w:rFonts w:ascii="Arial" w:cs="Arial" w:eastAsia="Arial" w:hAnsi="Arial"/>
                <w:sz w:val="17"/>
                <w:szCs w:val="17"/>
                <w:color w:val="auto"/>
              </w:rPr>
              <w:t>35.7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42.1</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5"/>
        </w:trPr>
        <w:tc>
          <w:tcPr>
            <w:tcW w:w="6600" w:type="dxa"/>
            <w:vAlign w:val="bottom"/>
            <w:gridSpan w:val="2"/>
          </w:tcPr>
          <w:p>
            <w:pPr>
              <w:ind w:left="100"/>
              <w:spacing w:after="0"/>
              <w:rPr>
                <w:sz w:val="20"/>
                <w:szCs w:val="20"/>
                <w:color w:val="auto"/>
              </w:rPr>
            </w:pPr>
            <w:r>
              <w:rPr>
                <w:rFonts w:ascii="Arial" w:cs="Arial" w:eastAsia="Arial" w:hAnsi="Arial"/>
                <w:sz w:val="17"/>
                <w:szCs w:val="17"/>
                <w:color w:val="auto"/>
              </w:rPr>
              <w:t>Impairment of goodwill</w:t>
            </w:r>
          </w:p>
        </w:tc>
        <w:tc>
          <w:tcPr>
            <w:tcW w:w="700" w:type="dxa"/>
            <w:vAlign w:val="bottom"/>
          </w:tcPr>
          <w:p>
            <w:pPr>
              <w:jc w:val="right"/>
              <w:spacing w:after="0"/>
              <w:rPr>
                <w:sz w:val="20"/>
                <w:szCs w:val="20"/>
                <w:color w:val="auto"/>
              </w:rPr>
            </w:pPr>
            <w:r>
              <w:rPr>
                <w:rFonts w:ascii="Arial" w:cs="Arial" w:eastAsia="Arial" w:hAnsi="Arial"/>
                <w:sz w:val="17"/>
                <w:szCs w:val="17"/>
                <w:color w:val="auto"/>
              </w:rPr>
              <w:t>129.4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60" w:type="dxa"/>
            <w:vAlign w:val="bottom"/>
          </w:tcPr>
          <w:p>
            <w:pPr>
              <w:spacing w:after="0"/>
              <w:rPr>
                <w:sz w:val="18"/>
                <w:szCs w:val="18"/>
                <w:color w:val="auto"/>
              </w:rPr>
            </w:pPr>
          </w:p>
        </w:tc>
      </w:tr>
      <w:tr>
        <w:trPr>
          <w:trHeight w:val="215"/>
        </w:trPr>
        <w:tc>
          <w:tcPr>
            <w:tcW w:w="5440" w:type="dxa"/>
            <w:vAlign w:val="bottom"/>
          </w:tcPr>
          <w:p>
            <w:pPr>
              <w:ind w:left="100"/>
              <w:spacing w:after="0"/>
              <w:rPr>
                <w:sz w:val="20"/>
                <w:szCs w:val="20"/>
                <w:color w:val="auto"/>
              </w:rPr>
            </w:pPr>
            <w:r>
              <w:rPr>
                <w:rFonts w:ascii="Arial" w:cs="Arial" w:eastAsia="Arial" w:hAnsi="Arial"/>
                <w:sz w:val="17"/>
                <w:szCs w:val="17"/>
                <w:color w:val="auto"/>
              </w:rPr>
              <w:t>Other operating expenses</w:t>
            </w: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r>
      <w:tr>
        <w:trPr>
          <w:trHeight w:val="207"/>
        </w:trPr>
        <w:tc>
          <w:tcPr>
            <w:tcW w:w="5440" w:type="dxa"/>
            <w:vAlign w:val="bottom"/>
          </w:tcPr>
          <w:p>
            <w:pPr>
              <w:spacing w:after="0"/>
              <w:rPr>
                <w:sz w:val="20"/>
                <w:szCs w:val="20"/>
                <w:color w:val="auto"/>
              </w:rPr>
            </w:pPr>
            <w:r>
              <w:rPr>
                <w:rFonts w:ascii="Arial" w:cs="Arial" w:eastAsia="Arial" w:hAnsi="Arial"/>
                <w:sz w:val="17"/>
                <w:szCs w:val="17"/>
                <w:color w:val="auto"/>
              </w:rPr>
              <w:t>Operating (loss) income</w:t>
            </w: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(132.0)</w:t>
            </w: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(903.6)%</w:t>
            </w:r>
          </w:p>
        </w:tc>
      </w:tr>
      <w:tr>
        <w:trPr>
          <w:trHeight w:val="207"/>
        </w:trPr>
        <w:tc>
          <w:tcPr>
            <w:tcW w:w="6600" w:type="dxa"/>
            <w:vAlign w:val="bottom"/>
            <w:gridSpan w:val="2"/>
          </w:tcPr>
          <w:p>
            <w:pPr>
              <w:ind w:left="100"/>
              <w:spacing w:after="0"/>
              <w:rPr>
                <w:sz w:val="20"/>
                <w:szCs w:val="20"/>
                <w:color w:val="auto"/>
              </w:rPr>
            </w:pPr>
            <w:r>
              <w:rPr>
                <w:rFonts w:ascii="Arial" w:cs="Arial" w:eastAsia="Arial" w:hAnsi="Arial"/>
                <w:sz w:val="17"/>
                <w:szCs w:val="17"/>
                <w:color w:val="auto"/>
              </w:rPr>
              <w:t>Interest expense</w:t>
            </w:r>
          </w:p>
        </w:tc>
        <w:tc>
          <w:tcPr>
            <w:tcW w:w="70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5"/>
        </w:trPr>
        <w:tc>
          <w:tcPr>
            <w:tcW w:w="6600" w:type="dxa"/>
            <w:vAlign w:val="bottom"/>
            <w:gridSpan w:val="2"/>
          </w:tcPr>
          <w:p>
            <w:pPr>
              <w:ind w:left="100"/>
              <w:spacing w:after="0"/>
              <w:rPr>
                <w:sz w:val="20"/>
                <w:szCs w:val="20"/>
                <w:color w:val="auto"/>
              </w:rPr>
            </w:pPr>
            <w:r>
              <w:rPr>
                <w:rFonts w:ascii="Arial" w:cs="Arial" w:eastAsia="Arial" w:hAnsi="Arial"/>
                <w:sz w:val="17"/>
                <w:szCs w:val="17"/>
                <w:color w:val="auto"/>
              </w:rPr>
              <w:t>Loss on debt extinguishment</w:t>
            </w:r>
          </w:p>
        </w:tc>
        <w:tc>
          <w:tcPr>
            <w:tcW w:w="2000" w:type="dxa"/>
            <w:vAlign w:val="bottom"/>
            <w:gridSpan w:val="3"/>
          </w:tcPr>
          <w:p>
            <w:pPr>
              <w:jc w:val="right"/>
              <w:ind w:right="1296"/>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(60.2)</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5"/>
        </w:trPr>
        <w:tc>
          <w:tcPr>
            <w:tcW w:w="5440" w:type="dxa"/>
            <w:vAlign w:val="bottom"/>
          </w:tcPr>
          <w:p>
            <w:pPr>
              <w:ind w:left="100"/>
              <w:spacing w:after="0"/>
              <w:rPr>
                <w:sz w:val="20"/>
                <w:szCs w:val="20"/>
                <w:color w:val="auto"/>
              </w:rPr>
            </w:pPr>
            <w:r>
              <w:rPr>
                <w:rFonts w:ascii="Arial" w:cs="Arial" w:eastAsia="Arial" w:hAnsi="Arial"/>
                <w:sz w:val="17"/>
                <w:szCs w:val="17"/>
                <w:color w:val="auto"/>
              </w:rPr>
              <w:t>Foreign exchange and other income/(expense)</w:t>
            </w: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w:t>
            </w: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r>
      <w:tr>
        <w:trPr>
          <w:trHeight w:val="207"/>
        </w:trPr>
        <w:tc>
          <w:tcPr>
            <w:tcW w:w="5440" w:type="dxa"/>
            <w:vAlign w:val="bottom"/>
          </w:tcPr>
          <w:p>
            <w:pPr>
              <w:spacing w:after="0"/>
              <w:rPr>
                <w:sz w:val="20"/>
                <w:szCs w:val="20"/>
                <w:color w:val="auto"/>
              </w:rPr>
            </w:pPr>
            <w:r>
              <w:rPr>
                <w:rFonts w:ascii="Arial" w:cs="Arial" w:eastAsia="Arial" w:hAnsi="Arial"/>
                <w:sz w:val="17"/>
                <w:szCs w:val="17"/>
                <w:color w:val="auto"/>
              </w:rPr>
              <w:t>Loss before tax</w:t>
            </w: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(106.1)</w:t>
            </w: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155.3 %</w:t>
            </w:r>
          </w:p>
        </w:tc>
      </w:tr>
      <w:tr>
        <w:trPr>
          <w:trHeight w:val="207"/>
        </w:trPr>
        <w:tc>
          <w:tcPr>
            <w:tcW w:w="6600" w:type="dxa"/>
            <w:vAlign w:val="bottom"/>
            <w:gridSpan w:val="2"/>
          </w:tcPr>
          <w:p>
            <w:pPr>
              <w:ind w:left="100"/>
              <w:spacing w:after="0"/>
              <w:rPr>
                <w:sz w:val="20"/>
                <w:szCs w:val="20"/>
                <w:color w:val="auto"/>
              </w:rPr>
            </w:pPr>
            <w:r>
              <w:rPr>
                <w:rFonts w:ascii="Arial" w:cs="Arial" w:eastAsia="Arial" w:hAnsi="Arial"/>
                <w:sz w:val="17"/>
                <w:szCs w:val="17"/>
                <w:color w:val="auto"/>
              </w:rPr>
              <w:t>Income tax expense</w:t>
            </w:r>
          </w:p>
        </w:tc>
        <w:tc>
          <w:tcPr>
            <w:tcW w:w="7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5"/>
        </w:trPr>
        <w:tc>
          <w:tcPr>
            <w:tcW w:w="5440" w:type="dxa"/>
            <w:vAlign w:val="bottom"/>
          </w:tcPr>
          <w:p>
            <w:pPr>
              <w:ind w:left="100"/>
              <w:spacing w:after="0"/>
              <w:rPr>
                <w:sz w:val="20"/>
                <w:szCs w:val="20"/>
                <w:color w:val="auto"/>
              </w:rPr>
            </w:pPr>
            <w:r>
              <w:rPr>
                <w:rFonts w:ascii="Arial" w:cs="Arial" w:eastAsia="Arial" w:hAnsi="Arial"/>
                <w:sz w:val="17"/>
                <w:szCs w:val="17"/>
                <w:color w:val="auto"/>
              </w:rPr>
              <w:t>Income from equity method investments</w:t>
            </w: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r>
      <w:tr>
        <w:trPr>
          <w:trHeight w:val="208"/>
        </w:trPr>
        <w:tc>
          <w:tcPr>
            <w:tcW w:w="660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700" w:type="dxa"/>
            <w:vAlign w:val="bottom"/>
          </w:tcPr>
          <w:p>
            <w:pPr>
              <w:jc w:val="right"/>
              <w:spacing w:after="0"/>
              <w:rPr>
                <w:sz w:val="20"/>
                <w:szCs w:val="20"/>
                <w:color w:val="auto"/>
              </w:rPr>
            </w:pPr>
            <w:r>
              <w:rPr>
                <w:rFonts w:ascii="Arial" w:cs="Arial" w:eastAsia="Arial" w:hAnsi="Arial"/>
                <w:sz w:val="17"/>
                <w:szCs w:val="17"/>
                <w:color w:val="auto"/>
              </w:rPr>
              <w:t>($107.3)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($43.4)</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147.1 %</w:t>
            </w:r>
          </w:p>
        </w:tc>
      </w:tr>
      <w:tr>
        <w:trPr>
          <w:trHeight w:val="20"/>
        </w:trPr>
        <w:tc>
          <w:tcPr>
            <w:tcW w:w="5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382"/>
        </w:trPr>
        <w:tc>
          <w:tcPr>
            <w:tcW w:w="6600" w:type="dxa"/>
            <w:vAlign w:val="bottom"/>
            <w:gridSpan w:val="2"/>
          </w:tcPr>
          <w:p>
            <w:pPr>
              <w:spacing w:after="0"/>
              <w:rPr>
                <w:sz w:val="20"/>
                <w:szCs w:val="20"/>
                <w:color w:val="auto"/>
              </w:rPr>
            </w:pPr>
            <w:r>
              <w:rPr>
                <w:rFonts w:ascii="Arial" w:cs="Arial" w:eastAsia="Arial" w:hAnsi="Arial"/>
                <w:sz w:val="17"/>
                <w:szCs w:val="17"/>
                <w:color w:val="auto"/>
              </w:rPr>
              <w:t>Basic loss per share</w:t>
            </w:r>
          </w:p>
        </w:tc>
        <w:tc>
          <w:tcPr>
            <w:tcW w:w="700" w:type="dxa"/>
            <w:vAlign w:val="bottom"/>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($0.84)</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5"/>
        </w:trPr>
        <w:tc>
          <w:tcPr>
            <w:tcW w:w="6600" w:type="dxa"/>
            <w:vAlign w:val="bottom"/>
            <w:gridSpan w:val="2"/>
          </w:tcPr>
          <w:p>
            <w:pPr>
              <w:spacing w:after="0"/>
              <w:rPr>
                <w:sz w:val="20"/>
                <w:szCs w:val="20"/>
                <w:color w:val="auto"/>
              </w:rPr>
            </w:pPr>
            <w:r>
              <w:rPr>
                <w:rFonts w:ascii="Arial" w:cs="Arial" w:eastAsia="Arial" w:hAnsi="Arial"/>
                <w:sz w:val="17"/>
                <w:szCs w:val="17"/>
                <w:color w:val="auto"/>
              </w:rPr>
              <w:t>Diluted loss per share</w:t>
            </w:r>
          </w:p>
        </w:tc>
        <w:tc>
          <w:tcPr>
            <w:tcW w:w="700" w:type="dxa"/>
            <w:vAlign w:val="bottom"/>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($0.84)</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17"/>
        </w:trPr>
        <w:tc>
          <w:tcPr>
            <w:tcW w:w="6600" w:type="dxa"/>
            <w:vAlign w:val="bottom"/>
            <w:gridSpan w:val="2"/>
          </w:tcPr>
          <w:p>
            <w:pPr>
              <w:spacing w:after="0"/>
              <w:rPr>
                <w:sz w:val="20"/>
                <w:szCs w:val="20"/>
                <w:color w:val="auto"/>
              </w:rPr>
            </w:pPr>
            <w:r>
              <w:rPr>
                <w:rFonts w:ascii="Arial" w:cs="Arial" w:eastAsia="Arial" w:hAnsi="Arial"/>
                <w:sz w:val="17"/>
                <w:szCs w:val="17"/>
                <w:color w:val="auto"/>
              </w:rPr>
              <w:t>Weighted average common shares outstanding:</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5"/>
        </w:trPr>
        <w:tc>
          <w:tcPr>
            <w:tcW w:w="6600" w:type="dxa"/>
            <w:vAlign w:val="bottom"/>
            <w:gridSpan w:val="2"/>
          </w:tcPr>
          <w:p>
            <w:pPr>
              <w:ind w:left="100"/>
              <w:spacing w:after="0"/>
              <w:rPr>
                <w:sz w:val="20"/>
                <w:szCs w:val="20"/>
                <w:color w:val="auto"/>
              </w:rPr>
            </w:pPr>
            <w:r>
              <w:rPr>
                <w:rFonts w:ascii="Arial" w:cs="Arial" w:eastAsia="Arial" w:hAnsi="Arial"/>
                <w:sz w:val="17"/>
                <w:szCs w:val="17"/>
                <w:color w:val="auto"/>
              </w:rPr>
              <w:t>Basic</w:t>
            </w:r>
          </w:p>
        </w:tc>
        <w:tc>
          <w:tcPr>
            <w:tcW w:w="700" w:type="dxa"/>
            <w:vAlign w:val="bottom"/>
          </w:tcPr>
          <w:p>
            <w:pPr>
              <w:jc w:val="right"/>
              <w:spacing w:after="0"/>
              <w:rPr>
                <w:sz w:val="20"/>
                <w:szCs w:val="20"/>
                <w:color w:val="auto"/>
              </w:rPr>
            </w:pPr>
            <w:r>
              <w:rPr>
                <w:rFonts w:ascii="Arial" w:cs="Arial" w:eastAsia="Arial" w:hAnsi="Arial"/>
                <w:sz w:val="17"/>
                <w:szCs w:val="17"/>
                <w:color w:val="auto"/>
              </w:rPr>
              <w:t>53.5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51.6</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5"/>
        </w:trPr>
        <w:tc>
          <w:tcPr>
            <w:tcW w:w="6600" w:type="dxa"/>
            <w:vAlign w:val="bottom"/>
            <w:gridSpan w:val="2"/>
          </w:tcPr>
          <w:p>
            <w:pPr>
              <w:ind w:left="100"/>
              <w:spacing w:after="0"/>
              <w:rPr>
                <w:sz w:val="20"/>
                <w:szCs w:val="20"/>
                <w:color w:val="auto"/>
              </w:rPr>
            </w:pPr>
            <w:r>
              <w:rPr>
                <w:rFonts w:ascii="Arial" w:cs="Arial" w:eastAsia="Arial" w:hAnsi="Arial"/>
                <w:sz w:val="17"/>
                <w:szCs w:val="17"/>
                <w:color w:val="auto"/>
              </w:rPr>
              <w:t>Diluted</w:t>
            </w:r>
          </w:p>
        </w:tc>
        <w:tc>
          <w:tcPr>
            <w:tcW w:w="700" w:type="dxa"/>
            <w:vAlign w:val="bottom"/>
          </w:tcPr>
          <w:p>
            <w:pPr>
              <w:jc w:val="right"/>
              <w:spacing w:after="0"/>
              <w:rPr>
                <w:sz w:val="20"/>
                <w:szCs w:val="20"/>
                <w:color w:val="auto"/>
              </w:rPr>
            </w:pPr>
            <w:r>
              <w:rPr>
                <w:rFonts w:ascii="Arial" w:cs="Arial" w:eastAsia="Arial" w:hAnsi="Arial"/>
                <w:sz w:val="17"/>
                <w:szCs w:val="17"/>
                <w:color w:val="auto"/>
              </w:rPr>
              <w:t>53.5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51.6</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 Numbers may not add precisely due to rounding.</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20"/>
          </w:cols>
          <w:pgMar w:left="340" w:top="144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2"/>
        </w:trPr>
        <w:tc>
          <w:tcPr>
            <w:tcW w:w="7180" w:type="dxa"/>
            <w:vAlign w:val="bottom"/>
            <w:gridSpan w:val="2"/>
          </w:tcPr>
          <w:p>
            <w:pPr>
              <w:spacing w:after="0"/>
              <w:rPr>
                <w:sz w:val="20"/>
                <w:szCs w:val="20"/>
                <w:color w:val="auto"/>
              </w:rPr>
            </w:pPr>
            <w:r>
              <w:rPr>
                <w:rFonts w:ascii="Arial" w:cs="Arial" w:eastAsia="Arial" w:hAnsi="Arial"/>
                <w:sz w:val="17"/>
                <w:szCs w:val="17"/>
                <w:b w:val="1"/>
                <w:bCs w:val="1"/>
                <w:color w:val="auto"/>
              </w:rPr>
              <w:t>Adjusted Financial Measures (U.S. dollars in millions, except per share amounts)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7"/>
        </w:trPr>
        <w:tc>
          <w:tcPr>
            <w:tcW w:w="6060" w:type="dxa"/>
            <w:vAlign w:val="bottom"/>
          </w:tcPr>
          <w:p>
            <w:pPr>
              <w:spacing w:after="0"/>
              <w:rPr>
                <w:sz w:val="24"/>
                <w:szCs w:val="24"/>
                <w:color w:val="auto"/>
              </w:rPr>
            </w:pPr>
          </w:p>
        </w:tc>
        <w:tc>
          <w:tcPr>
            <w:tcW w:w="3620" w:type="dxa"/>
            <w:vAlign w:val="bottom"/>
            <w:gridSpan w:val="5"/>
          </w:tcPr>
          <w:p>
            <w:pPr>
              <w:ind w:left="320"/>
              <w:spacing w:after="0"/>
              <w:rPr>
                <w:sz w:val="20"/>
                <w:szCs w:val="20"/>
                <w:color w:val="auto"/>
              </w:rPr>
            </w:pPr>
            <w:r>
              <w:rPr>
                <w:rFonts w:ascii="Arial" w:cs="Arial" w:eastAsia="Arial" w:hAnsi="Arial"/>
                <w:sz w:val="17"/>
                <w:szCs w:val="17"/>
                <w:b w:val="1"/>
                <w:bCs w:val="1"/>
                <w:color w:val="auto"/>
              </w:rPr>
              <w:t>Three Months Ended September 30,</w:t>
            </w:r>
          </w:p>
        </w:tc>
        <w:tc>
          <w:tcPr>
            <w:tcW w:w="1540" w:type="dxa"/>
            <w:vAlign w:val="bottom"/>
          </w:tcPr>
          <w:p>
            <w:pPr>
              <w:spacing w:after="0"/>
              <w:rPr>
                <w:sz w:val="24"/>
                <w:szCs w:val="24"/>
                <w:color w:val="auto"/>
              </w:rPr>
            </w:pPr>
          </w:p>
        </w:tc>
      </w:tr>
      <w:tr>
        <w:trPr>
          <w:trHeight w:val="208"/>
        </w:trPr>
        <w:tc>
          <w:tcPr>
            <w:tcW w:w="60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196"/>
              <w:spacing w:after="0" w:line="208" w:lineRule="exact"/>
              <w:rPr>
                <w:sz w:val="20"/>
                <w:szCs w:val="20"/>
                <w:color w:val="auto"/>
              </w:rPr>
            </w:pPr>
            <w:r>
              <w:rPr>
                <w:rFonts w:ascii="Arial" w:cs="Arial" w:eastAsia="Arial" w:hAnsi="Arial"/>
                <w:sz w:val="17"/>
                <w:szCs w:val="17"/>
                <w:b w:val="1"/>
                <w:bCs w:val="1"/>
                <w:color w:val="auto"/>
              </w:rPr>
              <w:t xml:space="preserve">% Change </w:t>
            </w:r>
            <w:r>
              <w:rPr>
                <w:rFonts w:ascii="Arial" w:cs="Arial" w:eastAsia="Arial" w:hAnsi="Arial"/>
                <w:sz w:val="21"/>
                <w:szCs w:val="21"/>
                <w:b w:val="1"/>
                <w:bCs w:val="1"/>
                <w:color w:val="auto"/>
                <w:vertAlign w:val="superscript"/>
              </w:rPr>
              <w:t>(1)</w:t>
            </w:r>
          </w:p>
        </w:tc>
      </w:tr>
      <w:tr>
        <w:trPr>
          <w:trHeight w:val="209"/>
        </w:trPr>
        <w:tc>
          <w:tcPr>
            <w:tcW w:w="718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Adjusted SG&amp;A </w:t>
            </w:r>
            <w:r>
              <w:rPr>
                <w:rFonts w:ascii="Arial" w:cs="Arial" w:eastAsia="Arial" w:hAnsi="Arial"/>
                <w:sz w:val="21"/>
                <w:szCs w:val="21"/>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7"/>
                <w:szCs w:val="17"/>
                <w:color w:val="auto"/>
              </w:rPr>
              <w:t>$98.5</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$92.6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6.3 %</w:t>
            </w:r>
          </w:p>
        </w:tc>
      </w:tr>
      <w:tr>
        <w:trPr>
          <w:trHeight w:val="215"/>
        </w:trPr>
        <w:tc>
          <w:tcPr>
            <w:tcW w:w="7180" w:type="dxa"/>
            <w:vAlign w:val="bottom"/>
            <w:gridSpan w:val="2"/>
          </w:tcPr>
          <w:p>
            <w:pPr>
              <w:spacing w:after="0" w:line="215" w:lineRule="exact"/>
              <w:rPr>
                <w:sz w:val="20"/>
                <w:szCs w:val="20"/>
                <w:color w:val="auto"/>
              </w:rPr>
            </w:pPr>
            <w:r>
              <w:rPr>
                <w:rFonts w:ascii="Arial" w:cs="Arial" w:eastAsia="Arial" w:hAnsi="Arial"/>
                <w:sz w:val="17"/>
                <w:szCs w:val="17"/>
                <w:color w:val="auto"/>
              </w:rPr>
              <w:t xml:space="preserve">Adjusted R&amp;D </w:t>
            </w:r>
            <w:r>
              <w:rPr>
                <w:rFonts w:ascii="Arial" w:cs="Arial" w:eastAsia="Arial" w:hAnsi="Arial"/>
                <w:sz w:val="21"/>
                <w:szCs w:val="21"/>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7"/>
                <w:szCs w:val="17"/>
                <w:color w:val="auto"/>
              </w:rPr>
              <w:t>41.5</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37.4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11.0 %</w:t>
            </w:r>
          </w:p>
        </w:tc>
      </w:tr>
      <w:tr>
        <w:trPr>
          <w:trHeight w:val="215"/>
        </w:trPr>
        <w:tc>
          <w:tcPr>
            <w:tcW w:w="7180" w:type="dxa"/>
            <w:vAlign w:val="bottom"/>
            <w:gridSpan w:val="2"/>
          </w:tcPr>
          <w:p>
            <w:pPr>
              <w:spacing w:after="0" w:line="215" w:lineRule="exact"/>
              <w:rPr>
                <w:sz w:val="20"/>
                <w:szCs w:val="20"/>
                <w:color w:val="auto"/>
              </w:rPr>
            </w:pPr>
            <w:r>
              <w:rPr>
                <w:rFonts w:ascii="Arial" w:cs="Arial" w:eastAsia="Arial" w:hAnsi="Arial"/>
                <w:sz w:val="17"/>
                <w:szCs w:val="17"/>
                <w:color w:val="auto"/>
              </w:rPr>
              <w:t xml:space="preserve">Adjusted operating income </w:t>
            </w:r>
            <w:r>
              <w:rPr>
                <w:rFonts w:ascii="Arial" w:cs="Arial" w:eastAsia="Arial" w:hAnsi="Arial"/>
                <w:sz w:val="21"/>
                <w:szCs w:val="21"/>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(21.2)%</w:t>
            </w:r>
          </w:p>
        </w:tc>
      </w:tr>
      <w:tr>
        <w:trPr>
          <w:trHeight w:val="215"/>
        </w:trPr>
        <w:tc>
          <w:tcPr>
            <w:tcW w:w="7180" w:type="dxa"/>
            <w:vAlign w:val="bottom"/>
            <w:gridSpan w:val="2"/>
          </w:tcPr>
          <w:p>
            <w:pPr>
              <w:spacing w:after="0" w:line="215" w:lineRule="exact"/>
              <w:rPr>
                <w:sz w:val="20"/>
                <w:szCs w:val="20"/>
                <w:color w:val="auto"/>
              </w:rPr>
            </w:pPr>
            <w:r>
              <w:rPr>
                <w:rFonts w:ascii="Arial" w:cs="Arial" w:eastAsia="Arial" w:hAnsi="Arial"/>
                <w:sz w:val="17"/>
                <w:szCs w:val="17"/>
                <w:color w:val="auto"/>
              </w:rPr>
              <w:t xml:space="preserve">Adjusted net income </w:t>
            </w:r>
            <w:r>
              <w:rPr>
                <w:rFonts w:ascii="Arial" w:cs="Arial" w:eastAsia="Arial" w:hAnsi="Arial"/>
                <w:sz w:val="21"/>
                <w:szCs w:val="21"/>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34.7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80"/>
        </w:trPr>
        <w:tc>
          <w:tcPr>
            <w:tcW w:w="7180" w:type="dxa"/>
            <w:vAlign w:val="bottom"/>
            <w:gridSpan w:val="2"/>
          </w:tcPr>
          <w:p>
            <w:pPr>
              <w:spacing w:after="0"/>
              <w:rPr>
                <w:sz w:val="20"/>
                <w:szCs w:val="20"/>
                <w:color w:val="auto"/>
              </w:rPr>
            </w:pPr>
            <w:r>
              <w:rPr>
                <w:rFonts w:ascii="Arial" w:cs="Arial" w:eastAsia="Arial" w:hAnsi="Arial"/>
                <w:sz w:val="17"/>
                <w:szCs w:val="17"/>
                <w:color w:val="auto"/>
              </w:rPr>
              <w:t xml:space="preserve">Adjusted diluted earnings per share </w:t>
            </w:r>
            <w:r>
              <w:rPr>
                <w:rFonts w:ascii="Arial" w:cs="Arial" w:eastAsia="Arial" w:hAnsi="Arial"/>
                <w:sz w:val="21"/>
                <w:szCs w:val="21"/>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7"/>
                <w:szCs w:val="17"/>
                <w:color w:val="auto"/>
              </w:rPr>
              <w:t>$0.58</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$0.66</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(13.1)%</w:t>
            </w:r>
          </w:p>
        </w:tc>
      </w:tr>
    </w:tbl>
    <w:p>
      <w:pPr>
        <w:spacing w:after="0" w:line="49" w:lineRule="exact"/>
        <w:rPr>
          <w:sz w:val="20"/>
          <w:szCs w:val="20"/>
          <w:color w:val="auto"/>
        </w:rPr>
      </w:pPr>
    </w:p>
    <w:p>
      <w:pPr>
        <w:ind w:left="460" w:right="20" w:hanging="338"/>
        <w:spacing w:after="0" w:line="231"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Adjusted financial measures are non-GAAP measures and exclude specified items as described and reconciled in the “Reconciliation of GAAP to non-GAAP Financial Measures” contained in the press release.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Statistics (as a % of net revenue, except for income tax rate)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spacing w:after="0"/>
              <w:rPr>
                <w:sz w:val="21"/>
                <w:szCs w:val="21"/>
                <w:color w:val="auto"/>
              </w:rPr>
            </w:pPr>
          </w:p>
        </w:tc>
        <w:tc>
          <w:tcPr>
            <w:tcW w:w="3800" w:type="dxa"/>
            <w:vAlign w:val="bottom"/>
            <w:gridSpan w:val="5"/>
            <w:vMerge w:val="restart"/>
          </w:tcPr>
          <w:p>
            <w:pPr>
              <w:ind w:left="160"/>
              <w:spacing w:after="0"/>
              <w:rPr>
                <w:sz w:val="20"/>
                <w:szCs w:val="20"/>
                <w:color w:val="auto"/>
              </w:rPr>
            </w:pPr>
            <w:r>
              <w:rPr>
                <w:rFonts w:ascii="Arial" w:cs="Arial" w:eastAsia="Arial" w:hAnsi="Arial"/>
                <w:sz w:val="17"/>
                <w:szCs w:val="17"/>
                <w:b w:val="1"/>
                <w:bCs w:val="1"/>
                <w:color w:val="auto"/>
              </w:rPr>
              <w:t>GAAP Three Months Ended September 30,</w:t>
            </w:r>
          </w:p>
        </w:tc>
        <w:tc>
          <w:tcPr>
            <w:tcW w:w="3700" w:type="dxa"/>
            <w:vAlign w:val="bottom"/>
            <w:gridSpan w:val="4"/>
          </w:tcPr>
          <w:p>
            <w:pPr>
              <w:jc w:val="center"/>
              <w:spacing w:after="0"/>
              <w:rPr>
                <w:sz w:val="20"/>
                <w:szCs w:val="20"/>
                <w:color w:val="auto"/>
              </w:rPr>
            </w:pPr>
            <w:r>
              <w:rPr>
                <w:rFonts w:ascii="Arial" w:cs="Arial" w:eastAsia="Arial" w:hAnsi="Arial"/>
                <w:sz w:val="17"/>
                <w:szCs w:val="17"/>
                <w:b w:val="1"/>
                <w:bCs w:val="1"/>
                <w:color w:val="auto"/>
                <w:w w:val="97"/>
              </w:rPr>
              <w:t xml:space="preserve">Adjusted </w:t>
            </w:r>
            <w:r>
              <w:rPr>
                <w:rFonts w:ascii="Arial" w:cs="Arial" w:eastAsia="Arial" w:hAnsi="Arial"/>
                <w:sz w:val="21"/>
                <w:szCs w:val="21"/>
                <w:b w:val="1"/>
                <w:bCs w:val="1"/>
                <w:color w:val="auto"/>
                <w:w w:val="97"/>
                <w:vertAlign w:val="superscript"/>
              </w:rPr>
              <w:t>(1)</w:t>
            </w:r>
            <w:r>
              <w:rPr>
                <w:rFonts w:ascii="Arial" w:cs="Arial" w:eastAsia="Arial" w:hAnsi="Arial"/>
                <w:sz w:val="17"/>
                <w:szCs w:val="17"/>
                <w:b w:val="1"/>
                <w:bCs w:val="1"/>
                <w:color w:val="auto"/>
                <w:w w:val="97"/>
              </w:rPr>
              <w:t xml:space="preserve"> Three Months Ended September</w:t>
            </w:r>
          </w:p>
        </w:tc>
        <w:tc>
          <w:tcPr>
            <w:tcW w:w="0" w:type="dxa"/>
            <w:vAlign w:val="bottom"/>
          </w:tcPr>
          <w:p>
            <w:pPr>
              <w:spacing w:after="0"/>
              <w:rPr>
                <w:sz w:val="1"/>
                <w:szCs w:val="1"/>
                <w:color w:val="auto"/>
              </w:rPr>
            </w:pPr>
          </w:p>
        </w:tc>
      </w:tr>
      <w:tr>
        <w:trPr>
          <w:trHeight w:val="227"/>
        </w:trPr>
        <w:tc>
          <w:tcPr>
            <w:tcW w:w="3720" w:type="dxa"/>
            <w:vAlign w:val="bottom"/>
          </w:tcPr>
          <w:p>
            <w:pPr>
              <w:spacing w:after="0"/>
              <w:rPr>
                <w:sz w:val="19"/>
                <w:szCs w:val="19"/>
                <w:color w:val="auto"/>
              </w:rPr>
            </w:pPr>
          </w:p>
        </w:tc>
        <w:tc>
          <w:tcPr>
            <w:tcW w:w="3800" w:type="dxa"/>
            <w:vAlign w:val="bottom"/>
            <w:gridSpan w:val="5"/>
            <w:vMerge w:val="continue"/>
          </w:tcPr>
          <w:p>
            <w:pPr>
              <w:spacing w:after="0"/>
              <w:rPr>
                <w:sz w:val="19"/>
                <w:szCs w:val="19"/>
                <w:color w:val="auto"/>
              </w:rPr>
            </w:pPr>
          </w:p>
        </w:tc>
        <w:tc>
          <w:tcPr>
            <w:tcW w:w="230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rPr>
              <w:t>30,</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7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7"/>
        </w:trPr>
        <w:tc>
          <w:tcPr>
            <w:tcW w:w="486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660" w:type="dxa"/>
            <w:vAlign w:val="bottom"/>
          </w:tcPr>
          <w:p>
            <w:pPr>
              <w:jc w:val="right"/>
              <w:spacing w:after="0"/>
              <w:rPr>
                <w:sz w:val="20"/>
                <w:szCs w:val="20"/>
                <w:color w:val="auto"/>
              </w:rPr>
            </w:pPr>
            <w:r>
              <w:rPr>
                <w:rFonts w:ascii="Arial" w:cs="Arial" w:eastAsia="Arial" w:hAnsi="Arial"/>
                <w:sz w:val="17"/>
                <w:szCs w:val="17"/>
                <w:color w:val="auto"/>
              </w:rPr>
              <w:t>67.7 %</w:t>
            </w: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66.6 %</w:t>
            </w: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69.9 %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70.1 %</w:t>
            </w:r>
          </w:p>
        </w:tc>
        <w:tc>
          <w:tcPr>
            <w:tcW w:w="0" w:type="dxa"/>
            <w:vAlign w:val="bottom"/>
          </w:tcPr>
          <w:p>
            <w:pPr>
              <w:spacing w:after="0"/>
              <w:rPr>
                <w:sz w:val="1"/>
                <w:szCs w:val="1"/>
                <w:color w:val="auto"/>
              </w:rPr>
            </w:pPr>
          </w:p>
        </w:tc>
      </w:tr>
      <w:tr>
        <w:trPr>
          <w:trHeight w:val="215"/>
        </w:trPr>
        <w:tc>
          <w:tcPr>
            <w:tcW w:w="4860" w:type="dxa"/>
            <w:vAlign w:val="bottom"/>
            <w:gridSpan w:val="2"/>
          </w:tcPr>
          <w:p>
            <w:pPr>
              <w:spacing w:after="0"/>
              <w:rPr>
                <w:sz w:val="20"/>
                <w:szCs w:val="20"/>
                <w:color w:val="auto"/>
              </w:rPr>
            </w:pPr>
            <w:r>
              <w:rPr>
                <w:rFonts w:ascii="Arial" w:cs="Arial" w:eastAsia="Arial" w:hAnsi="Arial"/>
                <w:sz w:val="17"/>
                <w:szCs w:val="17"/>
                <w:color w:val="auto"/>
              </w:rPr>
              <w:t>SG&amp;A</w:t>
            </w:r>
          </w:p>
        </w:tc>
        <w:tc>
          <w:tcPr>
            <w:tcW w:w="660" w:type="dxa"/>
            <w:vAlign w:val="bottom"/>
          </w:tcPr>
          <w:p>
            <w:pPr>
              <w:jc w:val="right"/>
              <w:spacing w:after="0"/>
              <w:rPr>
                <w:sz w:val="20"/>
                <w:szCs w:val="20"/>
                <w:color w:val="auto"/>
              </w:rPr>
            </w:pPr>
            <w:r>
              <w:rPr>
                <w:rFonts w:ascii="Arial" w:cs="Arial" w:eastAsia="Arial" w:hAnsi="Arial"/>
                <w:sz w:val="17"/>
                <w:szCs w:val="17"/>
                <w:color w:val="auto"/>
              </w:rPr>
              <w:t>45.4 %</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43.1 %</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39.0 %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36.6 %</w:t>
            </w:r>
          </w:p>
        </w:tc>
        <w:tc>
          <w:tcPr>
            <w:tcW w:w="0" w:type="dxa"/>
            <w:vAlign w:val="bottom"/>
          </w:tcPr>
          <w:p>
            <w:pPr>
              <w:spacing w:after="0"/>
              <w:rPr>
                <w:sz w:val="1"/>
                <w:szCs w:val="1"/>
                <w:color w:val="auto"/>
              </w:rPr>
            </w:pPr>
          </w:p>
        </w:tc>
      </w:tr>
      <w:tr>
        <w:trPr>
          <w:trHeight w:val="215"/>
        </w:trPr>
        <w:tc>
          <w:tcPr>
            <w:tcW w:w="4860" w:type="dxa"/>
            <w:vAlign w:val="bottom"/>
            <w:gridSpan w:val="2"/>
          </w:tcPr>
          <w:p>
            <w:pPr>
              <w:spacing w:after="0"/>
              <w:rPr>
                <w:sz w:val="20"/>
                <w:szCs w:val="20"/>
                <w:color w:val="auto"/>
              </w:rPr>
            </w:pPr>
            <w:r>
              <w:rPr>
                <w:rFonts w:ascii="Arial" w:cs="Arial" w:eastAsia="Arial" w:hAnsi="Arial"/>
                <w:sz w:val="17"/>
                <w:szCs w:val="17"/>
                <w:color w:val="auto"/>
              </w:rPr>
              <w:t>R&amp;D</w:t>
            </w:r>
          </w:p>
        </w:tc>
        <w:tc>
          <w:tcPr>
            <w:tcW w:w="660" w:type="dxa"/>
            <w:vAlign w:val="bottom"/>
          </w:tcPr>
          <w:p>
            <w:pPr>
              <w:jc w:val="right"/>
              <w:spacing w:after="0"/>
              <w:rPr>
                <w:sz w:val="20"/>
                <w:szCs w:val="20"/>
                <w:color w:val="auto"/>
              </w:rPr>
            </w:pPr>
            <w:r>
              <w:rPr>
                <w:rFonts w:ascii="Arial" w:cs="Arial" w:eastAsia="Arial" w:hAnsi="Arial"/>
                <w:sz w:val="17"/>
                <w:szCs w:val="17"/>
                <w:color w:val="auto"/>
              </w:rPr>
              <w:t>14.1 %</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16.6 %</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16.4 %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14.8 %</w:t>
            </w:r>
          </w:p>
        </w:tc>
        <w:tc>
          <w:tcPr>
            <w:tcW w:w="0" w:type="dxa"/>
            <w:vAlign w:val="bottom"/>
          </w:tcPr>
          <w:p>
            <w:pPr>
              <w:spacing w:after="0"/>
              <w:rPr>
                <w:sz w:val="1"/>
                <w:szCs w:val="1"/>
                <w:color w:val="auto"/>
              </w:rPr>
            </w:pPr>
          </w:p>
        </w:tc>
      </w:tr>
      <w:tr>
        <w:trPr>
          <w:trHeight w:val="215"/>
        </w:trPr>
        <w:tc>
          <w:tcPr>
            <w:tcW w:w="4860" w:type="dxa"/>
            <w:vAlign w:val="bottom"/>
            <w:gridSpan w:val="2"/>
          </w:tcPr>
          <w:p>
            <w:pPr>
              <w:spacing w:after="0"/>
              <w:rPr>
                <w:sz w:val="20"/>
                <w:szCs w:val="20"/>
                <w:color w:val="auto"/>
              </w:rPr>
            </w:pPr>
            <w:r>
              <w:rPr>
                <w:rFonts w:ascii="Arial" w:cs="Arial" w:eastAsia="Arial" w:hAnsi="Arial"/>
                <w:sz w:val="17"/>
                <w:szCs w:val="17"/>
                <w:color w:val="auto"/>
              </w:rPr>
              <w:t>Operating (loss) income</w:t>
            </w:r>
          </w:p>
        </w:tc>
        <w:tc>
          <w:tcPr>
            <w:tcW w:w="660" w:type="dxa"/>
            <w:vAlign w:val="bottom"/>
          </w:tcPr>
          <w:p>
            <w:pPr>
              <w:jc w:val="right"/>
              <w:spacing w:after="0"/>
              <w:rPr>
                <w:sz w:val="20"/>
                <w:szCs w:val="20"/>
                <w:color w:val="auto"/>
              </w:rPr>
            </w:pPr>
            <w:r>
              <w:rPr>
                <w:rFonts w:ascii="Arial" w:cs="Arial" w:eastAsia="Arial" w:hAnsi="Arial"/>
                <w:sz w:val="17"/>
                <w:szCs w:val="17"/>
                <w:color w:val="auto"/>
              </w:rPr>
              <w:t>(52.2)%</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6.5 %</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14.5 %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18.4 %</w:t>
            </w:r>
          </w:p>
        </w:tc>
        <w:tc>
          <w:tcPr>
            <w:tcW w:w="0" w:type="dxa"/>
            <w:vAlign w:val="bottom"/>
          </w:tcPr>
          <w:p>
            <w:pPr>
              <w:spacing w:after="0"/>
              <w:rPr>
                <w:sz w:val="1"/>
                <w:szCs w:val="1"/>
                <w:color w:val="auto"/>
              </w:rPr>
            </w:pPr>
          </w:p>
        </w:tc>
      </w:tr>
      <w:tr>
        <w:trPr>
          <w:trHeight w:val="215"/>
        </w:trPr>
        <w:tc>
          <w:tcPr>
            <w:tcW w:w="4860" w:type="dxa"/>
            <w:vAlign w:val="bottom"/>
            <w:gridSpan w:val="2"/>
          </w:tcPr>
          <w:p>
            <w:pPr>
              <w:spacing w:after="0"/>
              <w:rPr>
                <w:sz w:val="20"/>
                <w:szCs w:val="20"/>
                <w:color w:val="auto"/>
              </w:rPr>
            </w:pPr>
            <w:r>
              <w:rPr>
                <w:rFonts w:ascii="Arial" w:cs="Arial" w:eastAsia="Arial" w:hAnsi="Arial"/>
                <w:sz w:val="17"/>
                <w:szCs w:val="17"/>
                <w:color w:val="auto"/>
              </w:rPr>
              <w:t>Net (loss) income</w:t>
            </w:r>
          </w:p>
        </w:tc>
        <w:tc>
          <w:tcPr>
            <w:tcW w:w="660" w:type="dxa"/>
            <w:vAlign w:val="bottom"/>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12.3 %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13.7 %</w:t>
            </w:r>
          </w:p>
        </w:tc>
        <w:tc>
          <w:tcPr>
            <w:tcW w:w="0" w:type="dxa"/>
            <w:vAlign w:val="bottom"/>
          </w:tcPr>
          <w:p>
            <w:pPr>
              <w:spacing w:after="0"/>
              <w:rPr>
                <w:sz w:val="1"/>
                <w:szCs w:val="1"/>
                <w:color w:val="auto"/>
              </w:rPr>
            </w:pPr>
          </w:p>
        </w:tc>
      </w:tr>
      <w:tr>
        <w:trPr>
          <w:trHeight w:val="215"/>
        </w:trPr>
        <w:tc>
          <w:tcPr>
            <w:tcW w:w="4860" w:type="dxa"/>
            <w:vAlign w:val="bottom"/>
            <w:gridSpan w:val="2"/>
          </w:tcPr>
          <w:p>
            <w:pPr>
              <w:spacing w:after="0"/>
              <w:rPr>
                <w:sz w:val="20"/>
                <w:szCs w:val="20"/>
                <w:color w:val="auto"/>
              </w:rPr>
            </w:pPr>
            <w:r>
              <w:rPr>
                <w:rFonts w:ascii="Arial" w:cs="Arial" w:eastAsia="Arial" w:hAnsi="Arial"/>
                <w:sz w:val="17"/>
                <w:szCs w:val="17"/>
                <w:color w:val="auto"/>
              </w:rPr>
              <w:t>Income tax rate</w:t>
            </w:r>
          </w:p>
        </w:tc>
        <w:tc>
          <w:tcPr>
            <w:tcW w:w="6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8.3 %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9.9 %</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40" w:right="20" w:hanging="330"/>
        <w:spacing w:after="0" w:line="231" w:lineRule="auto"/>
        <w:tabs>
          <w:tab w:leader="none" w:pos="4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20"/>
          </w:cols>
          <w:pgMar w:left="340" w:top="1370"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LIVANOVA PLC AND SUBSIDIARIES</w:t>
      </w:r>
    </w:p>
    <w:p>
      <w:pPr>
        <w:spacing w:after="0" w:line="27" w:lineRule="exact"/>
        <w:rPr>
          <w:sz w:val="20"/>
          <w:szCs w:val="20"/>
          <w:color w:val="auto"/>
        </w:rPr>
      </w:pPr>
    </w:p>
    <w:p>
      <w:pPr>
        <w:ind w:right="5460"/>
        <w:spacing w:after="0" w:line="287" w:lineRule="auto"/>
        <w:rPr>
          <w:sz w:val="20"/>
          <w:szCs w:val="20"/>
          <w:color w:val="auto"/>
        </w:rPr>
      </w:pPr>
      <w:r>
        <w:rPr>
          <w:rFonts w:ascii="Arial" w:cs="Arial" w:eastAsia="Arial" w:hAnsi="Arial"/>
          <w:sz w:val="17"/>
          <w:szCs w:val="17"/>
          <w:b w:val="1"/>
          <w:bCs w:val="1"/>
          <w:color w:val="auto"/>
        </w:rPr>
        <w:t>CONDENSED CONSOLIDATED STATEMENTS OF INCOME - UNAUDITED (U.S. dollars in millions, except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40" w:type="dxa"/>
            <w:vAlign w:val="bottom"/>
          </w:tcPr>
          <w:p>
            <w:pPr>
              <w:spacing w:after="0"/>
              <w:rPr>
                <w:sz w:val="19"/>
                <w:szCs w:val="19"/>
                <w:color w:val="auto"/>
              </w:rPr>
            </w:pPr>
          </w:p>
        </w:tc>
        <w:tc>
          <w:tcPr>
            <w:tcW w:w="3920" w:type="dxa"/>
            <w:vAlign w:val="bottom"/>
            <w:gridSpan w:val="6"/>
          </w:tcPr>
          <w:p>
            <w:pPr>
              <w:ind w:left="520"/>
              <w:spacing w:after="0"/>
              <w:rPr>
                <w:sz w:val="20"/>
                <w:szCs w:val="20"/>
                <w:color w:val="auto"/>
              </w:rPr>
            </w:pPr>
            <w:r>
              <w:rPr>
                <w:rFonts w:ascii="Arial" w:cs="Arial" w:eastAsia="Arial" w:hAnsi="Arial"/>
                <w:sz w:val="17"/>
                <w:szCs w:val="17"/>
                <w:b w:val="1"/>
                <w:bCs w:val="1"/>
                <w:color w:val="auto"/>
              </w:rPr>
              <w:t>Nine Months Ended September 30,</w:t>
            </w:r>
          </w:p>
        </w:tc>
        <w:tc>
          <w:tcPr>
            <w:tcW w:w="1860" w:type="dxa"/>
            <w:vAlign w:val="bottom"/>
          </w:tcPr>
          <w:p>
            <w:pPr>
              <w:spacing w:after="0"/>
              <w:rPr>
                <w:sz w:val="19"/>
                <w:szCs w:val="19"/>
                <w:color w:val="auto"/>
              </w:rPr>
            </w:pPr>
          </w:p>
        </w:tc>
      </w:tr>
      <w:tr>
        <w:trPr>
          <w:trHeight w:val="208"/>
        </w:trPr>
        <w:tc>
          <w:tcPr>
            <w:tcW w:w="54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 Change</w:t>
            </w:r>
          </w:p>
        </w:tc>
      </w:tr>
      <w:tr>
        <w:trPr>
          <w:trHeight w:val="207"/>
        </w:trPr>
        <w:tc>
          <w:tcPr>
            <w:tcW w:w="6640" w:type="dxa"/>
            <w:vAlign w:val="bottom"/>
            <w:gridSpan w:val="2"/>
          </w:tcPr>
          <w:p>
            <w:pPr>
              <w:spacing w:after="0"/>
              <w:rPr>
                <w:sz w:val="20"/>
                <w:szCs w:val="20"/>
                <w:color w:val="auto"/>
              </w:rPr>
            </w:pPr>
            <w:r>
              <w:rPr>
                <w:rFonts w:ascii="Arial" w:cs="Arial" w:eastAsia="Arial" w:hAnsi="Arial"/>
                <w:sz w:val="17"/>
                <w:szCs w:val="17"/>
                <w:color w:val="auto"/>
              </w:rPr>
              <w:t>Net revenue</w:t>
            </w:r>
          </w:p>
        </w:tc>
        <w:tc>
          <w:tcPr>
            <w:tcW w:w="660" w:type="dxa"/>
            <w:vAlign w:val="bottom"/>
          </w:tcPr>
          <w:p>
            <w:pPr>
              <w:jc w:val="right"/>
              <w:spacing w:after="0"/>
              <w:rPr>
                <w:sz w:val="20"/>
                <w:szCs w:val="20"/>
                <w:color w:val="auto"/>
              </w:rPr>
            </w:pPr>
            <w:r>
              <w:rPr>
                <w:rFonts w:ascii="Arial" w:cs="Arial" w:eastAsia="Arial" w:hAnsi="Arial"/>
                <w:sz w:val="17"/>
                <w:szCs w:val="17"/>
                <w:color w:val="auto"/>
              </w:rPr>
              <w:t>$746.9</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$765.3</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7"/>
                <w:szCs w:val="17"/>
                <w:color w:val="auto"/>
              </w:rPr>
              <w:t>Cost of sales</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223.2</w:t>
            </w: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261.0</w:t>
            </w:r>
          </w:p>
        </w:tc>
        <w:tc>
          <w:tcPr>
            <w:tcW w:w="10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r>
      <w:tr>
        <w:trPr>
          <w:trHeight w:val="207"/>
        </w:trPr>
        <w:tc>
          <w:tcPr>
            <w:tcW w:w="6640" w:type="dxa"/>
            <w:vAlign w:val="bottom"/>
            <w:gridSpan w:val="2"/>
          </w:tcPr>
          <w:p>
            <w:pPr>
              <w:ind w:left="100"/>
              <w:spacing w:after="0"/>
              <w:rPr>
                <w:sz w:val="20"/>
                <w:szCs w:val="20"/>
                <w:color w:val="auto"/>
              </w:rPr>
            </w:pPr>
            <w:r>
              <w:rPr>
                <w:rFonts w:ascii="Arial" w:cs="Arial" w:eastAsia="Arial" w:hAnsi="Arial"/>
                <w:sz w:val="17"/>
                <w:szCs w:val="17"/>
                <w:color w:val="auto"/>
              </w:rPr>
              <w:t>Gross profit</w:t>
            </w:r>
          </w:p>
        </w:tc>
        <w:tc>
          <w:tcPr>
            <w:tcW w:w="660" w:type="dxa"/>
            <w:vAlign w:val="bottom"/>
          </w:tcPr>
          <w:p>
            <w:pPr>
              <w:jc w:val="right"/>
              <w:spacing w:after="0"/>
              <w:rPr>
                <w:sz w:val="20"/>
                <w:szCs w:val="20"/>
                <w:color w:val="auto"/>
              </w:rPr>
            </w:pPr>
            <w:r>
              <w:rPr>
                <w:rFonts w:ascii="Arial" w:cs="Arial" w:eastAsia="Arial" w:hAnsi="Arial"/>
                <w:sz w:val="17"/>
                <w:szCs w:val="17"/>
                <w:color w:val="auto"/>
              </w:rPr>
              <w:t>523.7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504.4</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3.8 %</w:t>
            </w:r>
          </w:p>
        </w:tc>
      </w:tr>
      <w:tr>
        <w:trPr>
          <w:trHeight w:val="195"/>
        </w:trPr>
        <w:tc>
          <w:tcPr>
            <w:tcW w:w="5440" w:type="dxa"/>
            <w:vAlign w:val="bottom"/>
          </w:tcPr>
          <w:p>
            <w:pPr>
              <w:spacing w:after="0"/>
              <w:rPr>
                <w:sz w:val="20"/>
                <w:szCs w:val="20"/>
                <w:color w:val="auto"/>
              </w:rPr>
            </w:pPr>
            <w:r>
              <w:rPr>
                <w:rFonts w:ascii="Arial" w:cs="Arial" w:eastAsia="Arial" w:hAnsi="Arial"/>
                <w:sz w:val="17"/>
                <w:szCs w:val="17"/>
                <w:color w:val="auto"/>
              </w:rPr>
              <w:t>Operating expenses:</w:t>
            </w:r>
          </w:p>
        </w:tc>
        <w:tc>
          <w:tcPr>
            <w:tcW w:w="1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r>
      <w:tr>
        <w:trPr>
          <w:trHeight w:val="215"/>
        </w:trPr>
        <w:tc>
          <w:tcPr>
            <w:tcW w:w="6640" w:type="dxa"/>
            <w:vAlign w:val="bottom"/>
            <w:gridSpan w:val="2"/>
          </w:tcPr>
          <w:p>
            <w:pPr>
              <w:ind w:left="100"/>
              <w:spacing w:after="0"/>
              <w:rPr>
                <w:sz w:val="20"/>
                <w:szCs w:val="20"/>
                <w:color w:val="auto"/>
              </w:rPr>
            </w:pPr>
            <w:r>
              <w:rPr>
                <w:rFonts w:ascii="Arial" w:cs="Arial" w:eastAsia="Arial" w:hAnsi="Arial"/>
                <w:sz w:val="17"/>
                <w:szCs w:val="17"/>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7"/>
                <w:szCs w:val="17"/>
                <w:color w:val="auto"/>
              </w:rPr>
              <w:t>349.6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347.5</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5"/>
        </w:trPr>
        <w:tc>
          <w:tcPr>
            <w:tcW w:w="6640" w:type="dxa"/>
            <w:vAlign w:val="bottom"/>
            <w:gridSpan w:val="2"/>
          </w:tcPr>
          <w:p>
            <w:pPr>
              <w:ind w:left="100"/>
              <w:spacing w:after="0"/>
              <w:rPr>
                <w:sz w:val="20"/>
                <w:szCs w:val="20"/>
                <w:color w:val="auto"/>
              </w:rPr>
            </w:pPr>
            <w:r>
              <w:rPr>
                <w:rFonts w:ascii="Arial" w:cs="Arial" w:eastAsia="Arial" w:hAnsi="Arial"/>
                <w:sz w:val="17"/>
                <w:szCs w:val="17"/>
                <w:color w:val="auto"/>
              </w:rPr>
              <w:t>Research and development</w:t>
            </w:r>
          </w:p>
        </w:tc>
        <w:tc>
          <w:tcPr>
            <w:tcW w:w="660" w:type="dxa"/>
            <w:vAlign w:val="bottom"/>
          </w:tcPr>
          <w:p>
            <w:pPr>
              <w:jc w:val="right"/>
              <w:spacing w:after="0"/>
              <w:rPr>
                <w:sz w:val="20"/>
                <w:szCs w:val="20"/>
                <w:color w:val="auto"/>
              </w:rPr>
            </w:pPr>
            <w:r>
              <w:rPr>
                <w:rFonts w:ascii="Arial" w:cs="Arial" w:eastAsia="Arial" w:hAnsi="Arial"/>
                <w:sz w:val="17"/>
                <w:szCs w:val="17"/>
                <w:color w:val="auto"/>
              </w:rPr>
              <w:t>110.9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139.3</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5"/>
        </w:trPr>
        <w:tc>
          <w:tcPr>
            <w:tcW w:w="6640" w:type="dxa"/>
            <w:vAlign w:val="bottom"/>
            <w:gridSpan w:val="2"/>
          </w:tcPr>
          <w:p>
            <w:pPr>
              <w:ind w:left="100"/>
              <w:spacing w:after="0"/>
              <w:rPr>
                <w:sz w:val="20"/>
                <w:szCs w:val="20"/>
                <w:color w:val="auto"/>
              </w:rPr>
            </w:pPr>
            <w:r>
              <w:rPr>
                <w:rFonts w:ascii="Arial" w:cs="Arial" w:eastAsia="Arial" w:hAnsi="Arial"/>
                <w:sz w:val="17"/>
                <w:szCs w:val="17"/>
                <w:color w:val="auto"/>
              </w:rPr>
              <w:t>Impairment of goodwill</w:t>
            </w:r>
          </w:p>
        </w:tc>
        <w:tc>
          <w:tcPr>
            <w:tcW w:w="660" w:type="dxa"/>
            <w:vAlign w:val="bottom"/>
          </w:tcPr>
          <w:p>
            <w:pPr>
              <w:jc w:val="right"/>
              <w:spacing w:after="0"/>
              <w:rPr>
                <w:sz w:val="20"/>
                <w:szCs w:val="20"/>
                <w:color w:val="auto"/>
              </w:rPr>
            </w:pPr>
            <w:r>
              <w:rPr>
                <w:rFonts w:ascii="Arial" w:cs="Arial" w:eastAsia="Arial" w:hAnsi="Arial"/>
                <w:sz w:val="17"/>
                <w:szCs w:val="17"/>
                <w:color w:val="auto"/>
              </w:rPr>
              <w:t>129.4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60" w:type="dxa"/>
            <w:vAlign w:val="bottom"/>
          </w:tcPr>
          <w:p>
            <w:pPr>
              <w:spacing w:after="0"/>
              <w:rPr>
                <w:sz w:val="18"/>
                <w:szCs w:val="18"/>
                <w:color w:val="auto"/>
              </w:rPr>
            </w:pPr>
          </w:p>
        </w:tc>
      </w:tr>
      <w:tr>
        <w:trPr>
          <w:trHeight w:val="215"/>
        </w:trPr>
        <w:tc>
          <w:tcPr>
            <w:tcW w:w="5440" w:type="dxa"/>
            <w:vAlign w:val="bottom"/>
          </w:tcPr>
          <w:p>
            <w:pPr>
              <w:ind w:left="100"/>
              <w:spacing w:after="0"/>
              <w:rPr>
                <w:sz w:val="20"/>
                <w:szCs w:val="20"/>
                <w:color w:val="auto"/>
              </w:rPr>
            </w:pPr>
            <w:r>
              <w:rPr>
                <w:rFonts w:ascii="Arial" w:cs="Arial" w:eastAsia="Arial" w:hAnsi="Arial"/>
                <w:sz w:val="17"/>
                <w:szCs w:val="17"/>
                <w:color w:val="auto"/>
              </w:rPr>
              <w:t>Other operating expenses</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r>
      <w:tr>
        <w:trPr>
          <w:trHeight w:val="207"/>
        </w:trPr>
        <w:tc>
          <w:tcPr>
            <w:tcW w:w="5440" w:type="dxa"/>
            <w:vAlign w:val="bottom"/>
          </w:tcPr>
          <w:p>
            <w:pPr>
              <w:spacing w:after="0"/>
              <w:rPr>
                <w:sz w:val="20"/>
                <w:szCs w:val="20"/>
                <w:color w:val="auto"/>
              </w:rPr>
            </w:pPr>
            <w:r>
              <w:rPr>
                <w:rFonts w:ascii="Arial" w:cs="Arial" w:eastAsia="Arial" w:hAnsi="Arial"/>
                <w:sz w:val="17"/>
                <w:szCs w:val="17"/>
                <w:color w:val="auto"/>
              </w:rPr>
              <w:t>Operating loss</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w:t>
            </w: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255.2 %</w:t>
            </w:r>
          </w:p>
        </w:tc>
      </w:tr>
      <w:tr>
        <w:trPr>
          <w:trHeight w:val="207"/>
        </w:trPr>
        <w:tc>
          <w:tcPr>
            <w:tcW w:w="6640" w:type="dxa"/>
            <w:vAlign w:val="bottom"/>
            <w:gridSpan w:val="2"/>
          </w:tcPr>
          <w:p>
            <w:pPr>
              <w:ind w:left="100"/>
              <w:spacing w:after="0"/>
              <w:rPr>
                <w:sz w:val="20"/>
                <w:szCs w:val="20"/>
                <w:color w:val="auto"/>
              </w:rPr>
            </w:pPr>
            <w:r>
              <w:rPr>
                <w:rFonts w:ascii="Arial" w:cs="Arial" w:eastAsia="Arial" w:hAnsi="Arial"/>
                <w:sz w:val="17"/>
                <w:szCs w:val="17"/>
                <w:color w:val="auto"/>
              </w:rPr>
              <w:t>Interest expense</w:t>
            </w:r>
          </w:p>
        </w:tc>
        <w:tc>
          <w:tcPr>
            <w:tcW w:w="660" w:type="dxa"/>
            <w:vAlign w:val="bottom"/>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(43.8)</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5"/>
        </w:trPr>
        <w:tc>
          <w:tcPr>
            <w:tcW w:w="6640" w:type="dxa"/>
            <w:vAlign w:val="bottom"/>
            <w:gridSpan w:val="2"/>
          </w:tcPr>
          <w:p>
            <w:pPr>
              <w:ind w:left="100"/>
              <w:spacing w:after="0"/>
              <w:rPr>
                <w:sz w:val="20"/>
                <w:szCs w:val="20"/>
                <w:color w:val="auto"/>
              </w:rPr>
            </w:pPr>
            <w:r>
              <w:rPr>
                <w:rFonts w:ascii="Arial" w:cs="Arial" w:eastAsia="Arial" w:hAnsi="Arial"/>
                <w:sz w:val="17"/>
                <w:szCs w:val="17"/>
                <w:color w:val="auto"/>
              </w:rPr>
              <w:t>Loss on debt extinguishment</w:t>
            </w:r>
          </w:p>
        </w:tc>
        <w:tc>
          <w:tcPr>
            <w:tcW w:w="1920" w:type="dxa"/>
            <w:vAlign w:val="bottom"/>
            <w:gridSpan w:val="3"/>
          </w:tcPr>
          <w:p>
            <w:pPr>
              <w:jc w:val="right"/>
              <w:ind w:right="1256"/>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(60.2)</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5"/>
        </w:trPr>
        <w:tc>
          <w:tcPr>
            <w:tcW w:w="5440" w:type="dxa"/>
            <w:vAlign w:val="bottom"/>
          </w:tcPr>
          <w:p>
            <w:pPr>
              <w:ind w:left="100"/>
              <w:spacing w:after="0"/>
              <w:rPr>
                <w:sz w:val="20"/>
                <w:szCs w:val="20"/>
                <w:color w:val="auto"/>
              </w:rPr>
            </w:pPr>
            <w:r>
              <w:rPr>
                <w:rFonts w:ascii="Arial" w:cs="Arial" w:eastAsia="Arial" w:hAnsi="Arial"/>
                <w:sz w:val="17"/>
                <w:szCs w:val="17"/>
                <w:color w:val="auto"/>
              </w:rPr>
              <w:t>Foreign exchange and other income/(expense)</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w:t>
            </w: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r>
      <w:tr>
        <w:trPr>
          <w:trHeight w:val="207"/>
        </w:trPr>
        <w:tc>
          <w:tcPr>
            <w:tcW w:w="5440" w:type="dxa"/>
            <w:vAlign w:val="bottom"/>
          </w:tcPr>
          <w:p>
            <w:pPr>
              <w:spacing w:after="0"/>
              <w:rPr>
                <w:sz w:val="20"/>
                <w:szCs w:val="20"/>
                <w:color w:val="auto"/>
              </w:rPr>
            </w:pPr>
            <w:r>
              <w:rPr>
                <w:rFonts w:ascii="Arial" w:cs="Arial" w:eastAsia="Arial" w:hAnsi="Arial"/>
                <w:sz w:val="17"/>
                <w:szCs w:val="17"/>
                <w:color w:val="auto"/>
              </w:rPr>
              <w:t>Loss before tax</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(81.5)</w:t>
            </w: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(122.2)</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w:t>
            </w:r>
          </w:p>
        </w:tc>
      </w:tr>
      <w:tr>
        <w:trPr>
          <w:trHeight w:val="207"/>
        </w:trPr>
        <w:tc>
          <w:tcPr>
            <w:tcW w:w="6640" w:type="dxa"/>
            <w:vAlign w:val="bottom"/>
            <w:gridSpan w:val="2"/>
          </w:tcPr>
          <w:p>
            <w:pPr>
              <w:ind w:left="100"/>
              <w:spacing w:after="0"/>
              <w:rPr>
                <w:sz w:val="20"/>
                <w:szCs w:val="20"/>
                <w:color w:val="auto"/>
              </w:rPr>
            </w:pPr>
            <w:r>
              <w:rPr>
                <w:rFonts w:ascii="Arial" w:cs="Arial" w:eastAsia="Arial" w:hAnsi="Arial"/>
                <w:sz w:val="17"/>
                <w:szCs w:val="17"/>
                <w:color w:val="auto"/>
              </w:rPr>
              <w:t>Income tax expense</w:t>
            </w:r>
          </w:p>
        </w:tc>
        <w:tc>
          <w:tcPr>
            <w:tcW w:w="66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5"/>
        </w:trPr>
        <w:tc>
          <w:tcPr>
            <w:tcW w:w="5440" w:type="dxa"/>
            <w:vAlign w:val="bottom"/>
          </w:tcPr>
          <w:p>
            <w:pPr>
              <w:ind w:left="100"/>
              <w:spacing w:after="0"/>
              <w:rPr>
                <w:sz w:val="20"/>
                <w:szCs w:val="20"/>
                <w:color w:val="auto"/>
              </w:rPr>
            </w:pPr>
            <w:r>
              <w:rPr>
                <w:rFonts w:ascii="Arial" w:cs="Arial" w:eastAsia="Arial" w:hAnsi="Arial"/>
                <w:sz w:val="17"/>
                <w:szCs w:val="17"/>
                <w:color w:val="auto"/>
              </w:rPr>
              <w:t>Loss from equity method investments</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r>
      <w:tr>
        <w:trPr>
          <w:trHeight w:val="208"/>
        </w:trPr>
        <w:tc>
          <w:tcPr>
            <w:tcW w:w="664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660" w:type="dxa"/>
            <w:vAlign w:val="bottom"/>
          </w:tcPr>
          <w:p>
            <w:pPr>
              <w:jc w:val="right"/>
              <w:spacing w:after="0"/>
              <w:rPr>
                <w:sz w:val="20"/>
                <w:szCs w:val="20"/>
                <w:color w:val="auto"/>
              </w:rPr>
            </w:pPr>
            <w:r>
              <w:rPr>
                <w:rFonts w:ascii="Arial" w:cs="Arial" w:eastAsia="Arial" w:hAnsi="Arial"/>
                <w:sz w:val="17"/>
                <w:szCs w:val="17"/>
                <w:color w:val="auto"/>
              </w:rPr>
              <w:t>($87.9)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($130.7)</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(32.7)%</w:t>
            </w:r>
          </w:p>
        </w:tc>
      </w:tr>
      <w:tr>
        <w:trPr>
          <w:trHeight w:val="20"/>
        </w:trPr>
        <w:tc>
          <w:tcPr>
            <w:tcW w:w="54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382"/>
        </w:trPr>
        <w:tc>
          <w:tcPr>
            <w:tcW w:w="6640" w:type="dxa"/>
            <w:vAlign w:val="bottom"/>
            <w:gridSpan w:val="2"/>
          </w:tcPr>
          <w:p>
            <w:pPr>
              <w:spacing w:after="0"/>
              <w:rPr>
                <w:sz w:val="20"/>
                <w:szCs w:val="20"/>
                <w:color w:val="auto"/>
              </w:rPr>
            </w:pPr>
            <w:r>
              <w:rPr>
                <w:rFonts w:ascii="Arial" w:cs="Arial" w:eastAsia="Arial" w:hAnsi="Arial"/>
                <w:sz w:val="17"/>
                <w:szCs w:val="17"/>
                <w:color w:val="auto"/>
              </w:rPr>
              <w:t>Basic loss per share</w:t>
            </w:r>
          </w:p>
        </w:tc>
        <w:tc>
          <w:tcPr>
            <w:tcW w:w="66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5"/>
        </w:trPr>
        <w:tc>
          <w:tcPr>
            <w:tcW w:w="6640" w:type="dxa"/>
            <w:vAlign w:val="bottom"/>
            <w:gridSpan w:val="2"/>
          </w:tcPr>
          <w:p>
            <w:pPr>
              <w:spacing w:after="0"/>
              <w:rPr>
                <w:sz w:val="20"/>
                <w:szCs w:val="20"/>
                <w:color w:val="auto"/>
              </w:rPr>
            </w:pPr>
            <w:r>
              <w:rPr>
                <w:rFonts w:ascii="Arial" w:cs="Arial" w:eastAsia="Arial" w:hAnsi="Arial"/>
                <w:sz w:val="17"/>
                <w:szCs w:val="17"/>
                <w:color w:val="auto"/>
              </w:rPr>
              <w:t>Diluted loss per share</w:t>
            </w:r>
          </w:p>
        </w:tc>
        <w:tc>
          <w:tcPr>
            <w:tcW w:w="66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17"/>
        </w:trPr>
        <w:tc>
          <w:tcPr>
            <w:tcW w:w="6640" w:type="dxa"/>
            <w:vAlign w:val="bottom"/>
            <w:gridSpan w:val="2"/>
          </w:tcPr>
          <w:p>
            <w:pPr>
              <w:spacing w:after="0"/>
              <w:rPr>
                <w:sz w:val="20"/>
                <w:szCs w:val="20"/>
                <w:color w:val="auto"/>
              </w:rPr>
            </w:pPr>
            <w:r>
              <w:rPr>
                <w:rFonts w:ascii="Arial" w:cs="Arial" w:eastAsia="Arial" w:hAnsi="Arial"/>
                <w:sz w:val="17"/>
                <w:szCs w:val="17"/>
                <w:color w:val="auto"/>
              </w:rPr>
              <w:t>Weighted average common shares outstanding:</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5"/>
        </w:trPr>
        <w:tc>
          <w:tcPr>
            <w:tcW w:w="6640" w:type="dxa"/>
            <w:vAlign w:val="bottom"/>
            <w:gridSpan w:val="2"/>
          </w:tcPr>
          <w:p>
            <w:pPr>
              <w:ind w:left="100"/>
              <w:spacing w:after="0"/>
              <w:rPr>
                <w:sz w:val="20"/>
                <w:szCs w:val="20"/>
                <w:color w:val="auto"/>
              </w:rPr>
            </w:pPr>
            <w:r>
              <w:rPr>
                <w:rFonts w:ascii="Arial" w:cs="Arial" w:eastAsia="Arial" w:hAnsi="Arial"/>
                <w:sz w:val="17"/>
                <w:szCs w:val="17"/>
                <w:color w:val="auto"/>
              </w:rPr>
              <w:t>Basic</w:t>
            </w:r>
          </w:p>
        </w:tc>
        <w:tc>
          <w:tcPr>
            <w:tcW w:w="660" w:type="dxa"/>
            <w:vAlign w:val="bottom"/>
          </w:tcPr>
          <w:p>
            <w:pPr>
              <w:jc w:val="right"/>
              <w:spacing w:after="0"/>
              <w:rPr>
                <w:sz w:val="20"/>
                <w:szCs w:val="20"/>
                <w:color w:val="auto"/>
              </w:rPr>
            </w:pPr>
            <w:r>
              <w:rPr>
                <w:rFonts w:ascii="Arial" w:cs="Arial" w:eastAsia="Arial" w:hAnsi="Arial"/>
                <w:sz w:val="17"/>
                <w:szCs w:val="17"/>
                <w:color w:val="auto"/>
              </w:rPr>
              <w:t>53.5</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5"/>
        </w:trPr>
        <w:tc>
          <w:tcPr>
            <w:tcW w:w="6640" w:type="dxa"/>
            <w:vAlign w:val="bottom"/>
            <w:gridSpan w:val="2"/>
          </w:tcPr>
          <w:p>
            <w:pPr>
              <w:ind w:left="100"/>
              <w:spacing w:after="0"/>
              <w:rPr>
                <w:sz w:val="20"/>
                <w:szCs w:val="20"/>
                <w:color w:val="auto"/>
              </w:rPr>
            </w:pPr>
            <w:r>
              <w:rPr>
                <w:rFonts w:ascii="Arial" w:cs="Arial" w:eastAsia="Arial" w:hAnsi="Arial"/>
                <w:sz w:val="17"/>
                <w:szCs w:val="17"/>
                <w:color w:val="auto"/>
              </w:rPr>
              <w:t>Diluted</w:t>
            </w:r>
          </w:p>
        </w:tc>
        <w:tc>
          <w:tcPr>
            <w:tcW w:w="660" w:type="dxa"/>
            <w:vAlign w:val="bottom"/>
          </w:tcPr>
          <w:p>
            <w:pPr>
              <w:jc w:val="right"/>
              <w:spacing w:after="0"/>
              <w:rPr>
                <w:sz w:val="20"/>
                <w:szCs w:val="20"/>
                <w:color w:val="auto"/>
              </w:rPr>
            </w:pPr>
            <w:r>
              <w:rPr>
                <w:rFonts w:ascii="Arial" w:cs="Arial" w:eastAsia="Arial" w:hAnsi="Arial"/>
                <w:sz w:val="17"/>
                <w:szCs w:val="17"/>
                <w:color w:val="auto"/>
              </w:rPr>
              <w:t>53.5</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20"/>
          </w:cols>
          <w:pgMar w:left="340" w:top="1370"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40" w:type="dxa"/>
            <w:vAlign w:val="bottom"/>
            <w:gridSpan w:val="2"/>
          </w:tcPr>
          <w:p>
            <w:pPr>
              <w:spacing w:after="0"/>
              <w:rPr>
                <w:sz w:val="20"/>
                <w:szCs w:val="20"/>
                <w:color w:val="auto"/>
              </w:rPr>
            </w:pPr>
            <w:r>
              <w:rPr>
                <w:rFonts w:ascii="Arial" w:cs="Arial" w:eastAsia="Arial" w:hAnsi="Arial"/>
                <w:sz w:val="17"/>
                <w:szCs w:val="17"/>
                <w:b w:val="1"/>
                <w:bCs w:val="1"/>
                <w:color w:val="auto"/>
              </w:rPr>
              <w:t>Adjusted Financial Measures (U.S. dollars in millions, except per share amounts)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7"/>
        </w:trPr>
        <w:tc>
          <w:tcPr>
            <w:tcW w:w="6060" w:type="dxa"/>
            <w:vAlign w:val="bottom"/>
          </w:tcPr>
          <w:p>
            <w:pPr>
              <w:spacing w:after="0"/>
              <w:rPr>
                <w:sz w:val="24"/>
                <w:szCs w:val="24"/>
                <w:color w:val="auto"/>
              </w:rPr>
            </w:pPr>
          </w:p>
        </w:tc>
        <w:tc>
          <w:tcPr>
            <w:tcW w:w="3620" w:type="dxa"/>
            <w:vAlign w:val="bottom"/>
            <w:gridSpan w:val="5"/>
          </w:tcPr>
          <w:p>
            <w:pPr>
              <w:ind w:left="380"/>
              <w:spacing w:after="0"/>
              <w:rPr>
                <w:sz w:val="20"/>
                <w:szCs w:val="20"/>
                <w:color w:val="auto"/>
              </w:rPr>
            </w:pPr>
            <w:r>
              <w:rPr>
                <w:rFonts w:ascii="Arial" w:cs="Arial" w:eastAsia="Arial" w:hAnsi="Arial"/>
                <w:sz w:val="17"/>
                <w:szCs w:val="17"/>
                <w:b w:val="1"/>
                <w:bCs w:val="1"/>
                <w:color w:val="auto"/>
              </w:rPr>
              <w:t>Nine Months Ended September 30,</w:t>
            </w:r>
          </w:p>
        </w:tc>
        <w:tc>
          <w:tcPr>
            <w:tcW w:w="1540" w:type="dxa"/>
            <w:vAlign w:val="bottom"/>
          </w:tcPr>
          <w:p>
            <w:pPr>
              <w:spacing w:after="0"/>
              <w:rPr>
                <w:sz w:val="24"/>
                <w:szCs w:val="24"/>
                <w:color w:val="auto"/>
              </w:rPr>
            </w:pPr>
          </w:p>
        </w:tc>
      </w:tr>
      <w:tr>
        <w:trPr>
          <w:trHeight w:val="208"/>
        </w:trPr>
        <w:tc>
          <w:tcPr>
            <w:tcW w:w="60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196"/>
              <w:spacing w:after="0" w:line="208" w:lineRule="exact"/>
              <w:rPr>
                <w:sz w:val="20"/>
                <w:szCs w:val="20"/>
                <w:color w:val="auto"/>
              </w:rPr>
            </w:pPr>
            <w:r>
              <w:rPr>
                <w:rFonts w:ascii="Arial" w:cs="Arial" w:eastAsia="Arial" w:hAnsi="Arial"/>
                <w:sz w:val="17"/>
                <w:szCs w:val="17"/>
                <w:b w:val="1"/>
                <w:bCs w:val="1"/>
                <w:color w:val="auto"/>
              </w:rPr>
              <w:t xml:space="preserve">% Change </w:t>
            </w:r>
            <w:r>
              <w:rPr>
                <w:rFonts w:ascii="Arial" w:cs="Arial" w:eastAsia="Arial" w:hAnsi="Arial"/>
                <w:sz w:val="21"/>
                <w:szCs w:val="21"/>
                <w:b w:val="1"/>
                <w:bCs w:val="1"/>
                <w:color w:val="auto"/>
                <w:vertAlign w:val="superscript"/>
              </w:rPr>
              <w:t>(1)</w:t>
            </w:r>
          </w:p>
        </w:tc>
      </w:tr>
      <w:tr>
        <w:trPr>
          <w:trHeight w:val="209"/>
        </w:trPr>
        <w:tc>
          <w:tcPr>
            <w:tcW w:w="714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Adjusted SG&amp;A </w:t>
            </w:r>
            <w:r>
              <w:rPr>
                <w:rFonts w:ascii="Arial" w:cs="Arial" w:eastAsia="Arial" w:hAnsi="Arial"/>
                <w:sz w:val="21"/>
                <w:szCs w:val="21"/>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$301.5</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$290.5</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3.8 %</w:t>
            </w:r>
          </w:p>
        </w:tc>
      </w:tr>
      <w:tr>
        <w:trPr>
          <w:trHeight w:val="215"/>
        </w:trPr>
        <w:tc>
          <w:tcPr>
            <w:tcW w:w="7140" w:type="dxa"/>
            <w:vAlign w:val="bottom"/>
            <w:gridSpan w:val="2"/>
          </w:tcPr>
          <w:p>
            <w:pPr>
              <w:spacing w:after="0" w:line="215" w:lineRule="exact"/>
              <w:rPr>
                <w:sz w:val="20"/>
                <w:szCs w:val="20"/>
                <w:color w:val="auto"/>
              </w:rPr>
            </w:pPr>
            <w:r>
              <w:rPr>
                <w:rFonts w:ascii="Arial" w:cs="Arial" w:eastAsia="Arial" w:hAnsi="Arial"/>
                <w:sz w:val="17"/>
                <w:szCs w:val="17"/>
                <w:color w:val="auto"/>
              </w:rPr>
              <w:t xml:space="preserve">Adjusted R&amp;D </w:t>
            </w:r>
            <w:r>
              <w:rPr>
                <w:rFonts w:ascii="Arial" w:cs="Arial" w:eastAsia="Arial" w:hAnsi="Arial"/>
                <w:sz w:val="21"/>
                <w:szCs w:val="21"/>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123.3</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122.8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0.4 %</w:t>
            </w:r>
          </w:p>
        </w:tc>
      </w:tr>
      <w:tr>
        <w:trPr>
          <w:trHeight w:val="215"/>
        </w:trPr>
        <w:tc>
          <w:tcPr>
            <w:tcW w:w="7140" w:type="dxa"/>
            <w:vAlign w:val="bottom"/>
            <w:gridSpan w:val="2"/>
          </w:tcPr>
          <w:p>
            <w:pPr>
              <w:spacing w:after="0" w:line="215" w:lineRule="exact"/>
              <w:rPr>
                <w:sz w:val="20"/>
                <w:szCs w:val="20"/>
                <w:color w:val="auto"/>
              </w:rPr>
            </w:pPr>
            <w:r>
              <w:rPr>
                <w:rFonts w:ascii="Arial" w:cs="Arial" w:eastAsia="Arial" w:hAnsi="Arial"/>
                <w:sz w:val="17"/>
                <w:szCs w:val="17"/>
                <w:color w:val="auto"/>
              </w:rPr>
              <w:t xml:space="preserve">Adjusted operating income </w:t>
            </w:r>
            <w:r>
              <w:rPr>
                <w:rFonts w:ascii="Arial" w:cs="Arial" w:eastAsia="Arial" w:hAnsi="Arial"/>
                <w:sz w:val="21"/>
                <w:szCs w:val="21"/>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98.4</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114.7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(14.2)%</w:t>
            </w:r>
          </w:p>
        </w:tc>
      </w:tr>
      <w:tr>
        <w:trPr>
          <w:trHeight w:val="215"/>
        </w:trPr>
        <w:tc>
          <w:tcPr>
            <w:tcW w:w="7140" w:type="dxa"/>
            <w:vAlign w:val="bottom"/>
            <w:gridSpan w:val="2"/>
          </w:tcPr>
          <w:p>
            <w:pPr>
              <w:spacing w:after="0" w:line="215" w:lineRule="exact"/>
              <w:rPr>
                <w:sz w:val="20"/>
                <w:szCs w:val="20"/>
                <w:color w:val="auto"/>
              </w:rPr>
            </w:pPr>
            <w:r>
              <w:rPr>
                <w:rFonts w:ascii="Arial" w:cs="Arial" w:eastAsia="Arial" w:hAnsi="Arial"/>
                <w:sz w:val="17"/>
                <w:szCs w:val="17"/>
                <w:color w:val="auto"/>
              </w:rPr>
              <w:t xml:space="preserve">Adjusted net income </w:t>
            </w:r>
            <w:r>
              <w:rPr>
                <w:rFonts w:ascii="Arial" w:cs="Arial" w:eastAsia="Arial" w:hAnsi="Arial"/>
                <w:sz w:val="21"/>
                <w:szCs w:val="21"/>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85.6</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76.1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12.5 %</w:t>
            </w:r>
          </w:p>
        </w:tc>
      </w:tr>
      <w:tr>
        <w:trPr>
          <w:trHeight w:val="280"/>
        </w:trPr>
        <w:tc>
          <w:tcPr>
            <w:tcW w:w="7140" w:type="dxa"/>
            <w:vAlign w:val="bottom"/>
            <w:gridSpan w:val="2"/>
          </w:tcPr>
          <w:p>
            <w:pPr>
              <w:spacing w:after="0"/>
              <w:rPr>
                <w:sz w:val="20"/>
                <w:szCs w:val="20"/>
                <w:color w:val="auto"/>
              </w:rPr>
            </w:pPr>
            <w:r>
              <w:rPr>
                <w:rFonts w:ascii="Arial" w:cs="Arial" w:eastAsia="Arial" w:hAnsi="Arial"/>
                <w:sz w:val="17"/>
                <w:szCs w:val="17"/>
                <w:color w:val="auto"/>
              </w:rPr>
              <w:t xml:space="preserve">Adjusted diluted earnings per share </w:t>
            </w:r>
            <w:r>
              <w:rPr>
                <w:rFonts w:ascii="Arial" w:cs="Arial" w:eastAsia="Arial" w:hAnsi="Arial"/>
                <w:sz w:val="21"/>
                <w:szCs w:val="21"/>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5.3 %</w:t>
            </w:r>
          </w:p>
        </w:tc>
      </w:tr>
    </w:tbl>
    <w:p>
      <w:pPr>
        <w:spacing w:after="0" w:line="49" w:lineRule="exact"/>
        <w:rPr>
          <w:sz w:val="20"/>
          <w:szCs w:val="20"/>
          <w:color w:val="auto"/>
        </w:rPr>
      </w:pPr>
    </w:p>
    <w:p>
      <w:pPr>
        <w:ind w:left="460" w:right="20" w:hanging="338"/>
        <w:spacing w:after="0" w:line="231"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Adjusted financial measures are non-GAAP measures and exclude specified items as described and reconciled in the “Reconciliation of GAAP to non-GAAP Financial Measures” contained in the press release.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Statistics (as a % of net revenue, except for income tax rate)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1"/>
                <w:szCs w:val="21"/>
                <w:color w:val="auto"/>
              </w:rPr>
            </w:pPr>
          </w:p>
        </w:tc>
        <w:tc>
          <w:tcPr>
            <w:tcW w:w="3580" w:type="dxa"/>
            <w:vAlign w:val="bottom"/>
            <w:gridSpan w:val="5"/>
            <w:vMerge w:val="restart"/>
          </w:tcPr>
          <w:p>
            <w:pPr>
              <w:ind w:left="100"/>
              <w:spacing w:after="0"/>
              <w:rPr>
                <w:sz w:val="20"/>
                <w:szCs w:val="20"/>
                <w:color w:val="auto"/>
              </w:rPr>
            </w:pPr>
            <w:r>
              <w:rPr>
                <w:rFonts w:ascii="Arial" w:cs="Arial" w:eastAsia="Arial" w:hAnsi="Arial"/>
                <w:sz w:val="17"/>
                <w:szCs w:val="17"/>
                <w:b w:val="1"/>
                <w:bCs w:val="1"/>
                <w:color w:val="auto"/>
              </w:rPr>
              <w:t>GAAP Nine Months Ended September 30,</w:t>
            </w:r>
          </w:p>
        </w:tc>
        <w:tc>
          <w:tcPr>
            <w:tcW w:w="3460" w:type="dxa"/>
            <w:vAlign w:val="bottom"/>
            <w:gridSpan w:val="4"/>
          </w:tcPr>
          <w:p>
            <w:pPr>
              <w:jc w:val="center"/>
              <w:spacing w:after="0"/>
              <w:rPr>
                <w:sz w:val="20"/>
                <w:szCs w:val="20"/>
                <w:color w:val="auto"/>
              </w:rPr>
            </w:pPr>
            <w:r>
              <w:rPr>
                <w:rFonts w:ascii="Arial" w:cs="Arial" w:eastAsia="Arial" w:hAnsi="Arial"/>
                <w:sz w:val="17"/>
                <w:szCs w:val="17"/>
                <w:b w:val="1"/>
                <w:bCs w:val="1"/>
                <w:color w:val="auto"/>
                <w:w w:val="97"/>
              </w:rPr>
              <w:t xml:space="preserve">Adjusted </w:t>
            </w:r>
            <w:r>
              <w:rPr>
                <w:rFonts w:ascii="Arial" w:cs="Arial" w:eastAsia="Arial" w:hAnsi="Arial"/>
                <w:sz w:val="21"/>
                <w:szCs w:val="21"/>
                <w:b w:val="1"/>
                <w:bCs w:val="1"/>
                <w:color w:val="auto"/>
                <w:w w:val="97"/>
                <w:vertAlign w:val="superscript"/>
              </w:rPr>
              <w:t>(1)</w:t>
            </w:r>
            <w:r>
              <w:rPr>
                <w:rFonts w:ascii="Arial" w:cs="Arial" w:eastAsia="Arial" w:hAnsi="Arial"/>
                <w:sz w:val="17"/>
                <w:szCs w:val="17"/>
                <w:b w:val="1"/>
                <w:bCs w:val="1"/>
                <w:color w:val="auto"/>
                <w:w w:val="97"/>
              </w:rPr>
              <w:t xml:space="preserve"> Nine Months Ended</w:t>
            </w:r>
          </w:p>
        </w:tc>
        <w:tc>
          <w:tcPr>
            <w:tcW w:w="0" w:type="dxa"/>
            <w:vAlign w:val="bottom"/>
          </w:tcPr>
          <w:p>
            <w:pPr>
              <w:spacing w:after="0"/>
              <w:rPr>
                <w:sz w:val="1"/>
                <w:szCs w:val="1"/>
                <w:color w:val="auto"/>
              </w:rPr>
            </w:pPr>
          </w:p>
        </w:tc>
      </w:tr>
      <w:tr>
        <w:trPr>
          <w:trHeight w:val="227"/>
        </w:trPr>
        <w:tc>
          <w:tcPr>
            <w:tcW w:w="4180" w:type="dxa"/>
            <w:vAlign w:val="bottom"/>
          </w:tcPr>
          <w:p>
            <w:pPr>
              <w:spacing w:after="0"/>
              <w:rPr>
                <w:sz w:val="19"/>
                <w:szCs w:val="19"/>
                <w:color w:val="auto"/>
              </w:rPr>
            </w:pPr>
          </w:p>
        </w:tc>
        <w:tc>
          <w:tcPr>
            <w:tcW w:w="3580" w:type="dxa"/>
            <w:vAlign w:val="bottom"/>
            <w:gridSpan w:val="5"/>
            <w:vMerge w:val="continue"/>
          </w:tcPr>
          <w:p>
            <w:pPr>
              <w:spacing w:after="0"/>
              <w:rPr>
                <w:sz w:val="19"/>
                <w:szCs w:val="19"/>
                <w:color w:val="auto"/>
              </w:rPr>
            </w:pPr>
          </w:p>
        </w:tc>
        <w:tc>
          <w:tcPr>
            <w:tcW w:w="2380" w:type="dxa"/>
            <w:vAlign w:val="bottom"/>
            <w:gridSpan w:val="3"/>
          </w:tcPr>
          <w:p>
            <w:pPr>
              <w:jc w:val="center"/>
              <w:ind w:left="1016"/>
              <w:spacing w:after="0"/>
              <w:rPr>
                <w:sz w:val="20"/>
                <w:szCs w:val="20"/>
                <w:color w:val="auto"/>
              </w:rPr>
            </w:pPr>
            <w:r>
              <w:rPr>
                <w:rFonts w:ascii="Arial" w:cs="Arial" w:eastAsia="Arial" w:hAnsi="Arial"/>
                <w:sz w:val="17"/>
                <w:szCs w:val="17"/>
                <w:b w:val="1"/>
                <w:bCs w:val="1"/>
                <w:color w:val="auto"/>
                <w:w w:val="99"/>
              </w:rPr>
              <w:t>September 30,</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07"/>
        </w:trPr>
        <w:tc>
          <w:tcPr>
            <w:tcW w:w="524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620" w:type="dxa"/>
            <w:vAlign w:val="bottom"/>
          </w:tcPr>
          <w:p>
            <w:pPr>
              <w:jc w:val="right"/>
              <w:spacing w:after="0"/>
              <w:rPr>
                <w:sz w:val="20"/>
                <w:szCs w:val="20"/>
                <w:color w:val="auto"/>
              </w:rPr>
            </w:pPr>
            <w:r>
              <w:rPr>
                <w:rFonts w:ascii="Arial" w:cs="Arial" w:eastAsia="Arial" w:hAnsi="Arial"/>
                <w:sz w:val="17"/>
                <w:szCs w:val="17"/>
                <w:color w:val="auto"/>
              </w:rPr>
              <w:t>70.1 %</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65.9 %</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70.0 %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69.1 %</w:t>
            </w:r>
          </w:p>
        </w:tc>
        <w:tc>
          <w:tcPr>
            <w:tcW w:w="0" w:type="dxa"/>
            <w:vAlign w:val="bottom"/>
          </w:tcPr>
          <w:p>
            <w:pPr>
              <w:spacing w:after="0"/>
              <w:rPr>
                <w:sz w:val="1"/>
                <w:szCs w:val="1"/>
                <w:color w:val="auto"/>
              </w:rPr>
            </w:pPr>
          </w:p>
        </w:tc>
      </w:tr>
      <w:tr>
        <w:trPr>
          <w:trHeight w:val="215"/>
        </w:trPr>
        <w:tc>
          <w:tcPr>
            <w:tcW w:w="5240" w:type="dxa"/>
            <w:vAlign w:val="bottom"/>
            <w:gridSpan w:val="2"/>
          </w:tcPr>
          <w:p>
            <w:pPr>
              <w:spacing w:after="0"/>
              <w:rPr>
                <w:sz w:val="20"/>
                <w:szCs w:val="20"/>
                <w:color w:val="auto"/>
              </w:rPr>
            </w:pPr>
            <w:r>
              <w:rPr>
                <w:rFonts w:ascii="Arial" w:cs="Arial" w:eastAsia="Arial" w:hAnsi="Arial"/>
                <w:sz w:val="17"/>
                <w:szCs w:val="17"/>
                <w:color w:val="auto"/>
              </w:rPr>
              <w:t>SG&amp;A</w:t>
            </w:r>
          </w:p>
        </w:tc>
        <w:tc>
          <w:tcPr>
            <w:tcW w:w="620" w:type="dxa"/>
            <w:vAlign w:val="bottom"/>
          </w:tcPr>
          <w:p>
            <w:pPr>
              <w:jc w:val="right"/>
              <w:spacing w:after="0"/>
              <w:rPr>
                <w:sz w:val="20"/>
                <w:szCs w:val="20"/>
                <w:color w:val="auto"/>
              </w:rPr>
            </w:pPr>
            <w:r>
              <w:rPr>
                <w:rFonts w:ascii="Arial" w:cs="Arial" w:eastAsia="Arial" w:hAnsi="Arial"/>
                <w:sz w:val="17"/>
                <w:szCs w:val="17"/>
                <w:color w:val="auto"/>
              </w:rPr>
              <w:t>46.8 %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45.4 %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40.4 %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38.0 %</w:t>
            </w:r>
          </w:p>
        </w:tc>
        <w:tc>
          <w:tcPr>
            <w:tcW w:w="0" w:type="dxa"/>
            <w:vAlign w:val="bottom"/>
          </w:tcPr>
          <w:p>
            <w:pPr>
              <w:spacing w:after="0"/>
              <w:rPr>
                <w:sz w:val="1"/>
                <w:szCs w:val="1"/>
                <w:color w:val="auto"/>
              </w:rPr>
            </w:pPr>
          </w:p>
        </w:tc>
      </w:tr>
      <w:tr>
        <w:trPr>
          <w:trHeight w:val="215"/>
        </w:trPr>
        <w:tc>
          <w:tcPr>
            <w:tcW w:w="5240" w:type="dxa"/>
            <w:vAlign w:val="bottom"/>
            <w:gridSpan w:val="2"/>
          </w:tcPr>
          <w:p>
            <w:pPr>
              <w:spacing w:after="0"/>
              <w:rPr>
                <w:sz w:val="20"/>
                <w:szCs w:val="20"/>
                <w:color w:val="auto"/>
              </w:rPr>
            </w:pPr>
            <w:r>
              <w:rPr>
                <w:rFonts w:ascii="Arial" w:cs="Arial" w:eastAsia="Arial" w:hAnsi="Arial"/>
                <w:sz w:val="17"/>
                <w:szCs w:val="17"/>
                <w:color w:val="auto"/>
              </w:rPr>
              <w:t>R&amp;D</w:t>
            </w:r>
          </w:p>
        </w:tc>
        <w:tc>
          <w:tcPr>
            <w:tcW w:w="620" w:type="dxa"/>
            <w:vAlign w:val="bottom"/>
          </w:tcPr>
          <w:p>
            <w:pPr>
              <w:jc w:val="right"/>
              <w:spacing w:after="0"/>
              <w:rPr>
                <w:sz w:val="20"/>
                <w:szCs w:val="20"/>
                <w:color w:val="auto"/>
              </w:rPr>
            </w:pPr>
            <w:r>
              <w:rPr>
                <w:rFonts w:ascii="Arial" w:cs="Arial" w:eastAsia="Arial" w:hAnsi="Arial"/>
                <w:sz w:val="17"/>
                <w:szCs w:val="17"/>
                <w:color w:val="auto"/>
              </w:rPr>
              <w:t>14.8 %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18.2 %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16.5 %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16.1 %</w:t>
            </w:r>
          </w:p>
        </w:tc>
        <w:tc>
          <w:tcPr>
            <w:tcW w:w="0" w:type="dxa"/>
            <w:vAlign w:val="bottom"/>
          </w:tcPr>
          <w:p>
            <w:pPr>
              <w:spacing w:after="0"/>
              <w:rPr>
                <w:sz w:val="1"/>
                <w:szCs w:val="1"/>
                <w:color w:val="auto"/>
              </w:rPr>
            </w:pPr>
          </w:p>
        </w:tc>
      </w:tr>
      <w:tr>
        <w:trPr>
          <w:trHeight w:val="215"/>
        </w:trPr>
        <w:tc>
          <w:tcPr>
            <w:tcW w:w="5240" w:type="dxa"/>
            <w:vAlign w:val="bottom"/>
            <w:gridSpan w:val="2"/>
          </w:tcPr>
          <w:p>
            <w:pPr>
              <w:spacing w:after="0"/>
              <w:rPr>
                <w:sz w:val="20"/>
                <w:szCs w:val="20"/>
                <w:color w:val="auto"/>
              </w:rPr>
            </w:pPr>
            <w:r>
              <w:rPr>
                <w:rFonts w:ascii="Arial" w:cs="Arial" w:eastAsia="Arial" w:hAnsi="Arial"/>
                <w:sz w:val="17"/>
                <w:szCs w:val="17"/>
                <w:color w:val="auto"/>
              </w:rPr>
              <w:t>Operating (loss) income</w:t>
            </w:r>
          </w:p>
        </w:tc>
        <w:tc>
          <w:tcPr>
            <w:tcW w:w="620" w:type="dxa"/>
            <w:vAlign w:val="bottom"/>
          </w:tcPr>
          <w:p>
            <w:pPr>
              <w:jc w:val="right"/>
              <w:spacing w:after="0"/>
              <w:rPr>
                <w:sz w:val="20"/>
                <w:szCs w:val="20"/>
                <w:color w:val="auto"/>
              </w:rPr>
            </w:pPr>
            <w:r>
              <w:rPr>
                <w:rFonts w:ascii="Arial" w:cs="Arial" w:eastAsia="Arial" w:hAnsi="Arial"/>
                <w:sz w:val="17"/>
                <w:szCs w:val="17"/>
                <w:color w:val="auto"/>
              </w:rPr>
              <w:t>(12.1)%</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13.2 %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15.0 %</w:t>
            </w:r>
          </w:p>
        </w:tc>
        <w:tc>
          <w:tcPr>
            <w:tcW w:w="0" w:type="dxa"/>
            <w:vAlign w:val="bottom"/>
          </w:tcPr>
          <w:p>
            <w:pPr>
              <w:spacing w:after="0"/>
              <w:rPr>
                <w:sz w:val="1"/>
                <w:szCs w:val="1"/>
                <w:color w:val="auto"/>
              </w:rPr>
            </w:pPr>
          </w:p>
        </w:tc>
      </w:tr>
      <w:tr>
        <w:trPr>
          <w:trHeight w:val="215"/>
        </w:trPr>
        <w:tc>
          <w:tcPr>
            <w:tcW w:w="5240" w:type="dxa"/>
            <w:vAlign w:val="bottom"/>
            <w:gridSpan w:val="2"/>
          </w:tcPr>
          <w:p>
            <w:pPr>
              <w:spacing w:after="0"/>
              <w:rPr>
                <w:sz w:val="20"/>
                <w:szCs w:val="20"/>
                <w:color w:val="auto"/>
              </w:rPr>
            </w:pPr>
            <w:r>
              <w:rPr>
                <w:rFonts w:ascii="Arial" w:cs="Arial" w:eastAsia="Arial" w:hAnsi="Arial"/>
                <w:sz w:val="17"/>
                <w:szCs w:val="17"/>
                <w:color w:val="auto"/>
              </w:rPr>
              <w:t>Net (loss) income</w:t>
            </w:r>
          </w:p>
        </w:tc>
        <w:tc>
          <w:tcPr>
            <w:tcW w:w="620" w:type="dxa"/>
            <w:vAlign w:val="bottom"/>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11.5 %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9.9 %</w:t>
            </w:r>
          </w:p>
        </w:tc>
        <w:tc>
          <w:tcPr>
            <w:tcW w:w="0" w:type="dxa"/>
            <w:vAlign w:val="bottom"/>
          </w:tcPr>
          <w:p>
            <w:pPr>
              <w:spacing w:after="0"/>
              <w:rPr>
                <w:sz w:val="1"/>
                <w:szCs w:val="1"/>
                <w:color w:val="auto"/>
              </w:rPr>
            </w:pPr>
          </w:p>
        </w:tc>
      </w:tr>
      <w:tr>
        <w:trPr>
          <w:trHeight w:val="215"/>
        </w:trPr>
        <w:tc>
          <w:tcPr>
            <w:tcW w:w="5240" w:type="dxa"/>
            <w:vAlign w:val="bottom"/>
            <w:gridSpan w:val="2"/>
          </w:tcPr>
          <w:p>
            <w:pPr>
              <w:spacing w:after="0"/>
              <w:rPr>
                <w:sz w:val="20"/>
                <w:szCs w:val="20"/>
                <w:color w:val="auto"/>
              </w:rPr>
            </w:pPr>
            <w:r>
              <w:rPr>
                <w:rFonts w:ascii="Arial" w:cs="Arial" w:eastAsia="Arial" w:hAnsi="Arial"/>
                <w:sz w:val="17"/>
                <w:szCs w:val="17"/>
                <w:color w:val="auto"/>
              </w:rPr>
              <w:t>Income tax rate</w:t>
            </w:r>
          </w:p>
        </w:tc>
        <w:tc>
          <w:tcPr>
            <w:tcW w:w="620" w:type="dxa"/>
            <w:vAlign w:val="bottom"/>
          </w:tcPr>
          <w:p>
            <w:pPr>
              <w:jc w:val="right"/>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6.8 %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11.3 %</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40" w:right="20" w:hanging="330"/>
        <w:spacing w:after="0" w:line="231" w:lineRule="auto"/>
        <w:tabs>
          <w:tab w:leader="none" w:pos="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Adjusted financial measures are non-GAAP measures and exclude specified items as described and reconciled in the “Reconciliation of GAAP to non-GAAP Financial Measures” contained in the press release.</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20"/>
          </w:cols>
          <w:pgMar w:left="340" w:top="1440"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auto"/>
        </w:rPr>
        <w:t>Specified Items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21"/>
              <w:spacing w:after="0" w:line="117" w:lineRule="exact"/>
              <w:rPr>
                <w:sz w:val="20"/>
                <w:szCs w:val="20"/>
                <w:color w:val="auto"/>
              </w:rPr>
            </w:pPr>
            <w:r>
              <w:rPr>
                <w:rFonts w:ascii="Arial" w:cs="Arial" w:eastAsia="Arial" w:hAnsi="Arial"/>
                <w:sz w:val="12"/>
                <w:szCs w:val="12"/>
                <w:b w:val="1"/>
                <w:bCs w:val="1"/>
                <w:color w:val="auto"/>
                <w:w w:val="98"/>
              </w:rPr>
              <w:t>Depreciation</w:t>
            </w:r>
          </w:p>
        </w:tc>
        <w:tc>
          <w:tcPr>
            <w:tcW w:w="8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Three Months</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GAAP</w:t>
            </w:r>
          </w:p>
        </w:tc>
        <w:tc>
          <w:tcPr>
            <w:tcW w:w="8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Merger and</w:t>
            </w:r>
          </w:p>
        </w:tc>
        <w:tc>
          <w:tcPr>
            <w:tcW w:w="920" w:type="dxa"/>
            <w:vAlign w:val="bottom"/>
            <w:vMerge w:val="restart"/>
          </w:tcPr>
          <w:p>
            <w:pPr>
              <w:jc w:val="center"/>
              <w:ind w:right="1"/>
              <w:spacing w:after="0"/>
              <w:rPr>
                <w:sz w:val="20"/>
                <w:szCs w:val="20"/>
                <w:color w:val="auto"/>
              </w:rPr>
            </w:pPr>
            <w:r>
              <w:rPr>
                <w:rFonts w:ascii="Arial" w:cs="Arial" w:eastAsia="Arial" w:hAnsi="Arial"/>
                <w:sz w:val="12"/>
                <w:szCs w:val="12"/>
                <w:b w:val="1"/>
                <w:bCs w:val="1"/>
                <w:color w:val="auto"/>
                <w:w w:val="99"/>
              </w:rPr>
              <w:t>Restructuring</w:t>
            </w:r>
          </w:p>
        </w:tc>
        <w:tc>
          <w:tcPr>
            <w:tcW w:w="880" w:type="dxa"/>
            <w:vAlign w:val="bottom"/>
          </w:tcPr>
          <w:p>
            <w:pPr>
              <w:jc w:val="center"/>
              <w:ind w:right="21"/>
              <w:spacing w:after="0" w:line="126" w:lineRule="exact"/>
              <w:rPr>
                <w:sz w:val="20"/>
                <w:szCs w:val="20"/>
                <w:color w:val="auto"/>
              </w:rPr>
            </w:pPr>
            <w:r>
              <w:rPr>
                <w:rFonts w:ascii="Arial" w:cs="Arial" w:eastAsia="Arial" w:hAnsi="Arial"/>
                <w:sz w:val="12"/>
                <w:szCs w:val="12"/>
                <w:b w:val="1"/>
                <w:bCs w:val="1"/>
                <w:color w:val="auto"/>
                <w:w w:val="93"/>
              </w:rPr>
              <w:t>and</w:t>
            </w:r>
          </w:p>
        </w:tc>
        <w:tc>
          <w:tcPr>
            <w:tcW w:w="800" w:type="dxa"/>
            <w:vAlign w:val="bottom"/>
          </w:tcPr>
          <w:p>
            <w:pPr>
              <w:spacing w:after="0"/>
              <w:rPr>
                <w:sz w:val="10"/>
                <w:szCs w:val="10"/>
                <w:color w:val="auto"/>
              </w:rPr>
            </w:pPr>
          </w:p>
        </w:tc>
        <w:tc>
          <w:tcPr>
            <w:tcW w:w="860" w:type="dxa"/>
            <w:vAlign w:val="bottom"/>
            <w:vMerge w:val="restart"/>
          </w:tcPr>
          <w:p>
            <w:pPr>
              <w:jc w:val="center"/>
              <w:ind w:right="1"/>
              <w:spacing w:after="0"/>
              <w:rPr>
                <w:sz w:val="20"/>
                <w:szCs w:val="20"/>
                <w:color w:val="auto"/>
              </w:rPr>
            </w:pPr>
            <w:r>
              <w:rPr>
                <w:rFonts w:ascii="Arial" w:cs="Arial" w:eastAsia="Arial" w:hAnsi="Arial"/>
                <w:sz w:val="12"/>
                <w:szCs w:val="12"/>
                <w:b w:val="1"/>
                <w:bCs w:val="1"/>
                <w:color w:val="auto"/>
                <w:w w:val="98"/>
              </w:rPr>
              <w:t>Financing</w:t>
            </w: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Contingent</w:t>
            </w:r>
          </w:p>
        </w:tc>
        <w:tc>
          <w:tcPr>
            <w:tcW w:w="8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7"/>
              </w:rPr>
              <w:t>Certain Legal</w:t>
            </w:r>
          </w:p>
        </w:tc>
        <w:tc>
          <w:tcPr>
            <w:tcW w:w="96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8"/>
              </w:rPr>
              <w:t>Stock-based</w:t>
            </w:r>
          </w:p>
        </w:tc>
        <w:tc>
          <w:tcPr>
            <w:tcW w:w="860" w:type="dxa"/>
            <w:vAlign w:val="bottom"/>
            <w:vMerge w:val="restart"/>
          </w:tcPr>
          <w:p>
            <w:pPr>
              <w:jc w:val="center"/>
              <w:ind w:right="1"/>
              <w:spacing w:after="0"/>
              <w:rPr>
                <w:sz w:val="20"/>
                <w:szCs w:val="20"/>
                <w:color w:val="auto"/>
              </w:rPr>
            </w:pPr>
            <w:r>
              <w:rPr>
                <w:rFonts w:ascii="Arial" w:cs="Arial" w:eastAsia="Arial" w:hAnsi="Arial"/>
                <w:sz w:val="12"/>
                <w:szCs w:val="12"/>
                <w:b w:val="1"/>
                <w:bCs w:val="1"/>
                <w:color w:val="auto"/>
                <w:w w:val="97"/>
              </w:rPr>
              <w:t>Certain Tax</w:t>
            </w:r>
          </w:p>
        </w:tc>
        <w:tc>
          <w:tcPr>
            <w:tcW w:w="8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6"/>
              </w:rPr>
              <w:t>Certain</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4"/>
        </w:trPr>
        <w:tc>
          <w:tcPr>
            <w:tcW w:w="1140" w:type="dxa"/>
            <w:vAlign w:val="bottom"/>
          </w:tcPr>
          <w:p>
            <w:pPr>
              <w:ind w:left="20"/>
              <w:spacing w:after="0" w:line="114" w:lineRule="exact"/>
              <w:rPr>
                <w:sz w:val="20"/>
                <w:szCs w:val="20"/>
                <w:color w:val="auto"/>
              </w:rPr>
            </w:pPr>
            <w:r>
              <w:rPr>
                <w:rFonts w:ascii="Arial" w:cs="Arial" w:eastAsia="Arial" w:hAnsi="Arial"/>
                <w:sz w:val="12"/>
                <w:szCs w:val="12"/>
                <w:b w:val="1"/>
                <w:bCs w:val="1"/>
                <w:color w:val="auto"/>
              </w:rPr>
              <w:t>Ended</w:t>
            </w:r>
          </w:p>
        </w:tc>
        <w:tc>
          <w:tcPr>
            <w:tcW w:w="700" w:type="dxa"/>
            <w:vAlign w:val="bottom"/>
            <w:vMerge w:val="continue"/>
          </w:tcPr>
          <w:p>
            <w:pPr>
              <w:spacing w:after="0"/>
              <w:rPr>
                <w:sz w:val="9"/>
                <w:szCs w:val="9"/>
                <w:color w:val="auto"/>
              </w:rPr>
            </w:pPr>
          </w:p>
        </w:tc>
        <w:tc>
          <w:tcPr>
            <w:tcW w:w="80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6"/>
              </w:rPr>
              <w:t>Integration</w:t>
            </w:r>
          </w:p>
        </w:tc>
        <w:tc>
          <w:tcPr>
            <w:tcW w:w="920" w:type="dxa"/>
            <w:vAlign w:val="bottom"/>
            <w:vMerge w:val="continue"/>
          </w:tcPr>
          <w:p>
            <w:pPr>
              <w:spacing w:after="0"/>
              <w:rPr>
                <w:sz w:val="9"/>
                <w:szCs w:val="9"/>
                <w:color w:val="auto"/>
              </w:rPr>
            </w:pPr>
          </w:p>
        </w:tc>
        <w:tc>
          <w:tcPr>
            <w:tcW w:w="880" w:type="dxa"/>
            <w:vAlign w:val="bottom"/>
          </w:tcPr>
          <w:p>
            <w:pPr>
              <w:jc w:val="center"/>
              <w:ind w:right="21"/>
              <w:spacing w:after="0" w:line="114" w:lineRule="exact"/>
              <w:rPr>
                <w:sz w:val="20"/>
                <w:szCs w:val="20"/>
                <w:color w:val="auto"/>
              </w:rPr>
            </w:pPr>
            <w:r>
              <w:rPr>
                <w:rFonts w:ascii="Arial" w:cs="Arial" w:eastAsia="Arial" w:hAnsi="Arial"/>
                <w:sz w:val="12"/>
                <w:szCs w:val="12"/>
                <w:b w:val="1"/>
                <w:bCs w:val="1"/>
                <w:color w:val="auto"/>
                <w:w w:val="98"/>
              </w:rPr>
              <w:t>Amortization</w:t>
            </w:r>
          </w:p>
        </w:tc>
        <w:tc>
          <w:tcPr>
            <w:tcW w:w="8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9"/>
              </w:rPr>
              <w:t>&amp; Regulatory</w:t>
            </w:r>
          </w:p>
        </w:tc>
        <w:tc>
          <w:tcPr>
            <w:tcW w:w="960" w:type="dxa"/>
            <w:vAlign w:val="bottom"/>
          </w:tcPr>
          <w:p>
            <w:pPr>
              <w:jc w:val="center"/>
              <w:ind w:right="1"/>
              <w:spacing w:after="0" w:line="114" w:lineRule="exact"/>
              <w:rPr>
                <w:sz w:val="20"/>
                <w:szCs w:val="20"/>
                <w:color w:val="auto"/>
              </w:rPr>
            </w:pPr>
            <w:r>
              <w:rPr>
                <w:rFonts w:ascii="Arial" w:cs="Arial" w:eastAsia="Arial" w:hAnsi="Arial"/>
                <w:sz w:val="12"/>
                <w:szCs w:val="12"/>
                <w:b w:val="1"/>
                <w:bCs w:val="1"/>
                <w:color w:val="auto"/>
                <w:w w:val="98"/>
              </w:rPr>
              <w:t>Compensation</w:t>
            </w:r>
          </w:p>
        </w:tc>
        <w:tc>
          <w:tcPr>
            <w:tcW w:w="860" w:type="dxa"/>
            <w:vAlign w:val="bottom"/>
            <w:vMerge w:val="continue"/>
          </w:tcPr>
          <w:p>
            <w:pPr>
              <w:spacing w:after="0"/>
              <w:rPr>
                <w:sz w:val="9"/>
                <w:szCs w:val="9"/>
                <w:color w:val="auto"/>
              </w:rPr>
            </w:pPr>
          </w:p>
        </w:tc>
        <w:tc>
          <w:tcPr>
            <w:tcW w:w="8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Interest</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September 30,</w:t>
            </w:r>
          </w:p>
        </w:tc>
        <w:tc>
          <w:tcPr>
            <w:tcW w:w="7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6"/>
              </w:rPr>
              <w:t>Financial</w:t>
            </w:r>
          </w:p>
        </w:tc>
        <w:tc>
          <w:tcPr>
            <w:tcW w:w="80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6"/>
              </w:rPr>
              <w:t>Expenses</w:t>
            </w:r>
          </w:p>
        </w:tc>
        <w:tc>
          <w:tcPr>
            <w:tcW w:w="920" w:type="dxa"/>
            <w:vAlign w:val="bottom"/>
          </w:tcPr>
          <w:p>
            <w:pPr>
              <w:jc w:val="center"/>
              <w:ind w:right="21"/>
              <w:spacing w:after="0" w:line="126" w:lineRule="exact"/>
              <w:rPr>
                <w:sz w:val="20"/>
                <w:szCs w:val="20"/>
                <w:color w:val="auto"/>
              </w:rPr>
            </w:pPr>
            <w:r>
              <w:rPr>
                <w:rFonts w:ascii="Arial" w:cs="Arial" w:eastAsia="Arial" w:hAnsi="Arial"/>
                <w:sz w:val="12"/>
                <w:szCs w:val="12"/>
                <w:b w:val="1"/>
                <w:bCs w:val="1"/>
                <w:color w:val="auto"/>
                <w:w w:val="99"/>
              </w:rPr>
              <w:t>Expenses</w:t>
            </w:r>
          </w:p>
        </w:tc>
        <w:tc>
          <w:tcPr>
            <w:tcW w:w="880" w:type="dxa"/>
            <w:vAlign w:val="bottom"/>
          </w:tcPr>
          <w:p>
            <w:pPr>
              <w:jc w:val="center"/>
              <w:ind w:right="41"/>
              <w:spacing w:after="0" w:line="126" w:lineRule="exact"/>
              <w:rPr>
                <w:sz w:val="20"/>
                <w:szCs w:val="20"/>
                <w:color w:val="auto"/>
              </w:rPr>
            </w:pPr>
            <w:r>
              <w:rPr>
                <w:rFonts w:ascii="Arial" w:cs="Arial" w:eastAsia="Arial" w:hAnsi="Arial"/>
                <w:sz w:val="12"/>
                <w:szCs w:val="12"/>
                <w:b w:val="1"/>
                <w:bCs w:val="1"/>
                <w:color w:val="auto"/>
                <w:w w:val="96"/>
              </w:rPr>
              <w:t>Expenses</w:t>
            </w:r>
          </w:p>
        </w:tc>
        <w:tc>
          <w:tcPr>
            <w:tcW w:w="800" w:type="dxa"/>
            <w:vAlign w:val="bottom"/>
          </w:tcPr>
          <w:p>
            <w:pPr>
              <w:jc w:val="right"/>
              <w:ind w:right="61"/>
              <w:spacing w:after="0" w:line="126" w:lineRule="exact"/>
              <w:rPr>
                <w:sz w:val="20"/>
                <w:szCs w:val="20"/>
                <w:color w:val="auto"/>
              </w:rPr>
            </w:pPr>
            <w:r>
              <w:rPr>
                <w:rFonts w:ascii="Arial" w:cs="Arial" w:eastAsia="Arial" w:hAnsi="Arial"/>
                <w:sz w:val="12"/>
                <w:szCs w:val="12"/>
                <w:b w:val="1"/>
                <w:bCs w:val="1"/>
                <w:color w:val="auto"/>
              </w:rPr>
              <w:t>Impairment</w:t>
            </w:r>
          </w:p>
        </w:tc>
        <w:tc>
          <w:tcPr>
            <w:tcW w:w="86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6"/>
              </w:rPr>
              <w:t>Transactions</w:t>
            </w:r>
          </w:p>
        </w:tc>
        <w:tc>
          <w:tcPr>
            <w:tcW w:w="9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6"/>
              </w:rPr>
              <w:t>Consideration</w:t>
            </w:r>
          </w:p>
        </w:tc>
        <w:tc>
          <w:tcPr>
            <w:tcW w:w="8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Costs</w:t>
            </w:r>
          </w:p>
        </w:tc>
        <w:tc>
          <w:tcPr>
            <w:tcW w:w="960" w:type="dxa"/>
            <w:vAlign w:val="bottom"/>
          </w:tcPr>
          <w:p>
            <w:pPr>
              <w:jc w:val="center"/>
              <w:ind w:right="21"/>
              <w:spacing w:after="0" w:line="126" w:lineRule="exact"/>
              <w:rPr>
                <w:sz w:val="20"/>
                <w:szCs w:val="20"/>
                <w:color w:val="auto"/>
              </w:rPr>
            </w:pPr>
            <w:r>
              <w:rPr>
                <w:rFonts w:ascii="Arial" w:cs="Arial" w:eastAsia="Arial" w:hAnsi="Arial"/>
                <w:sz w:val="12"/>
                <w:szCs w:val="12"/>
                <w:b w:val="1"/>
                <w:bCs w:val="1"/>
                <w:color w:val="auto"/>
                <w:w w:val="95"/>
              </w:rPr>
              <w:t>Costs</w:t>
            </w:r>
          </w:p>
        </w:tc>
        <w:tc>
          <w:tcPr>
            <w:tcW w:w="860" w:type="dxa"/>
            <w:vAlign w:val="bottom"/>
          </w:tcPr>
          <w:p>
            <w:pPr>
              <w:jc w:val="center"/>
              <w:ind w:right="21"/>
              <w:spacing w:after="0" w:line="126" w:lineRule="exact"/>
              <w:rPr>
                <w:sz w:val="20"/>
                <w:szCs w:val="20"/>
                <w:color w:val="auto"/>
              </w:rPr>
            </w:pPr>
            <w:r>
              <w:rPr>
                <w:rFonts w:ascii="Arial" w:cs="Arial" w:eastAsia="Arial" w:hAnsi="Arial"/>
                <w:sz w:val="12"/>
                <w:szCs w:val="12"/>
                <w:b w:val="1"/>
                <w:bCs w:val="1"/>
                <w:color w:val="auto"/>
                <w:w w:val="96"/>
              </w:rPr>
              <w:t>Adjustments</w:t>
            </w:r>
          </w:p>
        </w:tc>
        <w:tc>
          <w:tcPr>
            <w:tcW w:w="86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9"/>
              </w:rPr>
              <w:t>Adjustments</w:t>
            </w:r>
          </w:p>
        </w:tc>
        <w:tc>
          <w:tcPr>
            <w:tcW w:w="72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59"/>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2022</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20" w:type="dxa"/>
            <w:vAlign w:val="bottom"/>
            <w:tcBorders>
              <w:bottom w:val="single" w:sz="8" w:color="auto"/>
            </w:tcBorders>
          </w:tcPr>
          <w:p>
            <w:pPr>
              <w:jc w:val="center"/>
              <w:ind w:right="1"/>
              <w:spacing w:after="0"/>
              <w:rPr>
                <w:sz w:val="20"/>
                <w:szCs w:val="20"/>
                <w:color w:val="auto"/>
              </w:rPr>
            </w:pPr>
            <w:r>
              <w:rPr>
                <w:rFonts w:ascii="Arial" w:cs="Arial" w:eastAsia="Arial" w:hAnsi="Arial"/>
                <w:sz w:val="12"/>
                <w:szCs w:val="12"/>
                <w:b w:val="1"/>
                <w:bCs w:val="1"/>
                <w:color w:val="auto"/>
              </w:rPr>
              <w:t>(B)</w:t>
            </w: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2"/>
                <w:szCs w:val="12"/>
                <w:b w:val="1"/>
                <w:bCs w:val="1"/>
                <w:color w:val="auto"/>
                <w:w w:val="95"/>
              </w:rPr>
              <w:t>(C)</w:t>
            </w: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auto"/>
            </w:tcBorders>
          </w:tcPr>
          <w:p>
            <w:pPr>
              <w:jc w:val="center"/>
              <w:ind w:right="1"/>
              <w:spacing w:after="0"/>
              <w:rPr>
                <w:sz w:val="20"/>
                <w:szCs w:val="20"/>
                <w:color w:val="auto"/>
              </w:rPr>
            </w:pPr>
            <w:r>
              <w:rPr>
                <w:rFonts w:ascii="Arial" w:cs="Arial" w:eastAsia="Arial" w:hAnsi="Arial"/>
                <w:sz w:val="12"/>
                <w:szCs w:val="12"/>
                <w:b w:val="1"/>
                <w:bCs w:val="1"/>
                <w:color w:val="auto"/>
                <w:w w:val="99"/>
              </w:rPr>
              <w:t>(E)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(F)</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960" w:type="dxa"/>
            <w:vAlign w:val="bottom"/>
            <w:tcBorders>
              <w:bottom w:val="single" w:sz="8" w:color="auto"/>
            </w:tcBorders>
          </w:tcPr>
          <w:p>
            <w:pPr>
              <w:jc w:val="center"/>
              <w:ind w:right="1"/>
              <w:spacing w:after="0"/>
              <w:rPr>
                <w:sz w:val="20"/>
                <w:szCs w:val="20"/>
                <w:color w:val="auto"/>
              </w:rPr>
            </w:pPr>
            <w:r>
              <w:rPr>
                <w:rFonts w:ascii="Arial" w:cs="Arial" w:eastAsia="Arial" w:hAnsi="Arial"/>
                <w:sz w:val="12"/>
                <w:szCs w:val="12"/>
                <w:b w:val="1"/>
                <w:bCs w:val="1"/>
                <w:color w:val="auto"/>
              </w:rPr>
              <w:t>(H)</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(I)</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(J)</w:t>
            </w: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76"/>
        </w:trPr>
        <w:tc>
          <w:tcPr>
            <w:tcW w:w="114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700" w:type="dxa"/>
            <w:vAlign w:val="bottom"/>
          </w:tcPr>
          <w:p>
            <w:pPr>
              <w:jc w:val="right"/>
              <w:ind w:right="101"/>
              <w:spacing w:after="0"/>
              <w:rPr>
                <w:sz w:val="20"/>
                <w:szCs w:val="20"/>
                <w:color w:val="auto"/>
              </w:rPr>
            </w:pPr>
            <w:r>
              <w:rPr>
                <w:rFonts w:ascii="Arial" w:cs="Arial" w:eastAsia="Arial" w:hAnsi="Arial"/>
                <w:sz w:val="12"/>
                <w:szCs w:val="12"/>
                <w:color w:val="auto"/>
              </w:rPr>
              <w:t>$81.7</w:t>
            </w:r>
          </w:p>
        </w:tc>
        <w:tc>
          <w:tcPr>
            <w:tcW w:w="80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($3.5)</w:t>
            </w:r>
          </w:p>
        </w:tc>
        <w:tc>
          <w:tcPr>
            <w:tcW w:w="80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1"/>
              <w:spacing w:after="0"/>
              <w:rPr>
                <w:sz w:val="20"/>
                <w:szCs w:val="20"/>
                <w:color w:val="auto"/>
              </w:rPr>
            </w:pPr>
            <w:r>
              <w:rPr>
                <w:rFonts w:ascii="Arial" w:cs="Arial" w:eastAsia="Arial" w:hAnsi="Arial"/>
                <w:sz w:val="12"/>
                <w:szCs w:val="12"/>
                <w:color w:val="auto"/>
              </w:rPr>
              <w:t>($1.9)</w:t>
            </w:r>
          </w:p>
        </w:tc>
        <w:tc>
          <w:tcPr>
            <w:tcW w:w="82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($0.3)</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$76.0</w:t>
            </w:r>
          </w:p>
        </w:tc>
        <w:tc>
          <w:tcPr>
            <w:tcW w:w="0" w:type="dxa"/>
            <w:vAlign w:val="bottom"/>
          </w:tcPr>
          <w:p>
            <w:pPr>
              <w:spacing w:after="0"/>
              <w:rPr>
                <w:sz w:val="1"/>
                <w:szCs w:val="1"/>
                <w:color w:val="auto"/>
              </w:rPr>
            </w:pPr>
          </w:p>
        </w:tc>
      </w:tr>
      <w:tr>
        <w:trPr>
          <w:trHeight w:val="167"/>
        </w:trPr>
        <w:tc>
          <w:tcPr>
            <w:tcW w:w="114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percent</w:t>
            </w:r>
          </w:p>
        </w:tc>
        <w:tc>
          <w:tcPr>
            <w:tcW w:w="700" w:type="dxa"/>
            <w:vAlign w:val="bottom"/>
          </w:tcPr>
          <w:p>
            <w:pPr>
              <w:jc w:val="right"/>
              <w:spacing w:after="0"/>
              <w:rPr>
                <w:sz w:val="20"/>
                <w:szCs w:val="20"/>
                <w:color w:val="auto"/>
              </w:rPr>
            </w:pPr>
            <w:r>
              <w:rPr>
                <w:rFonts w:ascii="Arial" w:cs="Arial" w:eastAsia="Arial" w:hAnsi="Arial"/>
                <w:sz w:val="12"/>
                <w:szCs w:val="12"/>
                <w:color w:val="auto"/>
              </w:rPr>
              <w:t>67.7 %</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 %</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1.4 %</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6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0.7 %</w:t>
            </w:r>
          </w:p>
        </w:tc>
        <w:tc>
          <w:tcPr>
            <w:tcW w:w="820" w:type="dxa"/>
            <w:vAlign w:val="bottom"/>
          </w:tcPr>
          <w:p>
            <w:pPr>
              <w:jc w:val="right"/>
              <w:spacing w:after="0"/>
              <w:rPr>
                <w:sz w:val="20"/>
                <w:szCs w:val="20"/>
                <w:color w:val="auto"/>
              </w:rPr>
            </w:pPr>
            <w:r>
              <w:rPr>
                <w:rFonts w:ascii="Arial" w:cs="Arial" w:eastAsia="Arial" w:hAnsi="Arial"/>
                <w:sz w:val="12"/>
                <w:szCs w:val="12"/>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0.1 %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720" w:type="dxa"/>
            <w:vAlign w:val="bottom"/>
          </w:tcPr>
          <w:p>
            <w:pPr>
              <w:jc w:val="right"/>
              <w:spacing w:after="0"/>
              <w:rPr>
                <w:sz w:val="20"/>
                <w:szCs w:val="20"/>
                <w:color w:val="auto"/>
              </w:rPr>
            </w:pPr>
            <w:r>
              <w:rPr>
                <w:rFonts w:ascii="Arial" w:cs="Arial" w:eastAsia="Arial" w:hAnsi="Arial"/>
                <w:sz w:val="12"/>
                <w:szCs w:val="12"/>
                <w:color w:val="auto"/>
              </w:rPr>
              <w:t>69.9 %</w:t>
            </w:r>
          </w:p>
        </w:tc>
        <w:tc>
          <w:tcPr>
            <w:tcW w:w="0" w:type="dxa"/>
            <w:vAlign w:val="bottom"/>
          </w:tcPr>
          <w:p>
            <w:pPr>
              <w:spacing w:after="0"/>
              <w:rPr>
                <w:sz w:val="1"/>
                <w:szCs w:val="1"/>
                <w:color w:val="auto"/>
              </w:rPr>
            </w:pPr>
          </w:p>
        </w:tc>
      </w:tr>
      <w:tr>
        <w:trPr>
          <w:trHeight w:val="154"/>
        </w:trPr>
        <w:tc>
          <w:tcPr>
            <w:tcW w:w="1140" w:type="dxa"/>
            <w:vAlign w:val="bottom"/>
          </w:tcPr>
          <w:p>
            <w:pPr>
              <w:ind w:left="20"/>
              <w:spacing w:after="0"/>
              <w:rPr>
                <w:sz w:val="20"/>
                <w:szCs w:val="20"/>
                <w:color w:val="auto"/>
              </w:rPr>
            </w:pPr>
            <w:r>
              <w:rPr>
                <w:rFonts w:ascii="Arial" w:cs="Arial" w:eastAsia="Arial" w:hAnsi="Arial"/>
                <w:sz w:val="13"/>
                <w:szCs w:val="13"/>
                <w:color w:val="auto"/>
              </w:rPr>
              <w:t>Selling, general</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3"/>
                <w:szCs w:val="13"/>
                <w:color w:val="auto"/>
              </w:rPr>
              <w:t>and</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administrative</w:t>
            </w:r>
          </w:p>
        </w:tc>
        <w:tc>
          <w:tcPr>
            <w:tcW w:w="700" w:type="dxa"/>
            <w:vAlign w:val="bottom"/>
          </w:tcPr>
          <w:p>
            <w:pPr>
              <w:jc w:val="right"/>
              <w:ind w:right="101"/>
              <w:spacing w:after="0"/>
              <w:rPr>
                <w:sz w:val="20"/>
                <w:szCs w:val="20"/>
                <w:color w:val="auto"/>
              </w:rPr>
            </w:pPr>
            <w:r>
              <w:rPr>
                <w:rFonts w:ascii="Arial" w:cs="Arial" w:eastAsia="Arial" w:hAnsi="Arial"/>
                <w:sz w:val="12"/>
                <w:szCs w:val="12"/>
                <w:color w:val="auto"/>
              </w:rPr>
              <w:t>114.6</w:t>
            </w:r>
          </w:p>
        </w:tc>
        <w:tc>
          <w:tcPr>
            <w:tcW w:w="80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(2.7)</w:t>
            </w:r>
          </w:p>
        </w:tc>
        <w:tc>
          <w:tcPr>
            <w:tcW w:w="80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60" w:type="dxa"/>
            <w:vAlign w:val="bottom"/>
          </w:tcPr>
          <w:p>
            <w:pPr>
              <w:ind w:left="5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(4.9)</w:t>
            </w: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(8.6)</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98.5</w:t>
            </w:r>
          </w:p>
        </w:tc>
        <w:tc>
          <w:tcPr>
            <w:tcW w:w="0" w:type="dxa"/>
            <w:vAlign w:val="bottom"/>
          </w:tcPr>
          <w:p>
            <w:pPr>
              <w:spacing w:after="0"/>
              <w:rPr>
                <w:sz w:val="1"/>
                <w:szCs w:val="1"/>
                <w:color w:val="auto"/>
              </w:rPr>
            </w:pPr>
          </w:p>
        </w:tc>
      </w:tr>
      <w:tr>
        <w:trPr>
          <w:trHeight w:val="167"/>
        </w:trPr>
        <w:tc>
          <w:tcPr>
            <w:tcW w:w="1140" w:type="dxa"/>
            <w:vAlign w:val="bottom"/>
          </w:tcPr>
          <w:p>
            <w:pPr>
              <w:ind w:left="20"/>
              <w:spacing w:after="0"/>
              <w:rPr>
                <w:sz w:val="20"/>
                <w:szCs w:val="20"/>
                <w:color w:val="auto"/>
              </w:rPr>
            </w:pPr>
            <w:r>
              <w:rPr>
                <w:rFonts w:ascii="Arial" w:cs="Arial" w:eastAsia="Arial" w:hAnsi="Arial"/>
                <w:sz w:val="13"/>
                <w:szCs w:val="13"/>
                <w:color w:val="auto"/>
              </w:rPr>
              <w:t>Selling, general</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3"/>
                <w:szCs w:val="13"/>
                <w:color w:val="auto"/>
              </w:rPr>
              <w:t>and</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9" w:lineRule="exact"/>
              <w:rPr>
                <w:sz w:val="20"/>
                <w:szCs w:val="20"/>
                <w:color w:val="auto"/>
              </w:rPr>
            </w:pPr>
            <w:r>
              <w:rPr>
                <w:rFonts w:ascii="Arial" w:cs="Arial" w:eastAsia="Arial" w:hAnsi="Arial"/>
                <w:sz w:val="13"/>
                <w:szCs w:val="13"/>
                <w:color w:val="auto"/>
              </w:rPr>
              <w:t>administrative as</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9" w:lineRule="exact"/>
              <w:rPr>
                <w:sz w:val="20"/>
                <w:szCs w:val="20"/>
                <w:color w:val="auto"/>
              </w:rPr>
            </w:pPr>
            <w:r>
              <w:rPr>
                <w:rFonts w:ascii="Arial" w:cs="Arial" w:eastAsia="Arial" w:hAnsi="Arial"/>
                <w:sz w:val="13"/>
                <w:szCs w:val="13"/>
                <w:color w:val="auto"/>
              </w:rPr>
              <w:t>a percent of net</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revenue</w:t>
            </w:r>
          </w:p>
        </w:tc>
        <w:tc>
          <w:tcPr>
            <w:tcW w:w="700" w:type="dxa"/>
            <w:vAlign w:val="bottom"/>
          </w:tcPr>
          <w:p>
            <w:pPr>
              <w:jc w:val="right"/>
              <w:spacing w:after="0"/>
              <w:rPr>
                <w:sz w:val="20"/>
                <w:szCs w:val="20"/>
                <w:color w:val="auto"/>
              </w:rPr>
            </w:pPr>
            <w:r>
              <w:rPr>
                <w:rFonts w:ascii="Arial" w:cs="Arial" w:eastAsia="Arial" w:hAnsi="Arial"/>
                <w:sz w:val="12"/>
                <w:szCs w:val="12"/>
                <w:color w:val="auto"/>
              </w:rPr>
              <w:t>45.4 %</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 %</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(1.1)%</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6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20" w:type="dxa"/>
            <w:vAlign w:val="bottom"/>
          </w:tcPr>
          <w:p>
            <w:pPr>
              <w:jc w:val="right"/>
              <w:spacing w:after="0"/>
              <w:rPr>
                <w:sz w:val="20"/>
                <w:szCs w:val="20"/>
                <w:color w:val="auto"/>
              </w:rPr>
            </w:pPr>
            <w:r>
              <w:rPr>
                <w:rFonts w:ascii="Arial" w:cs="Arial" w:eastAsia="Arial" w:hAnsi="Arial"/>
                <w:sz w:val="12"/>
                <w:szCs w:val="12"/>
                <w:color w:val="auto"/>
              </w:rPr>
              <w:t>(1.9)%</w:t>
            </w:r>
          </w:p>
        </w:tc>
        <w:tc>
          <w:tcPr>
            <w:tcW w:w="960" w:type="dxa"/>
            <w:vAlign w:val="bottom"/>
          </w:tcPr>
          <w:p>
            <w:pPr>
              <w:jc w:val="right"/>
              <w:spacing w:after="0"/>
              <w:rPr>
                <w:sz w:val="20"/>
                <w:szCs w:val="20"/>
                <w:color w:val="auto"/>
              </w:rPr>
            </w:pPr>
            <w:r>
              <w:rPr>
                <w:rFonts w:ascii="Arial" w:cs="Arial" w:eastAsia="Arial" w:hAnsi="Arial"/>
                <w:sz w:val="12"/>
                <w:szCs w:val="12"/>
                <w:color w:val="auto"/>
              </w:rPr>
              <w:t>(3.4)%</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720" w:type="dxa"/>
            <w:vAlign w:val="bottom"/>
          </w:tcPr>
          <w:p>
            <w:pPr>
              <w:jc w:val="right"/>
              <w:spacing w:after="0"/>
              <w:rPr>
                <w:sz w:val="20"/>
                <w:szCs w:val="20"/>
                <w:color w:val="auto"/>
              </w:rPr>
            </w:pPr>
            <w:r>
              <w:rPr>
                <w:rFonts w:ascii="Arial" w:cs="Arial" w:eastAsia="Arial" w:hAnsi="Arial"/>
                <w:sz w:val="12"/>
                <w:szCs w:val="12"/>
                <w:color w:val="auto"/>
              </w:rPr>
              <w:t>39.0 %</w:t>
            </w:r>
          </w:p>
        </w:tc>
        <w:tc>
          <w:tcPr>
            <w:tcW w:w="0" w:type="dxa"/>
            <w:vAlign w:val="bottom"/>
          </w:tcPr>
          <w:p>
            <w:pPr>
              <w:spacing w:after="0"/>
              <w:rPr>
                <w:sz w:val="1"/>
                <w:szCs w:val="1"/>
                <w:color w:val="auto"/>
              </w:rPr>
            </w:pPr>
          </w:p>
        </w:tc>
      </w:tr>
      <w:tr>
        <w:trPr>
          <w:trHeight w:val="154"/>
        </w:trPr>
        <w:tc>
          <w:tcPr>
            <w:tcW w:w="1140" w:type="dxa"/>
            <w:vAlign w:val="bottom"/>
          </w:tcPr>
          <w:p>
            <w:pPr>
              <w:ind w:left="20"/>
              <w:spacing w:after="0"/>
              <w:rPr>
                <w:sz w:val="20"/>
                <w:szCs w:val="20"/>
                <w:color w:val="auto"/>
              </w:rPr>
            </w:pPr>
            <w:r>
              <w:rPr>
                <w:rFonts w:ascii="Arial" w:cs="Arial" w:eastAsia="Arial" w:hAnsi="Arial"/>
                <w:sz w:val="13"/>
                <w:szCs w:val="13"/>
                <w:color w:val="auto"/>
              </w:rPr>
              <w:t>Research and</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development</w:t>
            </w:r>
          </w:p>
        </w:tc>
        <w:tc>
          <w:tcPr>
            <w:tcW w:w="700" w:type="dxa"/>
            <w:vAlign w:val="bottom"/>
          </w:tcPr>
          <w:p>
            <w:pPr>
              <w:jc w:val="right"/>
              <w:ind w:right="101"/>
              <w:spacing w:after="0"/>
              <w:rPr>
                <w:sz w:val="20"/>
                <w:szCs w:val="20"/>
                <w:color w:val="auto"/>
              </w:rPr>
            </w:pPr>
            <w:r>
              <w:rPr>
                <w:rFonts w:ascii="Arial" w:cs="Arial" w:eastAsia="Arial" w:hAnsi="Arial"/>
                <w:sz w:val="12"/>
                <w:szCs w:val="12"/>
                <w:color w:val="auto"/>
              </w:rPr>
              <w:t>35.7</w:t>
            </w:r>
          </w:p>
        </w:tc>
        <w:tc>
          <w:tcPr>
            <w:tcW w:w="80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60" w:type="dxa"/>
            <w:vAlign w:val="bottom"/>
          </w:tcPr>
          <w:p>
            <w:pPr>
              <w:ind w:left="5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7.9</w:t>
            </w: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(0.3)</w:t>
            </w: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(1.8)</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41.5</w:t>
            </w:r>
          </w:p>
        </w:tc>
        <w:tc>
          <w:tcPr>
            <w:tcW w:w="0" w:type="dxa"/>
            <w:vAlign w:val="bottom"/>
          </w:tcPr>
          <w:p>
            <w:pPr>
              <w:spacing w:after="0"/>
              <w:rPr>
                <w:sz w:val="1"/>
                <w:szCs w:val="1"/>
                <w:color w:val="auto"/>
              </w:rPr>
            </w:pPr>
          </w:p>
        </w:tc>
      </w:tr>
      <w:tr>
        <w:trPr>
          <w:trHeight w:val="154"/>
        </w:trPr>
        <w:tc>
          <w:tcPr>
            <w:tcW w:w="1140" w:type="dxa"/>
            <w:vAlign w:val="bottom"/>
          </w:tcPr>
          <w:p>
            <w:pPr>
              <w:ind w:left="20"/>
              <w:spacing w:after="0"/>
              <w:rPr>
                <w:sz w:val="20"/>
                <w:szCs w:val="20"/>
                <w:color w:val="auto"/>
              </w:rPr>
            </w:pPr>
            <w:r>
              <w:rPr>
                <w:rFonts w:ascii="Arial" w:cs="Arial" w:eastAsia="Arial" w:hAnsi="Arial"/>
                <w:sz w:val="13"/>
                <w:szCs w:val="13"/>
                <w:color w:val="auto"/>
              </w:rPr>
              <w:t>Research and</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3"/>
                <w:szCs w:val="13"/>
                <w:color w:val="auto"/>
              </w:rPr>
              <w:t>development as a</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9" w:lineRule="exact"/>
              <w:rPr>
                <w:sz w:val="20"/>
                <w:szCs w:val="20"/>
                <w:color w:val="auto"/>
              </w:rPr>
            </w:pPr>
            <w:r>
              <w:rPr>
                <w:rFonts w:ascii="Arial" w:cs="Arial" w:eastAsia="Arial" w:hAnsi="Arial"/>
                <w:sz w:val="13"/>
                <w:szCs w:val="13"/>
                <w:color w:val="auto"/>
              </w:rPr>
              <w:t>percent of net</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revenue</w:t>
            </w:r>
          </w:p>
        </w:tc>
        <w:tc>
          <w:tcPr>
            <w:tcW w:w="700" w:type="dxa"/>
            <w:vAlign w:val="bottom"/>
          </w:tcPr>
          <w:p>
            <w:pPr>
              <w:jc w:val="right"/>
              <w:spacing w:after="0"/>
              <w:rPr>
                <w:sz w:val="20"/>
                <w:szCs w:val="20"/>
                <w:color w:val="auto"/>
              </w:rPr>
            </w:pPr>
            <w:r>
              <w:rPr>
                <w:rFonts w:ascii="Arial" w:cs="Arial" w:eastAsia="Arial" w:hAnsi="Arial"/>
                <w:sz w:val="12"/>
                <w:szCs w:val="12"/>
                <w:color w:val="auto"/>
              </w:rPr>
              <w:t>14.1 %</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 %</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 %</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6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3.1 %</w:t>
            </w:r>
          </w:p>
        </w:tc>
        <w:tc>
          <w:tcPr>
            <w:tcW w:w="820" w:type="dxa"/>
            <w:vAlign w:val="bottom"/>
          </w:tcPr>
          <w:p>
            <w:pPr>
              <w:jc w:val="right"/>
              <w:spacing w:after="0"/>
              <w:rPr>
                <w:sz w:val="20"/>
                <w:szCs w:val="20"/>
                <w:color w:val="auto"/>
              </w:rPr>
            </w:pPr>
            <w:r>
              <w:rPr>
                <w:rFonts w:ascii="Arial" w:cs="Arial" w:eastAsia="Arial" w:hAnsi="Arial"/>
                <w:sz w:val="12"/>
                <w:szCs w:val="12"/>
                <w:color w:val="auto"/>
              </w:rPr>
              <w:t>(0.1)%</w:t>
            </w:r>
          </w:p>
        </w:tc>
        <w:tc>
          <w:tcPr>
            <w:tcW w:w="960" w:type="dxa"/>
            <w:vAlign w:val="bottom"/>
          </w:tcPr>
          <w:p>
            <w:pPr>
              <w:jc w:val="right"/>
              <w:spacing w:after="0"/>
              <w:rPr>
                <w:sz w:val="20"/>
                <w:szCs w:val="20"/>
                <w:color w:val="auto"/>
              </w:rPr>
            </w:pPr>
            <w:r>
              <w:rPr>
                <w:rFonts w:ascii="Arial" w:cs="Arial" w:eastAsia="Arial" w:hAnsi="Arial"/>
                <w:sz w:val="12"/>
                <w:szCs w:val="12"/>
                <w:color w:val="auto"/>
              </w:rPr>
              <w:t>(0.7)%</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720" w:type="dxa"/>
            <w:vAlign w:val="bottom"/>
          </w:tcPr>
          <w:p>
            <w:pPr>
              <w:jc w:val="right"/>
              <w:spacing w:after="0"/>
              <w:rPr>
                <w:sz w:val="20"/>
                <w:szCs w:val="20"/>
                <w:color w:val="auto"/>
              </w:rPr>
            </w:pPr>
            <w:r>
              <w:rPr>
                <w:rFonts w:ascii="Arial" w:cs="Arial" w:eastAsia="Arial" w:hAnsi="Arial"/>
                <w:sz w:val="12"/>
                <w:szCs w:val="12"/>
                <w:color w:val="auto"/>
              </w:rPr>
              <w:t>16.4 %</w:t>
            </w:r>
          </w:p>
        </w:tc>
        <w:tc>
          <w:tcPr>
            <w:tcW w:w="0" w:type="dxa"/>
            <w:vAlign w:val="bottom"/>
          </w:tcPr>
          <w:p>
            <w:pPr>
              <w:spacing w:after="0"/>
              <w:rPr>
                <w:sz w:val="1"/>
                <w:szCs w:val="1"/>
                <w:color w:val="auto"/>
              </w:rPr>
            </w:pPr>
          </w:p>
        </w:tc>
      </w:tr>
      <w:tr>
        <w:trPr>
          <w:trHeight w:val="167"/>
        </w:trPr>
        <w:tc>
          <w:tcPr>
            <w:tcW w:w="1140" w:type="dxa"/>
            <w:vAlign w:val="bottom"/>
          </w:tcPr>
          <w:p>
            <w:pPr>
              <w:ind w:left="20"/>
              <w:spacing w:after="0"/>
              <w:rPr>
                <w:sz w:val="20"/>
                <w:szCs w:val="20"/>
                <w:color w:val="auto"/>
              </w:rPr>
            </w:pPr>
            <w:r>
              <w:rPr>
                <w:rFonts w:ascii="Arial" w:cs="Arial" w:eastAsia="Arial" w:hAnsi="Arial"/>
                <w:sz w:val="13"/>
                <w:szCs w:val="13"/>
                <w:color w:val="auto"/>
              </w:rPr>
              <w:t>Other operating</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expenses</w:t>
            </w:r>
          </w:p>
        </w:tc>
        <w:tc>
          <w:tcPr>
            <w:tcW w:w="700" w:type="dxa"/>
            <w:vAlign w:val="bottom"/>
          </w:tcPr>
          <w:p>
            <w:pPr>
              <w:jc w:val="right"/>
              <w:ind w:right="101"/>
              <w:spacing w:after="0"/>
              <w:rPr>
                <w:sz w:val="20"/>
                <w:szCs w:val="20"/>
                <w:color w:val="auto"/>
              </w:rPr>
            </w:pPr>
            <w:r>
              <w:rPr>
                <w:rFonts w:ascii="Arial" w:cs="Arial" w:eastAsia="Arial" w:hAnsi="Arial"/>
                <w:sz w:val="12"/>
                <w:szCs w:val="12"/>
                <w:color w:val="auto"/>
              </w:rPr>
              <w:t>23.1</w:t>
            </w:r>
          </w:p>
        </w:tc>
        <w:tc>
          <w:tcPr>
            <w:tcW w:w="800" w:type="dxa"/>
            <w:vAlign w:val="bottom"/>
          </w:tcPr>
          <w:p>
            <w:pPr>
              <w:jc w:val="right"/>
              <w:ind w:right="81"/>
              <w:spacing w:after="0"/>
              <w:rPr>
                <w:sz w:val="20"/>
                <w:szCs w:val="20"/>
                <w:color w:val="auto"/>
              </w:rPr>
            </w:pPr>
            <w:r>
              <w:rPr>
                <w:rFonts w:ascii="Arial" w:cs="Arial" w:eastAsia="Arial" w:hAnsi="Arial"/>
                <w:sz w:val="12"/>
                <w:szCs w:val="12"/>
                <w:color w:val="auto"/>
              </w:rPr>
              <w:t>(0.2)</w:t>
            </w: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(4.1)</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60" w:type="dxa"/>
            <w:vAlign w:val="bottom"/>
          </w:tcPr>
          <w:p>
            <w:pPr>
              <w:ind w:left="5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(18.8)</w:t>
            </w:r>
          </w:p>
        </w:tc>
        <w:tc>
          <w:tcPr>
            <w:tcW w:w="9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140" w:type="dxa"/>
            <w:vAlign w:val="bottom"/>
          </w:tcPr>
          <w:p>
            <w:pPr>
              <w:ind w:left="20"/>
              <w:spacing w:after="0"/>
              <w:rPr>
                <w:sz w:val="20"/>
                <w:szCs w:val="20"/>
                <w:color w:val="auto"/>
              </w:rPr>
            </w:pPr>
            <w:r>
              <w:rPr>
                <w:rFonts w:ascii="Arial" w:cs="Arial" w:eastAsia="Arial" w:hAnsi="Arial"/>
                <w:sz w:val="13"/>
                <w:szCs w:val="13"/>
                <w:color w:val="auto"/>
              </w:rPr>
              <w:t>Operating (loss)</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income</w:t>
            </w:r>
          </w:p>
        </w:tc>
        <w:tc>
          <w:tcPr>
            <w:tcW w:w="700" w:type="dxa"/>
            <w:vAlign w:val="bottom"/>
          </w:tcPr>
          <w:p>
            <w:pPr>
              <w:jc w:val="right"/>
              <w:ind w:right="81"/>
              <w:spacing w:after="0"/>
              <w:rPr>
                <w:sz w:val="20"/>
                <w:szCs w:val="20"/>
                <w:color w:val="auto"/>
              </w:rPr>
            </w:pPr>
            <w:r>
              <w:rPr>
                <w:rFonts w:ascii="Arial" w:cs="Arial" w:eastAsia="Arial" w:hAnsi="Arial"/>
                <w:sz w:val="12"/>
                <w:szCs w:val="12"/>
                <w:color w:val="auto"/>
              </w:rPr>
              <w:t>(132.0)</w:t>
            </w:r>
          </w:p>
        </w:tc>
        <w:tc>
          <w:tcPr>
            <w:tcW w:w="800" w:type="dxa"/>
            <w:vAlign w:val="bottom"/>
          </w:tcPr>
          <w:p>
            <w:pPr>
              <w:jc w:val="right"/>
              <w:ind w:right="121"/>
              <w:spacing w:after="0"/>
              <w:rPr>
                <w:sz w:val="20"/>
                <w:szCs w:val="20"/>
                <w:color w:val="auto"/>
              </w:rPr>
            </w:pPr>
            <w:r>
              <w:rPr>
                <w:rFonts w:ascii="Arial" w:cs="Arial" w:eastAsia="Arial" w:hAnsi="Arial"/>
                <w:sz w:val="12"/>
                <w:szCs w:val="12"/>
                <w:color w:val="auto"/>
              </w:rPr>
              <w:t>0.2</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4.1</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6.2</w:t>
            </w:r>
          </w:p>
        </w:tc>
        <w:tc>
          <w:tcPr>
            <w:tcW w:w="800" w:type="dxa"/>
            <w:vAlign w:val="bottom"/>
          </w:tcPr>
          <w:p>
            <w:pPr>
              <w:jc w:val="right"/>
              <w:ind w:right="141"/>
              <w:spacing w:after="0"/>
              <w:rPr>
                <w:sz w:val="20"/>
                <w:szCs w:val="20"/>
                <w:color w:val="auto"/>
              </w:rPr>
            </w:pPr>
            <w:r>
              <w:rPr>
                <w:rFonts w:ascii="Arial" w:cs="Arial" w:eastAsia="Arial" w:hAnsi="Arial"/>
                <w:sz w:val="12"/>
                <w:szCs w:val="12"/>
                <w:color w:val="auto"/>
              </w:rPr>
              <w:t>129.4</w:t>
            </w:r>
          </w:p>
        </w:tc>
        <w:tc>
          <w:tcPr>
            <w:tcW w:w="860" w:type="dxa"/>
            <w:vAlign w:val="bottom"/>
          </w:tcPr>
          <w:p>
            <w:pPr>
              <w:ind w:left="5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1"/>
              <w:spacing w:after="0"/>
              <w:rPr>
                <w:sz w:val="20"/>
                <w:szCs w:val="20"/>
                <w:color w:val="auto"/>
              </w:rPr>
            </w:pPr>
            <w:r>
              <w:rPr>
                <w:rFonts w:ascii="Arial" w:cs="Arial" w:eastAsia="Arial" w:hAnsi="Arial"/>
                <w:sz w:val="12"/>
                <w:szCs w:val="12"/>
                <w:color w:val="auto"/>
              </w:rPr>
              <w:t>(6.0)</w:t>
            </w:r>
          </w:p>
        </w:tc>
        <w:tc>
          <w:tcPr>
            <w:tcW w:w="820" w:type="dxa"/>
            <w:vAlign w:val="bottom"/>
          </w:tcPr>
          <w:p>
            <w:pPr>
              <w:jc w:val="right"/>
              <w:ind w:right="121"/>
              <w:spacing w:after="0"/>
              <w:rPr>
                <w:sz w:val="20"/>
                <w:szCs w:val="20"/>
                <w:color w:val="auto"/>
              </w:rPr>
            </w:pPr>
            <w:r>
              <w:rPr>
                <w:rFonts w:ascii="Arial" w:cs="Arial" w:eastAsia="Arial" w:hAnsi="Arial"/>
                <w:sz w:val="12"/>
                <w:szCs w:val="12"/>
                <w:color w:val="auto"/>
              </w:rPr>
              <w:t>23.9</w:t>
            </w:r>
          </w:p>
        </w:tc>
        <w:tc>
          <w:tcPr>
            <w:tcW w:w="960" w:type="dxa"/>
            <w:vAlign w:val="bottom"/>
          </w:tcPr>
          <w:p>
            <w:pPr>
              <w:jc w:val="right"/>
              <w:ind w:right="121"/>
              <w:spacing w:after="0"/>
              <w:rPr>
                <w:sz w:val="20"/>
                <w:szCs w:val="20"/>
                <w:color w:val="auto"/>
              </w:rPr>
            </w:pPr>
            <w:r>
              <w:rPr>
                <w:rFonts w:ascii="Arial" w:cs="Arial" w:eastAsia="Arial" w:hAnsi="Arial"/>
                <w:sz w:val="12"/>
                <w:szCs w:val="12"/>
                <w:color w:val="auto"/>
              </w:rPr>
              <w:t>10.8</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36.6</w:t>
            </w:r>
          </w:p>
        </w:tc>
        <w:tc>
          <w:tcPr>
            <w:tcW w:w="0" w:type="dxa"/>
            <w:vAlign w:val="bottom"/>
          </w:tcPr>
          <w:p>
            <w:pPr>
              <w:spacing w:after="0"/>
              <w:rPr>
                <w:sz w:val="1"/>
                <w:szCs w:val="1"/>
                <w:color w:val="auto"/>
              </w:rPr>
            </w:pPr>
          </w:p>
        </w:tc>
      </w:tr>
      <w:tr>
        <w:trPr>
          <w:trHeight w:val="154"/>
        </w:trPr>
        <w:tc>
          <w:tcPr>
            <w:tcW w:w="1140" w:type="dxa"/>
            <w:vAlign w:val="bottom"/>
          </w:tcPr>
          <w:p>
            <w:pPr>
              <w:ind w:left="20"/>
              <w:spacing w:after="0"/>
              <w:rPr>
                <w:sz w:val="20"/>
                <w:szCs w:val="20"/>
                <w:color w:val="auto"/>
              </w:rPr>
            </w:pPr>
            <w:r>
              <w:rPr>
                <w:rFonts w:ascii="Arial" w:cs="Arial" w:eastAsia="Arial" w:hAnsi="Arial"/>
                <w:sz w:val="13"/>
                <w:szCs w:val="13"/>
                <w:color w:val="auto"/>
              </w:rPr>
              <w:t>Operating margin</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percent</w:t>
            </w:r>
          </w:p>
        </w:tc>
        <w:tc>
          <w:tcPr>
            <w:tcW w:w="700" w:type="dxa"/>
            <w:vAlign w:val="bottom"/>
          </w:tcPr>
          <w:p>
            <w:pPr>
              <w:jc w:val="right"/>
              <w:spacing w:after="0"/>
              <w:rPr>
                <w:sz w:val="20"/>
                <w:szCs w:val="20"/>
                <w:color w:val="auto"/>
              </w:rPr>
            </w:pPr>
            <w:r>
              <w:rPr>
                <w:rFonts w:ascii="Arial" w:cs="Arial" w:eastAsia="Arial" w:hAnsi="Arial"/>
                <w:sz w:val="12"/>
                <w:szCs w:val="12"/>
                <w:color w:val="auto"/>
              </w:rPr>
              <w:t>(52.2)%</w:t>
            </w:r>
          </w:p>
        </w:tc>
        <w:tc>
          <w:tcPr>
            <w:tcW w:w="800" w:type="dxa"/>
            <w:vAlign w:val="bottom"/>
          </w:tcPr>
          <w:p>
            <w:pPr>
              <w:jc w:val="right"/>
              <w:spacing w:after="0"/>
              <w:rPr>
                <w:sz w:val="20"/>
                <w:szCs w:val="20"/>
                <w:color w:val="auto"/>
              </w:rPr>
            </w:pPr>
            <w:r>
              <w:rPr>
                <w:rFonts w:ascii="Arial" w:cs="Arial" w:eastAsia="Arial" w:hAnsi="Arial"/>
                <w:sz w:val="12"/>
                <w:szCs w:val="12"/>
                <w:color w:val="auto"/>
              </w:rPr>
              <w:t>0.1 %</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1.6 %</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2.5 %</w:t>
            </w:r>
          </w:p>
        </w:tc>
        <w:tc>
          <w:tcPr>
            <w:tcW w:w="800" w:type="dxa"/>
            <w:vAlign w:val="bottom"/>
          </w:tcPr>
          <w:p>
            <w:pPr>
              <w:jc w:val="right"/>
              <w:spacing w:after="0"/>
              <w:rPr>
                <w:sz w:val="20"/>
                <w:szCs w:val="20"/>
                <w:color w:val="auto"/>
              </w:rPr>
            </w:pPr>
            <w:r>
              <w:rPr>
                <w:rFonts w:ascii="Arial" w:cs="Arial" w:eastAsia="Arial" w:hAnsi="Arial"/>
                <w:sz w:val="12"/>
                <w:szCs w:val="12"/>
                <w:color w:val="auto"/>
              </w:rPr>
              <w:t>51.2 %</w:t>
            </w:r>
          </w:p>
        </w:tc>
        <w:tc>
          <w:tcPr>
            <w:tcW w:w="860" w:type="dxa"/>
            <w:vAlign w:val="bottom"/>
          </w:tcPr>
          <w:p>
            <w:pPr>
              <w:ind w:left="56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(2.4)%</w:t>
            </w:r>
          </w:p>
        </w:tc>
        <w:tc>
          <w:tcPr>
            <w:tcW w:w="820" w:type="dxa"/>
            <w:vAlign w:val="bottom"/>
          </w:tcPr>
          <w:p>
            <w:pPr>
              <w:jc w:val="right"/>
              <w:spacing w:after="0"/>
              <w:rPr>
                <w:sz w:val="20"/>
                <w:szCs w:val="20"/>
                <w:color w:val="auto"/>
              </w:rPr>
            </w:pPr>
            <w:r>
              <w:rPr>
                <w:rFonts w:ascii="Arial" w:cs="Arial" w:eastAsia="Arial" w:hAnsi="Arial"/>
                <w:sz w:val="12"/>
                <w:szCs w:val="12"/>
                <w:color w:val="auto"/>
              </w:rPr>
              <w:t>9.5 %</w:t>
            </w:r>
          </w:p>
        </w:tc>
        <w:tc>
          <w:tcPr>
            <w:tcW w:w="960" w:type="dxa"/>
            <w:vAlign w:val="bottom"/>
          </w:tcPr>
          <w:p>
            <w:pPr>
              <w:jc w:val="right"/>
              <w:spacing w:after="0"/>
              <w:rPr>
                <w:sz w:val="20"/>
                <w:szCs w:val="20"/>
                <w:color w:val="auto"/>
              </w:rPr>
            </w:pPr>
            <w:r>
              <w:rPr>
                <w:rFonts w:ascii="Arial" w:cs="Arial" w:eastAsia="Arial" w:hAnsi="Arial"/>
                <w:sz w:val="12"/>
                <w:szCs w:val="12"/>
                <w:color w:val="auto"/>
              </w:rPr>
              <w:t>4.3 %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720" w:type="dxa"/>
            <w:vAlign w:val="bottom"/>
          </w:tcPr>
          <w:p>
            <w:pPr>
              <w:jc w:val="right"/>
              <w:spacing w:after="0"/>
              <w:rPr>
                <w:sz w:val="20"/>
                <w:szCs w:val="20"/>
                <w:color w:val="auto"/>
              </w:rPr>
            </w:pPr>
            <w:r>
              <w:rPr>
                <w:rFonts w:ascii="Arial" w:cs="Arial" w:eastAsia="Arial" w:hAnsi="Arial"/>
                <w:sz w:val="12"/>
                <w:szCs w:val="12"/>
                <w:color w:val="auto"/>
              </w:rPr>
              <w:t>14.5 %</w:t>
            </w:r>
          </w:p>
        </w:tc>
        <w:tc>
          <w:tcPr>
            <w:tcW w:w="0" w:type="dxa"/>
            <w:vAlign w:val="bottom"/>
          </w:tcPr>
          <w:p>
            <w:pPr>
              <w:spacing w:after="0"/>
              <w:rPr>
                <w:sz w:val="1"/>
                <w:szCs w:val="1"/>
                <w:color w:val="auto"/>
              </w:rPr>
            </w:pPr>
          </w:p>
        </w:tc>
      </w:tr>
      <w:tr>
        <w:trPr>
          <w:trHeight w:val="154"/>
        </w:trPr>
        <w:tc>
          <w:tcPr>
            <w:tcW w:w="1140" w:type="dxa"/>
            <w:vAlign w:val="bottom"/>
          </w:tcPr>
          <w:p>
            <w:pPr>
              <w:ind w:left="20"/>
              <w:spacing w:after="0"/>
              <w:rPr>
                <w:sz w:val="20"/>
                <w:szCs w:val="20"/>
                <w:color w:val="auto"/>
              </w:rPr>
            </w:pPr>
            <w:r>
              <w:rPr>
                <w:rFonts w:ascii="Arial" w:cs="Arial" w:eastAsia="Arial" w:hAnsi="Arial"/>
                <w:sz w:val="13"/>
                <w:szCs w:val="13"/>
                <w:color w:val="auto"/>
              </w:rPr>
              <w:t>Income tax</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expense</w:t>
            </w:r>
          </w:p>
        </w:tc>
        <w:tc>
          <w:tcPr>
            <w:tcW w:w="700" w:type="dxa"/>
            <w:vAlign w:val="bottom"/>
          </w:tcPr>
          <w:p>
            <w:pPr>
              <w:jc w:val="right"/>
              <w:ind w:right="101"/>
              <w:spacing w:after="0"/>
              <w:rPr>
                <w:sz w:val="20"/>
                <w:szCs w:val="20"/>
                <w:color w:val="auto"/>
              </w:rPr>
            </w:pPr>
            <w:r>
              <w:rPr>
                <w:rFonts w:ascii="Arial" w:cs="Arial" w:eastAsia="Arial" w:hAnsi="Arial"/>
                <w:sz w:val="12"/>
                <w:szCs w:val="12"/>
                <w:color w:val="auto"/>
              </w:rPr>
              <w:t>1.3</w:t>
            </w:r>
          </w:p>
        </w:tc>
        <w:tc>
          <w:tcPr>
            <w:tcW w:w="80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0.4</w:t>
            </w:r>
          </w:p>
        </w:tc>
        <w:tc>
          <w:tcPr>
            <w:tcW w:w="80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60" w:type="dxa"/>
            <w:vAlign w:val="bottom"/>
          </w:tcPr>
          <w:p>
            <w:pPr>
              <w:ind w:left="5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21"/>
              <w:spacing w:after="0"/>
              <w:rPr>
                <w:sz w:val="20"/>
                <w:szCs w:val="20"/>
                <w:color w:val="auto"/>
              </w:rPr>
            </w:pPr>
            <w:r>
              <w:rPr>
                <w:rFonts w:ascii="Arial" w:cs="Arial" w:eastAsia="Arial" w:hAnsi="Arial"/>
                <w:sz w:val="12"/>
                <w:szCs w:val="12"/>
                <w:color w:val="auto"/>
              </w:rPr>
              <w:t>0.2</w:t>
            </w:r>
          </w:p>
        </w:tc>
        <w:tc>
          <w:tcPr>
            <w:tcW w:w="960" w:type="dxa"/>
            <w:vAlign w:val="bottom"/>
          </w:tcPr>
          <w:p>
            <w:pPr>
              <w:jc w:val="right"/>
              <w:ind w:right="121"/>
              <w:spacing w:after="0"/>
              <w:rPr>
                <w:sz w:val="20"/>
                <w:szCs w:val="20"/>
                <w:color w:val="auto"/>
              </w:rPr>
            </w:pPr>
            <w:r>
              <w:rPr>
                <w:rFonts w:ascii="Arial" w:cs="Arial" w:eastAsia="Arial" w:hAnsi="Arial"/>
                <w:sz w:val="12"/>
                <w:szCs w:val="12"/>
                <w:color w:val="auto"/>
              </w:rPr>
              <w:t>0.2</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0.7</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77"/>
        </w:trPr>
        <w:tc>
          <w:tcPr>
            <w:tcW w:w="1140" w:type="dxa"/>
            <w:vAlign w:val="bottom"/>
          </w:tcPr>
          <w:p>
            <w:pPr>
              <w:ind w:left="20"/>
              <w:spacing w:after="0"/>
              <w:rPr>
                <w:sz w:val="20"/>
                <w:szCs w:val="20"/>
                <w:color w:val="auto"/>
              </w:rPr>
            </w:pPr>
            <w:r>
              <w:rPr>
                <w:rFonts w:ascii="Arial" w:cs="Arial" w:eastAsia="Arial" w:hAnsi="Arial"/>
                <w:sz w:val="13"/>
                <w:szCs w:val="13"/>
                <w:color w:val="auto"/>
              </w:rPr>
              <w:t>Income tax rate</w:t>
            </w:r>
          </w:p>
        </w:tc>
        <w:tc>
          <w:tcPr>
            <w:tcW w:w="700" w:type="dxa"/>
            <w:vAlign w:val="bottom"/>
          </w:tcPr>
          <w:p>
            <w:pPr>
              <w:jc w:val="right"/>
              <w:spacing w:after="0"/>
              <w:rPr>
                <w:sz w:val="20"/>
                <w:szCs w:val="20"/>
                <w:color w:val="auto"/>
              </w:rPr>
            </w:pPr>
            <w:r>
              <w:rPr>
                <w:rFonts w:ascii="Arial" w:cs="Arial" w:eastAsia="Arial" w:hAnsi="Arial"/>
                <w:sz w:val="12"/>
                <w:szCs w:val="12"/>
                <w:color w:val="auto"/>
              </w:rPr>
              <w:t>(1.2)%</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1.2 %</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6.7 %</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6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20" w:type="dxa"/>
            <w:vAlign w:val="bottom"/>
          </w:tcPr>
          <w:p>
            <w:pPr>
              <w:jc w:val="right"/>
              <w:spacing w:after="0"/>
              <w:rPr>
                <w:sz w:val="20"/>
                <w:szCs w:val="20"/>
                <w:color w:val="auto"/>
              </w:rPr>
            </w:pPr>
            <w:r>
              <w:rPr>
                <w:rFonts w:ascii="Arial" w:cs="Arial" w:eastAsia="Arial" w:hAnsi="Arial"/>
                <w:sz w:val="12"/>
                <w:szCs w:val="12"/>
                <w:color w:val="auto"/>
              </w:rPr>
              <w:t>0.8 %</w:t>
            </w:r>
          </w:p>
        </w:tc>
        <w:tc>
          <w:tcPr>
            <w:tcW w:w="960" w:type="dxa"/>
            <w:vAlign w:val="bottom"/>
          </w:tcPr>
          <w:p>
            <w:pPr>
              <w:jc w:val="right"/>
              <w:spacing w:after="0"/>
              <w:rPr>
                <w:sz w:val="20"/>
                <w:szCs w:val="20"/>
                <w:color w:val="auto"/>
              </w:rPr>
            </w:pPr>
            <w:r>
              <w:rPr>
                <w:rFonts w:ascii="Arial" w:cs="Arial" w:eastAsia="Arial" w:hAnsi="Arial"/>
                <w:sz w:val="12"/>
                <w:szCs w:val="12"/>
                <w:color w:val="auto"/>
              </w:rPr>
              <w:t>1.4 %</w:t>
            </w:r>
          </w:p>
        </w:tc>
        <w:tc>
          <w:tcPr>
            <w:tcW w:w="860" w:type="dxa"/>
            <w:vAlign w:val="bottom"/>
          </w:tcPr>
          <w:p>
            <w:pPr>
              <w:jc w:val="right"/>
              <w:spacing w:after="0"/>
              <w:rPr>
                <w:sz w:val="20"/>
                <w:szCs w:val="20"/>
                <w:color w:val="auto"/>
              </w:rPr>
            </w:pPr>
            <w:r>
              <w:rPr>
                <w:rFonts w:ascii="Arial" w:cs="Arial" w:eastAsia="Arial" w:hAnsi="Arial"/>
                <w:sz w:val="12"/>
                <w:szCs w:val="12"/>
                <w:color w:val="auto"/>
              </w:rPr>
              <w:t>N/A</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720" w:type="dxa"/>
            <w:vAlign w:val="bottom"/>
          </w:tcPr>
          <w:p>
            <w:pPr>
              <w:jc w:val="right"/>
              <w:spacing w:after="0"/>
              <w:rPr>
                <w:sz w:val="20"/>
                <w:szCs w:val="20"/>
                <w:color w:val="auto"/>
              </w:rPr>
            </w:pPr>
            <w:r>
              <w:rPr>
                <w:rFonts w:ascii="Arial" w:cs="Arial" w:eastAsia="Arial" w:hAnsi="Arial"/>
                <w:sz w:val="12"/>
                <w:szCs w:val="12"/>
                <w:color w:val="auto"/>
              </w:rPr>
              <w:t>8.3 %</w:t>
            </w:r>
          </w:p>
        </w:tc>
        <w:tc>
          <w:tcPr>
            <w:tcW w:w="0" w:type="dxa"/>
            <w:vAlign w:val="bottom"/>
          </w:tcPr>
          <w:p>
            <w:pPr>
              <w:spacing w:after="0"/>
              <w:rPr>
                <w:sz w:val="1"/>
                <w:szCs w:val="1"/>
                <w:color w:val="auto"/>
              </w:rPr>
            </w:pPr>
          </w:p>
        </w:tc>
      </w:tr>
      <w:tr>
        <w:trPr>
          <w:trHeight w:val="190"/>
        </w:trPr>
        <w:tc>
          <w:tcPr>
            <w:tcW w:w="114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700" w:type="dxa"/>
            <w:vAlign w:val="bottom"/>
          </w:tcPr>
          <w:p>
            <w:pPr>
              <w:jc w:val="right"/>
              <w:ind w:right="81"/>
              <w:spacing w:after="0"/>
              <w:rPr>
                <w:sz w:val="20"/>
                <w:szCs w:val="20"/>
                <w:color w:val="auto"/>
              </w:rPr>
            </w:pPr>
            <w:r>
              <w:rPr>
                <w:rFonts w:ascii="Arial" w:cs="Arial" w:eastAsia="Arial" w:hAnsi="Arial"/>
                <w:sz w:val="12"/>
                <w:szCs w:val="12"/>
                <w:color w:val="auto"/>
              </w:rPr>
              <w:t>(107.3)</w:t>
            </w:r>
          </w:p>
        </w:tc>
        <w:tc>
          <w:tcPr>
            <w:tcW w:w="800" w:type="dxa"/>
            <w:vAlign w:val="bottom"/>
          </w:tcPr>
          <w:p>
            <w:pPr>
              <w:jc w:val="right"/>
              <w:ind w:right="121"/>
              <w:spacing w:after="0"/>
              <w:rPr>
                <w:sz w:val="20"/>
                <w:szCs w:val="20"/>
                <w:color w:val="auto"/>
              </w:rPr>
            </w:pPr>
            <w:r>
              <w:rPr>
                <w:rFonts w:ascii="Arial" w:cs="Arial" w:eastAsia="Arial" w:hAnsi="Arial"/>
                <w:sz w:val="12"/>
                <w:szCs w:val="12"/>
                <w:color w:val="auto"/>
              </w:rPr>
              <w:t>0.2</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4.1</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5.8</w:t>
            </w:r>
          </w:p>
        </w:tc>
        <w:tc>
          <w:tcPr>
            <w:tcW w:w="800" w:type="dxa"/>
            <w:vAlign w:val="bottom"/>
          </w:tcPr>
          <w:p>
            <w:pPr>
              <w:jc w:val="right"/>
              <w:ind w:right="141"/>
              <w:spacing w:after="0"/>
              <w:rPr>
                <w:sz w:val="20"/>
                <w:szCs w:val="20"/>
                <w:color w:val="auto"/>
              </w:rPr>
            </w:pPr>
            <w:r>
              <w:rPr>
                <w:rFonts w:ascii="Arial" w:cs="Arial" w:eastAsia="Arial" w:hAnsi="Arial"/>
                <w:sz w:val="12"/>
                <w:szCs w:val="12"/>
                <w:color w:val="auto"/>
              </w:rPr>
              <w:t>129.4</w:t>
            </w:r>
          </w:p>
        </w:tc>
        <w:tc>
          <w:tcPr>
            <w:tcW w:w="860" w:type="dxa"/>
            <w:vAlign w:val="bottom"/>
          </w:tcPr>
          <w:p>
            <w:pPr>
              <w:jc w:val="right"/>
              <w:ind w:right="81"/>
              <w:spacing w:after="0"/>
              <w:rPr>
                <w:sz w:val="20"/>
                <w:szCs w:val="20"/>
                <w:color w:val="auto"/>
              </w:rPr>
            </w:pPr>
            <w:r>
              <w:rPr>
                <w:rFonts w:ascii="Arial" w:cs="Arial" w:eastAsia="Arial" w:hAnsi="Arial"/>
                <w:sz w:val="12"/>
                <w:szCs w:val="12"/>
                <w:color w:val="auto"/>
              </w:rPr>
              <w:t>(37.9)</w:t>
            </w:r>
          </w:p>
        </w:tc>
        <w:tc>
          <w:tcPr>
            <w:tcW w:w="920" w:type="dxa"/>
            <w:vAlign w:val="bottom"/>
          </w:tcPr>
          <w:p>
            <w:pPr>
              <w:jc w:val="right"/>
              <w:ind w:right="81"/>
              <w:spacing w:after="0"/>
              <w:rPr>
                <w:sz w:val="20"/>
                <w:szCs w:val="20"/>
                <w:color w:val="auto"/>
              </w:rPr>
            </w:pPr>
            <w:r>
              <w:rPr>
                <w:rFonts w:ascii="Arial" w:cs="Arial" w:eastAsia="Arial" w:hAnsi="Arial"/>
                <w:sz w:val="12"/>
                <w:szCs w:val="12"/>
                <w:color w:val="auto"/>
              </w:rPr>
              <w:t>(6.0)</w:t>
            </w:r>
          </w:p>
        </w:tc>
        <w:tc>
          <w:tcPr>
            <w:tcW w:w="820" w:type="dxa"/>
            <w:vAlign w:val="bottom"/>
          </w:tcPr>
          <w:p>
            <w:pPr>
              <w:jc w:val="right"/>
              <w:ind w:right="121"/>
              <w:spacing w:after="0"/>
              <w:rPr>
                <w:sz w:val="20"/>
                <w:szCs w:val="20"/>
                <w:color w:val="auto"/>
              </w:rPr>
            </w:pPr>
            <w:r>
              <w:rPr>
                <w:rFonts w:ascii="Arial" w:cs="Arial" w:eastAsia="Arial" w:hAnsi="Arial"/>
                <w:sz w:val="12"/>
                <w:szCs w:val="12"/>
                <w:color w:val="auto"/>
              </w:rPr>
              <w:t>23.8</w:t>
            </w:r>
          </w:p>
        </w:tc>
        <w:tc>
          <w:tcPr>
            <w:tcW w:w="960" w:type="dxa"/>
            <w:vAlign w:val="bottom"/>
          </w:tcPr>
          <w:p>
            <w:pPr>
              <w:jc w:val="right"/>
              <w:ind w:right="121"/>
              <w:spacing w:after="0"/>
              <w:rPr>
                <w:sz w:val="20"/>
                <w:szCs w:val="20"/>
                <w:color w:val="auto"/>
              </w:rPr>
            </w:pPr>
            <w:r>
              <w:rPr>
                <w:rFonts w:ascii="Arial" w:cs="Arial" w:eastAsia="Arial" w:hAnsi="Arial"/>
                <w:sz w:val="12"/>
                <w:szCs w:val="12"/>
                <w:color w:val="auto"/>
              </w:rPr>
              <w:t>10.6</w:t>
            </w:r>
          </w:p>
        </w:tc>
        <w:tc>
          <w:tcPr>
            <w:tcW w:w="860" w:type="dxa"/>
            <w:vAlign w:val="bottom"/>
          </w:tcPr>
          <w:p>
            <w:pPr>
              <w:jc w:val="right"/>
              <w:ind w:right="81"/>
              <w:spacing w:after="0"/>
              <w:rPr>
                <w:sz w:val="20"/>
                <w:szCs w:val="20"/>
                <w:color w:val="auto"/>
              </w:rPr>
            </w:pPr>
            <w:r>
              <w:rPr>
                <w:rFonts w:ascii="Arial" w:cs="Arial" w:eastAsia="Arial" w:hAnsi="Arial"/>
                <w:sz w:val="12"/>
                <w:szCs w:val="12"/>
                <w:color w:val="auto"/>
              </w:rPr>
              <w:t>(0.7)</w:t>
            </w:r>
          </w:p>
        </w:tc>
        <w:tc>
          <w:tcPr>
            <w:tcW w:w="860" w:type="dxa"/>
            <w:vAlign w:val="bottom"/>
          </w:tcPr>
          <w:p>
            <w:pPr>
              <w:jc w:val="right"/>
              <w:ind w:right="101"/>
              <w:spacing w:after="0"/>
              <w:rPr>
                <w:sz w:val="20"/>
                <w:szCs w:val="20"/>
                <w:color w:val="auto"/>
              </w:rPr>
            </w:pPr>
            <w:r>
              <w:rPr>
                <w:rFonts w:ascii="Arial" w:cs="Arial" w:eastAsia="Arial" w:hAnsi="Arial"/>
                <w:sz w:val="12"/>
                <w:szCs w:val="12"/>
                <w:color w:val="auto"/>
              </w:rPr>
              <w:t>9.1</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31.0</w:t>
            </w:r>
          </w:p>
        </w:tc>
        <w:tc>
          <w:tcPr>
            <w:tcW w:w="0" w:type="dxa"/>
            <w:vAlign w:val="bottom"/>
          </w:tcPr>
          <w:p>
            <w:pPr>
              <w:spacing w:after="0"/>
              <w:rPr>
                <w:sz w:val="1"/>
                <w:szCs w:val="1"/>
                <w:color w:val="auto"/>
              </w:rPr>
            </w:pPr>
          </w:p>
        </w:tc>
      </w:tr>
      <w:tr>
        <w:trPr>
          <w:trHeight w:val="167"/>
        </w:trPr>
        <w:tc>
          <w:tcPr>
            <w:tcW w:w="114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3"/>
                <w:szCs w:val="13"/>
                <w:color w:val="auto"/>
              </w:rPr>
              <w:t>as a percent of</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net revenue</w:t>
            </w:r>
          </w:p>
        </w:tc>
        <w:tc>
          <w:tcPr>
            <w:tcW w:w="700" w:type="dxa"/>
            <w:vAlign w:val="bottom"/>
          </w:tcPr>
          <w:p>
            <w:pPr>
              <w:jc w:val="right"/>
              <w:spacing w:after="0"/>
              <w:rPr>
                <w:sz w:val="20"/>
                <w:szCs w:val="20"/>
                <w:color w:val="auto"/>
              </w:rPr>
            </w:pPr>
            <w:r>
              <w:rPr>
                <w:rFonts w:ascii="Arial" w:cs="Arial" w:eastAsia="Arial" w:hAnsi="Arial"/>
                <w:sz w:val="12"/>
                <w:szCs w:val="12"/>
                <w:color w:val="auto"/>
              </w:rPr>
              <w:t>(42.5)%</w:t>
            </w:r>
          </w:p>
        </w:tc>
        <w:tc>
          <w:tcPr>
            <w:tcW w:w="800" w:type="dxa"/>
            <w:vAlign w:val="bottom"/>
          </w:tcPr>
          <w:p>
            <w:pPr>
              <w:jc w:val="right"/>
              <w:spacing w:after="0"/>
              <w:rPr>
                <w:sz w:val="20"/>
                <w:szCs w:val="20"/>
                <w:color w:val="auto"/>
              </w:rPr>
            </w:pPr>
            <w:r>
              <w:rPr>
                <w:rFonts w:ascii="Arial" w:cs="Arial" w:eastAsia="Arial" w:hAnsi="Arial"/>
                <w:sz w:val="12"/>
                <w:szCs w:val="12"/>
                <w:color w:val="auto"/>
              </w:rPr>
              <w:t>0.1 %</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1.6 %</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2.3 %</w:t>
            </w:r>
          </w:p>
        </w:tc>
        <w:tc>
          <w:tcPr>
            <w:tcW w:w="800" w:type="dxa"/>
            <w:vAlign w:val="bottom"/>
          </w:tcPr>
          <w:p>
            <w:pPr>
              <w:jc w:val="right"/>
              <w:spacing w:after="0"/>
              <w:rPr>
                <w:sz w:val="20"/>
                <w:szCs w:val="20"/>
                <w:color w:val="auto"/>
              </w:rPr>
            </w:pPr>
            <w:r>
              <w:rPr>
                <w:rFonts w:ascii="Arial" w:cs="Arial" w:eastAsia="Arial" w:hAnsi="Arial"/>
                <w:sz w:val="12"/>
                <w:szCs w:val="12"/>
                <w:color w:val="auto"/>
              </w:rPr>
              <w:t>51.2 %</w:t>
            </w:r>
          </w:p>
        </w:tc>
        <w:tc>
          <w:tcPr>
            <w:tcW w:w="860" w:type="dxa"/>
            <w:vAlign w:val="bottom"/>
          </w:tcPr>
          <w:p>
            <w:pPr>
              <w:jc w:val="right"/>
              <w:spacing w:after="0"/>
              <w:rPr>
                <w:sz w:val="20"/>
                <w:szCs w:val="20"/>
                <w:color w:val="auto"/>
              </w:rPr>
            </w:pPr>
            <w:r>
              <w:rPr>
                <w:rFonts w:ascii="Arial" w:cs="Arial" w:eastAsia="Arial" w:hAnsi="Arial"/>
                <w:sz w:val="12"/>
                <w:szCs w:val="12"/>
                <w:color w:val="auto"/>
              </w:rPr>
              <w:t>(15.0)%</w:t>
            </w:r>
          </w:p>
        </w:tc>
        <w:tc>
          <w:tcPr>
            <w:tcW w:w="920" w:type="dxa"/>
            <w:vAlign w:val="bottom"/>
          </w:tcPr>
          <w:p>
            <w:pPr>
              <w:jc w:val="right"/>
              <w:spacing w:after="0"/>
              <w:rPr>
                <w:sz w:val="20"/>
                <w:szCs w:val="20"/>
                <w:color w:val="auto"/>
              </w:rPr>
            </w:pPr>
            <w:r>
              <w:rPr>
                <w:rFonts w:ascii="Arial" w:cs="Arial" w:eastAsia="Arial" w:hAnsi="Arial"/>
                <w:sz w:val="12"/>
                <w:szCs w:val="12"/>
                <w:color w:val="auto"/>
              </w:rPr>
              <w:t>(2.4)%</w:t>
            </w:r>
          </w:p>
        </w:tc>
        <w:tc>
          <w:tcPr>
            <w:tcW w:w="820" w:type="dxa"/>
            <w:vAlign w:val="bottom"/>
          </w:tcPr>
          <w:p>
            <w:pPr>
              <w:jc w:val="right"/>
              <w:spacing w:after="0"/>
              <w:rPr>
                <w:sz w:val="20"/>
                <w:szCs w:val="20"/>
                <w:color w:val="auto"/>
              </w:rPr>
            </w:pPr>
            <w:r>
              <w:rPr>
                <w:rFonts w:ascii="Arial" w:cs="Arial" w:eastAsia="Arial" w:hAnsi="Arial"/>
                <w:sz w:val="12"/>
                <w:szCs w:val="12"/>
                <w:color w:val="auto"/>
              </w:rPr>
              <w:t>9.4 %</w:t>
            </w:r>
          </w:p>
        </w:tc>
        <w:tc>
          <w:tcPr>
            <w:tcW w:w="960" w:type="dxa"/>
            <w:vAlign w:val="bottom"/>
          </w:tcPr>
          <w:p>
            <w:pPr>
              <w:jc w:val="right"/>
              <w:spacing w:after="0"/>
              <w:rPr>
                <w:sz w:val="20"/>
                <w:szCs w:val="20"/>
                <w:color w:val="auto"/>
              </w:rPr>
            </w:pPr>
            <w:r>
              <w:rPr>
                <w:rFonts w:ascii="Arial" w:cs="Arial" w:eastAsia="Arial" w:hAnsi="Arial"/>
                <w:sz w:val="12"/>
                <w:szCs w:val="12"/>
                <w:color w:val="auto"/>
              </w:rPr>
              <w:t>4.2 %</w:t>
            </w:r>
          </w:p>
        </w:tc>
        <w:tc>
          <w:tcPr>
            <w:tcW w:w="860" w:type="dxa"/>
            <w:vAlign w:val="bottom"/>
          </w:tcPr>
          <w:p>
            <w:pPr>
              <w:jc w:val="right"/>
              <w:spacing w:after="0"/>
              <w:rPr>
                <w:sz w:val="20"/>
                <w:szCs w:val="20"/>
                <w:color w:val="auto"/>
              </w:rPr>
            </w:pPr>
            <w:r>
              <w:rPr>
                <w:rFonts w:ascii="Arial" w:cs="Arial" w:eastAsia="Arial" w:hAnsi="Arial"/>
                <w:sz w:val="12"/>
                <w:szCs w:val="12"/>
                <w:color w:val="auto"/>
              </w:rPr>
              <w:t>(0.3)%</w:t>
            </w:r>
          </w:p>
        </w:tc>
        <w:tc>
          <w:tcPr>
            <w:tcW w:w="860" w:type="dxa"/>
            <w:vAlign w:val="bottom"/>
          </w:tcPr>
          <w:p>
            <w:pPr>
              <w:jc w:val="right"/>
              <w:spacing w:after="0"/>
              <w:rPr>
                <w:sz w:val="20"/>
                <w:szCs w:val="20"/>
                <w:color w:val="auto"/>
              </w:rPr>
            </w:pPr>
            <w:r>
              <w:rPr>
                <w:rFonts w:ascii="Arial" w:cs="Arial" w:eastAsia="Arial" w:hAnsi="Arial"/>
                <w:sz w:val="12"/>
                <w:szCs w:val="12"/>
                <w:color w:val="auto"/>
              </w:rPr>
              <w:t>3.6 %</w:t>
            </w:r>
          </w:p>
        </w:tc>
        <w:tc>
          <w:tcPr>
            <w:tcW w:w="720" w:type="dxa"/>
            <w:vAlign w:val="bottom"/>
          </w:tcPr>
          <w:p>
            <w:pPr>
              <w:jc w:val="right"/>
              <w:spacing w:after="0"/>
              <w:rPr>
                <w:sz w:val="20"/>
                <w:szCs w:val="20"/>
                <w:color w:val="auto"/>
              </w:rPr>
            </w:pPr>
            <w:r>
              <w:rPr>
                <w:rFonts w:ascii="Arial" w:cs="Arial" w:eastAsia="Arial" w:hAnsi="Arial"/>
                <w:sz w:val="12"/>
                <w:szCs w:val="12"/>
                <w:color w:val="auto"/>
              </w:rPr>
              <w:t>12.3 %</w:t>
            </w:r>
          </w:p>
        </w:tc>
        <w:tc>
          <w:tcPr>
            <w:tcW w:w="0" w:type="dxa"/>
            <w:vAlign w:val="bottom"/>
          </w:tcPr>
          <w:p>
            <w:pPr>
              <w:spacing w:after="0"/>
              <w:rPr>
                <w:sz w:val="1"/>
                <w:szCs w:val="1"/>
                <w:color w:val="auto"/>
              </w:rPr>
            </w:pPr>
          </w:p>
        </w:tc>
      </w:tr>
      <w:tr>
        <w:trPr>
          <w:trHeight w:val="190"/>
        </w:trPr>
        <w:tc>
          <w:tcPr>
            <w:tcW w:w="1140" w:type="dxa"/>
            <w:vAlign w:val="bottom"/>
          </w:tcPr>
          <w:p>
            <w:pPr>
              <w:ind w:left="20"/>
              <w:spacing w:after="0"/>
              <w:rPr>
                <w:sz w:val="20"/>
                <w:szCs w:val="20"/>
                <w:color w:val="auto"/>
              </w:rPr>
            </w:pPr>
            <w:r>
              <w:rPr>
                <w:rFonts w:ascii="Arial" w:cs="Arial" w:eastAsia="Arial" w:hAnsi="Arial"/>
                <w:sz w:val="13"/>
                <w:szCs w:val="13"/>
                <w:color w:val="auto"/>
              </w:rPr>
              <w:t>Diluted EPS</w:t>
            </w:r>
          </w:p>
        </w:tc>
        <w:tc>
          <w:tcPr>
            <w:tcW w:w="700" w:type="dxa"/>
            <w:vAlign w:val="bottom"/>
          </w:tcPr>
          <w:p>
            <w:pPr>
              <w:jc w:val="right"/>
              <w:ind w:right="81"/>
              <w:spacing w:after="0"/>
              <w:rPr>
                <w:sz w:val="20"/>
                <w:szCs w:val="20"/>
                <w:color w:val="auto"/>
              </w:rPr>
            </w:pPr>
            <w:r>
              <w:rPr>
                <w:rFonts w:ascii="Arial" w:cs="Arial" w:eastAsia="Arial" w:hAnsi="Arial"/>
                <w:sz w:val="12"/>
                <w:szCs w:val="12"/>
                <w:color w:val="auto"/>
              </w:rPr>
              <w:t>($2.01)</w:t>
            </w:r>
          </w:p>
        </w:tc>
        <w:tc>
          <w:tcPr>
            <w:tcW w:w="80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$0.08</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$0.11</w:t>
            </w:r>
          </w:p>
        </w:tc>
        <w:tc>
          <w:tcPr>
            <w:tcW w:w="800" w:type="dxa"/>
            <w:vAlign w:val="bottom"/>
          </w:tcPr>
          <w:p>
            <w:pPr>
              <w:jc w:val="right"/>
              <w:ind w:right="141"/>
              <w:spacing w:after="0"/>
              <w:rPr>
                <w:sz w:val="20"/>
                <w:szCs w:val="20"/>
                <w:color w:val="auto"/>
              </w:rPr>
            </w:pPr>
            <w:r>
              <w:rPr>
                <w:rFonts w:ascii="Arial" w:cs="Arial" w:eastAsia="Arial" w:hAnsi="Arial"/>
                <w:sz w:val="12"/>
                <w:szCs w:val="12"/>
                <w:color w:val="auto"/>
              </w:rPr>
              <w:t>$2.40</w:t>
            </w:r>
          </w:p>
        </w:tc>
        <w:tc>
          <w:tcPr>
            <w:tcW w:w="860" w:type="dxa"/>
            <w:vAlign w:val="bottom"/>
          </w:tcPr>
          <w:p>
            <w:pPr>
              <w:jc w:val="right"/>
              <w:ind w:right="81"/>
              <w:spacing w:after="0"/>
              <w:rPr>
                <w:sz w:val="20"/>
                <w:szCs w:val="20"/>
                <w:color w:val="auto"/>
              </w:rPr>
            </w:pPr>
            <w:r>
              <w:rPr>
                <w:rFonts w:ascii="Arial" w:cs="Arial" w:eastAsia="Arial" w:hAnsi="Arial"/>
                <w:sz w:val="12"/>
                <w:szCs w:val="12"/>
                <w:color w:val="auto"/>
              </w:rPr>
              <w:t>($0.70)</w:t>
            </w:r>
          </w:p>
        </w:tc>
        <w:tc>
          <w:tcPr>
            <w:tcW w:w="920" w:type="dxa"/>
            <w:vAlign w:val="bottom"/>
          </w:tcPr>
          <w:p>
            <w:pPr>
              <w:jc w:val="right"/>
              <w:ind w:right="81"/>
              <w:spacing w:after="0"/>
              <w:rPr>
                <w:sz w:val="20"/>
                <w:szCs w:val="20"/>
                <w:color w:val="auto"/>
              </w:rPr>
            </w:pPr>
            <w:r>
              <w:rPr>
                <w:rFonts w:ascii="Arial" w:cs="Arial" w:eastAsia="Arial" w:hAnsi="Arial"/>
                <w:sz w:val="12"/>
                <w:szCs w:val="12"/>
                <w:color w:val="auto"/>
              </w:rPr>
              <w:t>($0.11)</w:t>
            </w:r>
          </w:p>
        </w:tc>
        <w:tc>
          <w:tcPr>
            <w:tcW w:w="820" w:type="dxa"/>
            <w:vAlign w:val="bottom"/>
          </w:tcPr>
          <w:p>
            <w:pPr>
              <w:jc w:val="right"/>
              <w:ind w:right="121"/>
              <w:spacing w:after="0"/>
              <w:rPr>
                <w:sz w:val="20"/>
                <w:szCs w:val="20"/>
                <w:color w:val="auto"/>
              </w:rPr>
            </w:pPr>
            <w:r>
              <w:rPr>
                <w:rFonts w:ascii="Arial" w:cs="Arial" w:eastAsia="Arial" w:hAnsi="Arial"/>
                <w:sz w:val="12"/>
                <w:szCs w:val="12"/>
                <w:color w:val="auto"/>
              </w:rPr>
              <w:t>$0.44</w:t>
            </w:r>
          </w:p>
        </w:tc>
        <w:tc>
          <w:tcPr>
            <w:tcW w:w="960" w:type="dxa"/>
            <w:vAlign w:val="bottom"/>
          </w:tcPr>
          <w:p>
            <w:pPr>
              <w:jc w:val="right"/>
              <w:ind w:right="121"/>
              <w:spacing w:after="0"/>
              <w:rPr>
                <w:sz w:val="20"/>
                <w:szCs w:val="20"/>
                <w:color w:val="auto"/>
              </w:rPr>
            </w:pPr>
            <w:r>
              <w:rPr>
                <w:rFonts w:ascii="Arial" w:cs="Arial" w:eastAsia="Arial" w:hAnsi="Arial"/>
                <w:sz w:val="12"/>
                <w:szCs w:val="12"/>
                <w:color w:val="auto"/>
              </w:rPr>
              <w:t>$0.20</w:t>
            </w:r>
          </w:p>
        </w:tc>
        <w:tc>
          <w:tcPr>
            <w:tcW w:w="860" w:type="dxa"/>
            <w:vAlign w:val="bottom"/>
          </w:tcPr>
          <w:p>
            <w:pPr>
              <w:jc w:val="right"/>
              <w:ind w:right="81"/>
              <w:spacing w:after="0"/>
              <w:rPr>
                <w:sz w:val="20"/>
                <w:szCs w:val="20"/>
                <w:color w:val="auto"/>
              </w:rPr>
            </w:pPr>
            <w:r>
              <w:rPr>
                <w:rFonts w:ascii="Arial" w:cs="Arial" w:eastAsia="Arial" w:hAnsi="Arial"/>
                <w:sz w:val="12"/>
                <w:szCs w:val="12"/>
                <w:color w:val="auto"/>
              </w:rPr>
              <w:t>($0.01)</w:t>
            </w:r>
          </w:p>
        </w:tc>
        <w:tc>
          <w:tcPr>
            <w:tcW w:w="860" w:type="dxa"/>
            <w:vAlign w:val="bottom"/>
          </w:tcPr>
          <w:p>
            <w:pPr>
              <w:jc w:val="right"/>
              <w:ind w:right="101"/>
              <w:spacing w:after="0"/>
              <w:rPr>
                <w:sz w:val="20"/>
                <w:szCs w:val="20"/>
                <w:color w:val="auto"/>
              </w:rPr>
            </w:pPr>
            <w:r>
              <w:rPr>
                <w:rFonts w:ascii="Arial" w:cs="Arial" w:eastAsia="Arial" w:hAnsi="Arial"/>
                <w:sz w:val="12"/>
                <w:szCs w:val="12"/>
                <w:color w:val="auto"/>
              </w:rPr>
              <w:t>$0.17</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$0.58</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three months ended September 30, 2022 include:</w:t>
      </w:r>
    </w:p>
    <w:p>
      <w:pPr>
        <w:spacing w:after="0" w:line="56" w:lineRule="exact"/>
        <w:rPr>
          <w:sz w:val="20"/>
          <w:szCs w:val="20"/>
          <w:color w:val="auto"/>
        </w:rPr>
      </w:pPr>
    </w:p>
    <w:p>
      <w:pPr>
        <w:ind w:left="340" w:hanging="322"/>
        <w:spacing w:after="0"/>
        <w:tabs>
          <w:tab w:leader="none" w:pos="340"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auto"/>
        </w:rPr>
        <w:t>Merger and integration expenses related to the acquisition of ALung Technologies, Inc.</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auto"/>
        </w:rPr>
        <w:t>Restructuring expenses related to organizational changes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auto"/>
        </w:rPr>
        <w:t>Includes depreciation and amortization associated with purchase price accounting</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auto"/>
        </w:rPr>
        <w:t>Goodwill impairment associated with the Company's ACS business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auto"/>
        </w:rPr>
        <w:t>Mark-to-market adjustments for the exchangeable option feature and capped call derivatives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auto"/>
        </w:rPr>
        <w:t>Remeasurement of contingent consideration related to acquisitions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auto"/>
        </w:rPr>
        <w:t>3T Heater-Cooler litigation provision, legal expenses primarily related to 3T Heater-Cooler defense, costs related to the SNIA matter and Medical Device Regulation ("MDR") costs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auto"/>
        </w:rPr>
        <w:t>Non-cash expenses associated with stock-based compensation costs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auto"/>
        </w:rPr>
        <w:t>Discrete tax items, R&amp;D tax credits and the tax impact of intercompany transactions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auto"/>
        </w:rPr>
        <w:t>Non-cash interest expense on the Cash Exchangeable Senior Notes and 2021 Revolving Credit Facility, interest expense on the 2022 Bridge Loan and Term Facilities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Numbers may not add precisely due to rounding.</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772"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4" w:lineRule="exact"/>
        <w:rPr>
          <w:sz w:val="20"/>
          <w:szCs w:val="20"/>
          <w:color w:val="auto"/>
        </w:rPr>
      </w:pPr>
    </w:p>
    <w:p>
      <w:pPr>
        <w:ind w:left="6080"/>
        <w:spacing w:after="0"/>
        <w:rPr>
          <w:sz w:val="20"/>
          <w:szCs w:val="20"/>
          <w:color w:val="auto"/>
        </w:rPr>
      </w:pPr>
      <w:r>
        <w:rPr>
          <w:rFonts w:ascii="Arial" w:cs="Arial" w:eastAsia="Arial" w:hAnsi="Arial"/>
          <w:sz w:val="13"/>
          <w:szCs w:val="13"/>
          <w:b w:val="1"/>
          <w:bCs w:val="1"/>
          <w:color w:val="auto"/>
        </w:rPr>
        <w:t>Specified Items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21"/>
              <w:spacing w:after="0" w:line="117" w:lineRule="exact"/>
              <w:rPr>
                <w:sz w:val="20"/>
                <w:szCs w:val="20"/>
                <w:color w:val="auto"/>
              </w:rPr>
            </w:pPr>
            <w:r>
              <w:rPr>
                <w:rFonts w:ascii="Arial" w:cs="Arial" w:eastAsia="Arial" w:hAnsi="Arial"/>
                <w:sz w:val="12"/>
                <w:szCs w:val="12"/>
                <w:b w:val="1"/>
                <w:bCs w:val="1"/>
                <w:color w:val="auto"/>
                <w:w w:val="98"/>
              </w:rPr>
              <w:t>Depreciation</w:t>
            </w:r>
          </w:p>
        </w:tc>
        <w:tc>
          <w:tcPr>
            <w:tcW w:w="6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92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GAAP</w:t>
            </w: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Restructuring</w:t>
            </w:r>
          </w:p>
        </w:tc>
        <w:tc>
          <w:tcPr>
            <w:tcW w:w="920" w:type="dxa"/>
            <w:vAlign w:val="bottom"/>
          </w:tcPr>
          <w:p>
            <w:pPr>
              <w:jc w:val="center"/>
              <w:ind w:right="41"/>
              <w:spacing w:after="0" w:line="126" w:lineRule="exact"/>
              <w:rPr>
                <w:sz w:val="20"/>
                <w:szCs w:val="20"/>
                <w:color w:val="auto"/>
              </w:rPr>
            </w:pPr>
            <w:r>
              <w:rPr>
                <w:rFonts w:ascii="Arial" w:cs="Arial" w:eastAsia="Arial" w:hAnsi="Arial"/>
                <w:sz w:val="12"/>
                <w:szCs w:val="12"/>
                <w:b w:val="1"/>
                <w:bCs w:val="1"/>
                <w:color w:val="auto"/>
              </w:rPr>
              <w:t>and</w:t>
            </w:r>
          </w:p>
        </w:tc>
        <w:tc>
          <w:tcPr>
            <w:tcW w:w="640" w:type="dxa"/>
            <w:vAlign w:val="bottom"/>
            <w:vMerge w:val="restart"/>
          </w:tcPr>
          <w:p>
            <w:pPr>
              <w:jc w:val="center"/>
              <w:ind w:right="41"/>
              <w:spacing w:after="0"/>
              <w:rPr>
                <w:sz w:val="20"/>
                <w:szCs w:val="20"/>
                <w:color w:val="auto"/>
              </w:rPr>
            </w:pPr>
            <w:r>
              <w:rPr>
                <w:rFonts w:ascii="Arial" w:cs="Arial" w:eastAsia="Arial" w:hAnsi="Arial"/>
                <w:sz w:val="12"/>
                <w:szCs w:val="12"/>
                <w:b w:val="1"/>
                <w:bCs w:val="1"/>
                <w:color w:val="auto"/>
                <w:w w:val="97"/>
              </w:rPr>
              <w:t>Heart</w:t>
            </w:r>
          </w:p>
        </w:tc>
        <w:tc>
          <w:tcPr>
            <w:tcW w:w="880" w:type="dxa"/>
            <w:vAlign w:val="bottom"/>
            <w:vMerge w:val="restart"/>
          </w:tcPr>
          <w:p>
            <w:pPr>
              <w:jc w:val="center"/>
              <w:ind w:right="21"/>
              <w:spacing w:after="0"/>
              <w:rPr>
                <w:sz w:val="20"/>
                <w:szCs w:val="20"/>
                <w:color w:val="auto"/>
              </w:rPr>
            </w:pPr>
            <w:r>
              <w:rPr>
                <w:rFonts w:ascii="Arial" w:cs="Arial" w:eastAsia="Arial" w:hAnsi="Arial"/>
                <w:sz w:val="12"/>
                <w:szCs w:val="12"/>
                <w:b w:val="1"/>
                <w:bCs w:val="1"/>
                <w:color w:val="auto"/>
                <w:w w:val="98"/>
              </w:rPr>
              <w:t>Financing</w:t>
            </w: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Contingent</w:t>
            </w:r>
          </w:p>
        </w:tc>
        <w:tc>
          <w:tcPr>
            <w:tcW w:w="8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7"/>
              </w:rPr>
              <w:t>Certain Legal</w:t>
            </w:r>
          </w:p>
        </w:tc>
        <w:tc>
          <w:tcPr>
            <w:tcW w:w="9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Stock-based</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Certain Tax</w:t>
            </w:r>
          </w:p>
        </w:tc>
        <w:tc>
          <w:tcPr>
            <w:tcW w:w="8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Certain</w:t>
            </w:r>
          </w:p>
        </w:tc>
        <w:tc>
          <w:tcPr>
            <w:tcW w:w="7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4"/>
        </w:trPr>
        <w:tc>
          <w:tcPr>
            <w:tcW w:w="19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tcPr>
          <w:p>
            <w:pPr>
              <w:jc w:val="center"/>
              <w:ind w:right="21"/>
              <w:spacing w:after="0" w:line="114" w:lineRule="exact"/>
              <w:rPr>
                <w:sz w:val="20"/>
                <w:szCs w:val="20"/>
                <w:color w:val="auto"/>
              </w:rPr>
            </w:pPr>
            <w:r>
              <w:rPr>
                <w:rFonts w:ascii="Arial" w:cs="Arial" w:eastAsia="Arial" w:hAnsi="Arial"/>
                <w:sz w:val="12"/>
                <w:szCs w:val="12"/>
                <w:b w:val="1"/>
                <w:bCs w:val="1"/>
                <w:color w:val="auto"/>
                <w:w w:val="98"/>
              </w:rPr>
              <w:t>Amortization</w:t>
            </w:r>
          </w:p>
        </w:tc>
        <w:tc>
          <w:tcPr>
            <w:tcW w:w="6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4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9"/>
              </w:rPr>
              <w:t>&amp; Regulatory</w:t>
            </w:r>
          </w:p>
        </w:tc>
        <w:tc>
          <w:tcPr>
            <w:tcW w:w="9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5"/>
              </w:rPr>
              <w:t>Compensation</w:t>
            </w:r>
          </w:p>
        </w:tc>
        <w:tc>
          <w:tcPr>
            <w:tcW w:w="880" w:type="dxa"/>
            <w:vAlign w:val="bottom"/>
            <w:vMerge w:val="continue"/>
          </w:tcPr>
          <w:p>
            <w:pPr>
              <w:spacing w:after="0"/>
              <w:rPr>
                <w:sz w:val="9"/>
                <w:szCs w:val="9"/>
                <w:color w:val="auto"/>
              </w:rPr>
            </w:pPr>
          </w:p>
        </w:tc>
        <w:tc>
          <w:tcPr>
            <w:tcW w:w="84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6"/>
              </w:rPr>
              <w:t>Interest</w:t>
            </w: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Three Months Ended</w:t>
            </w:r>
          </w:p>
        </w:tc>
        <w:tc>
          <w:tcPr>
            <w:tcW w:w="7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9"/>
              </w:rPr>
              <w:t>Financial</w:t>
            </w:r>
          </w:p>
        </w:tc>
        <w:tc>
          <w:tcPr>
            <w:tcW w:w="9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6"/>
              </w:rPr>
              <w:t>Expenses</w:t>
            </w:r>
          </w:p>
        </w:tc>
        <w:tc>
          <w:tcPr>
            <w:tcW w:w="920" w:type="dxa"/>
            <w:vAlign w:val="bottom"/>
          </w:tcPr>
          <w:p>
            <w:pPr>
              <w:jc w:val="center"/>
              <w:ind w:right="61"/>
              <w:spacing w:after="0" w:line="126" w:lineRule="exact"/>
              <w:rPr>
                <w:sz w:val="20"/>
                <w:szCs w:val="20"/>
                <w:color w:val="auto"/>
              </w:rPr>
            </w:pPr>
            <w:r>
              <w:rPr>
                <w:rFonts w:ascii="Arial" w:cs="Arial" w:eastAsia="Arial" w:hAnsi="Arial"/>
                <w:sz w:val="12"/>
                <w:szCs w:val="12"/>
                <w:b w:val="1"/>
                <w:bCs w:val="1"/>
                <w:color w:val="auto"/>
                <w:w w:val="99"/>
              </w:rPr>
              <w:t>Expenses</w:t>
            </w:r>
          </w:p>
        </w:tc>
        <w:tc>
          <w:tcPr>
            <w:tcW w:w="640" w:type="dxa"/>
            <w:vAlign w:val="bottom"/>
          </w:tcPr>
          <w:p>
            <w:pPr>
              <w:jc w:val="center"/>
              <w:ind w:right="41"/>
              <w:spacing w:after="0" w:line="126" w:lineRule="exact"/>
              <w:rPr>
                <w:sz w:val="20"/>
                <w:szCs w:val="20"/>
                <w:color w:val="auto"/>
              </w:rPr>
            </w:pPr>
            <w:r>
              <w:rPr>
                <w:rFonts w:ascii="Arial" w:cs="Arial" w:eastAsia="Arial" w:hAnsi="Arial"/>
                <w:sz w:val="12"/>
                <w:szCs w:val="12"/>
                <w:b w:val="1"/>
                <w:bCs w:val="1"/>
                <w:color w:val="auto"/>
                <w:w w:val="99"/>
              </w:rPr>
              <w:t>Valves</w:t>
            </w:r>
          </w:p>
        </w:tc>
        <w:tc>
          <w:tcPr>
            <w:tcW w:w="88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9"/>
              </w:rPr>
              <w:t>Transactions</w:t>
            </w:r>
          </w:p>
        </w:tc>
        <w:tc>
          <w:tcPr>
            <w:tcW w:w="9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6"/>
              </w:rPr>
              <w:t>Consideration</w:t>
            </w:r>
          </w:p>
        </w:tc>
        <w:tc>
          <w:tcPr>
            <w:tcW w:w="8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Costs</w:t>
            </w:r>
          </w:p>
        </w:tc>
        <w:tc>
          <w:tcPr>
            <w:tcW w:w="960" w:type="dxa"/>
            <w:vAlign w:val="bottom"/>
          </w:tcPr>
          <w:p>
            <w:pPr>
              <w:jc w:val="center"/>
              <w:ind w:right="21"/>
              <w:spacing w:after="0" w:line="126" w:lineRule="exact"/>
              <w:rPr>
                <w:sz w:val="20"/>
                <w:szCs w:val="20"/>
                <w:color w:val="auto"/>
              </w:rPr>
            </w:pPr>
            <w:r>
              <w:rPr>
                <w:rFonts w:ascii="Arial" w:cs="Arial" w:eastAsia="Arial" w:hAnsi="Arial"/>
                <w:sz w:val="12"/>
                <w:szCs w:val="12"/>
                <w:b w:val="1"/>
                <w:bCs w:val="1"/>
                <w:color w:val="auto"/>
                <w:w w:val="95"/>
              </w:rPr>
              <w:t>Costs</w:t>
            </w:r>
          </w:p>
        </w:tc>
        <w:tc>
          <w:tcPr>
            <w:tcW w:w="880" w:type="dxa"/>
            <w:vAlign w:val="bottom"/>
          </w:tcPr>
          <w:p>
            <w:pPr>
              <w:jc w:val="center"/>
              <w:ind w:right="21"/>
              <w:spacing w:after="0" w:line="126" w:lineRule="exact"/>
              <w:rPr>
                <w:sz w:val="20"/>
                <w:szCs w:val="20"/>
                <w:color w:val="auto"/>
              </w:rPr>
            </w:pPr>
            <w:r>
              <w:rPr>
                <w:rFonts w:ascii="Arial" w:cs="Arial" w:eastAsia="Arial" w:hAnsi="Arial"/>
                <w:sz w:val="12"/>
                <w:szCs w:val="12"/>
                <w:b w:val="1"/>
                <w:bCs w:val="1"/>
                <w:color w:val="auto"/>
                <w:w w:val="99"/>
              </w:rPr>
              <w:t>Adjustments</w:t>
            </w:r>
          </w:p>
        </w:tc>
        <w:tc>
          <w:tcPr>
            <w:tcW w:w="84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6"/>
              </w:rPr>
              <w:t>Adjustments</w:t>
            </w:r>
          </w:p>
        </w:tc>
        <w:tc>
          <w:tcPr>
            <w:tcW w:w="780" w:type="dxa"/>
            <w:vAlign w:val="bottom"/>
          </w:tcPr>
          <w:p>
            <w:pPr>
              <w:ind w:left="140"/>
              <w:spacing w:after="0" w:line="126"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59"/>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September 30, 2021</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20" w:type="dxa"/>
            <w:vAlign w:val="bottom"/>
            <w:tcBorders>
              <w:bottom w:val="single" w:sz="8" w:color="auto"/>
            </w:tcBorders>
          </w:tcPr>
          <w:p>
            <w:pPr>
              <w:jc w:val="center"/>
              <w:ind w:right="21"/>
              <w:spacing w:after="0"/>
              <w:rPr>
                <w:sz w:val="20"/>
                <w:szCs w:val="20"/>
                <w:color w:val="auto"/>
              </w:rPr>
            </w:pPr>
            <w:r>
              <w:rPr>
                <w:rFonts w:ascii="Arial" w:cs="Arial" w:eastAsia="Arial" w:hAnsi="Arial"/>
                <w:sz w:val="12"/>
                <w:szCs w:val="12"/>
                <w:b w:val="1"/>
                <w:bCs w:val="1"/>
                <w:color w:val="auto"/>
                <w:w w:val="95"/>
              </w:rPr>
              <w:t>(B)</w:t>
            </w:r>
          </w:p>
        </w:tc>
        <w:tc>
          <w:tcPr>
            <w:tcW w:w="640" w:type="dxa"/>
            <w:vAlign w:val="bottom"/>
            <w:tcBorders>
              <w:bottom w:val="single" w:sz="8" w:color="auto"/>
            </w:tcBorders>
          </w:tcPr>
          <w:p>
            <w:pPr>
              <w:jc w:val="center"/>
              <w:ind w:right="41"/>
              <w:spacing w:after="0"/>
              <w:rPr>
                <w:sz w:val="20"/>
                <w:szCs w:val="20"/>
                <w:color w:val="auto"/>
              </w:rPr>
            </w:pPr>
            <w:r>
              <w:rPr>
                <w:rFonts w:ascii="Arial" w:cs="Arial" w:eastAsia="Arial" w:hAnsi="Arial"/>
                <w:sz w:val="12"/>
                <w:szCs w:val="12"/>
                <w:b w:val="1"/>
                <w:bCs w:val="1"/>
                <w:color w:val="auto"/>
              </w:rPr>
              <w:t>(C)</w:t>
            </w: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2"/>
                <w:szCs w:val="12"/>
                <w:b w:val="1"/>
                <w:bCs w:val="1"/>
                <w:color w:val="auto"/>
                <w:w w:val="95"/>
              </w:rPr>
              <w:t>(D)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(F)</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(G)</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(I)</w:t>
            </w: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740" w:type="dxa"/>
            <w:vAlign w:val="bottom"/>
          </w:tcPr>
          <w:p>
            <w:pPr>
              <w:jc w:val="right"/>
              <w:ind w:right="101"/>
              <w:spacing w:after="0"/>
              <w:rPr>
                <w:sz w:val="20"/>
                <w:szCs w:val="20"/>
                <w:color w:val="auto"/>
              </w:rPr>
            </w:pPr>
            <w:r>
              <w:rPr>
                <w:rFonts w:ascii="Arial" w:cs="Arial" w:eastAsia="Arial" w:hAnsi="Arial"/>
                <w:sz w:val="12"/>
                <w:szCs w:val="12"/>
                <w:color w:val="auto"/>
              </w:rPr>
              <w:t>$84.6</w:t>
            </w:r>
          </w:p>
        </w:tc>
        <w:tc>
          <w:tcPr>
            <w:tcW w:w="9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($4.0)</w:t>
            </w:r>
          </w:p>
        </w:tc>
        <w:tc>
          <w:tcPr>
            <w:tcW w:w="6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($4.7)</w:t>
            </w:r>
          </w:p>
        </w:tc>
        <w:tc>
          <w:tcPr>
            <w:tcW w:w="8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($0.2)</w:t>
            </w:r>
          </w:p>
        </w:tc>
        <w:tc>
          <w:tcPr>
            <w:tcW w:w="8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01"/>
              <w:spacing w:after="0"/>
              <w:rPr>
                <w:sz w:val="20"/>
                <w:szCs w:val="20"/>
                <w:color w:val="auto"/>
              </w:rPr>
            </w:pPr>
            <w:r>
              <w:rPr>
                <w:rFonts w:ascii="Arial" w:cs="Arial" w:eastAsia="Arial" w:hAnsi="Arial"/>
                <w:sz w:val="12"/>
                <w:szCs w:val="12"/>
                <w:color w:val="auto"/>
              </w:rPr>
              <w:t>$75.7</w:t>
            </w:r>
          </w:p>
        </w:tc>
        <w:tc>
          <w:tcPr>
            <w:tcW w:w="0" w:type="dxa"/>
            <w:vAlign w:val="bottom"/>
          </w:tcPr>
          <w:p>
            <w:pPr>
              <w:spacing w:after="0"/>
              <w:rPr>
                <w:sz w:val="1"/>
                <w:szCs w:val="1"/>
                <w:color w:val="auto"/>
              </w:rPr>
            </w:pPr>
          </w:p>
        </w:tc>
      </w:tr>
      <w:tr>
        <w:trPr>
          <w:trHeight w:val="190"/>
        </w:trPr>
        <w:tc>
          <w:tcPr>
            <w:tcW w:w="1920" w:type="dxa"/>
            <w:vAlign w:val="bottom"/>
          </w:tcPr>
          <w:p>
            <w:pPr>
              <w:ind w:left="20"/>
              <w:spacing w:after="0"/>
              <w:rPr>
                <w:sz w:val="20"/>
                <w:szCs w:val="20"/>
                <w:color w:val="auto"/>
              </w:rPr>
            </w:pPr>
            <w:r>
              <w:rPr>
                <w:rFonts w:ascii="Arial" w:cs="Arial" w:eastAsia="Arial" w:hAnsi="Arial"/>
                <w:sz w:val="13"/>
                <w:szCs w:val="13"/>
                <w:color w:val="auto"/>
              </w:rPr>
              <w:t>Gross profit percent</w:t>
            </w:r>
          </w:p>
        </w:tc>
        <w:tc>
          <w:tcPr>
            <w:tcW w:w="740" w:type="dxa"/>
            <w:vAlign w:val="bottom"/>
          </w:tcPr>
          <w:p>
            <w:pPr>
              <w:jc w:val="right"/>
              <w:spacing w:after="0"/>
              <w:rPr>
                <w:sz w:val="20"/>
                <w:szCs w:val="20"/>
                <w:color w:val="auto"/>
              </w:rPr>
            </w:pPr>
            <w:r>
              <w:rPr>
                <w:rFonts w:ascii="Arial" w:cs="Arial" w:eastAsia="Arial" w:hAnsi="Arial"/>
                <w:sz w:val="12"/>
                <w:szCs w:val="12"/>
                <w:color w:val="auto"/>
              </w:rPr>
              <w:t>66.6 %</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1.6 %</w:t>
            </w:r>
          </w:p>
        </w:tc>
        <w:tc>
          <w:tcPr>
            <w:tcW w:w="64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ind w:left="560"/>
              <w:spacing w:after="0"/>
              <w:rPr>
                <w:sz w:val="20"/>
                <w:szCs w:val="20"/>
                <w:color w:val="auto"/>
              </w:rPr>
            </w:pPr>
            <w:r>
              <w:rPr>
                <w:rFonts w:ascii="Arial" w:cs="Arial" w:eastAsia="Arial" w:hAnsi="Arial"/>
                <w:sz w:val="12"/>
                <w:szCs w:val="12"/>
                <w:color w:val="auto"/>
              </w:rPr>
              <w:t>— %</w:t>
            </w:r>
          </w:p>
        </w:tc>
        <w:tc>
          <w:tcPr>
            <w:tcW w:w="900" w:type="dxa"/>
            <w:vAlign w:val="bottom"/>
          </w:tcPr>
          <w:p>
            <w:pPr>
              <w:jc w:val="right"/>
              <w:spacing w:after="0"/>
              <w:rPr>
                <w:sz w:val="20"/>
                <w:szCs w:val="20"/>
                <w:color w:val="auto"/>
              </w:rPr>
            </w:pPr>
            <w:r>
              <w:rPr>
                <w:rFonts w:ascii="Arial" w:cs="Arial" w:eastAsia="Arial" w:hAnsi="Arial"/>
                <w:sz w:val="12"/>
                <w:szCs w:val="12"/>
                <w:color w:val="auto"/>
              </w:rPr>
              <w:t>1.8 %</w:t>
            </w:r>
          </w:p>
        </w:tc>
        <w:tc>
          <w:tcPr>
            <w:tcW w:w="840" w:type="dxa"/>
            <w:vAlign w:val="bottom"/>
          </w:tcPr>
          <w:p>
            <w:pPr>
              <w:jc w:val="right"/>
              <w:spacing w:after="0"/>
              <w:rPr>
                <w:sz w:val="20"/>
                <w:szCs w:val="20"/>
                <w:color w:val="auto"/>
              </w:rPr>
            </w:pPr>
            <w:r>
              <w:rPr>
                <w:rFonts w:ascii="Arial" w:cs="Arial" w:eastAsia="Arial" w:hAnsi="Arial"/>
                <w:sz w:val="12"/>
                <w:szCs w:val="12"/>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0.1 %</w:t>
            </w:r>
          </w:p>
        </w:tc>
        <w:tc>
          <w:tcPr>
            <w:tcW w:w="88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ind w:left="560"/>
              <w:spacing w:after="0"/>
              <w:rPr>
                <w:sz w:val="20"/>
                <w:szCs w:val="20"/>
                <w:color w:val="auto"/>
              </w:rPr>
            </w:pPr>
            <w:r>
              <w:rPr>
                <w:rFonts w:ascii="Arial" w:cs="Arial" w:eastAsia="Arial" w:hAnsi="Arial"/>
                <w:sz w:val="12"/>
                <w:szCs w:val="12"/>
                <w:color w:val="auto"/>
                <w:w w:val="99"/>
              </w:rPr>
              <w:t>— %</w:t>
            </w:r>
          </w:p>
        </w:tc>
        <w:tc>
          <w:tcPr>
            <w:tcW w:w="780" w:type="dxa"/>
            <w:vAlign w:val="bottom"/>
          </w:tcPr>
          <w:p>
            <w:pPr>
              <w:jc w:val="right"/>
              <w:spacing w:after="0"/>
              <w:rPr>
                <w:sz w:val="20"/>
                <w:szCs w:val="20"/>
                <w:color w:val="auto"/>
              </w:rPr>
            </w:pPr>
            <w:r>
              <w:rPr>
                <w:rFonts w:ascii="Arial" w:cs="Arial" w:eastAsia="Arial" w:hAnsi="Arial"/>
                <w:sz w:val="12"/>
                <w:szCs w:val="12"/>
                <w:color w:val="auto"/>
              </w:rPr>
              <w:t>70.1 %</w:t>
            </w:r>
          </w:p>
        </w:tc>
        <w:tc>
          <w:tcPr>
            <w:tcW w:w="0" w:type="dxa"/>
            <w:vAlign w:val="bottom"/>
          </w:tcPr>
          <w:p>
            <w:pPr>
              <w:spacing w:after="0"/>
              <w:rPr>
                <w:sz w:val="1"/>
                <w:szCs w:val="1"/>
                <w:color w:val="auto"/>
              </w:rPr>
            </w:pPr>
          </w:p>
        </w:tc>
      </w:tr>
      <w:tr>
        <w:trPr>
          <w:trHeight w:val="167"/>
        </w:trPr>
        <w:tc>
          <w:tcPr>
            <w:tcW w:w="1920" w:type="dxa"/>
            <w:vAlign w:val="bottom"/>
          </w:tcPr>
          <w:p>
            <w:pPr>
              <w:ind w:left="20"/>
              <w:spacing w:after="0"/>
              <w:rPr>
                <w:sz w:val="20"/>
                <w:szCs w:val="20"/>
                <w:color w:val="auto"/>
              </w:rPr>
            </w:pPr>
            <w:r>
              <w:rPr>
                <w:rFonts w:ascii="Arial" w:cs="Arial" w:eastAsia="Arial" w:hAnsi="Arial"/>
                <w:sz w:val="13"/>
                <w:szCs w:val="13"/>
                <w:color w:val="auto"/>
              </w:rPr>
              <w:t>Selling, general and</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rPr>
                <w:sz w:val="20"/>
                <w:szCs w:val="20"/>
                <w:color w:val="auto"/>
              </w:rPr>
            </w:pPr>
            <w:r>
              <w:rPr>
                <w:rFonts w:ascii="Arial" w:cs="Arial" w:eastAsia="Arial" w:hAnsi="Arial"/>
                <w:sz w:val="13"/>
                <w:szCs w:val="13"/>
                <w:color w:val="auto"/>
              </w:rPr>
              <w:t>administrative</w:t>
            </w:r>
          </w:p>
        </w:tc>
        <w:tc>
          <w:tcPr>
            <w:tcW w:w="740" w:type="dxa"/>
            <w:vAlign w:val="bottom"/>
          </w:tcPr>
          <w:p>
            <w:pPr>
              <w:jc w:val="right"/>
              <w:ind w:right="101"/>
              <w:spacing w:after="0"/>
              <w:rPr>
                <w:sz w:val="20"/>
                <w:szCs w:val="20"/>
                <w:color w:val="auto"/>
              </w:rPr>
            </w:pPr>
            <w:r>
              <w:rPr>
                <w:rFonts w:ascii="Arial" w:cs="Arial" w:eastAsia="Arial" w:hAnsi="Arial"/>
                <w:sz w:val="12"/>
                <w:szCs w:val="12"/>
                <w:color w:val="auto"/>
              </w:rPr>
              <w:t>109.0</w:t>
            </w:r>
          </w:p>
        </w:tc>
        <w:tc>
          <w:tcPr>
            <w:tcW w:w="9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(3.0)</w:t>
            </w:r>
          </w:p>
        </w:tc>
        <w:tc>
          <w:tcPr>
            <w:tcW w:w="6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80" w:type="dxa"/>
            <w:vAlign w:val="bottom"/>
          </w:tcPr>
          <w:p>
            <w:pPr>
              <w:ind w:left="56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81"/>
              <w:spacing w:after="0"/>
              <w:rPr>
                <w:sz w:val="20"/>
                <w:szCs w:val="20"/>
                <w:color w:val="auto"/>
              </w:rPr>
            </w:pPr>
            <w:r>
              <w:rPr>
                <w:rFonts w:ascii="Arial" w:cs="Arial" w:eastAsia="Arial" w:hAnsi="Arial"/>
                <w:sz w:val="12"/>
                <w:szCs w:val="12"/>
                <w:color w:val="auto"/>
              </w:rPr>
              <w:t>(4.4)</w:t>
            </w: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(8.9)</w:t>
            </w:r>
          </w:p>
        </w:tc>
        <w:tc>
          <w:tcPr>
            <w:tcW w:w="8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40" w:type="dxa"/>
            <w:vAlign w:val="bottom"/>
          </w:tcPr>
          <w:p>
            <w:pPr>
              <w:ind w:left="5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01"/>
              <w:spacing w:after="0"/>
              <w:rPr>
                <w:sz w:val="20"/>
                <w:szCs w:val="20"/>
                <w:color w:val="auto"/>
              </w:rPr>
            </w:pPr>
            <w:r>
              <w:rPr>
                <w:rFonts w:ascii="Arial" w:cs="Arial" w:eastAsia="Arial" w:hAnsi="Arial"/>
                <w:sz w:val="12"/>
                <w:szCs w:val="12"/>
                <w:color w:val="auto"/>
              </w:rPr>
              <w:t>92.6</w:t>
            </w:r>
          </w:p>
        </w:tc>
        <w:tc>
          <w:tcPr>
            <w:tcW w:w="0" w:type="dxa"/>
            <w:vAlign w:val="bottom"/>
          </w:tcPr>
          <w:p>
            <w:pPr>
              <w:spacing w:after="0"/>
              <w:rPr>
                <w:sz w:val="1"/>
                <w:szCs w:val="1"/>
                <w:color w:val="auto"/>
              </w:rPr>
            </w:pPr>
          </w:p>
        </w:tc>
      </w:tr>
      <w:tr>
        <w:trPr>
          <w:trHeight w:val="154"/>
        </w:trPr>
        <w:tc>
          <w:tcPr>
            <w:tcW w:w="1920" w:type="dxa"/>
            <w:vAlign w:val="bottom"/>
          </w:tcPr>
          <w:p>
            <w:pPr>
              <w:ind w:left="20"/>
              <w:spacing w:after="0"/>
              <w:rPr>
                <w:sz w:val="20"/>
                <w:szCs w:val="20"/>
                <w:color w:val="auto"/>
              </w:rPr>
            </w:pPr>
            <w:r>
              <w:rPr>
                <w:rFonts w:ascii="Arial" w:cs="Arial" w:eastAsia="Arial" w:hAnsi="Arial"/>
                <w:sz w:val="13"/>
                <w:szCs w:val="13"/>
                <w:color w:val="auto"/>
              </w:rPr>
              <w:t>Selling, general and</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920" w:type="dxa"/>
            <w:vAlign w:val="bottom"/>
          </w:tcPr>
          <w:p>
            <w:pPr>
              <w:ind w:left="20"/>
              <w:spacing w:after="0" w:line="126" w:lineRule="exact"/>
              <w:rPr>
                <w:sz w:val="20"/>
                <w:szCs w:val="20"/>
                <w:color w:val="auto"/>
              </w:rPr>
            </w:pPr>
            <w:r>
              <w:rPr>
                <w:rFonts w:ascii="Arial" w:cs="Arial" w:eastAsia="Arial" w:hAnsi="Arial"/>
                <w:sz w:val="13"/>
                <w:szCs w:val="13"/>
                <w:color w:val="auto"/>
              </w:rPr>
              <w:t>administrative as a percent of</w:t>
            </w: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rPr>
                <w:sz w:val="20"/>
                <w:szCs w:val="20"/>
                <w:color w:val="auto"/>
              </w:rPr>
            </w:pPr>
            <w:r>
              <w:rPr>
                <w:rFonts w:ascii="Arial" w:cs="Arial" w:eastAsia="Arial" w:hAnsi="Arial"/>
                <w:sz w:val="13"/>
                <w:szCs w:val="13"/>
                <w:color w:val="auto"/>
              </w:rPr>
              <w:t>net revenue</w:t>
            </w:r>
          </w:p>
        </w:tc>
        <w:tc>
          <w:tcPr>
            <w:tcW w:w="740" w:type="dxa"/>
            <w:vAlign w:val="bottom"/>
          </w:tcPr>
          <w:p>
            <w:pPr>
              <w:jc w:val="right"/>
              <w:spacing w:after="0"/>
              <w:rPr>
                <w:sz w:val="20"/>
                <w:szCs w:val="20"/>
                <w:color w:val="auto"/>
              </w:rPr>
            </w:pPr>
            <w:r>
              <w:rPr>
                <w:rFonts w:ascii="Arial" w:cs="Arial" w:eastAsia="Arial" w:hAnsi="Arial"/>
                <w:sz w:val="12"/>
                <w:szCs w:val="12"/>
                <w:color w:val="auto"/>
              </w:rPr>
              <w:t>43.1 %</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(1.2)%</w:t>
            </w:r>
          </w:p>
        </w:tc>
        <w:tc>
          <w:tcPr>
            <w:tcW w:w="64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ind w:left="560"/>
              <w:spacing w:after="0"/>
              <w:rPr>
                <w:sz w:val="20"/>
                <w:szCs w:val="20"/>
                <w:color w:val="auto"/>
              </w:rPr>
            </w:pPr>
            <w:r>
              <w:rPr>
                <w:rFonts w:ascii="Arial" w:cs="Arial" w:eastAsia="Arial" w:hAnsi="Arial"/>
                <w:sz w:val="12"/>
                <w:szCs w:val="12"/>
                <w:color w:val="auto"/>
              </w:rPr>
              <w:t>— %</w:t>
            </w:r>
          </w:p>
        </w:tc>
        <w:tc>
          <w:tcPr>
            <w:tcW w:w="90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jc w:val="right"/>
              <w:spacing w:after="0"/>
              <w:rPr>
                <w:sz w:val="20"/>
                <w:szCs w:val="20"/>
                <w:color w:val="auto"/>
              </w:rPr>
            </w:pPr>
            <w:r>
              <w:rPr>
                <w:rFonts w:ascii="Arial" w:cs="Arial" w:eastAsia="Arial" w:hAnsi="Arial"/>
                <w:sz w:val="12"/>
                <w:szCs w:val="12"/>
                <w:color w:val="auto"/>
              </w:rPr>
              <w:t>(1.8)%</w:t>
            </w:r>
          </w:p>
        </w:tc>
        <w:tc>
          <w:tcPr>
            <w:tcW w:w="960" w:type="dxa"/>
            <w:vAlign w:val="bottom"/>
          </w:tcPr>
          <w:p>
            <w:pPr>
              <w:jc w:val="right"/>
              <w:spacing w:after="0"/>
              <w:rPr>
                <w:sz w:val="20"/>
                <w:szCs w:val="20"/>
                <w:color w:val="auto"/>
              </w:rPr>
            </w:pPr>
            <w:r>
              <w:rPr>
                <w:rFonts w:ascii="Arial" w:cs="Arial" w:eastAsia="Arial" w:hAnsi="Arial"/>
                <w:sz w:val="12"/>
                <w:szCs w:val="12"/>
                <w:color w:val="auto"/>
              </w:rPr>
              <w:t>(3.5)%</w:t>
            </w:r>
          </w:p>
        </w:tc>
        <w:tc>
          <w:tcPr>
            <w:tcW w:w="88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ind w:left="560"/>
              <w:spacing w:after="0"/>
              <w:rPr>
                <w:sz w:val="20"/>
                <w:szCs w:val="20"/>
                <w:color w:val="auto"/>
              </w:rPr>
            </w:pPr>
            <w:r>
              <w:rPr>
                <w:rFonts w:ascii="Arial" w:cs="Arial" w:eastAsia="Arial" w:hAnsi="Arial"/>
                <w:sz w:val="12"/>
                <w:szCs w:val="12"/>
                <w:color w:val="auto"/>
                <w:w w:val="99"/>
              </w:rPr>
              <w:t>— %</w:t>
            </w:r>
          </w:p>
        </w:tc>
        <w:tc>
          <w:tcPr>
            <w:tcW w:w="780" w:type="dxa"/>
            <w:vAlign w:val="bottom"/>
          </w:tcPr>
          <w:p>
            <w:pPr>
              <w:jc w:val="right"/>
              <w:spacing w:after="0"/>
              <w:rPr>
                <w:sz w:val="20"/>
                <w:szCs w:val="20"/>
                <w:color w:val="auto"/>
              </w:rPr>
            </w:pPr>
            <w:r>
              <w:rPr>
                <w:rFonts w:ascii="Arial" w:cs="Arial" w:eastAsia="Arial" w:hAnsi="Arial"/>
                <w:sz w:val="12"/>
                <w:szCs w:val="12"/>
                <w:color w:val="auto"/>
              </w:rPr>
              <w:t>36.6 %</w:t>
            </w:r>
          </w:p>
        </w:tc>
        <w:tc>
          <w:tcPr>
            <w:tcW w:w="0" w:type="dxa"/>
            <w:vAlign w:val="bottom"/>
          </w:tcPr>
          <w:p>
            <w:pPr>
              <w:spacing w:after="0"/>
              <w:rPr>
                <w:sz w:val="1"/>
                <w:szCs w:val="1"/>
                <w:color w:val="auto"/>
              </w:rPr>
            </w:pPr>
          </w:p>
        </w:tc>
      </w:tr>
      <w:tr>
        <w:trPr>
          <w:trHeight w:val="190"/>
        </w:trPr>
        <w:tc>
          <w:tcPr>
            <w:tcW w:w="192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740" w:type="dxa"/>
            <w:vAlign w:val="bottom"/>
          </w:tcPr>
          <w:p>
            <w:pPr>
              <w:jc w:val="right"/>
              <w:ind w:right="101"/>
              <w:spacing w:after="0"/>
              <w:rPr>
                <w:sz w:val="20"/>
                <w:szCs w:val="20"/>
                <w:color w:val="auto"/>
              </w:rPr>
            </w:pPr>
            <w:r>
              <w:rPr>
                <w:rFonts w:ascii="Arial" w:cs="Arial" w:eastAsia="Arial" w:hAnsi="Arial"/>
                <w:sz w:val="12"/>
                <w:szCs w:val="12"/>
                <w:color w:val="auto"/>
              </w:rPr>
              <w:t>42.1</w:t>
            </w:r>
          </w:p>
        </w:tc>
        <w:tc>
          <w:tcPr>
            <w:tcW w:w="9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80" w:type="dxa"/>
            <w:vAlign w:val="bottom"/>
          </w:tcPr>
          <w:p>
            <w:pPr>
              <w:ind w:left="56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(2.3)</w:t>
            </w:r>
          </w:p>
        </w:tc>
        <w:tc>
          <w:tcPr>
            <w:tcW w:w="840" w:type="dxa"/>
            <w:vAlign w:val="bottom"/>
          </w:tcPr>
          <w:p>
            <w:pPr>
              <w:jc w:val="right"/>
              <w:ind w:right="81"/>
              <w:spacing w:after="0"/>
              <w:rPr>
                <w:sz w:val="20"/>
                <w:szCs w:val="20"/>
                <w:color w:val="auto"/>
              </w:rPr>
            </w:pPr>
            <w:r>
              <w:rPr>
                <w:rFonts w:ascii="Arial" w:cs="Arial" w:eastAsia="Arial" w:hAnsi="Arial"/>
                <w:sz w:val="12"/>
                <w:szCs w:val="12"/>
                <w:color w:val="auto"/>
              </w:rPr>
              <w:t>(0.5)</w:t>
            </w: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(2.0)</w:t>
            </w:r>
          </w:p>
        </w:tc>
        <w:tc>
          <w:tcPr>
            <w:tcW w:w="8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40" w:type="dxa"/>
            <w:vAlign w:val="bottom"/>
          </w:tcPr>
          <w:p>
            <w:pPr>
              <w:ind w:left="5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01"/>
              <w:spacing w:after="0"/>
              <w:rPr>
                <w:sz w:val="20"/>
                <w:szCs w:val="20"/>
                <w:color w:val="auto"/>
              </w:rPr>
            </w:pPr>
            <w:r>
              <w:rPr>
                <w:rFonts w:ascii="Arial" w:cs="Arial" w:eastAsia="Arial" w:hAnsi="Arial"/>
                <w:sz w:val="12"/>
                <w:szCs w:val="12"/>
                <w:color w:val="auto"/>
              </w:rPr>
              <w:t>37.4</w:t>
            </w:r>
          </w:p>
        </w:tc>
        <w:tc>
          <w:tcPr>
            <w:tcW w:w="0" w:type="dxa"/>
            <w:vAlign w:val="bottom"/>
          </w:tcPr>
          <w:p>
            <w:pPr>
              <w:spacing w:after="0"/>
              <w:rPr>
                <w:sz w:val="1"/>
                <w:szCs w:val="1"/>
                <w:color w:val="auto"/>
              </w:rPr>
            </w:pPr>
          </w:p>
        </w:tc>
      </w:tr>
      <w:tr>
        <w:trPr>
          <w:trHeight w:val="167"/>
        </w:trPr>
        <w:tc>
          <w:tcPr>
            <w:tcW w:w="1920" w:type="dxa"/>
            <w:vAlign w:val="bottom"/>
          </w:tcPr>
          <w:p>
            <w:pPr>
              <w:ind w:left="20"/>
              <w:spacing w:after="0"/>
              <w:rPr>
                <w:sz w:val="20"/>
                <w:szCs w:val="20"/>
                <w:color w:val="auto"/>
              </w:rPr>
            </w:pPr>
            <w:r>
              <w:rPr>
                <w:rFonts w:ascii="Arial" w:cs="Arial" w:eastAsia="Arial" w:hAnsi="Arial"/>
                <w:sz w:val="13"/>
                <w:szCs w:val="13"/>
                <w:color w:val="auto"/>
              </w:rPr>
              <w:t>Research and development as</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rPr>
                <w:sz w:val="20"/>
                <w:szCs w:val="20"/>
                <w:color w:val="auto"/>
              </w:rPr>
            </w:pPr>
            <w:r>
              <w:rPr>
                <w:rFonts w:ascii="Arial" w:cs="Arial" w:eastAsia="Arial" w:hAnsi="Arial"/>
                <w:sz w:val="13"/>
                <w:szCs w:val="13"/>
                <w:color w:val="auto"/>
              </w:rPr>
              <w:t>a percent of net revenue</w:t>
            </w:r>
          </w:p>
        </w:tc>
        <w:tc>
          <w:tcPr>
            <w:tcW w:w="740" w:type="dxa"/>
            <w:vAlign w:val="bottom"/>
          </w:tcPr>
          <w:p>
            <w:pPr>
              <w:jc w:val="right"/>
              <w:spacing w:after="0"/>
              <w:rPr>
                <w:sz w:val="20"/>
                <w:szCs w:val="20"/>
                <w:color w:val="auto"/>
              </w:rPr>
            </w:pPr>
            <w:r>
              <w:rPr>
                <w:rFonts w:ascii="Arial" w:cs="Arial" w:eastAsia="Arial" w:hAnsi="Arial"/>
                <w:sz w:val="12"/>
                <w:szCs w:val="12"/>
                <w:color w:val="auto"/>
              </w:rPr>
              <w:t>16.6 %</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ind w:left="560"/>
              <w:spacing w:after="0"/>
              <w:rPr>
                <w:sz w:val="20"/>
                <w:szCs w:val="20"/>
                <w:color w:val="auto"/>
              </w:rPr>
            </w:pPr>
            <w:r>
              <w:rPr>
                <w:rFonts w:ascii="Arial" w:cs="Arial" w:eastAsia="Arial" w:hAnsi="Arial"/>
                <w:sz w:val="12"/>
                <w:szCs w:val="12"/>
                <w:color w:val="auto"/>
              </w:rPr>
              <w:t>— %</w:t>
            </w:r>
          </w:p>
        </w:tc>
        <w:tc>
          <w:tcPr>
            <w:tcW w:w="900" w:type="dxa"/>
            <w:vAlign w:val="bottom"/>
          </w:tcPr>
          <w:p>
            <w:pPr>
              <w:jc w:val="right"/>
              <w:spacing w:after="0"/>
              <w:rPr>
                <w:sz w:val="20"/>
                <w:szCs w:val="20"/>
                <w:color w:val="auto"/>
              </w:rPr>
            </w:pPr>
            <w:r>
              <w:rPr>
                <w:rFonts w:ascii="Arial" w:cs="Arial" w:eastAsia="Arial" w:hAnsi="Arial"/>
                <w:sz w:val="12"/>
                <w:szCs w:val="12"/>
                <w:color w:val="auto"/>
              </w:rPr>
              <w:t>(0.9)%</w:t>
            </w:r>
          </w:p>
        </w:tc>
        <w:tc>
          <w:tcPr>
            <w:tcW w:w="840" w:type="dxa"/>
            <w:vAlign w:val="bottom"/>
          </w:tcPr>
          <w:p>
            <w:pPr>
              <w:jc w:val="right"/>
              <w:spacing w:after="0"/>
              <w:rPr>
                <w:sz w:val="20"/>
                <w:szCs w:val="20"/>
                <w:color w:val="auto"/>
              </w:rPr>
            </w:pPr>
            <w:r>
              <w:rPr>
                <w:rFonts w:ascii="Arial" w:cs="Arial" w:eastAsia="Arial" w:hAnsi="Arial"/>
                <w:sz w:val="12"/>
                <w:szCs w:val="12"/>
                <w:color w:val="auto"/>
              </w:rPr>
              <w:t>(0.2)%</w:t>
            </w:r>
          </w:p>
        </w:tc>
        <w:tc>
          <w:tcPr>
            <w:tcW w:w="960" w:type="dxa"/>
            <w:vAlign w:val="bottom"/>
          </w:tcPr>
          <w:p>
            <w:pPr>
              <w:jc w:val="right"/>
              <w:spacing w:after="0"/>
              <w:rPr>
                <w:sz w:val="20"/>
                <w:szCs w:val="20"/>
                <w:color w:val="auto"/>
              </w:rPr>
            </w:pPr>
            <w:r>
              <w:rPr>
                <w:rFonts w:ascii="Arial" w:cs="Arial" w:eastAsia="Arial" w:hAnsi="Arial"/>
                <w:sz w:val="12"/>
                <w:szCs w:val="12"/>
                <w:color w:val="auto"/>
              </w:rPr>
              <w:t>(0.8)%</w:t>
            </w:r>
          </w:p>
        </w:tc>
        <w:tc>
          <w:tcPr>
            <w:tcW w:w="88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ind w:left="560"/>
              <w:spacing w:after="0"/>
              <w:rPr>
                <w:sz w:val="20"/>
                <w:szCs w:val="20"/>
                <w:color w:val="auto"/>
              </w:rPr>
            </w:pPr>
            <w:r>
              <w:rPr>
                <w:rFonts w:ascii="Arial" w:cs="Arial" w:eastAsia="Arial" w:hAnsi="Arial"/>
                <w:sz w:val="12"/>
                <w:szCs w:val="12"/>
                <w:color w:val="auto"/>
                <w:w w:val="99"/>
              </w:rPr>
              <w:t>— %</w:t>
            </w:r>
          </w:p>
        </w:tc>
        <w:tc>
          <w:tcPr>
            <w:tcW w:w="780" w:type="dxa"/>
            <w:vAlign w:val="bottom"/>
          </w:tcPr>
          <w:p>
            <w:pPr>
              <w:jc w:val="right"/>
              <w:spacing w:after="0"/>
              <w:rPr>
                <w:sz w:val="20"/>
                <w:szCs w:val="20"/>
                <w:color w:val="auto"/>
              </w:rPr>
            </w:pPr>
            <w:r>
              <w:rPr>
                <w:rFonts w:ascii="Arial" w:cs="Arial" w:eastAsia="Arial" w:hAnsi="Arial"/>
                <w:sz w:val="12"/>
                <w:szCs w:val="12"/>
                <w:color w:val="auto"/>
              </w:rPr>
              <w:t>14.8 %</w:t>
            </w:r>
          </w:p>
        </w:tc>
        <w:tc>
          <w:tcPr>
            <w:tcW w:w="0" w:type="dxa"/>
            <w:vAlign w:val="bottom"/>
          </w:tcPr>
          <w:p>
            <w:pPr>
              <w:spacing w:after="0"/>
              <w:rPr>
                <w:sz w:val="1"/>
                <w:szCs w:val="1"/>
                <w:color w:val="auto"/>
              </w:rPr>
            </w:pPr>
          </w:p>
        </w:tc>
      </w:tr>
      <w:tr>
        <w:trPr>
          <w:trHeight w:val="177"/>
        </w:trPr>
        <w:tc>
          <w:tcPr>
            <w:tcW w:w="1920" w:type="dxa"/>
            <w:vAlign w:val="bottom"/>
          </w:tcPr>
          <w:p>
            <w:pPr>
              <w:ind w:left="20"/>
              <w:spacing w:after="0"/>
              <w:rPr>
                <w:sz w:val="20"/>
                <w:szCs w:val="20"/>
                <w:color w:val="auto"/>
              </w:rPr>
            </w:pPr>
            <w:r>
              <w:rPr>
                <w:rFonts w:ascii="Arial" w:cs="Arial" w:eastAsia="Arial" w:hAnsi="Arial"/>
                <w:sz w:val="13"/>
                <w:szCs w:val="13"/>
                <w:color w:val="auto"/>
              </w:rPr>
              <w:t>Other operating expenses</w:t>
            </w:r>
          </w:p>
        </w:tc>
        <w:tc>
          <w:tcPr>
            <w:tcW w:w="740" w:type="dxa"/>
            <w:vAlign w:val="bottom"/>
          </w:tcPr>
          <w:p>
            <w:pPr>
              <w:jc w:val="right"/>
              <w:ind w:right="101"/>
              <w:spacing w:after="0"/>
              <w:rPr>
                <w:sz w:val="20"/>
                <w:szCs w:val="20"/>
                <w:color w:val="auto"/>
              </w:rPr>
            </w:pPr>
            <w:r>
              <w:rPr>
                <w:rFonts w:ascii="Arial" w:cs="Arial" w:eastAsia="Arial" w:hAnsi="Arial"/>
                <w:sz w:val="12"/>
                <w:szCs w:val="12"/>
                <w:color w:val="auto"/>
              </w:rPr>
              <w:t>1.1</w:t>
            </w: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(0.1)</w:t>
            </w:r>
          </w:p>
        </w:tc>
        <w:tc>
          <w:tcPr>
            <w:tcW w:w="9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(0.1)</w:t>
            </w:r>
          </w:p>
        </w:tc>
        <w:tc>
          <w:tcPr>
            <w:tcW w:w="880" w:type="dxa"/>
            <w:vAlign w:val="bottom"/>
          </w:tcPr>
          <w:p>
            <w:pPr>
              <w:ind w:left="56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21"/>
              <w:spacing w:after="0"/>
              <w:rPr>
                <w:sz w:val="20"/>
                <w:szCs w:val="20"/>
                <w:color w:val="auto"/>
              </w:rPr>
            </w:pPr>
            <w:r>
              <w:rPr>
                <w:rFonts w:ascii="Arial" w:cs="Arial" w:eastAsia="Arial" w:hAnsi="Arial"/>
                <w:sz w:val="12"/>
                <w:szCs w:val="12"/>
                <w:color w:val="auto"/>
              </w:rPr>
              <w:t>0.2</w:t>
            </w:r>
          </w:p>
        </w:tc>
        <w:tc>
          <w:tcPr>
            <w:tcW w:w="9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40" w:type="dxa"/>
            <w:vAlign w:val="bottom"/>
          </w:tcPr>
          <w:p>
            <w:pPr>
              <w:ind w:left="5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01"/>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90"/>
        </w:trPr>
        <w:tc>
          <w:tcPr>
            <w:tcW w:w="192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740" w:type="dxa"/>
            <w:vAlign w:val="bottom"/>
          </w:tcPr>
          <w:p>
            <w:pPr>
              <w:jc w:val="right"/>
              <w:ind w:right="101"/>
              <w:spacing w:after="0"/>
              <w:rPr>
                <w:sz w:val="20"/>
                <w:szCs w:val="20"/>
                <w:color w:val="auto"/>
              </w:rPr>
            </w:pPr>
            <w:r>
              <w:rPr>
                <w:rFonts w:ascii="Arial" w:cs="Arial" w:eastAsia="Arial" w:hAnsi="Arial"/>
                <w:sz w:val="12"/>
                <w:szCs w:val="12"/>
                <w:color w:val="auto"/>
              </w:rPr>
              <w:t>16.4</w:t>
            </w:r>
          </w:p>
        </w:tc>
        <w:tc>
          <w:tcPr>
            <w:tcW w:w="940" w:type="dxa"/>
            <w:vAlign w:val="bottom"/>
          </w:tcPr>
          <w:p>
            <w:pPr>
              <w:jc w:val="right"/>
              <w:ind w:right="121"/>
              <w:spacing w:after="0"/>
              <w:rPr>
                <w:sz w:val="20"/>
                <w:szCs w:val="20"/>
                <w:color w:val="auto"/>
              </w:rPr>
            </w:pPr>
            <w:r>
              <w:rPr>
                <w:rFonts w:ascii="Arial" w:cs="Arial" w:eastAsia="Arial" w:hAnsi="Arial"/>
                <w:sz w:val="12"/>
                <w:szCs w:val="12"/>
                <w:color w:val="auto"/>
              </w:rPr>
              <w:t>0.1</w:t>
            </w:r>
          </w:p>
        </w:tc>
        <w:tc>
          <w:tcPr>
            <w:tcW w:w="920" w:type="dxa"/>
            <w:vAlign w:val="bottom"/>
          </w:tcPr>
          <w:p>
            <w:pPr>
              <w:jc w:val="right"/>
              <w:ind w:right="161"/>
              <w:spacing w:after="0"/>
              <w:rPr>
                <w:sz w:val="20"/>
                <w:szCs w:val="20"/>
                <w:color w:val="auto"/>
              </w:rPr>
            </w:pPr>
            <w:r>
              <w:rPr>
                <w:rFonts w:ascii="Arial" w:cs="Arial" w:eastAsia="Arial" w:hAnsi="Arial"/>
                <w:sz w:val="12"/>
                <w:szCs w:val="12"/>
                <w:color w:val="auto"/>
              </w:rPr>
              <w:t>7.0</w:t>
            </w:r>
          </w:p>
        </w:tc>
        <w:tc>
          <w:tcPr>
            <w:tcW w:w="640" w:type="dxa"/>
            <w:vAlign w:val="bottom"/>
          </w:tcPr>
          <w:p>
            <w:pPr>
              <w:jc w:val="right"/>
              <w:ind w:right="121"/>
              <w:spacing w:after="0"/>
              <w:rPr>
                <w:sz w:val="20"/>
                <w:szCs w:val="20"/>
                <w:color w:val="auto"/>
              </w:rPr>
            </w:pPr>
            <w:r>
              <w:rPr>
                <w:rFonts w:ascii="Arial" w:cs="Arial" w:eastAsia="Arial" w:hAnsi="Arial"/>
                <w:sz w:val="12"/>
                <w:szCs w:val="12"/>
                <w:color w:val="auto"/>
              </w:rPr>
              <w:t>0.1</w:t>
            </w:r>
          </w:p>
        </w:tc>
        <w:tc>
          <w:tcPr>
            <w:tcW w:w="880" w:type="dxa"/>
            <w:vAlign w:val="bottom"/>
          </w:tcPr>
          <w:p>
            <w:pPr>
              <w:ind w:left="56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01"/>
              <w:spacing w:after="0"/>
              <w:rPr>
                <w:sz w:val="20"/>
                <w:szCs w:val="20"/>
                <w:color w:val="auto"/>
              </w:rPr>
            </w:pPr>
            <w:r>
              <w:rPr>
                <w:rFonts w:ascii="Arial" w:cs="Arial" w:eastAsia="Arial" w:hAnsi="Arial"/>
                <w:sz w:val="12"/>
                <w:szCs w:val="12"/>
                <w:color w:val="auto"/>
              </w:rPr>
              <w:t>7.0</w:t>
            </w:r>
          </w:p>
        </w:tc>
        <w:tc>
          <w:tcPr>
            <w:tcW w:w="840" w:type="dxa"/>
            <w:vAlign w:val="bottom"/>
          </w:tcPr>
          <w:p>
            <w:pPr>
              <w:jc w:val="right"/>
              <w:ind w:right="121"/>
              <w:spacing w:after="0"/>
              <w:rPr>
                <w:sz w:val="20"/>
                <w:szCs w:val="20"/>
                <w:color w:val="auto"/>
              </w:rPr>
            </w:pPr>
            <w:r>
              <w:rPr>
                <w:rFonts w:ascii="Arial" w:cs="Arial" w:eastAsia="Arial" w:hAnsi="Arial"/>
                <w:sz w:val="12"/>
                <w:szCs w:val="12"/>
                <w:color w:val="auto"/>
              </w:rPr>
              <w:t>4.8</w:t>
            </w:r>
          </w:p>
        </w:tc>
        <w:tc>
          <w:tcPr>
            <w:tcW w:w="960" w:type="dxa"/>
            <w:vAlign w:val="bottom"/>
          </w:tcPr>
          <w:p>
            <w:pPr>
              <w:jc w:val="right"/>
              <w:ind w:right="121"/>
              <w:spacing w:after="0"/>
              <w:rPr>
                <w:sz w:val="20"/>
                <w:szCs w:val="20"/>
                <w:color w:val="auto"/>
              </w:rPr>
            </w:pPr>
            <w:r>
              <w:rPr>
                <w:rFonts w:ascii="Arial" w:cs="Arial" w:eastAsia="Arial" w:hAnsi="Arial"/>
                <w:sz w:val="12"/>
                <w:szCs w:val="12"/>
                <w:color w:val="auto"/>
              </w:rPr>
              <w:t>11.1</w:t>
            </w:r>
          </w:p>
        </w:tc>
        <w:tc>
          <w:tcPr>
            <w:tcW w:w="8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40" w:type="dxa"/>
            <w:vAlign w:val="bottom"/>
          </w:tcPr>
          <w:p>
            <w:pPr>
              <w:ind w:left="5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01"/>
              <w:spacing w:after="0"/>
              <w:rPr>
                <w:sz w:val="20"/>
                <w:szCs w:val="20"/>
                <w:color w:val="auto"/>
              </w:rPr>
            </w:pPr>
            <w:r>
              <w:rPr>
                <w:rFonts w:ascii="Arial" w:cs="Arial" w:eastAsia="Arial" w:hAnsi="Arial"/>
                <w:sz w:val="12"/>
                <w:szCs w:val="12"/>
                <w:color w:val="auto"/>
              </w:rPr>
              <w:t>46.5</w:t>
            </w:r>
          </w:p>
        </w:tc>
        <w:tc>
          <w:tcPr>
            <w:tcW w:w="0" w:type="dxa"/>
            <w:vAlign w:val="bottom"/>
          </w:tcPr>
          <w:p>
            <w:pPr>
              <w:spacing w:after="0"/>
              <w:rPr>
                <w:sz w:val="1"/>
                <w:szCs w:val="1"/>
                <w:color w:val="auto"/>
              </w:rPr>
            </w:pPr>
          </w:p>
        </w:tc>
      </w:tr>
      <w:tr>
        <w:trPr>
          <w:trHeight w:val="190"/>
        </w:trPr>
        <w:tc>
          <w:tcPr>
            <w:tcW w:w="1920" w:type="dxa"/>
            <w:vAlign w:val="bottom"/>
          </w:tcPr>
          <w:p>
            <w:pPr>
              <w:ind w:left="20"/>
              <w:spacing w:after="0"/>
              <w:rPr>
                <w:sz w:val="20"/>
                <w:szCs w:val="20"/>
                <w:color w:val="auto"/>
              </w:rPr>
            </w:pPr>
            <w:r>
              <w:rPr>
                <w:rFonts w:ascii="Arial" w:cs="Arial" w:eastAsia="Arial" w:hAnsi="Arial"/>
                <w:sz w:val="13"/>
                <w:szCs w:val="13"/>
                <w:color w:val="auto"/>
              </w:rPr>
              <w:t>Operating margin percent</w:t>
            </w:r>
          </w:p>
        </w:tc>
        <w:tc>
          <w:tcPr>
            <w:tcW w:w="740" w:type="dxa"/>
            <w:vAlign w:val="bottom"/>
          </w:tcPr>
          <w:p>
            <w:pPr>
              <w:jc w:val="right"/>
              <w:spacing w:after="0"/>
              <w:rPr>
                <w:sz w:val="20"/>
                <w:szCs w:val="20"/>
                <w:color w:val="auto"/>
              </w:rPr>
            </w:pPr>
            <w:r>
              <w:rPr>
                <w:rFonts w:ascii="Arial" w:cs="Arial" w:eastAsia="Arial" w:hAnsi="Arial"/>
                <w:sz w:val="12"/>
                <w:szCs w:val="12"/>
                <w:color w:val="auto"/>
              </w:rPr>
              <w:t>6.5 %</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2.8 %</w:t>
            </w:r>
          </w:p>
        </w:tc>
        <w:tc>
          <w:tcPr>
            <w:tcW w:w="640" w:type="dxa"/>
            <w:vAlign w:val="bottom"/>
          </w:tcPr>
          <w:p>
            <w:pPr>
              <w:jc w:val="right"/>
              <w:spacing w:after="0"/>
              <w:rPr>
                <w:sz w:val="20"/>
                <w:szCs w:val="20"/>
                <w:color w:val="auto"/>
              </w:rPr>
            </w:pPr>
            <w:r>
              <w:rPr>
                <w:rFonts w:ascii="Arial" w:cs="Arial" w:eastAsia="Arial" w:hAnsi="Arial"/>
                <w:sz w:val="12"/>
                <w:szCs w:val="12"/>
                <w:color w:val="auto"/>
              </w:rPr>
              <w:t>0.1 %</w:t>
            </w:r>
          </w:p>
        </w:tc>
        <w:tc>
          <w:tcPr>
            <w:tcW w:w="880" w:type="dxa"/>
            <w:vAlign w:val="bottom"/>
          </w:tcPr>
          <w:p>
            <w:pPr>
              <w:ind w:left="560"/>
              <w:spacing w:after="0"/>
              <w:rPr>
                <w:sz w:val="20"/>
                <w:szCs w:val="20"/>
                <w:color w:val="auto"/>
              </w:rPr>
            </w:pPr>
            <w:r>
              <w:rPr>
                <w:rFonts w:ascii="Arial" w:cs="Arial" w:eastAsia="Arial" w:hAnsi="Arial"/>
                <w:sz w:val="12"/>
                <w:szCs w:val="12"/>
                <w:color w:val="auto"/>
              </w:rPr>
              <w:t>— %</w:t>
            </w:r>
          </w:p>
        </w:tc>
        <w:tc>
          <w:tcPr>
            <w:tcW w:w="900" w:type="dxa"/>
            <w:vAlign w:val="bottom"/>
          </w:tcPr>
          <w:p>
            <w:pPr>
              <w:jc w:val="right"/>
              <w:spacing w:after="0"/>
              <w:rPr>
                <w:sz w:val="20"/>
                <w:szCs w:val="20"/>
                <w:color w:val="auto"/>
              </w:rPr>
            </w:pPr>
            <w:r>
              <w:rPr>
                <w:rFonts w:ascii="Arial" w:cs="Arial" w:eastAsia="Arial" w:hAnsi="Arial"/>
                <w:sz w:val="12"/>
                <w:szCs w:val="12"/>
                <w:color w:val="auto"/>
              </w:rPr>
              <w:t>2.8 %</w:t>
            </w:r>
          </w:p>
        </w:tc>
        <w:tc>
          <w:tcPr>
            <w:tcW w:w="840" w:type="dxa"/>
            <w:vAlign w:val="bottom"/>
          </w:tcPr>
          <w:p>
            <w:pPr>
              <w:jc w:val="right"/>
              <w:spacing w:after="0"/>
              <w:rPr>
                <w:sz w:val="20"/>
                <w:szCs w:val="20"/>
                <w:color w:val="auto"/>
              </w:rPr>
            </w:pPr>
            <w:r>
              <w:rPr>
                <w:rFonts w:ascii="Arial" w:cs="Arial" w:eastAsia="Arial" w:hAnsi="Arial"/>
                <w:sz w:val="12"/>
                <w:szCs w:val="12"/>
                <w:color w:val="auto"/>
              </w:rPr>
              <w:t>1.9 %</w:t>
            </w:r>
          </w:p>
        </w:tc>
        <w:tc>
          <w:tcPr>
            <w:tcW w:w="960" w:type="dxa"/>
            <w:vAlign w:val="bottom"/>
          </w:tcPr>
          <w:p>
            <w:pPr>
              <w:jc w:val="right"/>
              <w:spacing w:after="0"/>
              <w:rPr>
                <w:sz w:val="20"/>
                <w:szCs w:val="20"/>
                <w:color w:val="auto"/>
              </w:rPr>
            </w:pPr>
            <w:r>
              <w:rPr>
                <w:rFonts w:ascii="Arial" w:cs="Arial" w:eastAsia="Arial" w:hAnsi="Arial"/>
                <w:sz w:val="12"/>
                <w:szCs w:val="12"/>
                <w:color w:val="auto"/>
              </w:rPr>
              <w:t>4.4 %</w:t>
            </w:r>
          </w:p>
        </w:tc>
        <w:tc>
          <w:tcPr>
            <w:tcW w:w="88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ind w:left="560"/>
              <w:spacing w:after="0"/>
              <w:rPr>
                <w:sz w:val="20"/>
                <w:szCs w:val="20"/>
                <w:color w:val="auto"/>
              </w:rPr>
            </w:pPr>
            <w:r>
              <w:rPr>
                <w:rFonts w:ascii="Arial" w:cs="Arial" w:eastAsia="Arial" w:hAnsi="Arial"/>
                <w:sz w:val="12"/>
                <w:szCs w:val="12"/>
                <w:color w:val="auto"/>
                <w:w w:val="99"/>
              </w:rPr>
              <w:t>— %</w:t>
            </w:r>
          </w:p>
        </w:tc>
        <w:tc>
          <w:tcPr>
            <w:tcW w:w="780" w:type="dxa"/>
            <w:vAlign w:val="bottom"/>
          </w:tcPr>
          <w:p>
            <w:pPr>
              <w:jc w:val="right"/>
              <w:spacing w:after="0"/>
              <w:rPr>
                <w:sz w:val="20"/>
                <w:szCs w:val="20"/>
                <w:color w:val="auto"/>
              </w:rPr>
            </w:pPr>
            <w:r>
              <w:rPr>
                <w:rFonts w:ascii="Arial" w:cs="Arial" w:eastAsia="Arial" w:hAnsi="Arial"/>
                <w:sz w:val="12"/>
                <w:szCs w:val="12"/>
                <w:color w:val="auto"/>
              </w:rPr>
              <w:t>18.4 %</w:t>
            </w:r>
          </w:p>
        </w:tc>
        <w:tc>
          <w:tcPr>
            <w:tcW w:w="0" w:type="dxa"/>
            <w:vAlign w:val="bottom"/>
          </w:tcPr>
          <w:p>
            <w:pPr>
              <w:spacing w:after="0"/>
              <w:rPr>
                <w:sz w:val="1"/>
                <w:szCs w:val="1"/>
                <w:color w:val="auto"/>
              </w:rPr>
            </w:pPr>
          </w:p>
        </w:tc>
      </w:tr>
      <w:tr>
        <w:trPr>
          <w:trHeight w:val="190"/>
        </w:trPr>
        <w:tc>
          <w:tcPr>
            <w:tcW w:w="192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740" w:type="dxa"/>
            <w:vAlign w:val="bottom"/>
          </w:tcPr>
          <w:p>
            <w:pPr>
              <w:jc w:val="right"/>
              <w:ind w:right="101"/>
              <w:spacing w:after="0"/>
              <w:rPr>
                <w:sz w:val="20"/>
                <w:szCs w:val="20"/>
                <w:color w:val="auto"/>
              </w:rPr>
            </w:pPr>
            <w:r>
              <w:rPr>
                <w:rFonts w:ascii="Arial" w:cs="Arial" w:eastAsia="Arial" w:hAnsi="Arial"/>
                <w:sz w:val="12"/>
                <w:szCs w:val="12"/>
                <w:color w:val="auto"/>
              </w:rPr>
              <w:t>1.9</w:t>
            </w:r>
          </w:p>
        </w:tc>
        <w:tc>
          <w:tcPr>
            <w:tcW w:w="9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61"/>
              <w:spacing w:after="0"/>
              <w:rPr>
                <w:sz w:val="20"/>
                <w:szCs w:val="20"/>
                <w:color w:val="auto"/>
              </w:rPr>
            </w:pPr>
            <w:r>
              <w:rPr>
                <w:rFonts w:ascii="Arial" w:cs="Arial" w:eastAsia="Arial" w:hAnsi="Arial"/>
                <w:sz w:val="12"/>
                <w:szCs w:val="12"/>
                <w:color w:val="auto"/>
              </w:rPr>
              <w:t>0.5</w:t>
            </w: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(0.7)</w:t>
            </w:r>
          </w:p>
        </w:tc>
        <w:tc>
          <w:tcPr>
            <w:tcW w:w="880" w:type="dxa"/>
            <w:vAlign w:val="bottom"/>
          </w:tcPr>
          <w:p>
            <w:pPr>
              <w:ind w:left="56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21"/>
              <w:spacing w:after="0"/>
              <w:rPr>
                <w:sz w:val="20"/>
                <w:szCs w:val="20"/>
                <w:color w:val="auto"/>
              </w:rPr>
            </w:pPr>
            <w:r>
              <w:rPr>
                <w:rFonts w:ascii="Arial" w:cs="Arial" w:eastAsia="Arial" w:hAnsi="Arial"/>
                <w:sz w:val="12"/>
                <w:szCs w:val="12"/>
                <w:color w:val="auto"/>
              </w:rPr>
              <w:t>1.0</w:t>
            </w:r>
          </w:p>
        </w:tc>
        <w:tc>
          <w:tcPr>
            <w:tcW w:w="960" w:type="dxa"/>
            <w:vAlign w:val="bottom"/>
          </w:tcPr>
          <w:p>
            <w:pPr>
              <w:jc w:val="right"/>
              <w:ind w:right="121"/>
              <w:spacing w:after="0"/>
              <w:rPr>
                <w:sz w:val="20"/>
                <w:szCs w:val="20"/>
                <w:color w:val="auto"/>
              </w:rPr>
            </w:pPr>
            <w:r>
              <w:rPr>
                <w:rFonts w:ascii="Arial" w:cs="Arial" w:eastAsia="Arial" w:hAnsi="Arial"/>
                <w:sz w:val="12"/>
                <w:szCs w:val="12"/>
                <w:color w:val="auto"/>
              </w:rPr>
              <w:t>0.2</w:t>
            </w:r>
          </w:p>
        </w:tc>
        <w:tc>
          <w:tcPr>
            <w:tcW w:w="880" w:type="dxa"/>
            <w:vAlign w:val="bottom"/>
          </w:tcPr>
          <w:p>
            <w:pPr>
              <w:jc w:val="right"/>
              <w:ind w:right="121"/>
              <w:spacing w:after="0"/>
              <w:rPr>
                <w:sz w:val="20"/>
                <w:szCs w:val="20"/>
                <w:color w:val="auto"/>
              </w:rPr>
            </w:pPr>
            <w:r>
              <w:rPr>
                <w:rFonts w:ascii="Arial" w:cs="Arial" w:eastAsia="Arial" w:hAnsi="Arial"/>
                <w:sz w:val="12"/>
                <w:szCs w:val="12"/>
                <w:color w:val="auto"/>
              </w:rPr>
              <w:t>0.8</w:t>
            </w:r>
          </w:p>
        </w:tc>
        <w:tc>
          <w:tcPr>
            <w:tcW w:w="840" w:type="dxa"/>
            <w:vAlign w:val="bottom"/>
          </w:tcPr>
          <w:p>
            <w:pPr>
              <w:ind w:left="5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01"/>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90"/>
        </w:trPr>
        <w:tc>
          <w:tcPr>
            <w:tcW w:w="1920" w:type="dxa"/>
            <w:vAlign w:val="bottom"/>
          </w:tcPr>
          <w:p>
            <w:pPr>
              <w:ind w:left="20"/>
              <w:spacing w:after="0"/>
              <w:rPr>
                <w:sz w:val="20"/>
                <w:szCs w:val="20"/>
                <w:color w:val="auto"/>
              </w:rPr>
            </w:pPr>
            <w:r>
              <w:rPr>
                <w:rFonts w:ascii="Arial" w:cs="Arial" w:eastAsia="Arial" w:hAnsi="Arial"/>
                <w:sz w:val="13"/>
                <w:szCs w:val="13"/>
                <w:color w:val="auto"/>
              </w:rPr>
              <w:t>Income tax rate</w:t>
            </w:r>
          </w:p>
        </w:tc>
        <w:tc>
          <w:tcPr>
            <w:tcW w:w="740" w:type="dxa"/>
            <w:vAlign w:val="bottom"/>
          </w:tcPr>
          <w:p>
            <w:pPr>
              <w:jc w:val="right"/>
              <w:spacing w:after="0"/>
              <w:rPr>
                <w:sz w:val="20"/>
                <w:szCs w:val="20"/>
                <w:color w:val="auto"/>
              </w:rPr>
            </w:pPr>
            <w:r>
              <w:rPr>
                <w:rFonts w:ascii="Arial" w:cs="Arial" w:eastAsia="Arial" w:hAnsi="Arial"/>
                <w:sz w:val="12"/>
                <w:szCs w:val="12"/>
                <w:color w:val="auto"/>
              </w:rPr>
              <w:t>(4.5)%</w:t>
            </w:r>
          </w:p>
        </w:tc>
        <w:tc>
          <w:tcPr>
            <w:tcW w:w="940" w:type="dxa"/>
            <w:vAlign w:val="bottom"/>
          </w:tcPr>
          <w:p>
            <w:pPr>
              <w:jc w:val="right"/>
              <w:spacing w:after="0"/>
              <w:rPr>
                <w:sz w:val="20"/>
                <w:szCs w:val="20"/>
                <w:color w:val="auto"/>
              </w:rPr>
            </w:pPr>
            <w:r>
              <w:rPr>
                <w:rFonts w:ascii="Arial" w:cs="Arial" w:eastAsia="Arial" w:hAnsi="Arial"/>
                <w:sz w:val="12"/>
                <w:szCs w:val="12"/>
                <w:color w:val="auto"/>
              </w:rPr>
              <w:t>(1.1)%</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7.7 %</w:t>
            </w:r>
          </w:p>
        </w:tc>
        <w:tc>
          <w:tcPr>
            <w:tcW w:w="640" w:type="dxa"/>
            <w:vAlign w:val="bottom"/>
          </w:tcPr>
          <w:p>
            <w:pPr>
              <w:jc w:val="right"/>
              <w:spacing w:after="0"/>
              <w:rPr>
                <w:sz w:val="20"/>
                <w:szCs w:val="20"/>
                <w:color w:val="auto"/>
              </w:rPr>
            </w:pPr>
            <w:r>
              <w:rPr>
                <w:rFonts w:ascii="Arial" w:cs="Arial" w:eastAsia="Arial" w:hAnsi="Arial"/>
                <w:sz w:val="12"/>
                <w:szCs w:val="12"/>
                <w:color w:val="auto"/>
              </w:rPr>
              <w:t>(494.2)%</w:t>
            </w:r>
          </w:p>
        </w:tc>
        <w:tc>
          <w:tcPr>
            <w:tcW w:w="880" w:type="dxa"/>
            <w:vAlign w:val="bottom"/>
          </w:tcPr>
          <w:p>
            <w:pPr>
              <w:ind w:left="560"/>
              <w:spacing w:after="0"/>
              <w:rPr>
                <w:sz w:val="20"/>
                <w:szCs w:val="20"/>
                <w:color w:val="auto"/>
              </w:rPr>
            </w:pPr>
            <w:r>
              <w:rPr>
                <w:rFonts w:ascii="Arial" w:cs="Arial" w:eastAsia="Arial" w:hAnsi="Arial"/>
                <w:sz w:val="12"/>
                <w:szCs w:val="12"/>
                <w:color w:val="auto"/>
              </w:rPr>
              <w:t>— %</w:t>
            </w:r>
          </w:p>
        </w:tc>
        <w:tc>
          <w:tcPr>
            <w:tcW w:w="90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jc w:val="right"/>
              <w:spacing w:after="0"/>
              <w:rPr>
                <w:sz w:val="20"/>
                <w:szCs w:val="20"/>
                <w:color w:val="auto"/>
              </w:rPr>
            </w:pPr>
            <w:r>
              <w:rPr>
                <w:rFonts w:ascii="Arial" w:cs="Arial" w:eastAsia="Arial" w:hAnsi="Arial"/>
                <w:sz w:val="12"/>
                <w:szCs w:val="12"/>
                <w:color w:val="auto"/>
              </w:rPr>
              <w:t>23.3 %</w:t>
            </w:r>
          </w:p>
        </w:tc>
        <w:tc>
          <w:tcPr>
            <w:tcW w:w="960" w:type="dxa"/>
            <w:vAlign w:val="bottom"/>
          </w:tcPr>
          <w:p>
            <w:pPr>
              <w:jc w:val="right"/>
              <w:spacing w:after="0"/>
              <w:rPr>
                <w:sz w:val="20"/>
                <w:szCs w:val="20"/>
                <w:color w:val="auto"/>
              </w:rPr>
            </w:pPr>
            <w:r>
              <w:rPr>
                <w:rFonts w:ascii="Arial" w:cs="Arial" w:eastAsia="Arial" w:hAnsi="Arial"/>
                <w:sz w:val="12"/>
                <w:szCs w:val="12"/>
                <w:color w:val="auto"/>
              </w:rPr>
              <w:t>1.9 %</w:t>
            </w:r>
          </w:p>
        </w:tc>
        <w:tc>
          <w:tcPr>
            <w:tcW w:w="880" w:type="dxa"/>
            <w:vAlign w:val="bottom"/>
          </w:tcPr>
          <w:p>
            <w:pPr>
              <w:jc w:val="right"/>
              <w:spacing w:after="0"/>
              <w:rPr>
                <w:sz w:val="20"/>
                <w:szCs w:val="20"/>
                <w:color w:val="auto"/>
              </w:rPr>
            </w:pPr>
            <w:r>
              <w:rPr>
                <w:rFonts w:ascii="Arial" w:cs="Arial" w:eastAsia="Arial" w:hAnsi="Arial"/>
                <w:sz w:val="12"/>
                <w:szCs w:val="12"/>
                <w:color w:val="auto"/>
              </w:rPr>
              <w:t>N/A</w:t>
            </w:r>
          </w:p>
        </w:tc>
        <w:tc>
          <w:tcPr>
            <w:tcW w:w="840" w:type="dxa"/>
            <w:vAlign w:val="bottom"/>
          </w:tcPr>
          <w:p>
            <w:pPr>
              <w:ind w:left="560"/>
              <w:spacing w:after="0"/>
              <w:rPr>
                <w:sz w:val="20"/>
                <w:szCs w:val="20"/>
                <w:color w:val="auto"/>
              </w:rPr>
            </w:pPr>
            <w:r>
              <w:rPr>
                <w:rFonts w:ascii="Arial" w:cs="Arial" w:eastAsia="Arial" w:hAnsi="Arial"/>
                <w:sz w:val="12"/>
                <w:szCs w:val="12"/>
                <w:color w:val="auto"/>
                <w:w w:val="99"/>
              </w:rPr>
              <w:t>— %</w:t>
            </w:r>
          </w:p>
        </w:tc>
        <w:tc>
          <w:tcPr>
            <w:tcW w:w="780" w:type="dxa"/>
            <w:vAlign w:val="bottom"/>
          </w:tcPr>
          <w:p>
            <w:pPr>
              <w:jc w:val="right"/>
              <w:spacing w:after="0"/>
              <w:rPr>
                <w:sz w:val="20"/>
                <w:szCs w:val="20"/>
                <w:color w:val="auto"/>
              </w:rPr>
            </w:pPr>
            <w:r>
              <w:rPr>
                <w:rFonts w:ascii="Arial" w:cs="Arial" w:eastAsia="Arial" w:hAnsi="Arial"/>
                <w:sz w:val="12"/>
                <w:szCs w:val="12"/>
                <w:color w:val="auto"/>
              </w:rPr>
              <w:t>9.9 %</w:t>
            </w:r>
          </w:p>
        </w:tc>
        <w:tc>
          <w:tcPr>
            <w:tcW w:w="0" w:type="dxa"/>
            <w:vAlign w:val="bottom"/>
          </w:tcPr>
          <w:p>
            <w:pPr>
              <w:spacing w:after="0"/>
              <w:rPr>
                <w:sz w:val="1"/>
                <w:szCs w:val="1"/>
                <w:color w:val="auto"/>
              </w:rPr>
            </w:pPr>
          </w:p>
        </w:tc>
      </w:tr>
      <w:tr>
        <w:trPr>
          <w:trHeight w:val="190"/>
        </w:trPr>
        <w:tc>
          <w:tcPr>
            <w:tcW w:w="192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(43.4)</w:t>
            </w:r>
          </w:p>
        </w:tc>
        <w:tc>
          <w:tcPr>
            <w:tcW w:w="940" w:type="dxa"/>
            <w:vAlign w:val="bottom"/>
          </w:tcPr>
          <w:p>
            <w:pPr>
              <w:jc w:val="right"/>
              <w:ind w:right="121"/>
              <w:spacing w:after="0"/>
              <w:rPr>
                <w:sz w:val="20"/>
                <w:szCs w:val="20"/>
                <w:color w:val="auto"/>
              </w:rPr>
            </w:pPr>
            <w:r>
              <w:rPr>
                <w:rFonts w:ascii="Arial" w:cs="Arial" w:eastAsia="Arial" w:hAnsi="Arial"/>
                <w:sz w:val="12"/>
                <w:szCs w:val="12"/>
                <w:color w:val="auto"/>
              </w:rPr>
              <w:t>0.1</w:t>
            </w:r>
          </w:p>
        </w:tc>
        <w:tc>
          <w:tcPr>
            <w:tcW w:w="920" w:type="dxa"/>
            <w:vAlign w:val="bottom"/>
          </w:tcPr>
          <w:p>
            <w:pPr>
              <w:jc w:val="right"/>
              <w:ind w:right="161"/>
              <w:spacing w:after="0"/>
              <w:rPr>
                <w:sz w:val="20"/>
                <w:szCs w:val="20"/>
                <w:color w:val="auto"/>
              </w:rPr>
            </w:pPr>
            <w:r>
              <w:rPr>
                <w:rFonts w:ascii="Arial" w:cs="Arial" w:eastAsia="Arial" w:hAnsi="Arial"/>
                <w:sz w:val="12"/>
                <w:szCs w:val="12"/>
                <w:color w:val="auto"/>
              </w:rPr>
              <w:t>6.4</w:t>
            </w:r>
          </w:p>
        </w:tc>
        <w:tc>
          <w:tcPr>
            <w:tcW w:w="640" w:type="dxa"/>
            <w:vAlign w:val="bottom"/>
          </w:tcPr>
          <w:p>
            <w:pPr>
              <w:jc w:val="right"/>
              <w:ind w:right="121"/>
              <w:spacing w:after="0"/>
              <w:rPr>
                <w:sz w:val="20"/>
                <w:szCs w:val="20"/>
                <w:color w:val="auto"/>
              </w:rPr>
            </w:pPr>
            <w:r>
              <w:rPr>
                <w:rFonts w:ascii="Arial" w:cs="Arial" w:eastAsia="Arial" w:hAnsi="Arial"/>
                <w:sz w:val="12"/>
                <w:szCs w:val="12"/>
                <w:color w:val="auto"/>
              </w:rPr>
              <w:t>0.8</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46.3</w:t>
            </w:r>
          </w:p>
        </w:tc>
        <w:tc>
          <w:tcPr>
            <w:tcW w:w="900" w:type="dxa"/>
            <w:vAlign w:val="bottom"/>
          </w:tcPr>
          <w:p>
            <w:pPr>
              <w:jc w:val="right"/>
              <w:ind w:right="101"/>
              <w:spacing w:after="0"/>
              <w:rPr>
                <w:sz w:val="20"/>
                <w:szCs w:val="20"/>
                <w:color w:val="auto"/>
              </w:rPr>
            </w:pPr>
            <w:r>
              <w:rPr>
                <w:rFonts w:ascii="Arial" w:cs="Arial" w:eastAsia="Arial" w:hAnsi="Arial"/>
                <w:sz w:val="12"/>
                <w:szCs w:val="12"/>
                <w:color w:val="auto"/>
              </w:rPr>
              <w:t>7.0</w:t>
            </w:r>
          </w:p>
        </w:tc>
        <w:tc>
          <w:tcPr>
            <w:tcW w:w="840" w:type="dxa"/>
            <w:vAlign w:val="bottom"/>
          </w:tcPr>
          <w:p>
            <w:pPr>
              <w:jc w:val="right"/>
              <w:ind w:right="121"/>
              <w:spacing w:after="0"/>
              <w:rPr>
                <w:sz w:val="20"/>
                <w:szCs w:val="20"/>
                <w:color w:val="auto"/>
              </w:rPr>
            </w:pPr>
            <w:r>
              <w:rPr>
                <w:rFonts w:ascii="Arial" w:cs="Arial" w:eastAsia="Arial" w:hAnsi="Arial"/>
                <w:sz w:val="12"/>
                <w:szCs w:val="12"/>
                <w:color w:val="auto"/>
              </w:rPr>
              <w:t>3.4</w:t>
            </w:r>
          </w:p>
        </w:tc>
        <w:tc>
          <w:tcPr>
            <w:tcW w:w="960" w:type="dxa"/>
            <w:vAlign w:val="bottom"/>
          </w:tcPr>
          <w:p>
            <w:pPr>
              <w:jc w:val="right"/>
              <w:ind w:right="121"/>
              <w:spacing w:after="0"/>
              <w:rPr>
                <w:sz w:val="20"/>
                <w:szCs w:val="20"/>
                <w:color w:val="auto"/>
              </w:rPr>
            </w:pPr>
            <w:r>
              <w:rPr>
                <w:rFonts w:ascii="Arial" w:cs="Arial" w:eastAsia="Arial" w:hAnsi="Arial"/>
                <w:sz w:val="12"/>
                <w:szCs w:val="12"/>
                <w:color w:val="auto"/>
              </w:rPr>
              <w:t>10.9</w:t>
            </w: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(0.8)</w:t>
            </w:r>
          </w:p>
        </w:tc>
        <w:tc>
          <w:tcPr>
            <w:tcW w:w="840" w:type="dxa"/>
            <w:vAlign w:val="bottom"/>
          </w:tcPr>
          <w:p>
            <w:pPr>
              <w:jc w:val="right"/>
              <w:ind w:right="101"/>
              <w:spacing w:after="0"/>
              <w:rPr>
                <w:sz w:val="20"/>
                <w:szCs w:val="20"/>
                <w:color w:val="auto"/>
              </w:rPr>
            </w:pPr>
            <w:r>
              <w:rPr>
                <w:rFonts w:ascii="Arial" w:cs="Arial" w:eastAsia="Arial" w:hAnsi="Arial"/>
                <w:sz w:val="12"/>
                <w:szCs w:val="12"/>
                <w:color w:val="auto"/>
              </w:rPr>
              <w:t>4.1</w:t>
            </w:r>
          </w:p>
        </w:tc>
        <w:tc>
          <w:tcPr>
            <w:tcW w:w="780" w:type="dxa"/>
            <w:vAlign w:val="bottom"/>
          </w:tcPr>
          <w:p>
            <w:pPr>
              <w:jc w:val="right"/>
              <w:ind w:right="101"/>
              <w:spacing w:after="0"/>
              <w:rPr>
                <w:sz w:val="20"/>
                <w:szCs w:val="20"/>
                <w:color w:val="auto"/>
              </w:rPr>
            </w:pPr>
            <w:r>
              <w:rPr>
                <w:rFonts w:ascii="Arial" w:cs="Arial" w:eastAsia="Arial" w:hAnsi="Arial"/>
                <w:sz w:val="12"/>
                <w:szCs w:val="12"/>
                <w:color w:val="auto"/>
              </w:rPr>
              <w:t>34.7</w:t>
            </w:r>
          </w:p>
        </w:tc>
        <w:tc>
          <w:tcPr>
            <w:tcW w:w="0" w:type="dxa"/>
            <w:vAlign w:val="bottom"/>
          </w:tcPr>
          <w:p>
            <w:pPr>
              <w:spacing w:after="0"/>
              <w:rPr>
                <w:sz w:val="1"/>
                <w:szCs w:val="1"/>
                <w:color w:val="auto"/>
              </w:rPr>
            </w:pPr>
          </w:p>
        </w:tc>
      </w:tr>
      <w:tr>
        <w:trPr>
          <w:trHeight w:val="167"/>
        </w:trPr>
        <w:tc>
          <w:tcPr>
            <w:tcW w:w="1920" w:type="dxa"/>
            <w:vAlign w:val="bottom"/>
          </w:tcPr>
          <w:p>
            <w:pPr>
              <w:ind w:left="20"/>
              <w:spacing w:after="0"/>
              <w:rPr>
                <w:sz w:val="20"/>
                <w:szCs w:val="20"/>
                <w:color w:val="auto"/>
              </w:rPr>
            </w:pPr>
            <w:r>
              <w:rPr>
                <w:rFonts w:ascii="Arial" w:cs="Arial" w:eastAsia="Arial" w:hAnsi="Arial"/>
                <w:sz w:val="13"/>
                <w:szCs w:val="13"/>
                <w:color w:val="auto"/>
              </w:rPr>
              <w:t>Net (loss) income as a percent</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rPr>
                <w:sz w:val="20"/>
                <w:szCs w:val="20"/>
                <w:color w:val="auto"/>
              </w:rPr>
            </w:pPr>
            <w:r>
              <w:rPr>
                <w:rFonts w:ascii="Arial" w:cs="Arial" w:eastAsia="Arial" w:hAnsi="Arial"/>
                <w:sz w:val="13"/>
                <w:szCs w:val="13"/>
                <w:color w:val="auto"/>
              </w:rPr>
              <w:t>of net revenue</w:t>
            </w:r>
          </w:p>
        </w:tc>
        <w:tc>
          <w:tcPr>
            <w:tcW w:w="740" w:type="dxa"/>
            <w:vAlign w:val="bottom"/>
          </w:tcPr>
          <w:p>
            <w:pPr>
              <w:jc w:val="right"/>
              <w:spacing w:after="0"/>
              <w:rPr>
                <w:sz w:val="20"/>
                <w:szCs w:val="20"/>
                <w:color w:val="auto"/>
              </w:rPr>
            </w:pPr>
            <w:r>
              <w:rPr>
                <w:rFonts w:ascii="Arial" w:cs="Arial" w:eastAsia="Arial" w:hAnsi="Arial"/>
                <w:sz w:val="12"/>
                <w:szCs w:val="12"/>
                <w:color w:val="auto"/>
              </w:rPr>
              <w:t>(17.2)%</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21"/>
              <w:spacing w:after="0"/>
              <w:rPr>
                <w:sz w:val="20"/>
                <w:szCs w:val="20"/>
                <w:color w:val="auto"/>
              </w:rPr>
            </w:pPr>
            <w:r>
              <w:rPr>
                <w:rFonts w:ascii="Arial" w:cs="Arial" w:eastAsia="Arial" w:hAnsi="Arial"/>
                <w:sz w:val="12"/>
                <w:szCs w:val="12"/>
                <w:color w:val="auto"/>
              </w:rPr>
              <w:t>2.5 %</w:t>
            </w:r>
          </w:p>
        </w:tc>
        <w:tc>
          <w:tcPr>
            <w:tcW w:w="640" w:type="dxa"/>
            <w:vAlign w:val="bottom"/>
          </w:tcPr>
          <w:p>
            <w:pPr>
              <w:jc w:val="right"/>
              <w:spacing w:after="0"/>
              <w:rPr>
                <w:sz w:val="20"/>
                <w:szCs w:val="20"/>
                <w:color w:val="auto"/>
              </w:rPr>
            </w:pPr>
            <w:r>
              <w:rPr>
                <w:rFonts w:ascii="Arial" w:cs="Arial" w:eastAsia="Arial" w:hAnsi="Arial"/>
                <w:sz w:val="12"/>
                <w:szCs w:val="12"/>
                <w:color w:val="auto"/>
              </w:rPr>
              <w:t>0.3 %</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18.3 %</w:t>
            </w:r>
          </w:p>
        </w:tc>
        <w:tc>
          <w:tcPr>
            <w:tcW w:w="900" w:type="dxa"/>
            <w:vAlign w:val="bottom"/>
          </w:tcPr>
          <w:p>
            <w:pPr>
              <w:jc w:val="right"/>
              <w:spacing w:after="0"/>
              <w:rPr>
                <w:sz w:val="20"/>
                <w:szCs w:val="20"/>
                <w:color w:val="auto"/>
              </w:rPr>
            </w:pPr>
            <w:r>
              <w:rPr>
                <w:rFonts w:ascii="Arial" w:cs="Arial" w:eastAsia="Arial" w:hAnsi="Arial"/>
                <w:sz w:val="12"/>
                <w:szCs w:val="12"/>
                <w:color w:val="auto"/>
              </w:rPr>
              <w:t>2.8 %</w:t>
            </w:r>
          </w:p>
        </w:tc>
        <w:tc>
          <w:tcPr>
            <w:tcW w:w="840" w:type="dxa"/>
            <w:vAlign w:val="bottom"/>
          </w:tcPr>
          <w:p>
            <w:pPr>
              <w:jc w:val="right"/>
              <w:spacing w:after="0"/>
              <w:rPr>
                <w:sz w:val="20"/>
                <w:szCs w:val="20"/>
                <w:color w:val="auto"/>
              </w:rPr>
            </w:pPr>
            <w:r>
              <w:rPr>
                <w:rFonts w:ascii="Arial" w:cs="Arial" w:eastAsia="Arial" w:hAnsi="Arial"/>
                <w:sz w:val="12"/>
                <w:szCs w:val="12"/>
                <w:color w:val="auto"/>
              </w:rPr>
              <w:t>1.4 %</w:t>
            </w:r>
          </w:p>
        </w:tc>
        <w:tc>
          <w:tcPr>
            <w:tcW w:w="960" w:type="dxa"/>
            <w:vAlign w:val="bottom"/>
          </w:tcPr>
          <w:p>
            <w:pPr>
              <w:jc w:val="right"/>
              <w:spacing w:after="0"/>
              <w:rPr>
                <w:sz w:val="20"/>
                <w:szCs w:val="20"/>
                <w:color w:val="auto"/>
              </w:rPr>
            </w:pPr>
            <w:r>
              <w:rPr>
                <w:rFonts w:ascii="Arial" w:cs="Arial" w:eastAsia="Arial" w:hAnsi="Arial"/>
                <w:sz w:val="12"/>
                <w:szCs w:val="12"/>
                <w:color w:val="auto"/>
              </w:rPr>
              <w:t>4.3 %</w:t>
            </w:r>
          </w:p>
        </w:tc>
        <w:tc>
          <w:tcPr>
            <w:tcW w:w="880" w:type="dxa"/>
            <w:vAlign w:val="bottom"/>
          </w:tcPr>
          <w:p>
            <w:pPr>
              <w:jc w:val="right"/>
              <w:spacing w:after="0"/>
              <w:rPr>
                <w:sz w:val="20"/>
                <w:szCs w:val="20"/>
                <w:color w:val="auto"/>
              </w:rPr>
            </w:pPr>
            <w:r>
              <w:rPr>
                <w:rFonts w:ascii="Arial" w:cs="Arial" w:eastAsia="Arial" w:hAnsi="Arial"/>
                <w:sz w:val="12"/>
                <w:szCs w:val="12"/>
                <w:color w:val="auto"/>
              </w:rPr>
              <w:t>(0.3)%</w:t>
            </w:r>
          </w:p>
        </w:tc>
        <w:tc>
          <w:tcPr>
            <w:tcW w:w="840" w:type="dxa"/>
            <w:vAlign w:val="bottom"/>
          </w:tcPr>
          <w:p>
            <w:pPr>
              <w:jc w:val="right"/>
              <w:spacing w:after="0"/>
              <w:rPr>
                <w:sz w:val="20"/>
                <w:szCs w:val="20"/>
                <w:color w:val="auto"/>
              </w:rPr>
            </w:pPr>
            <w:r>
              <w:rPr>
                <w:rFonts w:ascii="Arial" w:cs="Arial" w:eastAsia="Arial" w:hAnsi="Arial"/>
                <w:sz w:val="12"/>
                <w:szCs w:val="12"/>
                <w:color w:val="auto"/>
              </w:rPr>
              <w:t>1.6 %</w:t>
            </w:r>
          </w:p>
        </w:tc>
        <w:tc>
          <w:tcPr>
            <w:tcW w:w="780" w:type="dxa"/>
            <w:vAlign w:val="bottom"/>
          </w:tcPr>
          <w:p>
            <w:pPr>
              <w:jc w:val="right"/>
              <w:spacing w:after="0"/>
              <w:rPr>
                <w:sz w:val="20"/>
                <w:szCs w:val="20"/>
                <w:color w:val="auto"/>
              </w:rPr>
            </w:pPr>
            <w:r>
              <w:rPr>
                <w:rFonts w:ascii="Arial" w:cs="Arial" w:eastAsia="Arial" w:hAnsi="Arial"/>
                <w:sz w:val="12"/>
                <w:szCs w:val="12"/>
                <w:color w:val="auto"/>
              </w:rPr>
              <w:t>13.7 %</w:t>
            </w:r>
          </w:p>
        </w:tc>
        <w:tc>
          <w:tcPr>
            <w:tcW w:w="0" w:type="dxa"/>
            <w:vAlign w:val="bottom"/>
          </w:tcPr>
          <w:p>
            <w:pPr>
              <w:spacing w:after="0"/>
              <w:rPr>
                <w:sz w:val="1"/>
                <w:szCs w:val="1"/>
                <w:color w:val="auto"/>
              </w:rPr>
            </w:pPr>
          </w:p>
        </w:tc>
      </w:tr>
      <w:tr>
        <w:trPr>
          <w:trHeight w:val="177"/>
        </w:trPr>
        <w:tc>
          <w:tcPr>
            <w:tcW w:w="1920" w:type="dxa"/>
            <w:vAlign w:val="bottom"/>
          </w:tcPr>
          <w:p>
            <w:pPr>
              <w:ind w:left="20"/>
              <w:spacing w:after="0"/>
              <w:rPr>
                <w:sz w:val="20"/>
                <w:szCs w:val="20"/>
                <w:color w:val="auto"/>
              </w:rPr>
            </w:pPr>
            <w:r>
              <w:rPr>
                <w:rFonts w:ascii="Arial" w:cs="Arial" w:eastAsia="Arial" w:hAnsi="Arial"/>
                <w:sz w:val="13"/>
                <w:szCs w:val="13"/>
                <w:color w:val="auto"/>
              </w:rPr>
              <w:t>Diluted EPS</w:t>
            </w: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($0.84)</w:t>
            </w:r>
          </w:p>
        </w:tc>
        <w:tc>
          <w:tcPr>
            <w:tcW w:w="9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61"/>
              <w:spacing w:after="0"/>
              <w:rPr>
                <w:sz w:val="20"/>
                <w:szCs w:val="20"/>
                <w:color w:val="auto"/>
              </w:rPr>
            </w:pPr>
            <w:r>
              <w:rPr>
                <w:rFonts w:ascii="Arial" w:cs="Arial" w:eastAsia="Arial" w:hAnsi="Arial"/>
                <w:sz w:val="12"/>
                <w:szCs w:val="12"/>
                <w:color w:val="auto"/>
              </w:rPr>
              <w:t>$0.12</w:t>
            </w:r>
          </w:p>
        </w:tc>
        <w:tc>
          <w:tcPr>
            <w:tcW w:w="640" w:type="dxa"/>
            <w:vAlign w:val="bottom"/>
          </w:tcPr>
          <w:p>
            <w:pPr>
              <w:jc w:val="right"/>
              <w:ind w:right="121"/>
              <w:spacing w:after="0"/>
              <w:rPr>
                <w:sz w:val="20"/>
                <w:szCs w:val="20"/>
                <w:color w:val="auto"/>
              </w:rPr>
            </w:pPr>
            <w:r>
              <w:rPr>
                <w:rFonts w:ascii="Arial" w:cs="Arial" w:eastAsia="Arial" w:hAnsi="Arial"/>
                <w:sz w:val="12"/>
                <w:szCs w:val="12"/>
                <w:color w:val="auto"/>
              </w:rPr>
              <w:t>$0.02</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$0.88</w:t>
            </w:r>
          </w:p>
        </w:tc>
        <w:tc>
          <w:tcPr>
            <w:tcW w:w="900" w:type="dxa"/>
            <w:vAlign w:val="bottom"/>
          </w:tcPr>
          <w:p>
            <w:pPr>
              <w:jc w:val="right"/>
              <w:ind w:right="101"/>
              <w:spacing w:after="0"/>
              <w:rPr>
                <w:sz w:val="20"/>
                <w:szCs w:val="20"/>
                <w:color w:val="auto"/>
              </w:rPr>
            </w:pPr>
            <w:r>
              <w:rPr>
                <w:rFonts w:ascii="Arial" w:cs="Arial" w:eastAsia="Arial" w:hAnsi="Arial"/>
                <w:sz w:val="12"/>
                <w:szCs w:val="12"/>
                <w:color w:val="auto"/>
              </w:rPr>
              <w:t>$0.13</w:t>
            </w:r>
          </w:p>
        </w:tc>
        <w:tc>
          <w:tcPr>
            <w:tcW w:w="840" w:type="dxa"/>
            <w:vAlign w:val="bottom"/>
          </w:tcPr>
          <w:p>
            <w:pPr>
              <w:jc w:val="right"/>
              <w:ind w:right="121"/>
              <w:spacing w:after="0"/>
              <w:rPr>
                <w:sz w:val="20"/>
                <w:szCs w:val="20"/>
                <w:color w:val="auto"/>
              </w:rPr>
            </w:pPr>
            <w:r>
              <w:rPr>
                <w:rFonts w:ascii="Arial" w:cs="Arial" w:eastAsia="Arial" w:hAnsi="Arial"/>
                <w:sz w:val="12"/>
                <w:szCs w:val="12"/>
                <w:color w:val="auto"/>
              </w:rPr>
              <w:t>$0.07</w:t>
            </w:r>
          </w:p>
        </w:tc>
        <w:tc>
          <w:tcPr>
            <w:tcW w:w="960" w:type="dxa"/>
            <w:vAlign w:val="bottom"/>
          </w:tcPr>
          <w:p>
            <w:pPr>
              <w:jc w:val="right"/>
              <w:ind w:right="121"/>
              <w:spacing w:after="0"/>
              <w:rPr>
                <w:sz w:val="20"/>
                <w:szCs w:val="20"/>
                <w:color w:val="auto"/>
              </w:rPr>
            </w:pPr>
            <w:r>
              <w:rPr>
                <w:rFonts w:ascii="Arial" w:cs="Arial" w:eastAsia="Arial" w:hAnsi="Arial"/>
                <w:sz w:val="12"/>
                <w:szCs w:val="12"/>
                <w:color w:val="auto"/>
              </w:rPr>
              <w:t>$0.21</w:t>
            </w: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($0.02)</w:t>
            </w:r>
          </w:p>
        </w:tc>
        <w:tc>
          <w:tcPr>
            <w:tcW w:w="840" w:type="dxa"/>
            <w:vAlign w:val="bottom"/>
          </w:tcPr>
          <w:p>
            <w:pPr>
              <w:jc w:val="right"/>
              <w:ind w:right="101"/>
              <w:spacing w:after="0"/>
              <w:rPr>
                <w:sz w:val="20"/>
                <w:szCs w:val="20"/>
                <w:color w:val="auto"/>
              </w:rPr>
            </w:pPr>
            <w:r>
              <w:rPr>
                <w:rFonts w:ascii="Arial" w:cs="Arial" w:eastAsia="Arial" w:hAnsi="Arial"/>
                <w:sz w:val="12"/>
                <w:szCs w:val="12"/>
                <w:color w:val="auto"/>
              </w:rPr>
              <w:t>$0.08</w:t>
            </w:r>
          </w:p>
        </w:tc>
        <w:tc>
          <w:tcPr>
            <w:tcW w:w="780" w:type="dxa"/>
            <w:vAlign w:val="bottom"/>
          </w:tcPr>
          <w:p>
            <w:pPr>
              <w:jc w:val="right"/>
              <w:ind w:right="101"/>
              <w:spacing w:after="0"/>
              <w:rPr>
                <w:sz w:val="20"/>
                <w:szCs w:val="20"/>
                <w:color w:val="auto"/>
              </w:rPr>
            </w:pPr>
            <w:r>
              <w:rPr>
                <w:rFonts w:ascii="Arial" w:cs="Arial" w:eastAsia="Arial" w:hAnsi="Arial"/>
                <w:sz w:val="12"/>
                <w:szCs w:val="12"/>
                <w:color w:val="auto"/>
              </w:rPr>
              <w:t>$0.66</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three months ended September 30, 2021 include:</w:t>
      </w:r>
    </w:p>
    <w:p>
      <w:pPr>
        <w:spacing w:after="0" w:line="56" w:lineRule="exact"/>
        <w:rPr>
          <w:sz w:val="20"/>
          <w:szCs w:val="20"/>
          <w:color w:val="auto"/>
        </w:rPr>
      </w:pPr>
    </w:p>
    <w:p>
      <w:pPr>
        <w:ind w:left="340" w:hanging="322"/>
        <w:spacing w:after="0"/>
        <w:tabs>
          <w:tab w:leader="none" w:pos="34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Restructuring expenses related to organizational changes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Includes depreciation and amortization associated with purchase price accounting</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Loss associated with the sale of Heart Valves</w:t>
      </w:r>
    </w:p>
    <w:p>
      <w:pPr>
        <w:spacing w:after="0" w:line="40" w:lineRule="exact"/>
        <w:rPr>
          <w:rFonts w:ascii="Arial" w:cs="Arial" w:eastAsia="Arial" w:hAnsi="Arial"/>
          <w:sz w:val="13"/>
          <w:szCs w:val="13"/>
          <w:b w:val="1"/>
          <w:bCs w:val="1"/>
          <w:color w:val="auto"/>
        </w:rPr>
      </w:pPr>
    </w:p>
    <w:p>
      <w:pPr>
        <w:ind w:left="340" w:right="240" w:hanging="322"/>
        <w:spacing w:after="0" w:line="231" w:lineRule="auto"/>
        <w:tabs>
          <w:tab w:leader="none" w:pos="34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Costs associated with our June 2020 financing transactions, including loss on debt extinguishment, the mark-to-market adjustment for the exchangeable option feature and capped call derivatives</w:t>
      </w:r>
    </w:p>
    <w:p>
      <w:pPr>
        <w:spacing w:after="0" w:line="28" w:lineRule="exact"/>
        <w:rPr>
          <w:rFonts w:ascii="Arial" w:cs="Arial" w:eastAsia="Arial" w:hAnsi="Arial"/>
          <w:sz w:val="13"/>
          <w:szCs w:val="13"/>
          <w:b w:val="1"/>
          <w:bCs w:val="1"/>
          <w:color w:val="auto"/>
        </w:rPr>
      </w:pPr>
    </w:p>
    <w:p>
      <w:pPr>
        <w:ind w:left="340" w:hanging="322"/>
        <w:spacing w:after="0"/>
        <w:tabs>
          <w:tab w:leader="none" w:pos="34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Remeasurement of contingent consideration related to acquisitions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3T Heater-Cooler litigation provision, legal expenses primarily related to 3T Heater-Cooler defense, costs related to the SNIA matter, other legal matters and MDR costs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Non-cash expenses associated with stock-based compensation costs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Discrete tax items and the tax impact of intercompany transactions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Non-cash interest expense on our Senior Secured Term Loan and Cash Exchangeable Senior Notes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772"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auto"/>
        </w:rPr>
        <w:t>Specified Items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21"/>
              <w:spacing w:after="0" w:line="117" w:lineRule="exact"/>
              <w:rPr>
                <w:sz w:val="20"/>
                <w:szCs w:val="20"/>
                <w:color w:val="auto"/>
              </w:rPr>
            </w:pPr>
            <w:r>
              <w:rPr>
                <w:rFonts w:ascii="Arial" w:cs="Arial" w:eastAsia="Arial" w:hAnsi="Arial"/>
                <w:sz w:val="12"/>
                <w:szCs w:val="12"/>
                <w:b w:val="1"/>
                <w:bCs w:val="1"/>
                <w:color w:val="auto"/>
                <w:w w:val="98"/>
              </w:rPr>
              <w:t>Depreciation</w:t>
            </w:r>
          </w:p>
        </w:tc>
        <w:tc>
          <w:tcPr>
            <w:tcW w:w="8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Nine Months</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GAAP</w:t>
            </w:r>
          </w:p>
        </w:tc>
        <w:tc>
          <w:tcPr>
            <w:tcW w:w="8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Merger and</w:t>
            </w:r>
          </w:p>
        </w:tc>
        <w:tc>
          <w:tcPr>
            <w:tcW w:w="920" w:type="dxa"/>
            <w:vAlign w:val="bottom"/>
            <w:vMerge w:val="restart"/>
          </w:tcPr>
          <w:p>
            <w:pPr>
              <w:jc w:val="center"/>
              <w:ind w:right="1"/>
              <w:spacing w:after="0"/>
              <w:rPr>
                <w:sz w:val="20"/>
                <w:szCs w:val="20"/>
                <w:color w:val="auto"/>
              </w:rPr>
            </w:pPr>
            <w:r>
              <w:rPr>
                <w:rFonts w:ascii="Arial" w:cs="Arial" w:eastAsia="Arial" w:hAnsi="Arial"/>
                <w:sz w:val="12"/>
                <w:szCs w:val="12"/>
                <w:b w:val="1"/>
                <w:bCs w:val="1"/>
                <w:color w:val="auto"/>
                <w:w w:val="99"/>
              </w:rPr>
              <w:t>Restructuring</w:t>
            </w:r>
          </w:p>
        </w:tc>
        <w:tc>
          <w:tcPr>
            <w:tcW w:w="880" w:type="dxa"/>
            <w:vAlign w:val="bottom"/>
          </w:tcPr>
          <w:p>
            <w:pPr>
              <w:jc w:val="center"/>
              <w:ind w:right="21"/>
              <w:spacing w:after="0" w:line="126" w:lineRule="exact"/>
              <w:rPr>
                <w:sz w:val="20"/>
                <w:szCs w:val="20"/>
                <w:color w:val="auto"/>
              </w:rPr>
            </w:pPr>
            <w:r>
              <w:rPr>
                <w:rFonts w:ascii="Arial" w:cs="Arial" w:eastAsia="Arial" w:hAnsi="Arial"/>
                <w:sz w:val="12"/>
                <w:szCs w:val="12"/>
                <w:b w:val="1"/>
                <w:bCs w:val="1"/>
                <w:color w:val="auto"/>
                <w:w w:val="93"/>
              </w:rPr>
              <w:t>and</w:t>
            </w:r>
          </w:p>
        </w:tc>
        <w:tc>
          <w:tcPr>
            <w:tcW w:w="800" w:type="dxa"/>
            <w:vAlign w:val="bottom"/>
          </w:tcPr>
          <w:p>
            <w:pPr>
              <w:spacing w:after="0"/>
              <w:rPr>
                <w:sz w:val="10"/>
                <w:szCs w:val="10"/>
                <w:color w:val="auto"/>
              </w:rPr>
            </w:pPr>
          </w:p>
        </w:tc>
        <w:tc>
          <w:tcPr>
            <w:tcW w:w="860" w:type="dxa"/>
            <w:vAlign w:val="bottom"/>
            <w:vMerge w:val="restart"/>
          </w:tcPr>
          <w:p>
            <w:pPr>
              <w:jc w:val="center"/>
              <w:ind w:right="1"/>
              <w:spacing w:after="0"/>
              <w:rPr>
                <w:sz w:val="20"/>
                <w:szCs w:val="20"/>
                <w:color w:val="auto"/>
              </w:rPr>
            </w:pPr>
            <w:r>
              <w:rPr>
                <w:rFonts w:ascii="Arial" w:cs="Arial" w:eastAsia="Arial" w:hAnsi="Arial"/>
                <w:sz w:val="12"/>
                <w:szCs w:val="12"/>
                <w:b w:val="1"/>
                <w:bCs w:val="1"/>
                <w:color w:val="auto"/>
                <w:w w:val="98"/>
              </w:rPr>
              <w:t>Financing</w:t>
            </w: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Contingent</w:t>
            </w:r>
          </w:p>
        </w:tc>
        <w:tc>
          <w:tcPr>
            <w:tcW w:w="8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7"/>
              </w:rPr>
              <w:t>Certain Legal</w:t>
            </w:r>
          </w:p>
        </w:tc>
        <w:tc>
          <w:tcPr>
            <w:tcW w:w="96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8"/>
              </w:rPr>
              <w:t>Stock-based</w:t>
            </w:r>
          </w:p>
        </w:tc>
        <w:tc>
          <w:tcPr>
            <w:tcW w:w="860" w:type="dxa"/>
            <w:vAlign w:val="bottom"/>
            <w:vMerge w:val="restart"/>
          </w:tcPr>
          <w:p>
            <w:pPr>
              <w:jc w:val="center"/>
              <w:ind w:right="1"/>
              <w:spacing w:after="0"/>
              <w:rPr>
                <w:sz w:val="20"/>
                <w:szCs w:val="20"/>
                <w:color w:val="auto"/>
              </w:rPr>
            </w:pPr>
            <w:r>
              <w:rPr>
                <w:rFonts w:ascii="Arial" w:cs="Arial" w:eastAsia="Arial" w:hAnsi="Arial"/>
                <w:sz w:val="12"/>
                <w:szCs w:val="12"/>
                <w:b w:val="1"/>
                <w:bCs w:val="1"/>
                <w:color w:val="auto"/>
                <w:w w:val="97"/>
              </w:rPr>
              <w:t>Certain Tax</w:t>
            </w:r>
          </w:p>
        </w:tc>
        <w:tc>
          <w:tcPr>
            <w:tcW w:w="8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6"/>
              </w:rPr>
              <w:t>Certain</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4"/>
        </w:trPr>
        <w:tc>
          <w:tcPr>
            <w:tcW w:w="1140" w:type="dxa"/>
            <w:vAlign w:val="bottom"/>
          </w:tcPr>
          <w:p>
            <w:pPr>
              <w:ind w:left="20"/>
              <w:spacing w:after="0" w:line="114" w:lineRule="exact"/>
              <w:rPr>
                <w:sz w:val="20"/>
                <w:szCs w:val="20"/>
                <w:color w:val="auto"/>
              </w:rPr>
            </w:pPr>
            <w:r>
              <w:rPr>
                <w:rFonts w:ascii="Arial" w:cs="Arial" w:eastAsia="Arial" w:hAnsi="Arial"/>
                <w:sz w:val="12"/>
                <w:szCs w:val="12"/>
                <w:b w:val="1"/>
                <w:bCs w:val="1"/>
                <w:color w:val="auto"/>
              </w:rPr>
              <w:t>Ended</w:t>
            </w:r>
          </w:p>
        </w:tc>
        <w:tc>
          <w:tcPr>
            <w:tcW w:w="700" w:type="dxa"/>
            <w:vAlign w:val="bottom"/>
            <w:vMerge w:val="continue"/>
          </w:tcPr>
          <w:p>
            <w:pPr>
              <w:spacing w:after="0"/>
              <w:rPr>
                <w:sz w:val="9"/>
                <w:szCs w:val="9"/>
                <w:color w:val="auto"/>
              </w:rPr>
            </w:pPr>
          </w:p>
        </w:tc>
        <w:tc>
          <w:tcPr>
            <w:tcW w:w="80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6"/>
              </w:rPr>
              <w:t>Integration</w:t>
            </w:r>
          </w:p>
        </w:tc>
        <w:tc>
          <w:tcPr>
            <w:tcW w:w="920" w:type="dxa"/>
            <w:vAlign w:val="bottom"/>
            <w:vMerge w:val="continue"/>
          </w:tcPr>
          <w:p>
            <w:pPr>
              <w:spacing w:after="0"/>
              <w:rPr>
                <w:sz w:val="9"/>
                <w:szCs w:val="9"/>
                <w:color w:val="auto"/>
              </w:rPr>
            </w:pPr>
          </w:p>
        </w:tc>
        <w:tc>
          <w:tcPr>
            <w:tcW w:w="880" w:type="dxa"/>
            <w:vAlign w:val="bottom"/>
          </w:tcPr>
          <w:p>
            <w:pPr>
              <w:jc w:val="center"/>
              <w:ind w:right="21"/>
              <w:spacing w:after="0" w:line="114" w:lineRule="exact"/>
              <w:rPr>
                <w:sz w:val="20"/>
                <w:szCs w:val="20"/>
                <w:color w:val="auto"/>
              </w:rPr>
            </w:pPr>
            <w:r>
              <w:rPr>
                <w:rFonts w:ascii="Arial" w:cs="Arial" w:eastAsia="Arial" w:hAnsi="Arial"/>
                <w:sz w:val="12"/>
                <w:szCs w:val="12"/>
                <w:b w:val="1"/>
                <w:bCs w:val="1"/>
                <w:color w:val="auto"/>
                <w:w w:val="98"/>
              </w:rPr>
              <w:t>Amortization</w:t>
            </w:r>
          </w:p>
        </w:tc>
        <w:tc>
          <w:tcPr>
            <w:tcW w:w="8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9"/>
              </w:rPr>
              <w:t>&amp; Regulatory</w:t>
            </w:r>
          </w:p>
        </w:tc>
        <w:tc>
          <w:tcPr>
            <w:tcW w:w="960" w:type="dxa"/>
            <w:vAlign w:val="bottom"/>
          </w:tcPr>
          <w:p>
            <w:pPr>
              <w:jc w:val="center"/>
              <w:ind w:right="1"/>
              <w:spacing w:after="0" w:line="114" w:lineRule="exact"/>
              <w:rPr>
                <w:sz w:val="20"/>
                <w:szCs w:val="20"/>
                <w:color w:val="auto"/>
              </w:rPr>
            </w:pPr>
            <w:r>
              <w:rPr>
                <w:rFonts w:ascii="Arial" w:cs="Arial" w:eastAsia="Arial" w:hAnsi="Arial"/>
                <w:sz w:val="12"/>
                <w:szCs w:val="12"/>
                <w:b w:val="1"/>
                <w:bCs w:val="1"/>
                <w:color w:val="auto"/>
                <w:w w:val="98"/>
              </w:rPr>
              <w:t>Compensation</w:t>
            </w:r>
          </w:p>
        </w:tc>
        <w:tc>
          <w:tcPr>
            <w:tcW w:w="860" w:type="dxa"/>
            <w:vAlign w:val="bottom"/>
            <w:vMerge w:val="continue"/>
          </w:tcPr>
          <w:p>
            <w:pPr>
              <w:spacing w:after="0"/>
              <w:rPr>
                <w:sz w:val="9"/>
                <w:szCs w:val="9"/>
                <w:color w:val="auto"/>
              </w:rPr>
            </w:pPr>
          </w:p>
        </w:tc>
        <w:tc>
          <w:tcPr>
            <w:tcW w:w="8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Interest</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September 30,</w:t>
            </w:r>
          </w:p>
        </w:tc>
        <w:tc>
          <w:tcPr>
            <w:tcW w:w="7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6"/>
              </w:rPr>
              <w:t>Financial</w:t>
            </w:r>
          </w:p>
        </w:tc>
        <w:tc>
          <w:tcPr>
            <w:tcW w:w="80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6"/>
              </w:rPr>
              <w:t>Expenses</w:t>
            </w:r>
          </w:p>
        </w:tc>
        <w:tc>
          <w:tcPr>
            <w:tcW w:w="920" w:type="dxa"/>
            <w:vAlign w:val="bottom"/>
          </w:tcPr>
          <w:p>
            <w:pPr>
              <w:jc w:val="center"/>
              <w:ind w:right="21"/>
              <w:spacing w:after="0" w:line="126" w:lineRule="exact"/>
              <w:rPr>
                <w:sz w:val="20"/>
                <w:szCs w:val="20"/>
                <w:color w:val="auto"/>
              </w:rPr>
            </w:pPr>
            <w:r>
              <w:rPr>
                <w:rFonts w:ascii="Arial" w:cs="Arial" w:eastAsia="Arial" w:hAnsi="Arial"/>
                <w:sz w:val="12"/>
                <w:szCs w:val="12"/>
                <w:b w:val="1"/>
                <w:bCs w:val="1"/>
                <w:color w:val="auto"/>
                <w:w w:val="99"/>
              </w:rPr>
              <w:t>Expenses</w:t>
            </w:r>
          </w:p>
        </w:tc>
        <w:tc>
          <w:tcPr>
            <w:tcW w:w="880" w:type="dxa"/>
            <w:vAlign w:val="bottom"/>
          </w:tcPr>
          <w:p>
            <w:pPr>
              <w:jc w:val="center"/>
              <w:ind w:right="41"/>
              <w:spacing w:after="0" w:line="126" w:lineRule="exact"/>
              <w:rPr>
                <w:sz w:val="20"/>
                <w:szCs w:val="20"/>
                <w:color w:val="auto"/>
              </w:rPr>
            </w:pPr>
            <w:r>
              <w:rPr>
                <w:rFonts w:ascii="Arial" w:cs="Arial" w:eastAsia="Arial" w:hAnsi="Arial"/>
                <w:sz w:val="12"/>
                <w:szCs w:val="12"/>
                <w:b w:val="1"/>
                <w:bCs w:val="1"/>
                <w:color w:val="auto"/>
                <w:w w:val="96"/>
              </w:rPr>
              <w:t>Expenses</w:t>
            </w:r>
          </w:p>
        </w:tc>
        <w:tc>
          <w:tcPr>
            <w:tcW w:w="800" w:type="dxa"/>
            <w:vAlign w:val="bottom"/>
          </w:tcPr>
          <w:p>
            <w:pPr>
              <w:jc w:val="right"/>
              <w:ind w:right="61"/>
              <w:spacing w:after="0" w:line="126" w:lineRule="exact"/>
              <w:rPr>
                <w:sz w:val="20"/>
                <w:szCs w:val="20"/>
                <w:color w:val="auto"/>
              </w:rPr>
            </w:pPr>
            <w:r>
              <w:rPr>
                <w:rFonts w:ascii="Arial" w:cs="Arial" w:eastAsia="Arial" w:hAnsi="Arial"/>
                <w:sz w:val="12"/>
                <w:szCs w:val="12"/>
                <w:b w:val="1"/>
                <w:bCs w:val="1"/>
                <w:color w:val="auto"/>
              </w:rPr>
              <w:t>Impairment</w:t>
            </w:r>
          </w:p>
        </w:tc>
        <w:tc>
          <w:tcPr>
            <w:tcW w:w="86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6"/>
              </w:rPr>
              <w:t>Transactions</w:t>
            </w:r>
          </w:p>
        </w:tc>
        <w:tc>
          <w:tcPr>
            <w:tcW w:w="9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6"/>
              </w:rPr>
              <w:t>Consideration</w:t>
            </w:r>
          </w:p>
        </w:tc>
        <w:tc>
          <w:tcPr>
            <w:tcW w:w="8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Costs</w:t>
            </w:r>
          </w:p>
        </w:tc>
        <w:tc>
          <w:tcPr>
            <w:tcW w:w="960" w:type="dxa"/>
            <w:vAlign w:val="bottom"/>
          </w:tcPr>
          <w:p>
            <w:pPr>
              <w:jc w:val="center"/>
              <w:ind w:right="21"/>
              <w:spacing w:after="0" w:line="126" w:lineRule="exact"/>
              <w:rPr>
                <w:sz w:val="20"/>
                <w:szCs w:val="20"/>
                <w:color w:val="auto"/>
              </w:rPr>
            </w:pPr>
            <w:r>
              <w:rPr>
                <w:rFonts w:ascii="Arial" w:cs="Arial" w:eastAsia="Arial" w:hAnsi="Arial"/>
                <w:sz w:val="12"/>
                <w:szCs w:val="12"/>
                <w:b w:val="1"/>
                <w:bCs w:val="1"/>
                <w:color w:val="auto"/>
                <w:w w:val="95"/>
              </w:rPr>
              <w:t>Costs</w:t>
            </w:r>
          </w:p>
        </w:tc>
        <w:tc>
          <w:tcPr>
            <w:tcW w:w="860" w:type="dxa"/>
            <w:vAlign w:val="bottom"/>
          </w:tcPr>
          <w:p>
            <w:pPr>
              <w:jc w:val="center"/>
              <w:ind w:right="21"/>
              <w:spacing w:after="0" w:line="126" w:lineRule="exact"/>
              <w:rPr>
                <w:sz w:val="20"/>
                <w:szCs w:val="20"/>
                <w:color w:val="auto"/>
              </w:rPr>
            </w:pPr>
            <w:r>
              <w:rPr>
                <w:rFonts w:ascii="Arial" w:cs="Arial" w:eastAsia="Arial" w:hAnsi="Arial"/>
                <w:sz w:val="12"/>
                <w:szCs w:val="12"/>
                <w:b w:val="1"/>
                <w:bCs w:val="1"/>
                <w:color w:val="auto"/>
                <w:w w:val="96"/>
              </w:rPr>
              <w:t>Adjustments</w:t>
            </w:r>
          </w:p>
        </w:tc>
        <w:tc>
          <w:tcPr>
            <w:tcW w:w="86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9"/>
              </w:rPr>
              <w:t>Adjustments</w:t>
            </w:r>
          </w:p>
        </w:tc>
        <w:tc>
          <w:tcPr>
            <w:tcW w:w="72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59"/>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2022</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20" w:type="dxa"/>
            <w:vAlign w:val="bottom"/>
            <w:tcBorders>
              <w:bottom w:val="single" w:sz="8" w:color="auto"/>
            </w:tcBorders>
          </w:tcPr>
          <w:p>
            <w:pPr>
              <w:jc w:val="center"/>
              <w:ind w:right="1"/>
              <w:spacing w:after="0"/>
              <w:rPr>
                <w:sz w:val="20"/>
                <w:szCs w:val="20"/>
                <w:color w:val="auto"/>
              </w:rPr>
            </w:pPr>
            <w:r>
              <w:rPr>
                <w:rFonts w:ascii="Arial" w:cs="Arial" w:eastAsia="Arial" w:hAnsi="Arial"/>
                <w:sz w:val="12"/>
                <w:szCs w:val="12"/>
                <w:b w:val="1"/>
                <w:bCs w:val="1"/>
                <w:color w:val="auto"/>
              </w:rPr>
              <w:t>(B)</w:t>
            </w: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2"/>
                <w:szCs w:val="12"/>
                <w:b w:val="1"/>
                <w:bCs w:val="1"/>
                <w:color w:val="auto"/>
                <w:w w:val="95"/>
              </w:rPr>
              <w:t>(C)</w:t>
            </w: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auto"/>
            </w:tcBorders>
          </w:tcPr>
          <w:p>
            <w:pPr>
              <w:jc w:val="center"/>
              <w:ind w:right="1"/>
              <w:spacing w:after="0"/>
              <w:rPr>
                <w:sz w:val="20"/>
                <w:szCs w:val="20"/>
                <w:color w:val="auto"/>
              </w:rPr>
            </w:pPr>
            <w:r>
              <w:rPr>
                <w:rFonts w:ascii="Arial" w:cs="Arial" w:eastAsia="Arial" w:hAnsi="Arial"/>
                <w:sz w:val="12"/>
                <w:szCs w:val="12"/>
                <w:b w:val="1"/>
                <w:bCs w:val="1"/>
                <w:color w:val="auto"/>
                <w:w w:val="99"/>
              </w:rPr>
              <w:t>(E)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(F)</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960" w:type="dxa"/>
            <w:vAlign w:val="bottom"/>
            <w:tcBorders>
              <w:bottom w:val="single" w:sz="8" w:color="auto"/>
            </w:tcBorders>
          </w:tcPr>
          <w:p>
            <w:pPr>
              <w:jc w:val="center"/>
              <w:ind w:right="1"/>
              <w:spacing w:after="0"/>
              <w:rPr>
                <w:sz w:val="20"/>
                <w:szCs w:val="20"/>
                <w:color w:val="auto"/>
              </w:rPr>
            </w:pPr>
            <w:r>
              <w:rPr>
                <w:rFonts w:ascii="Arial" w:cs="Arial" w:eastAsia="Arial" w:hAnsi="Arial"/>
                <w:sz w:val="12"/>
                <w:szCs w:val="12"/>
                <w:b w:val="1"/>
                <w:bCs w:val="1"/>
                <w:color w:val="auto"/>
              </w:rPr>
              <w:t>(H)</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(I)</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(J)</w:t>
            </w: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76"/>
        </w:trPr>
        <w:tc>
          <w:tcPr>
            <w:tcW w:w="114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700" w:type="dxa"/>
            <w:vAlign w:val="bottom"/>
          </w:tcPr>
          <w:p>
            <w:pPr>
              <w:jc w:val="right"/>
              <w:ind w:right="101"/>
              <w:spacing w:after="0"/>
              <w:rPr>
                <w:sz w:val="20"/>
                <w:szCs w:val="20"/>
                <w:color w:val="auto"/>
              </w:rPr>
            </w:pPr>
            <w:r>
              <w:rPr>
                <w:rFonts w:ascii="Arial" w:cs="Arial" w:eastAsia="Arial" w:hAnsi="Arial"/>
                <w:sz w:val="12"/>
                <w:szCs w:val="12"/>
                <w:color w:val="auto"/>
              </w:rPr>
              <w:t>$223.2</w:t>
            </w:r>
          </w:p>
        </w:tc>
        <w:tc>
          <w:tcPr>
            <w:tcW w:w="80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($10.9)</w:t>
            </w:r>
          </w:p>
        </w:tc>
        <w:tc>
          <w:tcPr>
            <w:tcW w:w="800" w:type="dxa"/>
            <w:vAlign w:val="bottom"/>
          </w:tcPr>
          <w:p>
            <w:pPr>
              <w:jc w:val="right"/>
              <w:ind w:right="141"/>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$12.6</w:t>
            </w:r>
          </w:p>
        </w:tc>
        <w:tc>
          <w:tcPr>
            <w:tcW w:w="82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($1.2)</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$223.7</w:t>
            </w:r>
          </w:p>
        </w:tc>
        <w:tc>
          <w:tcPr>
            <w:tcW w:w="0" w:type="dxa"/>
            <w:vAlign w:val="bottom"/>
          </w:tcPr>
          <w:p>
            <w:pPr>
              <w:spacing w:after="0"/>
              <w:rPr>
                <w:sz w:val="1"/>
                <w:szCs w:val="1"/>
                <w:color w:val="auto"/>
              </w:rPr>
            </w:pPr>
          </w:p>
        </w:tc>
      </w:tr>
      <w:tr>
        <w:trPr>
          <w:trHeight w:val="167"/>
        </w:trPr>
        <w:tc>
          <w:tcPr>
            <w:tcW w:w="114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percent</w:t>
            </w:r>
          </w:p>
        </w:tc>
        <w:tc>
          <w:tcPr>
            <w:tcW w:w="700" w:type="dxa"/>
            <w:vAlign w:val="bottom"/>
          </w:tcPr>
          <w:p>
            <w:pPr>
              <w:jc w:val="right"/>
              <w:spacing w:after="0"/>
              <w:rPr>
                <w:sz w:val="20"/>
                <w:szCs w:val="20"/>
                <w:color w:val="auto"/>
              </w:rPr>
            </w:pPr>
            <w:r>
              <w:rPr>
                <w:rFonts w:ascii="Arial" w:cs="Arial" w:eastAsia="Arial" w:hAnsi="Arial"/>
                <w:sz w:val="12"/>
                <w:szCs w:val="12"/>
                <w:color w:val="auto"/>
              </w:rPr>
              <w:t>70.1 %</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 %</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1.5 %</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6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(1.7)%</w:t>
            </w:r>
          </w:p>
        </w:tc>
        <w:tc>
          <w:tcPr>
            <w:tcW w:w="820" w:type="dxa"/>
            <w:vAlign w:val="bottom"/>
          </w:tcPr>
          <w:p>
            <w:pPr>
              <w:jc w:val="right"/>
              <w:spacing w:after="0"/>
              <w:rPr>
                <w:sz w:val="20"/>
                <w:szCs w:val="20"/>
                <w:color w:val="auto"/>
              </w:rPr>
            </w:pPr>
            <w:r>
              <w:rPr>
                <w:rFonts w:ascii="Arial" w:cs="Arial" w:eastAsia="Arial" w:hAnsi="Arial"/>
                <w:sz w:val="12"/>
                <w:szCs w:val="12"/>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0.2 %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720" w:type="dxa"/>
            <w:vAlign w:val="bottom"/>
          </w:tcPr>
          <w:p>
            <w:pPr>
              <w:jc w:val="right"/>
              <w:spacing w:after="0"/>
              <w:rPr>
                <w:sz w:val="20"/>
                <w:szCs w:val="20"/>
                <w:color w:val="auto"/>
              </w:rPr>
            </w:pPr>
            <w:r>
              <w:rPr>
                <w:rFonts w:ascii="Arial" w:cs="Arial" w:eastAsia="Arial" w:hAnsi="Arial"/>
                <w:sz w:val="12"/>
                <w:szCs w:val="12"/>
                <w:color w:val="auto"/>
              </w:rPr>
              <w:t>70.0 %</w:t>
            </w:r>
          </w:p>
        </w:tc>
        <w:tc>
          <w:tcPr>
            <w:tcW w:w="0" w:type="dxa"/>
            <w:vAlign w:val="bottom"/>
          </w:tcPr>
          <w:p>
            <w:pPr>
              <w:spacing w:after="0"/>
              <w:rPr>
                <w:sz w:val="1"/>
                <w:szCs w:val="1"/>
                <w:color w:val="auto"/>
              </w:rPr>
            </w:pPr>
          </w:p>
        </w:tc>
      </w:tr>
      <w:tr>
        <w:trPr>
          <w:trHeight w:val="154"/>
        </w:trPr>
        <w:tc>
          <w:tcPr>
            <w:tcW w:w="1140" w:type="dxa"/>
            <w:vAlign w:val="bottom"/>
          </w:tcPr>
          <w:p>
            <w:pPr>
              <w:ind w:left="20"/>
              <w:spacing w:after="0"/>
              <w:rPr>
                <w:sz w:val="20"/>
                <w:szCs w:val="20"/>
                <w:color w:val="auto"/>
              </w:rPr>
            </w:pPr>
            <w:r>
              <w:rPr>
                <w:rFonts w:ascii="Arial" w:cs="Arial" w:eastAsia="Arial" w:hAnsi="Arial"/>
                <w:sz w:val="13"/>
                <w:szCs w:val="13"/>
                <w:color w:val="auto"/>
              </w:rPr>
              <w:t>Selling, general</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3"/>
                <w:szCs w:val="13"/>
                <w:color w:val="auto"/>
              </w:rPr>
              <w:t>and</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administrative</w:t>
            </w:r>
          </w:p>
        </w:tc>
        <w:tc>
          <w:tcPr>
            <w:tcW w:w="700" w:type="dxa"/>
            <w:vAlign w:val="bottom"/>
          </w:tcPr>
          <w:p>
            <w:pPr>
              <w:jc w:val="right"/>
              <w:ind w:right="101"/>
              <w:spacing w:after="0"/>
              <w:rPr>
                <w:sz w:val="20"/>
                <w:szCs w:val="20"/>
                <w:color w:val="auto"/>
              </w:rPr>
            </w:pPr>
            <w:r>
              <w:rPr>
                <w:rFonts w:ascii="Arial" w:cs="Arial" w:eastAsia="Arial" w:hAnsi="Arial"/>
                <w:sz w:val="12"/>
                <w:szCs w:val="12"/>
                <w:color w:val="auto"/>
              </w:rPr>
              <w:t>349.6</w:t>
            </w:r>
          </w:p>
        </w:tc>
        <w:tc>
          <w:tcPr>
            <w:tcW w:w="80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(8.6)</w:t>
            </w:r>
          </w:p>
        </w:tc>
        <w:tc>
          <w:tcPr>
            <w:tcW w:w="80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60" w:type="dxa"/>
            <w:vAlign w:val="bottom"/>
          </w:tcPr>
          <w:p>
            <w:pPr>
              <w:ind w:left="5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(15.4)</w:t>
            </w: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(24.2)</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301.5</w:t>
            </w:r>
          </w:p>
        </w:tc>
        <w:tc>
          <w:tcPr>
            <w:tcW w:w="0" w:type="dxa"/>
            <w:vAlign w:val="bottom"/>
          </w:tcPr>
          <w:p>
            <w:pPr>
              <w:spacing w:after="0"/>
              <w:rPr>
                <w:sz w:val="1"/>
                <w:szCs w:val="1"/>
                <w:color w:val="auto"/>
              </w:rPr>
            </w:pPr>
          </w:p>
        </w:tc>
      </w:tr>
      <w:tr>
        <w:trPr>
          <w:trHeight w:val="167"/>
        </w:trPr>
        <w:tc>
          <w:tcPr>
            <w:tcW w:w="1140" w:type="dxa"/>
            <w:vAlign w:val="bottom"/>
          </w:tcPr>
          <w:p>
            <w:pPr>
              <w:ind w:left="20"/>
              <w:spacing w:after="0"/>
              <w:rPr>
                <w:sz w:val="20"/>
                <w:szCs w:val="20"/>
                <w:color w:val="auto"/>
              </w:rPr>
            </w:pPr>
            <w:r>
              <w:rPr>
                <w:rFonts w:ascii="Arial" w:cs="Arial" w:eastAsia="Arial" w:hAnsi="Arial"/>
                <w:sz w:val="13"/>
                <w:szCs w:val="13"/>
                <w:color w:val="auto"/>
              </w:rPr>
              <w:t>Selling, general</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3"/>
                <w:szCs w:val="13"/>
                <w:color w:val="auto"/>
              </w:rPr>
              <w:t>and</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9" w:lineRule="exact"/>
              <w:rPr>
                <w:sz w:val="20"/>
                <w:szCs w:val="20"/>
                <w:color w:val="auto"/>
              </w:rPr>
            </w:pPr>
            <w:r>
              <w:rPr>
                <w:rFonts w:ascii="Arial" w:cs="Arial" w:eastAsia="Arial" w:hAnsi="Arial"/>
                <w:sz w:val="13"/>
                <w:szCs w:val="13"/>
                <w:color w:val="auto"/>
              </w:rPr>
              <w:t>administrative as</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9" w:lineRule="exact"/>
              <w:rPr>
                <w:sz w:val="20"/>
                <w:szCs w:val="20"/>
                <w:color w:val="auto"/>
              </w:rPr>
            </w:pPr>
            <w:r>
              <w:rPr>
                <w:rFonts w:ascii="Arial" w:cs="Arial" w:eastAsia="Arial" w:hAnsi="Arial"/>
                <w:sz w:val="13"/>
                <w:szCs w:val="13"/>
                <w:color w:val="auto"/>
              </w:rPr>
              <w:t>a percent of net</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revenue</w:t>
            </w:r>
          </w:p>
        </w:tc>
        <w:tc>
          <w:tcPr>
            <w:tcW w:w="700" w:type="dxa"/>
            <w:vAlign w:val="bottom"/>
          </w:tcPr>
          <w:p>
            <w:pPr>
              <w:jc w:val="right"/>
              <w:spacing w:after="0"/>
              <w:rPr>
                <w:sz w:val="20"/>
                <w:szCs w:val="20"/>
                <w:color w:val="auto"/>
              </w:rPr>
            </w:pPr>
            <w:r>
              <w:rPr>
                <w:rFonts w:ascii="Arial" w:cs="Arial" w:eastAsia="Arial" w:hAnsi="Arial"/>
                <w:sz w:val="12"/>
                <w:szCs w:val="12"/>
                <w:color w:val="auto"/>
              </w:rPr>
              <w:t>46.8 %</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 %</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(1.1)%</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6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20" w:type="dxa"/>
            <w:vAlign w:val="bottom"/>
          </w:tcPr>
          <w:p>
            <w:pPr>
              <w:jc w:val="right"/>
              <w:spacing w:after="0"/>
              <w:rPr>
                <w:sz w:val="20"/>
                <w:szCs w:val="20"/>
                <w:color w:val="auto"/>
              </w:rPr>
            </w:pPr>
            <w:r>
              <w:rPr>
                <w:rFonts w:ascii="Arial" w:cs="Arial" w:eastAsia="Arial" w:hAnsi="Arial"/>
                <w:sz w:val="12"/>
                <w:szCs w:val="12"/>
                <w:color w:val="auto"/>
              </w:rPr>
              <w:t>(2.1)%</w:t>
            </w:r>
          </w:p>
        </w:tc>
        <w:tc>
          <w:tcPr>
            <w:tcW w:w="960" w:type="dxa"/>
            <w:vAlign w:val="bottom"/>
          </w:tcPr>
          <w:p>
            <w:pPr>
              <w:jc w:val="right"/>
              <w:spacing w:after="0"/>
              <w:rPr>
                <w:sz w:val="20"/>
                <w:szCs w:val="20"/>
                <w:color w:val="auto"/>
              </w:rPr>
            </w:pPr>
            <w:r>
              <w:rPr>
                <w:rFonts w:ascii="Arial" w:cs="Arial" w:eastAsia="Arial" w:hAnsi="Arial"/>
                <w:sz w:val="12"/>
                <w:szCs w:val="12"/>
                <w:color w:val="auto"/>
              </w:rPr>
              <w:t>(3.2)%</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720" w:type="dxa"/>
            <w:vAlign w:val="bottom"/>
          </w:tcPr>
          <w:p>
            <w:pPr>
              <w:jc w:val="right"/>
              <w:spacing w:after="0"/>
              <w:rPr>
                <w:sz w:val="20"/>
                <w:szCs w:val="20"/>
                <w:color w:val="auto"/>
              </w:rPr>
            </w:pPr>
            <w:r>
              <w:rPr>
                <w:rFonts w:ascii="Arial" w:cs="Arial" w:eastAsia="Arial" w:hAnsi="Arial"/>
                <w:sz w:val="12"/>
                <w:szCs w:val="12"/>
                <w:color w:val="auto"/>
              </w:rPr>
              <w:t>40.4 %</w:t>
            </w:r>
          </w:p>
        </w:tc>
        <w:tc>
          <w:tcPr>
            <w:tcW w:w="0" w:type="dxa"/>
            <w:vAlign w:val="bottom"/>
          </w:tcPr>
          <w:p>
            <w:pPr>
              <w:spacing w:after="0"/>
              <w:rPr>
                <w:sz w:val="1"/>
                <w:szCs w:val="1"/>
                <w:color w:val="auto"/>
              </w:rPr>
            </w:pPr>
          </w:p>
        </w:tc>
      </w:tr>
      <w:tr>
        <w:trPr>
          <w:trHeight w:val="154"/>
        </w:trPr>
        <w:tc>
          <w:tcPr>
            <w:tcW w:w="1140" w:type="dxa"/>
            <w:vAlign w:val="bottom"/>
          </w:tcPr>
          <w:p>
            <w:pPr>
              <w:ind w:left="20"/>
              <w:spacing w:after="0"/>
              <w:rPr>
                <w:sz w:val="20"/>
                <w:szCs w:val="20"/>
                <w:color w:val="auto"/>
              </w:rPr>
            </w:pPr>
            <w:r>
              <w:rPr>
                <w:rFonts w:ascii="Arial" w:cs="Arial" w:eastAsia="Arial" w:hAnsi="Arial"/>
                <w:sz w:val="13"/>
                <w:szCs w:val="13"/>
                <w:color w:val="auto"/>
              </w:rPr>
              <w:t>Research and</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development</w:t>
            </w:r>
          </w:p>
        </w:tc>
        <w:tc>
          <w:tcPr>
            <w:tcW w:w="700" w:type="dxa"/>
            <w:vAlign w:val="bottom"/>
          </w:tcPr>
          <w:p>
            <w:pPr>
              <w:jc w:val="right"/>
              <w:ind w:right="101"/>
              <w:spacing w:after="0"/>
              <w:rPr>
                <w:sz w:val="20"/>
                <w:szCs w:val="20"/>
                <w:color w:val="auto"/>
              </w:rPr>
            </w:pPr>
            <w:r>
              <w:rPr>
                <w:rFonts w:ascii="Arial" w:cs="Arial" w:eastAsia="Arial" w:hAnsi="Arial"/>
                <w:sz w:val="12"/>
                <w:szCs w:val="12"/>
                <w:color w:val="auto"/>
              </w:rPr>
              <w:t>110.9</w:t>
            </w:r>
          </w:p>
        </w:tc>
        <w:tc>
          <w:tcPr>
            <w:tcW w:w="80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0.2</w:t>
            </w:r>
          </w:p>
        </w:tc>
        <w:tc>
          <w:tcPr>
            <w:tcW w:w="80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60" w:type="dxa"/>
            <w:vAlign w:val="bottom"/>
          </w:tcPr>
          <w:p>
            <w:pPr>
              <w:ind w:left="5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20.8</w:t>
            </w: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(1.4)</w:t>
            </w:r>
          </w:p>
        </w:tc>
        <w:tc>
          <w:tcPr>
            <w:tcW w:w="960" w:type="dxa"/>
            <w:vAlign w:val="bottom"/>
          </w:tcPr>
          <w:p>
            <w:pPr>
              <w:jc w:val="right"/>
              <w:ind w:right="101"/>
              <w:spacing w:after="0"/>
              <w:rPr>
                <w:sz w:val="20"/>
                <w:szCs w:val="20"/>
                <w:color w:val="auto"/>
              </w:rPr>
            </w:pPr>
            <w:r>
              <w:rPr>
                <w:rFonts w:ascii="Arial" w:cs="Arial" w:eastAsia="Arial" w:hAnsi="Arial"/>
                <w:sz w:val="12"/>
                <w:szCs w:val="12"/>
                <w:color w:val="auto"/>
              </w:rPr>
              <w:t>(7.1)</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123.3</w:t>
            </w:r>
          </w:p>
        </w:tc>
        <w:tc>
          <w:tcPr>
            <w:tcW w:w="0" w:type="dxa"/>
            <w:vAlign w:val="bottom"/>
          </w:tcPr>
          <w:p>
            <w:pPr>
              <w:spacing w:after="0"/>
              <w:rPr>
                <w:sz w:val="1"/>
                <w:szCs w:val="1"/>
                <w:color w:val="auto"/>
              </w:rPr>
            </w:pPr>
          </w:p>
        </w:tc>
      </w:tr>
      <w:tr>
        <w:trPr>
          <w:trHeight w:val="154"/>
        </w:trPr>
        <w:tc>
          <w:tcPr>
            <w:tcW w:w="1140" w:type="dxa"/>
            <w:vAlign w:val="bottom"/>
          </w:tcPr>
          <w:p>
            <w:pPr>
              <w:ind w:left="20"/>
              <w:spacing w:after="0"/>
              <w:rPr>
                <w:sz w:val="20"/>
                <w:szCs w:val="20"/>
                <w:color w:val="auto"/>
              </w:rPr>
            </w:pPr>
            <w:r>
              <w:rPr>
                <w:rFonts w:ascii="Arial" w:cs="Arial" w:eastAsia="Arial" w:hAnsi="Arial"/>
                <w:sz w:val="13"/>
                <w:szCs w:val="13"/>
                <w:color w:val="auto"/>
              </w:rPr>
              <w:t>Research and</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3"/>
                <w:szCs w:val="13"/>
                <w:color w:val="auto"/>
              </w:rPr>
              <w:t>development as a</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9" w:lineRule="exact"/>
              <w:rPr>
                <w:sz w:val="20"/>
                <w:szCs w:val="20"/>
                <w:color w:val="auto"/>
              </w:rPr>
            </w:pPr>
            <w:r>
              <w:rPr>
                <w:rFonts w:ascii="Arial" w:cs="Arial" w:eastAsia="Arial" w:hAnsi="Arial"/>
                <w:sz w:val="13"/>
                <w:szCs w:val="13"/>
                <w:color w:val="auto"/>
              </w:rPr>
              <w:t>percent of net</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revenue</w:t>
            </w:r>
          </w:p>
        </w:tc>
        <w:tc>
          <w:tcPr>
            <w:tcW w:w="700" w:type="dxa"/>
            <w:vAlign w:val="bottom"/>
          </w:tcPr>
          <w:p>
            <w:pPr>
              <w:jc w:val="right"/>
              <w:spacing w:after="0"/>
              <w:rPr>
                <w:sz w:val="20"/>
                <w:szCs w:val="20"/>
                <w:color w:val="auto"/>
              </w:rPr>
            </w:pPr>
            <w:r>
              <w:rPr>
                <w:rFonts w:ascii="Arial" w:cs="Arial" w:eastAsia="Arial" w:hAnsi="Arial"/>
                <w:sz w:val="12"/>
                <w:szCs w:val="12"/>
                <w:color w:val="auto"/>
              </w:rPr>
              <w:t>14.8 %</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 %</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 %</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6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2.8 %</w:t>
            </w:r>
          </w:p>
        </w:tc>
        <w:tc>
          <w:tcPr>
            <w:tcW w:w="820" w:type="dxa"/>
            <w:vAlign w:val="bottom"/>
          </w:tcPr>
          <w:p>
            <w:pPr>
              <w:jc w:val="right"/>
              <w:spacing w:after="0"/>
              <w:rPr>
                <w:sz w:val="20"/>
                <w:szCs w:val="20"/>
                <w:color w:val="auto"/>
              </w:rPr>
            </w:pPr>
            <w:r>
              <w:rPr>
                <w:rFonts w:ascii="Arial" w:cs="Arial" w:eastAsia="Arial" w:hAnsi="Arial"/>
                <w:sz w:val="12"/>
                <w:szCs w:val="12"/>
                <w:color w:val="auto"/>
              </w:rPr>
              <w:t>(0.2)%</w:t>
            </w:r>
          </w:p>
        </w:tc>
        <w:tc>
          <w:tcPr>
            <w:tcW w:w="960" w:type="dxa"/>
            <w:vAlign w:val="bottom"/>
          </w:tcPr>
          <w:p>
            <w:pPr>
              <w:jc w:val="right"/>
              <w:spacing w:after="0"/>
              <w:rPr>
                <w:sz w:val="20"/>
                <w:szCs w:val="20"/>
                <w:color w:val="auto"/>
              </w:rPr>
            </w:pPr>
            <w:r>
              <w:rPr>
                <w:rFonts w:ascii="Arial" w:cs="Arial" w:eastAsia="Arial" w:hAnsi="Arial"/>
                <w:sz w:val="12"/>
                <w:szCs w:val="12"/>
                <w:color w:val="auto"/>
              </w:rPr>
              <w:t>(1.0)%</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720" w:type="dxa"/>
            <w:vAlign w:val="bottom"/>
          </w:tcPr>
          <w:p>
            <w:pPr>
              <w:jc w:val="right"/>
              <w:spacing w:after="0"/>
              <w:rPr>
                <w:sz w:val="20"/>
                <w:szCs w:val="20"/>
                <w:color w:val="auto"/>
              </w:rPr>
            </w:pPr>
            <w:r>
              <w:rPr>
                <w:rFonts w:ascii="Arial" w:cs="Arial" w:eastAsia="Arial" w:hAnsi="Arial"/>
                <w:sz w:val="12"/>
                <w:szCs w:val="12"/>
                <w:color w:val="auto"/>
              </w:rPr>
              <w:t>16.5 %</w:t>
            </w:r>
          </w:p>
        </w:tc>
        <w:tc>
          <w:tcPr>
            <w:tcW w:w="0" w:type="dxa"/>
            <w:vAlign w:val="bottom"/>
          </w:tcPr>
          <w:p>
            <w:pPr>
              <w:spacing w:after="0"/>
              <w:rPr>
                <w:sz w:val="1"/>
                <w:szCs w:val="1"/>
                <w:color w:val="auto"/>
              </w:rPr>
            </w:pPr>
          </w:p>
        </w:tc>
      </w:tr>
      <w:tr>
        <w:trPr>
          <w:trHeight w:val="167"/>
        </w:trPr>
        <w:tc>
          <w:tcPr>
            <w:tcW w:w="1140" w:type="dxa"/>
            <w:vAlign w:val="bottom"/>
          </w:tcPr>
          <w:p>
            <w:pPr>
              <w:ind w:left="20"/>
              <w:spacing w:after="0"/>
              <w:rPr>
                <w:sz w:val="20"/>
                <w:szCs w:val="20"/>
                <w:color w:val="auto"/>
              </w:rPr>
            </w:pPr>
            <w:r>
              <w:rPr>
                <w:rFonts w:ascii="Arial" w:cs="Arial" w:eastAsia="Arial" w:hAnsi="Arial"/>
                <w:sz w:val="13"/>
                <w:szCs w:val="13"/>
                <w:color w:val="auto"/>
              </w:rPr>
              <w:t>Other operating</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expenses</w:t>
            </w:r>
          </w:p>
        </w:tc>
        <w:tc>
          <w:tcPr>
            <w:tcW w:w="700" w:type="dxa"/>
            <w:vAlign w:val="bottom"/>
          </w:tcPr>
          <w:p>
            <w:pPr>
              <w:jc w:val="right"/>
              <w:ind w:right="101"/>
              <w:spacing w:after="0"/>
              <w:rPr>
                <w:sz w:val="20"/>
                <w:szCs w:val="20"/>
                <w:color w:val="auto"/>
              </w:rPr>
            </w:pPr>
            <w:r>
              <w:rPr>
                <w:rFonts w:ascii="Arial" w:cs="Arial" w:eastAsia="Arial" w:hAnsi="Arial"/>
                <w:sz w:val="12"/>
                <w:szCs w:val="12"/>
                <w:color w:val="auto"/>
              </w:rPr>
              <w:t>24.5</w:t>
            </w:r>
          </w:p>
        </w:tc>
        <w:tc>
          <w:tcPr>
            <w:tcW w:w="800" w:type="dxa"/>
            <w:vAlign w:val="bottom"/>
          </w:tcPr>
          <w:p>
            <w:pPr>
              <w:jc w:val="right"/>
              <w:ind w:right="81"/>
              <w:spacing w:after="0"/>
              <w:rPr>
                <w:sz w:val="20"/>
                <w:szCs w:val="20"/>
                <w:color w:val="auto"/>
              </w:rPr>
            </w:pPr>
            <w:r>
              <w:rPr>
                <w:rFonts w:ascii="Arial" w:cs="Arial" w:eastAsia="Arial" w:hAnsi="Arial"/>
                <w:sz w:val="12"/>
                <w:szCs w:val="12"/>
                <w:color w:val="auto"/>
              </w:rPr>
              <w:t>(0.5)</w:t>
            </w: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(4.6)</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60" w:type="dxa"/>
            <w:vAlign w:val="bottom"/>
          </w:tcPr>
          <w:p>
            <w:pPr>
              <w:ind w:left="5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01"/>
              <w:spacing w:after="0"/>
              <w:rPr>
                <w:sz w:val="20"/>
                <w:szCs w:val="20"/>
                <w:color w:val="auto"/>
              </w:rPr>
            </w:pPr>
            <w:r>
              <w:rPr>
                <w:rFonts w:ascii="Arial" w:cs="Arial" w:eastAsia="Arial" w:hAnsi="Arial"/>
                <w:sz w:val="12"/>
                <w:szCs w:val="12"/>
                <w:color w:val="auto"/>
              </w:rPr>
              <w:t>(19.5)</w:t>
            </w:r>
          </w:p>
        </w:tc>
        <w:tc>
          <w:tcPr>
            <w:tcW w:w="9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140" w:type="dxa"/>
            <w:vAlign w:val="bottom"/>
          </w:tcPr>
          <w:p>
            <w:pPr>
              <w:ind w:left="20"/>
              <w:spacing w:after="0"/>
              <w:rPr>
                <w:sz w:val="20"/>
                <w:szCs w:val="20"/>
                <w:color w:val="auto"/>
              </w:rPr>
            </w:pPr>
            <w:r>
              <w:rPr>
                <w:rFonts w:ascii="Arial" w:cs="Arial" w:eastAsia="Arial" w:hAnsi="Arial"/>
                <w:sz w:val="13"/>
                <w:szCs w:val="13"/>
                <w:color w:val="auto"/>
              </w:rPr>
              <w:t>Operating (loss)</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income</w:t>
            </w:r>
          </w:p>
        </w:tc>
        <w:tc>
          <w:tcPr>
            <w:tcW w:w="700" w:type="dxa"/>
            <w:vAlign w:val="bottom"/>
          </w:tcPr>
          <w:p>
            <w:pPr>
              <w:jc w:val="right"/>
              <w:ind w:right="81"/>
              <w:spacing w:after="0"/>
              <w:rPr>
                <w:sz w:val="20"/>
                <w:szCs w:val="20"/>
                <w:color w:val="auto"/>
              </w:rPr>
            </w:pPr>
            <w:r>
              <w:rPr>
                <w:rFonts w:ascii="Arial" w:cs="Arial" w:eastAsia="Arial" w:hAnsi="Arial"/>
                <w:sz w:val="12"/>
                <w:szCs w:val="12"/>
                <w:color w:val="auto"/>
              </w:rPr>
              <w:t>(90.7)</w:t>
            </w:r>
          </w:p>
        </w:tc>
        <w:tc>
          <w:tcPr>
            <w:tcW w:w="800" w:type="dxa"/>
            <w:vAlign w:val="bottom"/>
          </w:tcPr>
          <w:p>
            <w:pPr>
              <w:jc w:val="right"/>
              <w:ind w:right="121"/>
              <w:spacing w:after="0"/>
              <w:rPr>
                <w:sz w:val="20"/>
                <w:szCs w:val="20"/>
                <w:color w:val="auto"/>
              </w:rPr>
            </w:pPr>
            <w:r>
              <w:rPr>
                <w:rFonts w:ascii="Arial" w:cs="Arial" w:eastAsia="Arial" w:hAnsi="Arial"/>
                <w:sz w:val="12"/>
                <w:szCs w:val="12"/>
                <w:color w:val="auto"/>
              </w:rPr>
              <w:t>0.5</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4.6</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19.3</w:t>
            </w:r>
          </w:p>
        </w:tc>
        <w:tc>
          <w:tcPr>
            <w:tcW w:w="800" w:type="dxa"/>
            <w:vAlign w:val="bottom"/>
          </w:tcPr>
          <w:p>
            <w:pPr>
              <w:jc w:val="right"/>
              <w:ind w:right="141"/>
              <w:spacing w:after="0"/>
              <w:rPr>
                <w:sz w:val="20"/>
                <w:szCs w:val="20"/>
                <w:color w:val="auto"/>
              </w:rPr>
            </w:pPr>
            <w:r>
              <w:rPr>
                <w:rFonts w:ascii="Arial" w:cs="Arial" w:eastAsia="Arial" w:hAnsi="Arial"/>
                <w:sz w:val="12"/>
                <w:szCs w:val="12"/>
                <w:color w:val="auto"/>
              </w:rPr>
              <w:t>129.4</w:t>
            </w:r>
          </w:p>
        </w:tc>
        <w:tc>
          <w:tcPr>
            <w:tcW w:w="860" w:type="dxa"/>
            <w:vAlign w:val="bottom"/>
          </w:tcPr>
          <w:p>
            <w:pPr>
              <w:ind w:left="5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81"/>
              <w:spacing w:after="0"/>
              <w:rPr>
                <w:sz w:val="20"/>
                <w:szCs w:val="20"/>
                <w:color w:val="auto"/>
              </w:rPr>
            </w:pPr>
            <w:r>
              <w:rPr>
                <w:rFonts w:ascii="Arial" w:cs="Arial" w:eastAsia="Arial" w:hAnsi="Arial"/>
                <w:sz w:val="12"/>
                <w:szCs w:val="12"/>
                <w:color w:val="auto"/>
              </w:rPr>
              <w:t>(33.4)</w:t>
            </w:r>
          </w:p>
        </w:tc>
        <w:tc>
          <w:tcPr>
            <w:tcW w:w="820" w:type="dxa"/>
            <w:vAlign w:val="bottom"/>
          </w:tcPr>
          <w:p>
            <w:pPr>
              <w:jc w:val="right"/>
              <w:ind w:right="121"/>
              <w:spacing w:after="0"/>
              <w:rPr>
                <w:sz w:val="20"/>
                <w:szCs w:val="20"/>
                <w:color w:val="auto"/>
              </w:rPr>
            </w:pPr>
            <w:r>
              <w:rPr>
                <w:rFonts w:ascii="Arial" w:cs="Arial" w:eastAsia="Arial" w:hAnsi="Arial"/>
                <w:sz w:val="12"/>
                <w:szCs w:val="12"/>
                <w:color w:val="auto"/>
              </w:rPr>
              <w:t>36.2</w:t>
            </w:r>
          </w:p>
        </w:tc>
        <w:tc>
          <w:tcPr>
            <w:tcW w:w="960" w:type="dxa"/>
            <w:vAlign w:val="bottom"/>
          </w:tcPr>
          <w:p>
            <w:pPr>
              <w:jc w:val="right"/>
              <w:ind w:right="121"/>
              <w:spacing w:after="0"/>
              <w:rPr>
                <w:sz w:val="20"/>
                <w:szCs w:val="20"/>
                <w:color w:val="auto"/>
              </w:rPr>
            </w:pPr>
            <w:r>
              <w:rPr>
                <w:rFonts w:ascii="Arial" w:cs="Arial" w:eastAsia="Arial" w:hAnsi="Arial"/>
                <w:sz w:val="12"/>
                <w:szCs w:val="12"/>
                <w:color w:val="auto"/>
              </w:rPr>
              <w:t>32.5</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98.4</w:t>
            </w:r>
          </w:p>
        </w:tc>
        <w:tc>
          <w:tcPr>
            <w:tcW w:w="0" w:type="dxa"/>
            <w:vAlign w:val="bottom"/>
          </w:tcPr>
          <w:p>
            <w:pPr>
              <w:spacing w:after="0"/>
              <w:rPr>
                <w:sz w:val="1"/>
                <w:szCs w:val="1"/>
                <w:color w:val="auto"/>
              </w:rPr>
            </w:pPr>
          </w:p>
        </w:tc>
      </w:tr>
      <w:tr>
        <w:trPr>
          <w:trHeight w:val="154"/>
        </w:trPr>
        <w:tc>
          <w:tcPr>
            <w:tcW w:w="1140" w:type="dxa"/>
            <w:vAlign w:val="bottom"/>
          </w:tcPr>
          <w:p>
            <w:pPr>
              <w:ind w:left="20"/>
              <w:spacing w:after="0"/>
              <w:rPr>
                <w:sz w:val="20"/>
                <w:szCs w:val="20"/>
                <w:color w:val="auto"/>
              </w:rPr>
            </w:pPr>
            <w:r>
              <w:rPr>
                <w:rFonts w:ascii="Arial" w:cs="Arial" w:eastAsia="Arial" w:hAnsi="Arial"/>
                <w:sz w:val="13"/>
                <w:szCs w:val="13"/>
                <w:color w:val="auto"/>
              </w:rPr>
              <w:t>Operating margin</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percent</w:t>
            </w:r>
          </w:p>
        </w:tc>
        <w:tc>
          <w:tcPr>
            <w:tcW w:w="700" w:type="dxa"/>
            <w:vAlign w:val="bottom"/>
          </w:tcPr>
          <w:p>
            <w:pPr>
              <w:jc w:val="right"/>
              <w:spacing w:after="0"/>
              <w:rPr>
                <w:sz w:val="20"/>
                <w:szCs w:val="20"/>
                <w:color w:val="auto"/>
              </w:rPr>
            </w:pPr>
            <w:r>
              <w:rPr>
                <w:rFonts w:ascii="Arial" w:cs="Arial" w:eastAsia="Arial" w:hAnsi="Arial"/>
                <w:sz w:val="12"/>
                <w:szCs w:val="12"/>
                <w:color w:val="auto"/>
              </w:rPr>
              <w:t>(12.1)%</w:t>
            </w:r>
          </w:p>
        </w:tc>
        <w:tc>
          <w:tcPr>
            <w:tcW w:w="800" w:type="dxa"/>
            <w:vAlign w:val="bottom"/>
          </w:tcPr>
          <w:p>
            <w:pPr>
              <w:jc w:val="right"/>
              <w:spacing w:after="0"/>
              <w:rPr>
                <w:sz w:val="20"/>
                <w:szCs w:val="20"/>
                <w:color w:val="auto"/>
              </w:rPr>
            </w:pPr>
            <w:r>
              <w:rPr>
                <w:rFonts w:ascii="Arial" w:cs="Arial" w:eastAsia="Arial" w:hAnsi="Arial"/>
                <w:sz w:val="12"/>
                <w:szCs w:val="12"/>
                <w:color w:val="auto"/>
              </w:rPr>
              <w:t>0.1 %</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0.6 %</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2.6 %</w:t>
            </w:r>
          </w:p>
        </w:tc>
        <w:tc>
          <w:tcPr>
            <w:tcW w:w="800" w:type="dxa"/>
            <w:vAlign w:val="bottom"/>
          </w:tcPr>
          <w:p>
            <w:pPr>
              <w:jc w:val="right"/>
              <w:spacing w:after="0"/>
              <w:rPr>
                <w:sz w:val="20"/>
                <w:szCs w:val="20"/>
                <w:color w:val="auto"/>
              </w:rPr>
            </w:pPr>
            <w:r>
              <w:rPr>
                <w:rFonts w:ascii="Arial" w:cs="Arial" w:eastAsia="Arial" w:hAnsi="Arial"/>
                <w:sz w:val="12"/>
                <w:szCs w:val="12"/>
                <w:color w:val="auto"/>
              </w:rPr>
              <w:t>17.3 %</w:t>
            </w:r>
          </w:p>
        </w:tc>
        <w:tc>
          <w:tcPr>
            <w:tcW w:w="860" w:type="dxa"/>
            <w:vAlign w:val="bottom"/>
          </w:tcPr>
          <w:p>
            <w:pPr>
              <w:ind w:left="56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(4.5)%</w:t>
            </w:r>
          </w:p>
        </w:tc>
        <w:tc>
          <w:tcPr>
            <w:tcW w:w="820" w:type="dxa"/>
            <w:vAlign w:val="bottom"/>
          </w:tcPr>
          <w:p>
            <w:pPr>
              <w:jc w:val="right"/>
              <w:spacing w:after="0"/>
              <w:rPr>
                <w:sz w:val="20"/>
                <w:szCs w:val="20"/>
                <w:color w:val="auto"/>
              </w:rPr>
            </w:pPr>
            <w:r>
              <w:rPr>
                <w:rFonts w:ascii="Arial" w:cs="Arial" w:eastAsia="Arial" w:hAnsi="Arial"/>
                <w:sz w:val="12"/>
                <w:szCs w:val="12"/>
                <w:color w:val="auto"/>
              </w:rPr>
              <w:t>4.8 %</w:t>
            </w:r>
          </w:p>
        </w:tc>
        <w:tc>
          <w:tcPr>
            <w:tcW w:w="960" w:type="dxa"/>
            <w:vAlign w:val="bottom"/>
          </w:tcPr>
          <w:p>
            <w:pPr>
              <w:jc w:val="right"/>
              <w:spacing w:after="0"/>
              <w:rPr>
                <w:sz w:val="20"/>
                <w:szCs w:val="20"/>
                <w:color w:val="auto"/>
              </w:rPr>
            </w:pPr>
            <w:r>
              <w:rPr>
                <w:rFonts w:ascii="Arial" w:cs="Arial" w:eastAsia="Arial" w:hAnsi="Arial"/>
                <w:sz w:val="12"/>
                <w:szCs w:val="12"/>
                <w:color w:val="auto"/>
              </w:rPr>
              <w:t>4.4 %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720" w:type="dxa"/>
            <w:vAlign w:val="bottom"/>
          </w:tcPr>
          <w:p>
            <w:pPr>
              <w:jc w:val="right"/>
              <w:spacing w:after="0"/>
              <w:rPr>
                <w:sz w:val="20"/>
                <w:szCs w:val="20"/>
                <w:color w:val="auto"/>
              </w:rPr>
            </w:pPr>
            <w:r>
              <w:rPr>
                <w:rFonts w:ascii="Arial" w:cs="Arial" w:eastAsia="Arial" w:hAnsi="Arial"/>
                <w:sz w:val="12"/>
                <w:szCs w:val="12"/>
                <w:color w:val="auto"/>
              </w:rPr>
              <w:t>13.2 %</w:t>
            </w:r>
          </w:p>
        </w:tc>
        <w:tc>
          <w:tcPr>
            <w:tcW w:w="0" w:type="dxa"/>
            <w:vAlign w:val="bottom"/>
          </w:tcPr>
          <w:p>
            <w:pPr>
              <w:spacing w:after="0"/>
              <w:rPr>
                <w:sz w:val="1"/>
                <w:szCs w:val="1"/>
                <w:color w:val="auto"/>
              </w:rPr>
            </w:pPr>
          </w:p>
        </w:tc>
      </w:tr>
      <w:tr>
        <w:trPr>
          <w:trHeight w:val="154"/>
        </w:trPr>
        <w:tc>
          <w:tcPr>
            <w:tcW w:w="1140" w:type="dxa"/>
            <w:vAlign w:val="bottom"/>
          </w:tcPr>
          <w:p>
            <w:pPr>
              <w:ind w:left="20"/>
              <w:spacing w:after="0"/>
              <w:rPr>
                <w:sz w:val="20"/>
                <w:szCs w:val="20"/>
                <w:color w:val="auto"/>
              </w:rPr>
            </w:pPr>
            <w:r>
              <w:rPr>
                <w:rFonts w:ascii="Arial" w:cs="Arial" w:eastAsia="Arial" w:hAnsi="Arial"/>
                <w:sz w:val="13"/>
                <w:szCs w:val="13"/>
                <w:color w:val="auto"/>
              </w:rPr>
              <w:t>Income tax</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expense</w:t>
            </w:r>
          </w:p>
        </w:tc>
        <w:tc>
          <w:tcPr>
            <w:tcW w:w="700" w:type="dxa"/>
            <w:vAlign w:val="bottom"/>
          </w:tcPr>
          <w:p>
            <w:pPr>
              <w:jc w:val="right"/>
              <w:ind w:right="101"/>
              <w:spacing w:after="0"/>
              <w:rPr>
                <w:sz w:val="20"/>
                <w:szCs w:val="20"/>
                <w:color w:val="auto"/>
              </w:rPr>
            </w:pPr>
            <w:r>
              <w:rPr>
                <w:rFonts w:ascii="Arial" w:cs="Arial" w:eastAsia="Arial" w:hAnsi="Arial"/>
                <w:sz w:val="12"/>
                <w:szCs w:val="12"/>
                <w:color w:val="auto"/>
              </w:rPr>
              <w:t>6.3</w:t>
            </w:r>
          </w:p>
        </w:tc>
        <w:tc>
          <w:tcPr>
            <w:tcW w:w="80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0.1</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1.3</w:t>
            </w:r>
          </w:p>
        </w:tc>
        <w:tc>
          <w:tcPr>
            <w:tcW w:w="80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860" w:type="dxa"/>
            <w:vAlign w:val="bottom"/>
          </w:tcPr>
          <w:p>
            <w:pPr>
              <w:ind w:left="5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21"/>
              <w:spacing w:after="0"/>
              <w:rPr>
                <w:sz w:val="20"/>
                <w:szCs w:val="20"/>
                <w:color w:val="auto"/>
              </w:rPr>
            </w:pPr>
            <w:r>
              <w:rPr>
                <w:rFonts w:ascii="Arial" w:cs="Arial" w:eastAsia="Arial" w:hAnsi="Arial"/>
                <w:sz w:val="12"/>
                <w:szCs w:val="12"/>
                <w:color w:val="auto"/>
              </w:rPr>
              <w:t>1.0</w:t>
            </w:r>
          </w:p>
        </w:tc>
        <w:tc>
          <w:tcPr>
            <w:tcW w:w="960" w:type="dxa"/>
            <w:vAlign w:val="bottom"/>
          </w:tcPr>
          <w:p>
            <w:pPr>
              <w:jc w:val="right"/>
              <w:ind w:right="121"/>
              <w:spacing w:after="0"/>
              <w:rPr>
                <w:sz w:val="20"/>
                <w:szCs w:val="20"/>
                <w:color w:val="auto"/>
              </w:rPr>
            </w:pPr>
            <w:r>
              <w:rPr>
                <w:rFonts w:ascii="Arial" w:cs="Arial" w:eastAsia="Arial" w:hAnsi="Arial"/>
                <w:sz w:val="12"/>
                <w:szCs w:val="12"/>
                <w:color w:val="auto"/>
              </w:rPr>
              <w:t>0.4</w:t>
            </w:r>
          </w:p>
        </w:tc>
        <w:tc>
          <w:tcPr>
            <w:tcW w:w="860" w:type="dxa"/>
            <w:vAlign w:val="bottom"/>
          </w:tcPr>
          <w:p>
            <w:pPr>
              <w:jc w:val="right"/>
              <w:ind w:right="81"/>
              <w:spacing w:after="0"/>
              <w:rPr>
                <w:sz w:val="20"/>
                <w:szCs w:val="20"/>
                <w:color w:val="auto"/>
              </w:rPr>
            </w:pPr>
            <w:r>
              <w:rPr>
                <w:rFonts w:ascii="Arial" w:cs="Arial" w:eastAsia="Arial" w:hAnsi="Arial"/>
                <w:sz w:val="12"/>
                <w:szCs w:val="12"/>
                <w:color w:val="auto"/>
              </w:rPr>
              <w:t>(2.7)</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77"/>
        </w:trPr>
        <w:tc>
          <w:tcPr>
            <w:tcW w:w="1140" w:type="dxa"/>
            <w:vAlign w:val="bottom"/>
          </w:tcPr>
          <w:p>
            <w:pPr>
              <w:ind w:left="20"/>
              <w:spacing w:after="0"/>
              <w:rPr>
                <w:sz w:val="20"/>
                <w:szCs w:val="20"/>
                <w:color w:val="auto"/>
              </w:rPr>
            </w:pPr>
            <w:r>
              <w:rPr>
                <w:rFonts w:ascii="Arial" w:cs="Arial" w:eastAsia="Arial" w:hAnsi="Arial"/>
                <w:sz w:val="13"/>
                <w:szCs w:val="13"/>
                <w:color w:val="auto"/>
              </w:rPr>
              <w:t>Income tax rate</w:t>
            </w:r>
          </w:p>
        </w:tc>
        <w:tc>
          <w:tcPr>
            <w:tcW w:w="700" w:type="dxa"/>
            <w:vAlign w:val="bottom"/>
          </w:tcPr>
          <w:p>
            <w:pPr>
              <w:jc w:val="right"/>
              <w:spacing w:after="0"/>
              <w:rPr>
                <w:sz w:val="20"/>
                <w:szCs w:val="20"/>
                <w:color w:val="auto"/>
              </w:rPr>
            </w:pPr>
            <w:r>
              <w:rPr>
                <w:rFonts w:ascii="Arial" w:cs="Arial" w:eastAsia="Arial" w:hAnsi="Arial"/>
                <w:sz w:val="12"/>
                <w:szCs w:val="12"/>
                <w:color w:val="auto"/>
              </w:rPr>
              <w:t>(7.8)%</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1.5 %</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6.7 %</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6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20" w:type="dxa"/>
            <w:vAlign w:val="bottom"/>
          </w:tcPr>
          <w:p>
            <w:pPr>
              <w:jc w:val="right"/>
              <w:spacing w:after="0"/>
              <w:rPr>
                <w:sz w:val="20"/>
                <w:szCs w:val="20"/>
                <w:color w:val="auto"/>
              </w:rPr>
            </w:pPr>
            <w:r>
              <w:rPr>
                <w:rFonts w:ascii="Arial" w:cs="Arial" w:eastAsia="Arial" w:hAnsi="Arial"/>
                <w:sz w:val="12"/>
                <w:szCs w:val="12"/>
                <w:color w:val="auto"/>
              </w:rPr>
              <w:t>2.6 %</w:t>
            </w:r>
          </w:p>
        </w:tc>
        <w:tc>
          <w:tcPr>
            <w:tcW w:w="960" w:type="dxa"/>
            <w:vAlign w:val="bottom"/>
          </w:tcPr>
          <w:p>
            <w:pPr>
              <w:jc w:val="right"/>
              <w:spacing w:after="0"/>
              <w:rPr>
                <w:sz w:val="20"/>
                <w:szCs w:val="20"/>
                <w:color w:val="auto"/>
              </w:rPr>
            </w:pPr>
            <w:r>
              <w:rPr>
                <w:rFonts w:ascii="Arial" w:cs="Arial" w:eastAsia="Arial" w:hAnsi="Arial"/>
                <w:sz w:val="12"/>
                <w:szCs w:val="12"/>
                <w:color w:val="auto"/>
              </w:rPr>
              <w:t>1.1 %</w:t>
            </w:r>
          </w:p>
        </w:tc>
        <w:tc>
          <w:tcPr>
            <w:tcW w:w="860" w:type="dxa"/>
            <w:vAlign w:val="bottom"/>
          </w:tcPr>
          <w:p>
            <w:pPr>
              <w:jc w:val="right"/>
              <w:spacing w:after="0"/>
              <w:rPr>
                <w:sz w:val="20"/>
                <w:szCs w:val="20"/>
                <w:color w:val="auto"/>
              </w:rPr>
            </w:pPr>
            <w:r>
              <w:rPr>
                <w:rFonts w:ascii="Arial" w:cs="Arial" w:eastAsia="Arial" w:hAnsi="Arial"/>
                <w:sz w:val="12"/>
                <w:szCs w:val="12"/>
                <w:color w:val="auto"/>
              </w:rPr>
              <w:t>N/A</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720" w:type="dxa"/>
            <w:vAlign w:val="bottom"/>
          </w:tcPr>
          <w:p>
            <w:pPr>
              <w:jc w:val="right"/>
              <w:spacing w:after="0"/>
              <w:rPr>
                <w:sz w:val="20"/>
                <w:szCs w:val="20"/>
                <w:color w:val="auto"/>
              </w:rPr>
            </w:pPr>
            <w:r>
              <w:rPr>
                <w:rFonts w:ascii="Arial" w:cs="Arial" w:eastAsia="Arial" w:hAnsi="Arial"/>
                <w:sz w:val="12"/>
                <w:szCs w:val="12"/>
                <w:color w:val="auto"/>
              </w:rPr>
              <w:t>6.8 %</w:t>
            </w:r>
          </w:p>
        </w:tc>
        <w:tc>
          <w:tcPr>
            <w:tcW w:w="0" w:type="dxa"/>
            <w:vAlign w:val="bottom"/>
          </w:tcPr>
          <w:p>
            <w:pPr>
              <w:spacing w:after="0"/>
              <w:rPr>
                <w:sz w:val="1"/>
                <w:szCs w:val="1"/>
                <w:color w:val="auto"/>
              </w:rPr>
            </w:pPr>
          </w:p>
        </w:tc>
      </w:tr>
      <w:tr>
        <w:trPr>
          <w:trHeight w:val="190"/>
        </w:trPr>
        <w:tc>
          <w:tcPr>
            <w:tcW w:w="114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700" w:type="dxa"/>
            <w:vAlign w:val="bottom"/>
          </w:tcPr>
          <w:p>
            <w:pPr>
              <w:jc w:val="right"/>
              <w:ind w:right="81"/>
              <w:spacing w:after="0"/>
              <w:rPr>
                <w:sz w:val="20"/>
                <w:szCs w:val="20"/>
                <w:color w:val="auto"/>
              </w:rPr>
            </w:pPr>
            <w:r>
              <w:rPr>
                <w:rFonts w:ascii="Arial" w:cs="Arial" w:eastAsia="Arial" w:hAnsi="Arial"/>
                <w:sz w:val="12"/>
                <w:szCs w:val="12"/>
                <w:color w:val="auto"/>
              </w:rPr>
              <w:t>(87.9)</w:t>
            </w:r>
          </w:p>
        </w:tc>
        <w:tc>
          <w:tcPr>
            <w:tcW w:w="800" w:type="dxa"/>
            <w:vAlign w:val="bottom"/>
          </w:tcPr>
          <w:p>
            <w:pPr>
              <w:jc w:val="right"/>
              <w:ind w:right="121"/>
              <w:spacing w:after="0"/>
              <w:rPr>
                <w:sz w:val="20"/>
                <w:szCs w:val="20"/>
                <w:color w:val="auto"/>
              </w:rPr>
            </w:pPr>
            <w:r>
              <w:rPr>
                <w:rFonts w:ascii="Arial" w:cs="Arial" w:eastAsia="Arial" w:hAnsi="Arial"/>
                <w:sz w:val="12"/>
                <w:szCs w:val="12"/>
                <w:color w:val="auto"/>
              </w:rPr>
              <w:t>0.5</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4.5</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18.0</w:t>
            </w:r>
          </w:p>
        </w:tc>
        <w:tc>
          <w:tcPr>
            <w:tcW w:w="800" w:type="dxa"/>
            <w:vAlign w:val="bottom"/>
          </w:tcPr>
          <w:p>
            <w:pPr>
              <w:jc w:val="right"/>
              <w:ind w:right="141"/>
              <w:spacing w:after="0"/>
              <w:rPr>
                <w:sz w:val="20"/>
                <w:szCs w:val="20"/>
                <w:color w:val="auto"/>
              </w:rPr>
            </w:pPr>
            <w:r>
              <w:rPr>
                <w:rFonts w:ascii="Arial" w:cs="Arial" w:eastAsia="Arial" w:hAnsi="Arial"/>
                <w:sz w:val="12"/>
                <w:szCs w:val="12"/>
                <w:color w:val="auto"/>
              </w:rPr>
              <w:t>129.4</w:t>
            </w:r>
          </w:p>
        </w:tc>
        <w:tc>
          <w:tcPr>
            <w:tcW w:w="860" w:type="dxa"/>
            <w:vAlign w:val="bottom"/>
          </w:tcPr>
          <w:p>
            <w:pPr>
              <w:jc w:val="right"/>
              <w:ind w:right="81"/>
              <w:spacing w:after="0"/>
              <w:rPr>
                <w:sz w:val="20"/>
                <w:szCs w:val="20"/>
                <w:color w:val="auto"/>
              </w:rPr>
            </w:pPr>
            <w:r>
              <w:rPr>
                <w:rFonts w:ascii="Arial" w:cs="Arial" w:eastAsia="Arial" w:hAnsi="Arial"/>
                <w:sz w:val="12"/>
                <w:szCs w:val="12"/>
                <w:color w:val="auto"/>
              </w:rPr>
              <w:t>(40.5)</w:t>
            </w:r>
          </w:p>
        </w:tc>
        <w:tc>
          <w:tcPr>
            <w:tcW w:w="920" w:type="dxa"/>
            <w:vAlign w:val="bottom"/>
          </w:tcPr>
          <w:p>
            <w:pPr>
              <w:jc w:val="right"/>
              <w:ind w:right="81"/>
              <w:spacing w:after="0"/>
              <w:rPr>
                <w:sz w:val="20"/>
                <w:szCs w:val="20"/>
                <w:color w:val="auto"/>
              </w:rPr>
            </w:pPr>
            <w:r>
              <w:rPr>
                <w:rFonts w:ascii="Arial" w:cs="Arial" w:eastAsia="Arial" w:hAnsi="Arial"/>
                <w:sz w:val="12"/>
                <w:szCs w:val="12"/>
                <w:color w:val="auto"/>
              </w:rPr>
              <w:t>(33.4)</w:t>
            </w:r>
          </w:p>
        </w:tc>
        <w:tc>
          <w:tcPr>
            <w:tcW w:w="820" w:type="dxa"/>
            <w:vAlign w:val="bottom"/>
          </w:tcPr>
          <w:p>
            <w:pPr>
              <w:jc w:val="right"/>
              <w:ind w:right="121"/>
              <w:spacing w:after="0"/>
              <w:rPr>
                <w:sz w:val="20"/>
                <w:szCs w:val="20"/>
                <w:color w:val="auto"/>
              </w:rPr>
            </w:pPr>
            <w:r>
              <w:rPr>
                <w:rFonts w:ascii="Arial" w:cs="Arial" w:eastAsia="Arial" w:hAnsi="Arial"/>
                <w:sz w:val="12"/>
                <w:szCs w:val="12"/>
                <w:color w:val="auto"/>
              </w:rPr>
              <w:t>35.3</w:t>
            </w:r>
          </w:p>
        </w:tc>
        <w:tc>
          <w:tcPr>
            <w:tcW w:w="960" w:type="dxa"/>
            <w:vAlign w:val="bottom"/>
          </w:tcPr>
          <w:p>
            <w:pPr>
              <w:jc w:val="right"/>
              <w:ind w:right="121"/>
              <w:spacing w:after="0"/>
              <w:rPr>
                <w:sz w:val="20"/>
                <w:szCs w:val="20"/>
                <w:color w:val="auto"/>
              </w:rPr>
            </w:pPr>
            <w:r>
              <w:rPr>
                <w:rFonts w:ascii="Arial" w:cs="Arial" w:eastAsia="Arial" w:hAnsi="Arial"/>
                <w:sz w:val="12"/>
                <w:szCs w:val="12"/>
                <w:color w:val="auto"/>
              </w:rPr>
              <w:t>32.1</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2.7</w:t>
            </w:r>
          </w:p>
        </w:tc>
        <w:tc>
          <w:tcPr>
            <w:tcW w:w="860" w:type="dxa"/>
            <w:vAlign w:val="bottom"/>
          </w:tcPr>
          <w:p>
            <w:pPr>
              <w:jc w:val="right"/>
              <w:ind w:right="101"/>
              <w:spacing w:after="0"/>
              <w:rPr>
                <w:sz w:val="20"/>
                <w:szCs w:val="20"/>
                <w:color w:val="auto"/>
              </w:rPr>
            </w:pPr>
            <w:r>
              <w:rPr>
                <w:rFonts w:ascii="Arial" w:cs="Arial" w:eastAsia="Arial" w:hAnsi="Arial"/>
                <w:sz w:val="12"/>
                <w:szCs w:val="12"/>
                <w:color w:val="auto"/>
              </w:rPr>
              <w:t>24.8</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85.6</w:t>
            </w:r>
          </w:p>
        </w:tc>
        <w:tc>
          <w:tcPr>
            <w:tcW w:w="0" w:type="dxa"/>
            <w:vAlign w:val="bottom"/>
          </w:tcPr>
          <w:p>
            <w:pPr>
              <w:spacing w:after="0"/>
              <w:rPr>
                <w:sz w:val="1"/>
                <w:szCs w:val="1"/>
                <w:color w:val="auto"/>
              </w:rPr>
            </w:pPr>
          </w:p>
        </w:tc>
      </w:tr>
      <w:tr>
        <w:trPr>
          <w:trHeight w:val="167"/>
        </w:trPr>
        <w:tc>
          <w:tcPr>
            <w:tcW w:w="114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3"/>
                <w:szCs w:val="13"/>
                <w:color w:val="auto"/>
              </w:rPr>
              <w:t>as a percent of</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140" w:type="dxa"/>
            <w:vAlign w:val="bottom"/>
          </w:tcPr>
          <w:p>
            <w:pPr>
              <w:ind w:left="20"/>
              <w:spacing w:after="0"/>
              <w:rPr>
                <w:sz w:val="20"/>
                <w:szCs w:val="20"/>
                <w:color w:val="auto"/>
              </w:rPr>
            </w:pPr>
            <w:r>
              <w:rPr>
                <w:rFonts w:ascii="Arial" w:cs="Arial" w:eastAsia="Arial" w:hAnsi="Arial"/>
                <w:sz w:val="13"/>
                <w:szCs w:val="13"/>
                <w:color w:val="auto"/>
              </w:rPr>
              <w:t>net revenue</w:t>
            </w:r>
          </w:p>
        </w:tc>
        <w:tc>
          <w:tcPr>
            <w:tcW w:w="700" w:type="dxa"/>
            <w:vAlign w:val="bottom"/>
          </w:tcPr>
          <w:p>
            <w:pPr>
              <w:jc w:val="right"/>
              <w:spacing w:after="0"/>
              <w:rPr>
                <w:sz w:val="20"/>
                <w:szCs w:val="20"/>
                <w:color w:val="auto"/>
              </w:rPr>
            </w:pPr>
            <w:r>
              <w:rPr>
                <w:rFonts w:ascii="Arial" w:cs="Arial" w:eastAsia="Arial" w:hAnsi="Arial"/>
                <w:sz w:val="12"/>
                <w:szCs w:val="12"/>
                <w:color w:val="auto"/>
              </w:rPr>
              <w:t>(11.8)%</w:t>
            </w:r>
          </w:p>
        </w:tc>
        <w:tc>
          <w:tcPr>
            <w:tcW w:w="800" w:type="dxa"/>
            <w:vAlign w:val="bottom"/>
          </w:tcPr>
          <w:p>
            <w:pPr>
              <w:jc w:val="right"/>
              <w:spacing w:after="0"/>
              <w:rPr>
                <w:sz w:val="20"/>
                <w:szCs w:val="20"/>
                <w:color w:val="auto"/>
              </w:rPr>
            </w:pPr>
            <w:r>
              <w:rPr>
                <w:rFonts w:ascii="Arial" w:cs="Arial" w:eastAsia="Arial" w:hAnsi="Arial"/>
                <w:sz w:val="12"/>
                <w:szCs w:val="12"/>
                <w:color w:val="auto"/>
              </w:rPr>
              <w:t>0.1 %</w:t>
            </w: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0.6 %</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2.4 %</w:t>
            </w:r>
          </w:p>
        </w:tc>
        <w:tc>
          <w:tcPr>
            <w:tcW w:w="800" w:type="dxa"/>
            <w:vAlign w:val="bottom"/>
          </w:tcPr>
          <w:p>
            <w:pPr>
              <w:jc w:val="right"/>
              <w:spacing w:after="0"/>
              <w:rPr>
                <w:sz w:val="20"/>
                <w:szCs w:val="20"/>
                <w:color w:val="auto"/>
              </w:rPr>
            </w:pPr>
            <w:r>
              <w:rPr>
                <w:rFonts w:ascii="Arial" w:cs="Arial" w:eastAsia="Arial" w:hAnsi="Arial"/>
                <w:sz w:val="12"/>
                <w:szCs w:val="12"/>
                <w:color w:val="auto"/>
              </w:rPr>
              <w:t>17.3 %</w:t>
            </w:r>
          </w:p>
        </w:tc>
        <w:tc>
          <w:tcPr>
            <w:tcW w:w="860" w:type="dxa"/>
            <w:vAlign w:val="bottom"/>
          </w:tcPr>
          <w:p>
            <w:pPr>
              <w:jc w:val="right"/>
              <w:spacing w:after="0"/>
              <w:rPr>
                <w:sz w:val="20"/>
                <w:szCs w:val="20"/>
                <w:color w:val="auto"/>
              </w:rPr>
            </w:pPr>
            <w:r>
              <w:rPr>
                <w:rFonts w:ascii="Arial" w:cs="Arial" w:eastAsia="Arial" w:hAnsi="Arial"/>
                <w:sz w:val="12"/>
                <w:szCs w:val="12"/>
                <w:color w:val="auto"/>
              </w:rPr>
              <w:t>(5.4)%</w:t>
            </w:r>
          </w:p>
        </w:tc>
        <w:tc>
          <w:tcPr>
            <w:tcW w:w="920" w:type="dxa"/>
            <w:vAlign w:val="bottom"/>
          </w:tcPr>
          <w:p>
            <w:pPr>
              <w:jc w:val="right"/>
              <w:spacing w:after="0"/>
              <w:rPr>
                <w:sz w:val="20"/>
                <w:szCs w:val="20"/>
                <w:color w:val="auto"/>
              </w:rPr>
            </w:pPr>
            <w:r>
              <w:rPr>
                <w:rFonts w:ascii="Arial" w:cs="Arial" w:eastAsia="Arial" w:hAnsi="Arial"/>
                <w:sz w:val="12"/>
                <w:szCs w:val="12"/>
                <w:color w:val="auto"/>
              </w:rPr>
              <w:t>(4.5)%</w:t>
            </w:r>
          </w:p>
        </w:tc>
        <w:tc>
          <w:tcPr>
            <w:tcW w:w="820" w:type="dxa"/>
            <w:vAlign w:val="bottom"/>
          </w:tcPr>
          <w:p>
            <w:pPr>
              <w:jc w:val="right"/>
              <w:spacing w:after="0"/>
              <w:rPr>
                <w:sz w:val="20"/>
                <w:szCs w:val="20"/>
                <w:color w:val="auto"/>
              </w:rPr>
            </w:pPr>
            <w:r>
              <w:rPr>
                <w:rFonts w:ascii="Arial" w:cs="Arial" w:eastAsia="Arial" w:hAnsi="Arial"/>
                <w:sz w:val="12"/>
                <w:szCs w:val="12"/>
                <w:color w:val="auto"/>
              </w:rPr>
              <w:t>4.7 %</w:t>
            </w:r>
          </w:p>
        </w:tc>
        <w:tc>
          <w:tcPr>
            <w:tcW w:w="960" w:type="dxa"/>
            <w:vAlign w:val="bottom"/>
          </w:tcPr>
          <w:p>
            <w:pPr>
              <w:jc w:val="right"/>
              <w:spacing w:after="0"/>
              <w:rPr>
                <w:sz w:val="20"/>
                <w:szCs w:val="20"/>
                <w:color w:val="auto"/>
              </w:rPr>
            </w:pPr>
            <w:r>
              <w:rPr>
                <w:rFonts w:ascii="Arial" w:cs="Arial" w:eastAsia="Arial" w:hAnsi="Arial"/>
                <w:sz w:val="12"/>
                <w:szCs w:val="12"/>
                <w:color w:val="auto"/>
              </w:rPr>
              <w:t>4.3 %</w:t>
            </w:r>
          </w:p>
        </w:tc>
        <w:tc>
          <w:tcPr>
            <w:tcW w:w="860" w:type="dxa"/>
            <w:vAlign w:val="bottom"/>
          </w:tcPr>
          <w:p>
            <w:pPr>
              <w:jc w:val="right"/>
              <w:spacing w:after="0"/>
              <w:rPr>
                <w:sz w:val="20"/>
                <w:szCs w:val="20"/>
                <w:color w:val="auto"/>
              </w:rPr>
            </w:pPr>
            <w:r>
              <w:rPr>
                <w:rFonts w:ascii="Arial" w:cs="Arial" w:eastAsia="Arial" w:hAnsi="Arial"/>
                <w:sz w:val="12"/>
                <w:szCs w:val="12"/>
                <w:color w:val="auto"/>
              </w:rPr>
              <w:t>0.4 %</w:t>
            </w:r>
          </w:p>
        </w:tc>
        <w:tc>
          <w:tcPr>
            <w:tcW w:w="860" w:type="dxa"/>
            <w:vAlign w:val="bottom"/>
          </w:tcPr>
          <w:p>
            <w:pPr>
              <w:jc w:val="right"/>
              <w:spacing w:after="0"/>
              <w:rPr>
                <w:sz w:val="20"/>
                <w:szCs w:val="20"/>
                <w:color w:val="auto"/>
              </w:rPr>
            </w:pPr>
            <w:r>
              <w:rPr>
                <w:rFonts w:ascii="Arial" w:cs="Arial" w:eastAsia="Arial" w:hAnsi="Arial"/>
                <w:sz w:val="12"/>
                <w:szCs w:val="12"/>
                <w:color w:val="auto"/>
              </w:rPr>
              <w:t>3.3 %</w:t>
            </w:r>
          </w:p>
        </w:tc>
        <w:tc>
          <w:tcPr>
            <w:tcW w:w="720" w:type="dxa"/>
            <w:vAlign w:val="bottom"/>
          </w:tcPr>
          <w:p>
            <w:pPr>
              <w:jc w:val="right"/>
              <w:spacing w:after="0"/>
              <w:rPr>
                <w:sz w:val="20"/>
                <w:szCs w:val="20"/>
                <w:color w:val="auto"/>
              </w:rPr>
            </w:pPr>
            <w:r>
              <w:rPr>
                <w:rFonts w:ascii="Arial" w:cs="Arial" w:eastAsia="Arial" w:hAnsi="Arial"/>
                <w:sz w:val="12"/>
                <w:szCs w:val="12"/>
                <w:color w:val="auto"/>
              </w:rPr>
              <w:t>11.5 %</w:t>
            </w:r>
          </w:p>
        </w:tc>
        <w:tc>
          <w:tcPr>
            <w:tcW w:w="0" w:type="dxa"/>
            <w:vAlign w:val="bottom"/>
          </w:tcPr>
          <w:p>
            <w:pPr>
              <w:spacing w:after="0"/>
              <w:rPr>
                <w:sz w:val="1"/>
                <w:szCs w:val="1"/>
                <w:color w:val="auto"/>
              </w:rPr>
            </w:pPr>
          </w:p>
        </w:tc>
      </w:tr>
      <w:tr>
        <w:trPr>
          <w:trHeight w:val="190"/>
        </w:trPr>
        <w:tc>
          <w:tcPr>
            <w:tcW w:w="1140" w:type="dxa"/>
            <w:vAlign w:val="bottom"/>
          </w:tcPr>
          <w:p>
            <w:pPr>
              <w:ind w:left="20"/>
              <w:spacing w:after="0"/>
              <w:rPr>
                <w:sz w:val="20"/>
                <w:szCs w:val="20"/>
                <w:color w:val="auto"/>
              </w:rPr>
            </w:pPr>
            <w:r>
              <w:rPr>
                <w:rFonts w:ascii="Arial" w:cs="Arial" w:eastAsia="Arial" w:hAnsi="Arial"/>
                <w:sz w:val="13"/>
                <w:szCs w:val="13"/>
                <w:color w:val="auto"/>
              </w:rPr>
              <w:t>Diluted EPS</w:t>
            </w:r>
          </w:p>
        </w:tc>
        <w:tc>
          <w:tcPr>
            <w:tcW w:w="700" w:type="dxa"/>
            <w:vAlign w:val="bottom"/>
          </w:tcPr>
          <w:p>
            <w:pPr>
              <w:jc w:val="right"/>
              <w:ind w:right="81"/>
              <w:spacing w:after="0"/>
              <w:rPr>
                <w:sz w:val="20"/>
                <w:szCs w:val="20"/>
                <w:color w:val="auto"/>
              </w:rPr>
            </w:pPr>
            <w:r>
              <w:rPr>
                <w:rFonts w:ascii="Arial" w:cs="Arial" w:eastAsia="Arial" w:hAnsi="Arial"/>
                <w:sz w:val="12"/>
                <w:szCs w:val="12"/>
                <w:color w:val="auto"/>
              </w:rPr>
              <w:t>($1.64)</w:t>
            </w:r>
          </w:p>
        </w:tc>
        <w:tc>
          <w:tcPr>
            <w:tcW w:w="800" w:type="dxa"/>
            <w:vAlign w:val="bottom"/>
          </w:tcPr>
          <w:p>
            <w:pPr>
              <w:jc w:val="right"/>
              <w:ind w:right="121"/>
              <w:spacing w:after="0"/>
              <w:rPr>
                <w:sz w:val="20"/>
                <w:szCs w:val="20"/>
                <w:color w:val="auto"/>
              </w:rPr>
            </w:pPr>
            <w:r>
              <w:rPr>
                <w:rFonts w:ascii="Arial" w:cs="Arial" w:eastAsia="Arial" w:hAnsi="Arial"/>
                <w:sz w:val="12"/>
                <w:szCs w:val="12"/>
                <w:color w:val="auto"/>
              </w:rPr>
              <w:t>$0.01</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$0.08</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$0.33</w:t>
            </w:r>
          </w:p>
        </w:tc>
        <w:tc>
          <w:tcPr>
            <w:tcW w:w="800" w:type="dxa"/>
            <w:vAlign w:val="bottom"/>
          </w:tcPr>
          <w:p>
            <w:pPr>
              <w:jc w:val="right"/>
              <w:ind w:right="141"/>
              <w:spacing w:after="0"/>
              <w:rPr>
                <w:sz w:val="20"/>
                <w:szCs w:val="20"/>
                <w:color w:val="auto"/>
              </w:rPr>
            </w:pPr>
            <w:r>
              <w:rPr>
                <w:rFonts w:ascii="Arial" w:cs="Arial" w:eastAsia="Arial" w:hAnsi="Arial"/>
                <w:sz w:val="12"/>
                <w:szCs w:val="12"/>
                <w:color w:val="auto"/>
              </w:rPr>
              <w:t>$2.39</w:t>
            </w:r>
          </w:p>
        </w:tc>
        <w:tc>
          <w:tcPr>
            <w:tcW w:w="860" w:type="dxa"/>
            <w:vAlign w:val="bottom"/>
          </w:tcPr>
          <w:p>
            <w:pPr>
              <w:jc w:val="right"/>
              <w:ind w:right="81"/>
              <w:spacing w:after="0"/>
              <w:rPr>
                <w:sz w:val="20"/>
                <w:szCs w:val="20"/>
                <w:color w:val="auto"/>
              </w:rPr>
            </w:pPr>
            <w:r>
              <w:rPr>
                <w:rFonts w:ascii="Arial" w:cs="Arial" w:eastAsia="Arial" w:hAnsi="Arial"/>
                <w:sz w:val="12"/>
                <w:szCs w:val="12"/>
                <w:color w:val="auto"/>
              </w:rPr>
              <w:t>($0.75)</w:t>
            </w:r>
          </w:p>
        </w:tc>
        <w:tc>
          <w:tcPr>
            <w:tcW w:w="920" w:type="dxa"/>
            <w:vAlign w:val="bottom"/>
          </w:tcPr>
          <w:p>
            <w:pPr>
              <w:jc w:val="right"/>
              <w:ind w:right="81"/>
              <w:spacing w:after="0"/>
              <w:rPr>
                <w:sz w:val="20"/>
                <w:szCs w:val="20"/>
                <w:color w:val="auto"/>
              </w:rPr>
            </w:pPr>
            <w:r>
              <w:rPr>
                <w:rFonts w:ascii="Arial" w:cs="Arial" w:eastAsia="Arial" w:hAnsi="Arial"/>
                <w:sz w:val="12"/>
                <w:szCs w:val="12"/>
                <w:color w:val="auto"/>
              </w:rPr>
              <w:t>($0.62)</w:t>
            </w:r>
          </w:p>
        </w:tc>
        <w:tc>
          <w:tcPr>
            <w:tcW w:w="820" w:type="dxa"/>
            <w:vAlign w:val="bottom"/>
          </w:tcPr>
          <w:p>
            <w:pPr>
              <w:jc w:val="right"/>
              <w:ind w:right="121"/>
              <w:spacing w:after="0"/>
              <w:rPr>
                <w:sz w:val="20"/>
                <w:szCs w:val="20"/>
                <w:color w:val="auto"/>
              </w:rPr>
            </w:pPr>
            <w:r>
              <w:rPr>
                <w:rFonts w:ascii="Arial" w:cs="Arial" w:eastAsia="Arial" w:hAnsi="Arial"/>
                <w:sz w:val="12"/>
                <w:szCs w:val="12"/>
                <w:color w:val="auto"/>
              </w:rPr>
              <w:t>$0.65</w:t>
            </w:r>
          </w:p>
        </w:tc>
        <w:tc>
          <w:tcPr>
            <w:tcW w:w="960" w:type="dxa"/>
            <w:vAlign w:val="bottom"/>
          </w:tcPr>
          <w:p>
            <w:pPr>
              <w:jc w:val="right"/>
              <w:ind w:right="121"/>
              <w:spacing w:after="0"/>
              <w:rPr>
                <w:sz w:val="20"/>
                <w:szCs w:val="20"/>
                <w:color w:val="auto"/>
              </w:rPr>
            </w:pPr>
            <w:r>
              <w:rPr>
                <w:rFonts w:ascii="Arial" w:cs="Arial" w:eastAsia="Arial" w:hAnsi="Arial"/>
                <w:sz w:val="12"/>
                <w:szCs w:val="12"/>
                <w:color w:val="auto"/>
              </w:rPr>
              <w:t>$0.59</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$0.05</w:t>
            </w:r>
          </w:p>
        </w:tc>
        <w:tc>
          <w:tcPr>
            <w:tcW w:w="860" w:type="dxa"/>
            <w:vAlign w:val="bottom"/>
          </w:tcPr>
          <w:p>
            <w:pPr>
              <w:jc w:val="right"/>
              <w:ind w:right="101"/>
              <w:spacing w:after="0"/>
              <w:rPr>
                <w:sz w:val="20"/>
                <w:szCs w:val="20"/>
                <w:color w:val="auto"/>
              </w:rPr>
            </w:pPr>
            <w:r>
              <w:rPr>
                <w:rFonts w:ascii="Arial" w:cs="Arial" w:eastAsia="Arial" w:hAnsi="Arial"/>
                <w:sz w:val="12"/>
                <w:szCs w:val="12"/>
                <w:color w:val="auto"/>
              </w:rPr>
              <w:t>$0.46</w:t>
            </w:r>
          </w:p>
        </w:tc>
        <w:tc>
          <w:tcPr>
            <w:tcW w:w="720" w:type="dxa"/>
            <w:vAlign w:val="bottom"/>
          </w:tcPr>
          <w:p>
            <w:pPr>
              <w:jc w:val="right"/>
              <w:ind w:right="101"/>
              <w:spacing w:after="0"/>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nine months ended September 30, 2022 include:</w:t>
      </w:r>
    </w:p>
    <w:p>
      <w:pPr>
        <w:spacing w:after="0" w:line="56" w:lineRule="exact"/>
        <w:rPr>
          <w:sz w:val="20"/>
          <w:szCs w:val="20"/>
          <w:color w:val="auto"/>
        </w:rPr>
      </w:pPr>
    </w:p>
    <w:p>
      <w:pPr>
        <w:ind w:left="340" w:hanging="322"/>
        <w:spacing w:after="0"/>
        <w:tabs>
          <w:tab w:leader="none" w:pos="340"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Merger and integration expenses related to the acquisition of ALung Technologies, Inc.</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Restructuring expenses related to organizational changes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Includes depreciation and amortization associated with purchase price accounting</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Goodwill impairment associated with the Company's ACS business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Mark-to-market adjustments for the exchangeable option feature and capped call derivatives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Remeasurement of contingent consideration related to acquisitions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3T Heater-Cooler litigation provision, legal expenses primarily related to 3T Heater-Cooler defense, costs related to the SNIA matter and MDR costs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Non-cash expenses associated with stock-based compensation costs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Discrete tax items, R&amp;D tax credits and the tax impact of intercompany transactions</w:t>
      </w:r>
    </w:p>
    <w:p>
      <w:pPr>
        <w:spacing w:after="0" w:line="40" w:lineRule="exact"/>
        <w:rPr>
          <w:rFonts w:ascii="Arial" w:cs="Arial" w:eastAsia="Arial" w:hAnsi="Arial"/>
          <w:sz w:val="13"/>
          <w:szCs w:val="13"/>
          <w:b w:val="1"/>
          <w:bCs w:val="1"/>
          <w:color w:val="auto"/>
        </w:rPr>
      </w:pPr>
    </w:p>
    <w:p>
      <w:pPr>
        <w:ind w:left="20" w:right="1020" w:hanging="2"/>
        <w:spacing w:after="0" w:line="324" w:lineRule="auto"/>
        <w:tabs>
          <w:tab w:leader="none" w:pos="349"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Non-cash interest expense on the Cash Exchangeable Senior Notes and 2021 Revolving Credit Facility, interest expense on the 2022 Bridge Loan and Term Facilities *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772" w:right="339" w:bottom="1440" w:gutter="0" w:footer="0" w:header="0"/>
        </w:sectPr>
      </w:pPr>
    </w:p>
    <w:bookmarkStart w:id="20" w:name="page21"/>
    <w:bookmarkEnd w:id="20"/>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002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265" cy="8255"/>
                    </a:xfrm>
                    <a:prstGeom prst="rect">
                      <a:avLst/>
                    </a:prstGeom>
                    <a:noFill/>
                  </pic:spPr>
                </pic:pic>
              </a:graphicData>
            </a:graphic>
          </wp:anchor>
        </w:drawing>
      </w:r>
    </w:p>
    <w:p>
      <w:pPr>
        <w:spacing w:after="0" w:line="4"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Specified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24765</wp:posOffset>
            </wp:positionV>
            <wp:extent cx="57848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84850"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2"/>
          <w:szCs w:val="12"/>
          <w:b w:val="1"/>
          <w:bCs w:val="1"/>
          <w:color w:val="auto"/>
        </w:rPr>
        <w:t>Certain</w:t>
      </w:r>
    </w:p>
    <w:p>
      <w:pPr>
        <w:ind w:left="7400"/>
        <w:spacing w:after="0" w:line="219" w:lineRule="auto"/>
        <w:rPr>
          <w:sz w:val="20"/>
          <w:szCs w:val="20"/>
          <w:color w:val="auto"/>
        </w:rPr>
      </w:pPr>
      <w:r>
        <w:rPr>
          <w:rFonts w:ascii="Arial" w:cs="Arial" w:eastAsia="Arial" w:hAnsi="Arial"/>
          <w:sz w:val="12"/>
          <w:szCs w:val="12"/>
          <w:b w:val="1"/>
          <w:bCs w:val="1"/>
          <w:color w:val="auto"/>
        </w:rPr>
        <w:t>Legal &amp;</w:t>
      </w:r>
    </w:p>
    <w:tbl>
      <w:tblPr>
        <w:tblLayout w:type="fixed"/>
        <w:tblInd w:w="0" w:type="dxa"/>
        <w:tblCellMar>
          <w:top w:w="0" w:type="dxa"/>
          <w:left w:w="0" w:type="dxa"/>
          <w:bottom w:w="0" w:type="dxa"/>
          <w:right w:w="0" w:type="dxa"/>
        </w:tblCellMar>
      </w:tblPr>
      <w:tr>
        <w:trPr>
          <w:trHeight w:val="107"/>
        </w:trPr>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Depreciation</w:t>
            </w: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jc w:val="center"/>
              <w:ind w:right="1"/>
              <w:spacing w:after="0" w:line="107" w:lineRule="exact"/>
              <w:rPr>
                <w:sz w:val="20"/>
                <w:szCs w:val="20"/>
                <w:color w:val="auto"/>
              </w:rPr>
            </w:pPr>
            <w:r>
              <w:rPr>
                <w:rFonts w:ascii="Arial" w:cs="Arial" w:eastAsia="Arial" w:hAnsi="Arial"/>
                <w:sz w:val="12"/>
                <w:szCs w:val="12"/>
                <w:b w:val="1"/>
                <w:bCs w:val="1"/>
                <w:color w:val="auto"/>
                <w:w w:val="98"/>
              </w:rPr>
              <w:t>Regulatory</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jc w:val="center"/>
              <w:ind w:right="21"/>
              <w:spacing w:after="0" w:line="114" w:lineRule="exact"/>
              <w:rPr>
                <w:sz w:val="20"/>
                <w:szCs w:val="20"/>
                <w:color w:val="auto"/>
              </w:rPr>
            </w:pPr>
            <w:r>
              <w:rPr>
                <w:rFonts w:ascii="Arial" w:cs="Arial" w:eastAsia="Arial" w:hAnsi="Arial"/>
                <w:sz w:val="12"/>
                <w:szCs w:val="12"/>
                <w:b w:val="1"/>
                <w:bCs w:val="1"/>
                <w:color w:val="auto"/>
                <w:w w:val="97"/>
              </w:rPr>
              <w:t>Costs, and</w:t>
            </w: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0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Nine Months</w:t>
            </w:r>
          </w:p>
        </w:tc>
        <w:tc>
          <w:tcPr>
            <w:tcW w:w="680" w:type="dxa"/>
            <w:vAlign w:val="bottom"/>
            <w:vMerge w:val="restart"/>
          </w:tcPr>
          <w:p>
            <w:pPr>
              <w:jc w:val="center"/>
              <w:ind w:right="1"/>
              <w:spacing w:after="0"/>
              <w:rPr>
                <w:sz w:val="20"/>
                <w:szCs w:val="20"/>
                <w:color w:val="auto"/>
              </w:rPr>
            </w:pPr>
            <w:r>
              <w:rPr>
                <w:rFonts w:ascii="Arial" w:cs="Arial" w:eastAsia="Arial" w:hAnsi="Arial"/>
                <w:sz w:val="12"/>
                <w:szCs w:val="12"/>
                <w:b w:val="1"/>
                <w:bCs w:val="1"/>
                <w:color w:val="auto"/>
                <w:w w:val="97"/>
              </w:rPr>
              <w:t>GAAP</w:t>
            </w:r>
          </w:p>
        </w:tc>
        <w:tc>
          <w:tcPr>
            <w:tcW w:w="7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5"/>
              </w:rPr>
              <w:t>Merger and</w:t>
            </w:r>
          </w:p>
        </w:tc>
        <w:tc>
          <w:tcPr>
            <w:tcW w:w="920" w:type="dxa"/>
            <w:vAlign w:val="bottom"/>
            <w:vMerge w:val="restart"/>
          </w:tcPr>
          <w:p>
            <w:pPr>
              <w:jc w:val="center"/>
              <w:ind w:right="1"/>
              <w:spacing w:after="0"/>
              <w:rPr>
                <w:sz w:val="20"/>
                <w:szCs w:val="20"/>
                <w:color w:val="auto"/>
              </w:rPr>
            </w:pPr>
            <w:r>
              <w:rPr>
                <w:rFonts w:ascii="Arial" w:cs="Arial" w:eastAsia="Arial" w:hAnsi="Arial"/>
                <w:sz w:val="12"/>
                <w:szCs w:val="12"/>
                <w:b w:val="1"/>
                <w:bCs w:val="1"/>
                <w:color w:val="auto"/>
                <w:w w:val="99"/>
              </w:rPr>
              <w:t>Restructuring</w:t>
            </w:r>
          </w:p>
        </w:tc>
        <w:tc>
          <w:tcPr>
            <w:tcW w:w="8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3"/>
              </w:rPr>
              <w:t>and</w:t>
            </w: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Heart</w:t>
            </w:r>
          </w:p>
        </w:tc>
        <w:tc>
          <w:tcPr>
            <w:tcW w:w="8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6"/>
              </w:rPr>
              <w:t>Product</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Financing</w:t>
            </w: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Contingent</w:t>
            </w:r>
          </w:p>
        </w:tc>
        <w:tc>
          <w:tcPr>
            <w:tcW w:w="76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7"/>
              </w:rPr>
              <w:t>Investment</w:t>
            </w:r>
          </w:p>
        </w:tc>
        <w:tc>
          <w:tcPr>
            <w:tcW w:w="9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8"/>
              </w:rPr>
              <w:t>Stock-based</w:t>
            </w: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Certain Tax</w:t>
            </w:r>
          </w:p>
        </w:tc>
        <w:tc>
          <w:tcPr>
            <w:tcW w:w="8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6"/>
              </w:rPr>
              <w:t>Certain</w:t>
            </w: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Adjusted</w:t>
            </w:r>
          </w:p>
        </w:tc>
        <w:tc>
          <w:tcPr>
            <w:tcW w:w="0" w:type="dxa"/>
            <w:vAlign w:val="bottom"/>
          </w:tcPr>
          <w:p>
            <w:pPr>
              <w:spacing w:after="0"/>
              <w:rPr>
                <w:sz w:val="1"/>
                <w:szCs w:val="1"/>
                <w:color w:val="auto"/>
              </w:rPr>
            </w:pPr>
          </w:p>
        </w:tc>
      </w:tr>
      <w:tr>
        <w:trPr>
          <w:trHeight w:val="114"/>
        </w:trPr>
        <w:tc>
          <w:tcPr>
            <w:tcW w:w="900" w:type="dxa"/>
            <w:vAlign w:val="bottom"/>
          </w:tcPr>
          <w:p>
            <w:pPr>
              <w:ind w:left="20"/>
              <w:spacing w:after="0" w:line="114" w:lineRule="exact"/>
              <w:rPr>
                <w:sz w:val="20"/>
                <w:szCs w:val="20"/>
                <w:color w:val="auto"/>
              </w:rPr>
            </w:pPr>
            <w:r>
              <w:rPr>
                <w:rFonts w:ascii="Arial" w:cs="Arial" w:eastAsia="Arial" w:hAnsi="Arial"/>
                <w:sz w:val="12"/>
                <w:szCs w:val="12"/>
                <w:b w:val="1"/>
                <w:bCs w:val="1"/>
                <w:color w:val="auto"/>
              </w:rPr>
              <w:t>Ended</w:t>
            </w:r>
          </w:p>
        </w:tc>
        <w:tc>
          <w:tcPr>
            <w:tcW w:w="680" w:type="dxa"/>
            <w:vAlign w:val="bottom"/>
            <w:vMerge w:val="continue"/>
          </w:tcPr>
          <w:p>
            <w:pPr>
              <w:spacing w:after="0"/>
              <w:rPr>
                <w:sz w:val="9"/>
                <w:szCs w:val="9"/>
                <w:color w:val="auto"/>
              </w:rPr>
            </w:pPr>
          </w:p>
        </w:tc>
        <w:tc>
          <w:tcPr>
            <w:tcW w:w="74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9"/>
              </w:rPr>
              <w:t>Integration</w:t>
            </w:r>
          </w:p>
        </w:tc>
        <w:tc>
          <w:tcPr>
            <w:tcW w:w="920" w:type="dxa"/>
            <w:vAlign w:val="bottom"/>
            <w:vMerge w:val="continue"/>
          </w:tcPr>
          <w:p>
            <w:pPr>
              <w:spacing w:after="0"/>
              <w:rPr>
                <w:sz w:val="9"/>
                <w:szCs w:val="9"/>
                <w:color w:val="auto"/>
              </w:rPr>
            </w:pPr>
          </w:p>
        </w:tc>
        <w:tc>
          <w:tcPr>
            <w:tcW w:w="82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8"/>
              </w:rPr>
              <w:t>Amortization</w:t>
            </w:r>
          </w:p>
        </w:tc>
        <w:tc>
          <w:tcPr>
            <w:tcW w:w="540" w:type="dxa"/>
            <w:vAlign w:val="bottom"/>
            <w:vMerge w:val="continue"/>
          </w:tcPr>
          <w:p>
            <w:pPr>
              <w:spacing w:after="0"/>
              <w:rPr>
                <w:sz w:val="9"/>
                <w:szCs w:val="9"/>
                <w:color w:val="auto"/>
              </w:rPr>
            </w:pPr>
          </w:p>
        </w:tc>
        <w:tc>
          <w:tcPr>
            <w:tcW w:w="84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9"/>
              </w:rPr>
              <w:t>Remediation</w:t>
            </w:r>
          </w:p>
        </w:tc>
        <w:tc>
          <w:tcPr>
            <w:tcW w:w="8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tcPr>
          <w:p>
            <w:pPr>
              <w:jc w:val="center"/>
              <w:ind w:right="1"/>
              <w:spacing w:after="0" w:line="114" w:lineRule="exact"/>
              <w:rPr>
                <w:sz w:val="20"/>
                <w:szCs w:val="20"/>
                <w:color w:val="auto"/>
              </w:rPr>
            </w:pPr>
            <w:r>
              <w:rPr>
                <w:rFonts w:ascii="Arial" w:cs="Arial" w:eastAsia="Arial" w:hAnsi="Arial"/>
                <w:sz w:val="12"/>
                <w:szCs w:val="12"/>
                <w:b w:val="1"/>
                <w:bCs w:val="1"/>
                <w:color w:val="auto"/>
                <w:w w:val="97"/>
              </w:rPr>
              <w:t>Gain and</w:t>
            </w:r>
          </w:p>
        </w:tc>
        <w:tc>
          <w:tcPr>
            <w:tcW w:w="94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8"/>
              </w:rPr>
              <w:t>Compensation</w:t>
            </w:r>
          </w:p>
        </w:tc>
        <w:tc>
          <w:tcPr>
            <w:tcW w:w="860" w:type="dxa"/>
            <w:vAlign w:val="bottom"/>
            <w:vMerge w:val="continue"/>
          </w:tcPr>
          <w:p>
            <w:pPr>
              <w:spacing w:after="0"/>
              <w:rPr>
                <w:sz w:val="9"/>
                <w:szCs w:val="9"/>
                <w:color w:val="auto"/>
              </w:rPr>
            </w:pPr>
          </w:p>
        </w:tc>
        <w:tc>
          <w:tcPr>
            <w:tcW w:w="880" w:type="dxa"/>
            <w:vAlign w:val="bottom"/>
          </w:tcPr>
          <w:p>
            <w:pPr>
              <w:jc w:val="center"/>
              <w:ind w:right="1"/>
              <w:spacing w:after="0" w:line="114" w:lineRule="exact"/>
              <w:rPr>
                <w:sz w:val="20"/>
                <w:szCs w:val="20"/>
                <w:color w:val="auto"/>
              </w:rPr>
            </w:pPr>
            <w:r>
              <w:rPr>
                <w:rFonts w:ascii="Arial" w:cs="Arial" w:eastAsia="Arial" w:hAnsi="Arial"/>
                <w:sz w:val="12"/>
                <w:szCs w:val="12"/>
                <w:b w:val="1"/>
                <w:bCs w:val="1"/>
                <w:color w:val="auto"/>
                <w:w w:val="96"/>
              </w:rPr>
              <w:t>Interest</w:t>
            </w: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0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September 30,</w:t>
            </w:r>
          </w:p>
        </w:tc>
        <w:tc>
          <w:tcPr>
            <w:tcW w:w="68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6"/>
              </w:rPr>
              <w:t>Financial</w:t>
            </w:r>
          </w:p>
        </w:tc>
        <w:tc>
          <w:tcPr>
            <w:tcW w:w="740" w:type="dxa"/>
            <w:vAlign w:val="bottom"/>
          </w:tcPr>
          <w:p>
            <w:pPr>
              <w:jc w:val="center"/>
              <w:ind w:right="21"/>
              <w:spacing w:after="0" w:line="126" w:lineRule="exact"/>
              <w:rPr>
                <w:sz w:val="20"/>
                <w:szCs w:val="20"/>
                <w:color w:val="auto"/>
              </w:rPr>
            </w:pPr>
            <w:r>
              <w:rPr>
                <w:rFonts w:ascii="Arial" w:cs="Arial" w:eastAsia="Arial" w:hAnsi="Arial"/>
                <w:sz w:val="12"/>
                <w:szCs w:val="12"/>
                <w:b w:val="1"/>
                <w:bCs w:val="1"/>
                <w:color w:val="auto"/>
                <w:w w:val="96"/>
              </w:rPr>
              <w:t>Expenses</w:t>
            </w:r>
          </w:p>
        </w:tc>
        <w:tc>
          <w:tcPr>
            <w:tcW w:w="920" w:type="dxa"/>
            <w:vAlign w:val="bottom"/>
          </w:tcPr>
          <w:p>
            <w:pPr>
              <w:jc w:val="center"/>
              <w:ind w:right="21"/>
              <w:spacing w:after="0" w:line="126" w:lineRule="exact"/>
              <w:rPr>
                <w:sz w:val="20"/>
                <w:szCs w:val="20"/>
                <w:color w:val="auto"/>
              </w:rPr>
            </w:pPr>
            <w:r>
              <w:rPr>
                <w:rFonts w:ascii="Arial" w:cs="Arial" w:eastAsia="Arial" w:hAnsi="Arial"/>
                <w:sz w:val="12"/>
                <w:szCs w:val="12"/>
                <w:b w:val="1"/>
                <w:bCs w:val="1"/>
                <w:color w:val="auto"/>
                <w:w w:val="99"/>
              </w:rPr>
              <w:t>Expenses</w:t>
            </w:r>
          </w:p>
        </w:tc>
        <w:tc>
          <w:tcPr>
            <w:tcW w:w="82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9"/>
              </w:rPr>
              <w:t>Expenses</w:t>
            </w:r>
          </w:p>
        </w:tc>
        <w:tc>
          <w:tcPr>
            <w:tcW w:w="5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4"/>
              </w:rPr>
              <w:t>Valves</w:t>
            </w:r>
          </w:p>
        </w:tc>
        <w:tc>
          <w:tcPr>
            <w:tcW w:w="840" w:type="dxa"/>
            <w:vAlign w:val="bottom"/>
          </w:tcPr>
          <w:p>
            <w:pPr>
              <w:jc w:val="center"/>
              <w:ind w:right="21"/>
              <w:spacing w:after="0" w:line="126" w:lineRule="exact"/>
              <w:rPr>
                <w:sz w:val="20"/>
                <w:szCs w:val="20"/>
                <w:color w:val="auto"/>
              </w:rPr>
            </w:pPr>
            <w:r>
              <w:rPr>
                <w:rFonts w:ascii="Arial" w:cs="Arial" w:eastAsia="Arial" w:hAnsi="Arial"/>
                <w:sz w:val="12"/>
                <w:szCs w:val="12"/>
                <w:b w:val="1"/>
                <w:bCs w:val="1"/>
                <w:color w:val="auto"/>
                <w:w w:val="99"/>
              </w:rPr>
              <w:t>Expenses</w:t>
            </w:r>
          </w:p>
        </w:tc>
        <w:tc>
          <w:tcPr>
            <w:tcW w:w="8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6"/>
              </w:rPr>
              <w:t>Transactions</w:t>
            </w:r>
          </w:p>
        </w:tc>
        <w:tc>
          <w:tcPr>
            <w:tcW w:w="94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9"/>
              </w:rPr>
              <w:t>Consideration</w:t>
            </w:r>
          </w:p>
        </w:tc>
        <w:tc>
          <w:tcPr>
            <w:tcW w:w="76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8"/>
              </w:rPr>
              <w:t>Dividend</w:t>
            </w:r>
          </w:p>
        </w:tc>
        <w:tc>
          <w:tcPr>
            <w:tcW w:w="940" w:type="dxa"/>
            <w:vAlign w:val="bottom"/>
          </w:tcPr>
          <w:p>
            <w:pPr>
              <w:jc w:val="center"/>
              <w:ind w:right="21"/>
              <w:spacing w:after="0" w:line="126" w:lineRule="exact"/>
              <w:rPr>
                <w:sz w:val="20"/>
                <w:szCs w:val="20"/>
                <w:color w:val="auto"/>
              </w:rPr>
            </w:pPr>
            <w:r>
              <w:rPr>
                <w:rFonts w:ascii="Arial" w:cs="Arial" w:eastAsia="Arial" w:hAnsi="Arial"/>
                <w:sz w:val="12"/>
                <w:szCs w:val="12"/>
                <w:b w:val="1"/>
                <w:bCs w:val="1"/>
                <w:color w:val="auto"/>
              </w:rPr>
              <w:t>Costs</w:t>
            </w:r>
          </w:p>
        </w:tc>
        <w:tc>
          <w:tcPr>
            <w:tcW w:w="860" w:type="dxa"/>
            <w:vAlign w:val="bottom"/>
          </w:tcPr>
          <w:p>
            <w:pPr>
              <w:jc w:val="center"/>
              <w:ind w:right="1"/>
              <w:spacing w:after="0" w:line="126" w:lineRule="exact"/>
              <w:rPr>
                <w:sz w:val="20"/>
                <w:szCs w:val="20"/>
                <w:color w:val="auto"/>
              </w:rPr>
            </w:pPr>
            <w:r>
              <w:rPr>
                <w:rFonts w:ascii="Arial" w:cs="Arial" w:eastAsia="Arial" w:hAnsi="Arial"/>
                <w:sz w:val="12"/>
                <w:szCs w:val="12"/>
                <w:b w:val="1"/>
                <w:bCs w:val="1"/>
                <w:color w:val="auto"/>
                <w:w w:val="99"/>
              </w:rPr>
              <w:t>Adjustments</w:t>
            </w:r>
          </w:p>
        </w:tc>
        <w:tc>
          <w:tcPr>
            <w:tcW w:w="880" w:type="dxa"/>
            <w:vAlign w:val="bottom"/>
          </w:tcPr>
          <w:p>
            <w:pPr>
              <w:jc w:val="center"/>
              <w:ind w:right="21"/>
              <w:spacing w:after="0" w:line="126" w:lineRule="exact"/>
              <w:rPr>
                <w:sz w:val="20"/>
                <w:szCs w:val="20"/>
                <w:color w:val="auto"/>
              </w:rPr>
            </w:pPr>
            <w:r>
              <w:rPr>
                <w:rFonts w:ascii="Arial" w:cs="Arial" w:eastAsia="Arial" w:hAnsi="Arial"/>
                <w:sz w:val="12"/>
                <w:szCs w:val="12"/>
                <w:b w:val="1"/>
                <w:bCs w:val="1"/>
                <w:color w:val="auto"/>
                <w:w w:val="99"/>
              </w:rPr>
              <w:t>Adjustments</w:t>
            </w:r>
          </w:p>
        </w:tc>
        <w:tc>
          <w:tcPr>
            <w:tcW w:w="64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6"/>
              </w:rPr>
              <w:t>Financial</w:t>
            </w:r>
          </w:p>
        </w:tc>
        <w:tc>
          <w:tcPr>
            <w:tcW w:w="0" w:type="dxa"/>
            <w:vAlign w:val="bottom"/>
          </w:tcPr>
          <w:p>
            <w:pPr>
              <w:spacing w:after="0"/>
              <w:rPr>
                <w:sz w:val="1"/>
                <w:szCs w:val="1"/>
                <w:color w:val="auto"/>
              </w:rPr>
            </w:pPr>
          </w:p>
        </w:tc>
      </w:tr>
      <w:tr>
        <w:trPr>
          <w:trHeight w:val="159"/>
        </w:trPr>
        <w:tc>
          <w:tcPr>
            <w:tcW w:w="9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2021</w:t>
            </w:r>
          </w:p>
        </w:tc>
        <w:tc>
          <w:tcPr>
            <w:tcW w:w="680" w:type="dxa"/>
            <w:vAlign w:val="bottom"/>
            <w:tcBorders>
              <w:bottom w:val="single" w:sz="8" w:color="auto"/>
            </w:tcBorders>
          </w:tcPr>
          <w:p>
            <w:pPr>
              <w:jc w:val="center"/>
              <w:ind w:right="1"/>
              <w:spacing w:after="0"/>
              <w:rPr>
                <w:sz w:val="20"/>
                <w:szCs w:val="20"/>
                <w:color w:val="auto"/>
              </w:rPr>
            </w:pPr>
            <w:r>
              <w:rPr>
                <w:rFonts w:ascii="Arial" w:cs="Arial" w:eastAsia="Arial" w:hAnsi="Arial"/>
                <w:sz w:val="12"/>
                <w:szCs w:val="12"/>
                <w:b w:val="1"/>
                <w:bCs w:val="1"/>
                <w:color w:val="auto"/>
                <w:w w:val="97"/>
              </w:rPr>
              <w:t>Measures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(B)</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940" w:type="dxa"/>
            <w:vAlign w:val="bottom"/>
            <w:tcBorders>
              <w:bottom w:val="single" w:sz="8" w:color="auto"/>
            </w:tcBorders>
          </w:tcPr>
          <w:p>
            <w:pPr>
              <w:jc w:val="center"/>
              <w:ind w:right="1"/>
              <w:spacing w:after="0"/>
              <w:rPr>
                <w:sz w:val="20"/>
                <w:szCs w:val="20"/>
                <w:color w:val="auto"/>
              </w:rPr>
            </w:pPr>
            <w:r>
              <w:rPr>
                <w:rFonts w:ascii="Arial" w:cs="Arial" w:eastAsia="Arial" w:hAnsi="Arial"/>
                <w:sz w:val="12"/>
                <w:szCs w:val="12"/>
                <w:b w:val="1"/>
                <w:bCs w:val="1"/>
                <w:color w:val="auto"/>
                <w:w w:val="92"/>
              </w:rPr>
              <w:t>(G)</w:t>
            </w:r>
          </w:p>
        </w:tc>
        <w:tc>
          <w:tcPr>
            <w:tcW w:w="760" w:type="dxa"/>
            <w:vAlign w:val="bottom"/>
            <w:tcBorders>
              <w:bottom w:val="single" w:sz="8" w:color="auto"/>
            </w:tcBorders>
          </w:tcPr>
          <w:p>
            <w:pPr>
              <w:jc w:val="center"/>
              <w:ind w:right="21"/>
              <w:spacing w:after="0"/>
              <w:rPr>
                <w:sz w:val="20"/>
                <w:szCs w:val="20"/>
                <w:color w:val="auto"/>
              </w:rPr>
            </w:pPr>
            <w:r>
              <w:rPr>
                <w:rFonts w:ascii="Arial" w:cs="Arial" w:eastAsia="Arial" w:hAnsi="Arial"/>
                <w:sz w:val="12"/>
                <w:szCs w:val="12"/>
                <w:b w:val="1"/>
                <w:bCs w:val="1"/>
                <w:color w:val="auto"/>
                <w:w w:val="95"/>
              </w:rPr>
              <w:t>(H)</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(I)</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(K)</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0" w:type="dxa"/>
            <w:vAlign w:val="bottom"/>
          </w:tcPr>
          <w:p>
            <w:pPr>
              <w:spacing w:after="0"/>
              <w:rPr>
                <w:sz w:val="1"/>
                <w:szCs w:val="1"/>
                <w:color w:val="auto"/>
              </w:rPr>
            </w:pPr>
          </w:p>
        </w:tc>
      </w:tr>
      <w:tr>
        <w:trPr>
          <w:trHeight w:val="176"/>
        </w:trPr>
        <w:tc>
          <w:tcPr>
            <w:tcW w:w="90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680" w:type="dxa"/>
            <w:vAlign w:val="bottom"/>
          </w:tcPr>
          <w:p>
            <w:pPr>
              <w:jc w:val="right"/>
              <w:ind w:right="121"/>
              <w:spacing w:after="0"/>
              <w:rPr>
                <w:sz w:val="20"/>
                <w:szCs w:val="20"/>
                <w:color w:val="auto"/>
              </w:rPr>
            </w:pPr>
            <w:r>
              <w:rPr>
                <w:rFonts w:ascii="Arial" w:cs="Arial" w:eastAsia="Arial" w:hAnsi="Arial"/>
                <w:sz w:val="12"/>
                <w:szCs w:val="12"/>
                <w:color w:val="auto"/>
              </w:rPr>
              <w:t>$261.0</w:t>
            </w:r>
          </w:p>
        </w:tc>
        <w:tc>
          <w:tcPr>
            <w:tcW w:w="7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($11.9)</w:t>
            </w:r>
          </w:p>
        </w:tc>
        <w:tc>
          <w:tcPr>
            <w:tcW w:w="5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81"/>
              <w:spacing w:after="0"/>
              <w:rPr>
                <w:sz w:val="20"/>
                <w:szCs w:val="20"/>
                <w:color w:val="auto"/>
              </w:rPr>
            </w:pPr>
            <w:r>
              <w:rPr>
                <w:rFonts w:ascii="Arial" w:cs="Arial" w:eastAsia="Arial" w:hAnsi="Arial"/>
                <w:sz w:val="12"/>
                <w:szCs w:val="12"/>
                <w:color w:val="auto"/>
              </w:rPr>
              <w:t>($0.4)</w:t>
            </w:r>
          </w:p>
        </w:tc>
        <w:tc>
          <w:tcPr>
            <w:tcW w:w="88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01"/>
              <w:spacing w:after="0"/>
              <w:rPr>
                <w:sz w:val="20"/>
                <w:szCs w:val="20"/>
                <w:color w:val="auto"/>
              </w:rPr>
            </w:pPr>
            <w:r>
              <w:rPr>
                <w:rFonts w:ascii="Arial" w:cs="Arial" w:eastAsia="Arial" w:hAnsi="Arial"/>
                <w:sz w:val="12"/>
                <w:szCs w:val="12"/>
                <w:color w:val="auto"/>
              </w:rPr>
              <w:t>($9.5)</w:t>
            </w: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($0.8)</w:t>
            </w: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($2.0)</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$236.3</w:t>
            </w:r>
          </w:p>
        </w:tc>
        <w:tc>
          <w:tcPr>
            <w:tcW w:w="0" w:type="dxa"/>
            <w:vAlign w:val="bottom"/>
          </w:tcPr>
          <w:p>
            <w:pPr>
              <w:spacing w:after="0"/>
              <w:rPr>
                <w:sz w:val="1"/>
                <w:szCs w:val="1"/>
                <w:color w:val="auto"/>
              </w:rPr>
            </w:pPr>
          </w:p>
        </w:tc>
      </w:tr>
      <w:tr>
        <w:trPr>
          <w:trHeight w:val="167"/>
        </w:trPr>
        <w:tc>
          <w:tcPr>
            <w:tcW w:w="90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ind w:left="20"/>
              <w:spacing w:after="0"/>
              <w:rPr>
                <w:sz w:val="20"/>
                <w:szCs w:val="20"/>
                <w:color w:val="auto"/>
              </w:rPr>
            </w:pPr>
            <w:r>
              <w:rPr>
                <w:rFonts w:ascii="Arial" w:cs="Arial" w:eastAsia="Arial" w:hAnsi="Arial"/>
                <w:sz w:val="13"/>
                <w:szCs w:val="13"/>
                <w:color w:val="auto"/>
              </w:rPr>
              <w:t>percent</w:t>
            </w:r>
          </w:p>
        </w:tc>
        <w:tc>
          <w:tcPr>
            <w:tcW w:w="680" w:type="dxa"/>
            <w:vAlign w:val="bottom"/>
          </w:tcPr>
          <w:p>
            <w:pPr>
              <w:jc w:val="right"/>
              <w:spacing w:after="0"/>
              <w:rPr>
                <w:sz w:val="20"/>
                <w:szCs w:val="20"/>
                <w:color w:val="auto"/>
              </w:rPr>
            </w:pPr>
            <w:r>
              <w:rPr>
                <w:rFonts w:ascii="Arial" w:cs="Arial" w:eastAsia="Arial" w:hAnsi="Arial"/>
                <w:sz w:val="12"/>
                <w:szCs w:val="12"/>
                <w:color w:val="auto"/>
              </w:rPr>
              <w:t>65.9 %</w:t>
            </w:r>
          </w:p>
        </w:tc>
        <w:tc>
          <w:tcPr>
            <w:tcW w:w="74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20" w:type="dxa"/>
            <w:vAlign w:val="bottom"/>
          </w:tcPr>
          <w:p>
            <w:pPr>
              <w:jc w:val="right"/>
              <w:spacing w:after="0"/>
              <w:rPr>
                <w:sz w:val="20"/>
                <w:szCs w:val="20"/>
                <w:color w:val="auto"/>
              </w:rPr>
            </w:pPr>
            <w:r>
              <w:rPr>
                <w:rFonts w:ascii="Arial" w:cs="Arial" w:eastAsia="Arial" w:hAnsi="Arial"/>
                <w:sz w:val="12"/>
                <w:szCs w:val="12"/>
                <w:color w:val="auto"/>
              </w:rPr>
              <w:t>1.6 %</w:t>
            </w:r>
          </w:p>
        </w:tc>
        <w:tc>
          <w:tcPr>
            <w:tcW w:w="54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jc w:val="right"/>
              <w:spacing w:after="0"/>
              <w:rPr>
                <w:sz w:val="20"/>
                <w:szCs w:val="20"/>
                <w:color w:val="auto"/>
              </w:rPr>
            </w:pPr>
            <w:r>
              <w:rPr>
                <w:rFonts w:ascii="Arial" w:cs="Arial" w:eastAsia="Arial" w:hAnsi="Arial"/>
                <w:sz w:val="12"/>
                <w:szCs w:val="12"/>
                <w:color w:val="auto"/>
              </w:rPr>
              <w:t>0.1 %</w:t>
            </w:r>
          </w:p>
        </w:tc>
        <w:tc>
          <w:tcPr>
            <w:tcW w:w="880" w:type="dxa"/>
            <w:vAlign w:val="bottom"/>
          </w:tcPr>
          <w:p>
            <w:pPr>
              <w:ind w:left="580"/>
              <w:spacing w:after="0"/>
              <w:rPr>
                <w:sz w:val="20"/>
                <w:szCs w:val="20"/>
                <w:color w:val="auto"/>
              </w:rPr>
            </w:pPr>
            <w:r>
              <w:rPr>
                <w:rFonts w:ascii="Arial" w:cs="Arial" w:eastAsia="Arial" w:hAnsi="Arial"/>
                <w:sz w:val="12"/>
                <w:szCs w:val="12"/>
                <w:color w:val="auto"/>
              </w:rPr>
              <w:t>— %</w:t>
            </w:r>
          </w:p>
        </w:tc>
        <w:tc>
          <w:tcPr>
            <w:tcW w:w="940" w:type="dxa"/>
            <w:vAlign w:val="bottom"/>
          </w:tcPr>
          <w:p>
            <w:pPr>
              <w:jc w:val="right"/>
              <w:spacing w:after="0"/>
              <w:rPr>
                <w:sz w:val="20"/>
                <w:szCs w:val="20"/>
                <w:color w:val="auto"/>
              </w:rPr>
            </w:pPr>
            <w:r>
              <w:rPr>
                <w:rFonts w:ascii="Arial" w:cs="Arial" w:eastAsia="Arial" w:hAnsi="Arial"/>
                <w:sz w:val="12"/>
                <w:szCs w:val="12"/>
                <w:color w:val="auto"/>
              </w:rPr>
              <w:t>1.2 %</w:t>
            </w:r>
          </w:p>
        </w:tc>
        <w:tc>
          <w:tcPr>
            <w:tcW w:w="760" w:type="dxa"/>
            <w:vAlign w:val="bottom"/>
          </w:tcPr>
          <w:p>
            <w:pPr>
              <w:jc w:val="right"/>
              <w:spacing w:after="0"/>
              <w:rPr>
                <w:sz w:val="20"/>
                <w:szCs w:val="20"/>
                <w:color w:val="auto"/>
              </w:rPr>
            </w:pPr>
            <w:r>
              <w:rPr>
                <w:rFonts w:ascii="Arial" w:cs="Arial" w:eastAsia="Arial" w:hAnsi="Arial"/>
                <w:sz w:val="12"/>
                <w:szCs w:val="12"/>
                <w:color w:val="auto"/>
              </w:rPr>
              <w:t>0.1 %</w:t>
            </w:r>
          </w:p>
        </w:tc>
        <w:tc>
          <w:tcPr>
            <w:tcW w:w="940" w:type="dxa"/>
            <w:vAlign w:val="bottom"/>
          </w:tcPr>
          <w:p>
            <w:pPr>
              <w:jc w:val="right"/>
              <w:spacing w:after="0"/>
              <w:rPr>
                <w:sz w:val="20"/>
                <w:szCs w:val="20"/>
                <w:color w:val="auto"/>
              </w:rPr>
            </w:pPr>
            <w:r>
              <w:rPr>
                <w:rFonts w:ascii="Arial" w:cs="Arial" w:eastAsia="Arial" w:hAnsi="Arial"/>
                <w:sz w:val="12"/>
                <w:szCs w:val="12"/>
                <w:color w:val="auto"/>
              </w:rPr>
              <w:t>0.3 %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ind w:left="560"/>
              <w:spacing w:after="0"/>
              <w:rPr>
                <w:sz w:val="20"/>
                <w:szCs w:val="20"/>
                <w:color w:val="auto"/>
              </w:rPr>
            </w:pPr>
            <w:r>
              <w:rPr>
                <w:rFonts w:ascii="Arial" w:cs="Arial" w:eastAsia="Arial" w:hAnsi="Arial"/>
                <w:sz w:val="12"/>
                <w:szCs w:val="12"/>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69.1 %</w:t>
            </w:r>
          </w:p>
        </w:tc>
        <w:tc>
          <w:tcPr>
            <w:tcW w:w="0" w:type="dxa"/>
            <w:vAlign w:val="bottom"/>
          </w:tcPr>
          <w:p>
            <w:pPr>
              <w:spacing w:after="0"/>
              <w:rPr>
                <w:sz w:val="1"/>
                <w:szCs w:val="1"/>
                <w:color w:val="auto"/>
              </w:rPr>
            </w:pPr>
          </w:p>
        </w:tc>
      </w:tr>
      <w:tr>
        <w:trPr>
          <w:trHeight w:val="154"/>
        </w:trPr>
        <w:tc>
          <w:tcPr>
            <w:tcW w:w="900" w:type="dxa"/>
            <w:vAlign w:val="bottom"/>
          </w:tcPr>
          <w:p>
            <w:pPr>
              <w:ind w:left="20"/>
              <w:spacing w:after="0"/>
              <w:rPr>
                <w:sz w:val="20"/>
                <w:szCs w:val="20"/>
                <w:color w:val="auto"/>
              </w:rPr>
            </w:pPr>
            <w:r>
              <w:rPr>
                <w:rFonts w:ascii="Arial" w:cs="Arial" w:eastAsia="Arial" w:hAnsi="Arial"/>
                <w:sz w:val="13"/>
                <w:szCs w:val="13"/>
                <w:color w:val="auto"/>
              </w:rPr>
              <w:t>Selling,</w:t>
            </w: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900" w:type="dxa"/>
            <w:vAlign w:val="bottom"/>
          </w:tcPr>
          <w:p>
            <w:pPr>
              <w:ind w:left="20"/>
              <w:spacing w:after="0" w:line="126" w:lineRule="exact"/>
              <w:rPr>
                <w:sz w:val="20"/>
                <w:szCs w:val="20"/>
                <w:color w:val="auto"/>
              </w:rPr>
            </w:pPr>
            <w:r>
              <w:rPr>
                <w:rFonts w:ascii="Arial" w:cs="Arial" w:eastAsia="Arial" w:hAnsi="Arial"/>
                <w:sz w:val="13"/>
                <w:szCs w:val="13"/>
                <w:color w:val="auto"/>
              </w:rPr>
              <w:t>general and</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00" w:type="dxa"/>
            <w:vAlign w:val="bottom"/>
          </w:tcPr>
          <w:p>
            <w:pPr>
              <w:ind w:left="20"/>
              <w:spacing w:after="0"/>
              <w:rPr>
                <w:sz w:val="20"/>
                <w:szCs w:val="20"/>
                <w:color w:val="auto"/>
              </w:rPr>
            </w:pPr>
            <w:r>
              <w:rPr>
                <w:rFonts w:ascii="Arial" w:cs="Arial" w:eastAsia="Arial" w:hAnsi="Arial"/>
                <w:sz w:val="13"/>
                <w:szCs w:val="13"/>
                <w:color w:val="auto"/>
              </w:rPr>
              <w:t>administrative</w:t>
            </w:r>
          </w:p>
        </w:tc>
        <w:tc>
          <w:tcPr>
            <w:tcW w:w="680" w:type="dxa"/>
            <w:vAlign w:val="bottom"/>
          </w:tcPr>
          <w:p>
            <w:pPr>
              <w:jc w:val="right"/>
              <w:ind w:right="121"/>
              <w:spacing w:after="0"/>
              <w:rPr>
                <w:sz w:val="20"/>
                <w:szCs w:val="20"/>
                <w:color w:val="auto"/>
              </w:rPr>
            </w:pPr>
            <w:r>
              <w:rPr>
                <w:rFonts w:ascii="Arial" w:cs="Arial" w:eastAsia="Arial" w:hAnsi="Arial"/>
                <w:sz w:val="12"/>
                <w:szCs w:val="12"/>
                <w:color w:val="auto"/>
              </w:rPr>
              <w:t>347.5</w:t>
            </w:r>
          </w:p>
        </w:tc>
        <w:tc>
          <w:tcPr>
            <w:tcW w:w="7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(9.2)</w:t>
            </w:r>
          </w:p>
        </w:tc>
        <w:tc>
          <w:tcPr>
            <w:tcW w:w="5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80" w:type="dxa"/>
            <w:vAlign w:val="bottom"/>
          </w:tcPr>
          <w:p>
            <w:pPr>
              <w:ind w:left="58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(25.5)</w:t>
            </w: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(22.3)</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80" w:type="dxa"/>
            <w:vAlign w:val="bottom"/>
          </w:tcPr>
          <w:p>
            <w:pPr>
              <w:ind w:left="56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290.5</w:t>
            </w:r>
          </w:p>
        </w:tc>
        <w:tc>
          <w:tcPr>
            <w:tcW w:w="0" w:type="dxa"/>
            <w:vAlign w:val="bottom"/>
          </w:tcPr>
          <w:p>
            <w:pPr>
              <w:spacing w:after="0"/>
              <w:rPr>
                <w:sz w:val="1"/>
                <w:szCs w:val="1"/>
                <w:color w:val="auto"/>
              </w:rPr>
            </w:pPr>
          </w:p>
        </w:tc>
      </w:tr>
      <w:tr>
        <w:trPr>
          <w:trHeight w:val="167"/>
        </w:trPr>
        <w:tc>
          <w:tcPr>
            <w:tcW w:w="900" w:type="dxa"/>
            <w:vAlign w:val="bottom"/>
          </w:tcPr>
          <w:p>
            <w:pPr>
              <w:ind w:left="20"/>
              <w:spacing w:after="0"/>
              <w:rPr>
                <w:sz w:val="20"/>
                <w:szCs w:val="20"/>
                <w:color w:val="auto"/>
              </w:rPr>
            </w:pPr>
            <w:r>
              <w:rPr>
                <w:rFonts w:ascii="Arial" w:cs="Arial" w:eastAsia="Arial" w:hAnsi="Arial"/>
                <w:sz w:val="13"/>
                <w:szCs w:val="13"/>
                <w:color w:val="auto"/>
              </w:rPr>
              <w:t>Selling,</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00" w:type="dxa"/>
            <w:vAlign w:val="bottom"/>
          </w:tcPr>
          <w:p>
            <w:pPr>
              <w:ind w:left="20"/>
              <w:spacing w:after="0" w:line="126" w:lineRule="exact"/>
              <w:rPr>
                <w:sz w:val="20"/>
                <w:szCs w:val="20"/>
                <w:color w:val="auto"/>
              </w:rPr>
            </w:pPr>
            <w:r>
              <w:rPr>
                <w:rFonts w:ascii="Arial" w:cs="Arial" w:eastAsia="Arial" w:hAnsi="Arial"/>
                <w:sz w:val="13"/>
                <w:szCs w:val="13"/>
                <w:color w:val="auto"/>
              </w:rPr>
              <w:t>general and</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900" w:type="dxa"/>
            <w:vAlign w:val="bottom"/>
          </w:tcPr>
          <w:p>
            <w:pPr>
              <w:ind w:left="20"/>
              <w:spacing w:after="0" w:line="139" w:lineRule="exact"/>
              <w:rPr>
                <w:sz w:val="20"/>
                <w:szCs w:val="20"/>
                <w:color w:val="auto"/>
              </w:rPr>
            </w:pPr>
            <w:r>
              <w:rPr>
                <w:rFonts w:ascii="Arial" w:cs="Arial" w:eastAsia="Arial" w:hAnsi="Arial"/>
                <w:sz w:val="13"/>
                <w:szCs w:val="13"/>
                <w:color w:val="auto"/>
              </w:rPr>
              <w:t>administrative</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tcPr>
          <w:p>
            <w:pPr>
              <w:ind w:left="20"/>
              <w:spacing w:after="0" w:line="139" w:lineRule="exact"/>
              <w:rPr>
                <w:sz w:val="20"/>
                <w:szCs w:val="20"/>
                <w:color w:val="auto"/>
              </w:rPr>
            </w:pPr>
            <w:r>
              <w:rPr>
                <w:rFonts w:ascii="Arial" w:cs="Arial" w:eastAsia="Arial" w:hAnsi="Arial"/>
                <w:sz w:val="13"/>
                <w:szCs w:val="13"/>
                <w:color w:val="auto"/>
              </w:rPr>
              <w:t>as a percent</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00" w:type="dxa"/>
            <w:vAlign w:val="bottom"/>
          </w:tcPr>
          <w:p>
            <w:pPr>
              <w:ind w:left="20"/>
              <w:spacing w:after="0" w:line="126" w:lineRule="exact"/>
              <w:rPr>
                <w:sz w:val="20"/>
                <w:szCs w:val="20"/>
                <w:color w:val="auto"/>
              </w:rPr>
            </w:pPr>
            <w:r>
              <w:rPr>
                <w:rFonts w:ascii="Arial" w:cs="Arial" w:eastAsia="Arial" w:hAnsi="Arial"/>
                <w:sz w:val="13"/>
                <w:szCs w:val="13"/>
                <w:color w:val="auto"/>
              </w:rPr>
              <w:t>of net</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00" w:type="dxa"/>
            <w:vAlign w:val="bottom"/>
          </w:tcPr>
          <w:p>
            <w:pPr>
              <w:ind w:left="20"/>
              <w:spacing w:after="0"/>
              <w:rPr>
                <w:sz w:val="20"/>
                <w:szCs w:val="20"/>
                <w:color w:val="auto"/>
              </w:rPr>
            </w:pPr>
            <w:r>
              <w:rPr>
                <w:rFonts w:ascii="Arial" w:cs="Arial" w:eastAsia="Arial" w:hAnsi="Arial"/>
                <w:sz w:val="13"/>
                <w:szCs w:val="13"/>
                <w:color w:val="auto"/>
              </w:rPr>
              <w:t>revenue</w:t>
            </w:r>
          </w:p>
        </w:tc>
        <w:tc>
          <w:tcPr>
            <w:tcW w:w="680" w:type="dxa"/>
            <w:vAlign w:val="bottom"/>
          </w:tcPr>
          <w:p>
            <w:pPr>
              <w:jc w:val="right"/>
              <w:spacing w:after="0"/>
              <w:rPr>
                <w:sz w:val="20"/>
                <w:szCs w:val="20"/>
                <w:color w:val="auto"/>
              </w:rPr>
            </w:pPr>
            <w:r>
              <w:rPr>
                <w:rFonts w:ascii="Arial" w:cs="Arial" w:eastAsia="Arial" w:hAnsi="Arial"/>
                <w:sz w:val="12"/>
                <w:szCs w:val="12"/>
                <w:color w:val="auto"/>
              </w:rPr>
              <w:t>45.4 %</w:t>
            </w:r>
          </w:p>
        </w:tc>
        <w:tc>
          <w:tcPr>
            <w:tcW w:w="74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20" w:type="dxa"/>
            <w:vAlign w:val="bottom"/>
          </w:tcPr>
          <w:p>
            <w:pPr>
              <w:jc w:val="right"/>
              <w:spacing w:after="0"/>
              <w:rPr>
                <w:sz w:val="20"/>
                <w:szCs w:val="20"/>
                <w:color w:val="auto"/>
              </w:rPr>
            </w:pPr>
            <w:r>
              <w:rPr>
                <w:rFonts w:ascii="Arial" w:cs="Arial" w:eastAsia="Arial" w:hAnsi="Arial"/>
                <w:sz w:val="12"/>
                <w:szCs w:val="12"/>
                <w:color w:val="auto"/>
              </w:rPr>
              <w:t>(1.2)%</w:t>
            </w:r>
          </w:p>
        </w:tc>
        <w:tc>
          <w:tcPr>
            <w:tcW w:w="54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ind w:left="580"/>
              <w:spacing w:after="0"/>
              <w:rPr>
                <w:sz w:val="20"/>
                <w:szCs w:val="20"/>
                <w:color w:val="auto"/>
              </w:rPr>
            </w:pPr>
            <w:r>
              <w:rPr>
                <w:rFonts w:ascii="Arial" w:cs="Arial" w:eastAsia="Arial" w:hAnsi="Arial"/>
                <w:sz w:val="12"/>
                <w:szCs w:val="12"/>
                <w:color w:val="auto"/>
              </w:rPr>
              <w:t>— %</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760" w:type="dxa"/>
            <w:vAlign w:val="bottom"/>
          </w:tcPr>
          <w:p>
            <w:pPr>
              <w:jc w:val="right"/>
              <w:spacing w:after="0"/>
              <w:rPr>
                <w:sz w:val="20"/>
                <w:szCs w:val="20"/>
                <w:color w:val="auto"/>
              </w:rPr>
            </w:pPr>
            <w:r>
              <w:rPr>
                <w:rFonts w:ascii="Arial" w:cs="Arial" w:eastAsia="Arial" w:hAnsi="Arial"/>
                <w:sz w:val="12"/>
                <w:szCs w:val="12"/>
                <w:color w:val="auto"/>
              </w:rPr>
              <w:t>(3.3)%</w:t>
            </w:r>
          </w:p>
        </w:tc>
        <w:tc>
          <w:tcPr>
            <w:tcW w:w="940" w:type="dxa"/>
            <w:vAlign w:val="bottom"/>
          </w:tcPr>
          <w:p>
            <w:pPr>
              <w:jc w:val="right"/>
              <w:spacing w:after="0"/>
              <w:rPr>
                <w:sz w:val="20"/>
                <w:szCs w:val="20"/>
                <w:color w:val="auto"/>
              </w:rPr>
            </w:pPr>
            <w:r>
              <w:rPr>
                <w:rFonts w:ascii="Arial" w:cs="Arial" w:eastAsia="Arial" w:hAnsi="Arial"/>
                <w:sz w:val="12"/>
                <w:szCs w:val="12"/>
                <w:color w:val="auto"/>
              </w:rPr>
              <w:t>(2.9)%</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ind w:left="560"/>
              <w:spacing w:after="0"/>
              <w:rPr>
                <w:sz w:val="20"/>
                <w:szCs w:val="20"/>
                <w:color w:val="auto"/>
              </w:rPr>
            </w:pPr>
            <w:r>
              <w:rPr>
                <w:rFonts w:ascii="Arial" w:cs="Arial" w:eastAsia="Arial" w:hAnsi="Arial"/>
                <w:sz w:val="12"/>
                <w:szCs w:val="12"/>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38.0 %</w:t>
            </w:r>
          </w:p>
        </w:tc>
        <w:tc>
          <w:tcPr>
            <w:tcW w:w="0" w:type="dxa"/>
            <w:vAlign w:val="bottom"/>
          </w:tcPr>
          <w:p>
            <w:pPr>
              <w:spacing w:after="0"/>
              <w:rPr>
                <w:sz w:val="1"/>
                <w:szCs w:val="1"/>
                <w:color w:val="auto"/>
              </w:rPr>
            </w:pPr>
          </w:p>
        </w:tc>
      </w:tr>
      <w:tr>
        <w:trPr>
          <w:trHeight w:val="167"/>
        </w:trPr>
        <w:tc>
          <w:tcPr>
            <w:tcW w:w="900" w:type="dxa"/>
            <w:vAlign w:val="bottom"/>
          </w:tcPr>
          <w:p>
            <w:pPr>
              <w:ind w:left="20"/>
              <w:spacing w:after="0"/>
              <w:rPr>
                <w:sz w:val="20"/>
                <w:szCs w:val="20"/>
                <w:color w:val="auto"/>
              </w:rPr>
            </w:pPr>
            <w:r>
              <w:rPr>
                <w:rFonts w:ascii="Arial" w:cs="Arial" w:eastAsia="Arial" w:hAnsi="Arial"/>
                <w:sz w:val="13"/>
                <w:szCs w:val="13"/>
                <w:color w:val="auto"/>
              </w:rPr>
              <w:t>Research and</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ind w:left="20"/>
              <w:spacing w:after="0"/>
              <w:rPr>
                <w:sz w:val="20"/>
                <w:szCs w:val="20"/>
                <w:color w:val="auto"/>
              </w:rPr>
            </w:pPr>
            <w:r>
              <w:rPr>
                <w:rFonts w:ascii="Arial" w:cs="Arial" w:eastAsia="Arial" w:hAnsi="Arial"/>
                <w:sz w:val="13"/>
                <w:szCs w:val="13"/>
                <w:color w:val="auto"/>
              </w:rPr>
              <w:t>development</w:t>
            </w:r>
          </w:p>
        </w:tc>
        <w:tc>
          <w:tcPr>
            <w:tcW w:w="680" w:type="dxa"/>
            <w:vAlign w:val="bottom"/>
          </w:tcPr>
          <w:p>
            <w:pPr>
              <w:jc w:val="right"/>
              <w:ind w:right="121"/>
              <w:spacing w:after="0"/>
              <w:rPr>
                <w:sz w:val="20"/>
                <w:szCs w:val="20"/>
                <w:color w:val="auto"/>
              </w:rPr>
            </w:pPr>
            <w:r>
              <w:rPr>
                <w:rFonts w:ascii="Arial" w:cs="Arial" w:eastAsia="Arial" w:hAnsi="Arial"/>
                <w:sz w:val="12"/>
                <w:szCs w:val="12"/>
                <w:color w:val="auto"/>
              </w:rPr>
              <w:t>139.3</w:t>
            </w:r>
          </w:p>
        </w:tc>
        <w:tc>
          <w:tcPr>
            <w:tcW w:w="7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1"/>
              <w:spacing w:after="0"/>
              <w:rPr>
                <w:sz w:val="20"/>
                <w:szCs w:val="20"/>
                <w:color w:val="auto"/>
              </w:rPr>
            </w:pPr>
            <w:r>
              <w:rPr>
                <w:rFonts w:ascii="Arial" w:cs="Arial" w:eastAsia="Arial" w:hAnsi="Arial"/>
                <w:sz w:val="12"/>
                <w:szCs w:val="12"/>
                <w:color w:val="auto"/>
              </w:rPr>
              <w:t>0.1</w:t>
            </w:r>
          </w:p>
        </w:tc>
        <w:tc>
          <w:tcPr>
            <w:tcW w:w="5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80" w:type="dxa"/>
            <w:vAlign w:val="bottom"/>
          </w:tcPr>
          <w:p>
            <w:pPr>
              <w:ind w:left="58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01"/>
              <w:spacing w:after="0"/>
              <w:rPr>
                <w:sz w:val="20"/>
                <w:szCs w:val="20"/>
                <w:color w:val="auto"/>
              </w:rPr>
            </w:pPr>
            <w:r>
              <w:rPr>
                <w:rFonts w:ascii="Arial" w:cs="Arial" w:eastAsia="Arial" w:hAnsi="Arial"/>
                <w:sz w:val="12"/>
                <w:szCs w:val="12"/>
                <w:color w:val="auto"/>
              </w:rPr>
              <w:t>(8.3)</w:t>
            </w: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(2.0)</w:t>
            </w:r>
          </w:p>
        </w:tc>
        <w:tc>
          <w:tcPr>
            <w:tcW w:w="940" w:type="dxa"/>
            <w:vAlign w:val="bottom"/>
          </w:tcPr>
          <w:p>
            <w:pPr>
              <w:jc w:val="right"/>
              <w:ind w:right="81"/>
              <w:spacing w:after="0"/>
              <w:rPr>
                <w:sz w:val="20"/>
                <w:szCs w:val="20"/>
                <w:color w:val="auto"/>
              </w:rPr>
            </w:pPr>
            <w:r>
              <w:rPr>
                <w:rFonts w:ascii="Arial" w:cs="Arial" w:eastAsia="Arial" w:hAnsi="Arial"/>
                <w:sz w:val="12"/>
                <w:szCs w:val="12"/>
                <w:color w:val="auto"/>
              </w:rPr>
              <w:t>(6.3)</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80" w:type="dxa"/>
            <w:vAlign w:val="bottom"/>
          </w:tcPr>
          <w:p>
            <w:pPr>
              <w:ind w:left="56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122.8</w:t>
            </w:r>
          </w:p>
        </w:tc>
        <w:tc>
          <w:tcPr>
            <w:tcW w:w="0" w:type="dxa"/>
            <w:vAlign w:val="bottom"/>
          </w:tcPr>
          <w:p>
            <w:pPr>
              <w:spacing w:after="0"/>
              <w:rPr>
                <w:sz w:val="1"/>
                <w:szCs w:val="1"/>
                <w:color w:val="auto"/>
              </w:rPr>
            </w:pPr>
          </w:p>
        </w:tc>
      </w:tr>
      <w:tr>
        <w:trPr>
          <w:trHeight w:val="154"/>
        </w:trPr>
        <w:tc>
          <w:tcPr>
            <w:tcW w:w="900" w:type="dxa"/>
            <w:vAlign w:val="bottom"/>
          </w:tcPr>
          <w:p>
            <w:pPr>
              <w:ind w:left="20"/>
              <w:spacing w:after="0"/>
              <w:rPr>
                <w:sz w:val="20"/>
                <w:szCs w:val="20"/>
                <w:color w:val="auto"/>
              </w:rPr>
            </w:pPr>
            <w:r>
              <w:rPr>
                <w:rFonts w:ascii="Arial" w:cs="Arial" w:eastAsia="Arial" w:hAnsi="Arial"/>
                <w:sz w:val="13"/>
                <w:szCs w:val="13"/>
                <w:color w:val="auto"/>
              </w:rPr>
              <w:t>Research and</w:t>
            </w: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900" w:type="dxa"/>
            <w:vAlign w:val="bottom"/>
          </w:tcPr>
          <w:p>
            <w:pPr>
              <w:ind w:left="20"/>
              <w:spacing w:after="0" w:line="126" w:lineRule="exact"/>
              <w:rPr>
                <w:sz w:val="20"/>
                <w:szCs w:val="20"/>
                <w:color w:val="auto"/>
              </w:rPr>
            </w:pPr>
            <w:r>
              <w:rPr>
                <w:rFonts w:ascii="Arial" w:cs="Arial" w:eastAsia="Arial" w:hAnsi="Arial"/>
                <w:sz w:val="13"/>
                <w:szCs w:val="13"/>
                <w:color w:val="auto"/>
              </w:rPr>
              <w:t>development</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900" w:type="dxa"/>
            <w:vAlign w:val="bottom"/>
          </w:tcPr>
          <w:p>
            <w:pPr>
              <w:ind w:left="20"/>
              <w:spacing w:after="0" w:line="139" w:lineRule="exact"/>
              <w:rPr>
                <w:sz w:val="20"/>
                <w:szCs w:val="20"/>
                <w:color w:val="auto"/>
              </w:rPr>
            </w:pPr>
            <w:r>
              <w:rPr>
                <w:rFonts w:ascii="Arial" w:cs="Arial" w:eastAsia="Arial" w:hAnsi="Arial"/>
                <w:sz w:val="13"/>
                <w:szCs w:val="13"/>
                <w:color w:val="auto"/>
              </w:rPr>
              <w:t>as a percent</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tcPr>
          <w:p>
            <w:pPr>
              <w:ind w:left="20"/>
              <w:spacing w:after="0" w:line="139" w:lineRule="exact"/>
              <w:rPr>
                <w:sz w:val="20"/>
                <w:szCs w:val="20"/>
                <w:color w:val="auto"/>
              </w:rPr>
            </w:pPr>
            <w:r>
              <w:rPr>
                <w:rFonts w:ascii="Arial" w:cs="Arial" w:eastAsia="Arial" w:hAnsi="Arial"/>
                <w:sz w:val="13"/>
                <w:szCs w:val="13"/>
                <w:color w:val="auto"/>
              </w:rPr>
              <w:t>of net</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00" w:type="dxa"/>
            <w:vAlign w:val="bottom"/>
          </w:tcPr>
          <w:p>
            <w:pPr>
              <w:ind w:left="20"/>
              <w:spacing w:after="0"/>
              <w:rPr>
                <w:sz w:val="20"/>
                <w:szCs w:val="20"/>
                <w:color w:val="auto"/>
              </w:rPr>
            </w:pPr>
            <w:r>
              <w:rPr>
                <w:rFonts w:ascii="Arial" w:cs="Arial" w:eastAsia="Arial" w:hAnsi="Arial"/>
                <w:sz w:val="13"/>
                <w:szCs w:val="13"/>
                <w:color w:val="auto"/>
              </w:rPr>
              <w:t>revenue</w:t>
            </w:r>
          </w:p>
        </w:tc>
        <w:tc>
          <w:tcPr>
            <w:tcW w:w="680" w:type="dxa"/>
            <w:vAlign w:val="bottom"/>
          </w:tcPr>
          <w:p>
            <w:pPr>
              <w:jc w:val="right"/>
              <w:spacing w:after="0"/>
              <w:rPr>
                <w:sz w:val="20"/>
                <w:szCs w:val="20"/>
                <w:color w:val="auto"/>
              </w:rPr>
            </w:pPr>
            <w:r>
              <w:rPr>
                <w:rFonts w:ascii="Arial" w:cs="Arial" w:eastAsia="Arial" w:hAnsi="Arial"/>
                <w:sz w:val="12"/>
                <w:szCs w:val="12"/>
                <w:color w:val="auto"/>
              </w:rPr>
              <w:t>18.2 %</w:t>
            </w:r>
          </w:p>
        </w:tc>
        <w:tc>
          <w:tcPr>
            <w:tcW w:w="74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20" w:type="dxa"/>
            <w:vAlign w:val="bottom"/>
          </w:tcPr>
          <w:p>
            <w:pPr>
              <w:jc w:val="right"/>
              <w:spacing w:after="0"/>
              <w:rPr>
                <w:sz w:val="20"/>
                <w:szCs w:val="20"/>
                <w:color w:val="auto"/>
              </w:rPr>
            </w:pPr>
            <w:r>
              <w:rPr>
                <w:rFonts w:ascii="Arial" w:cs="Arial" w:eastAsia="Arial" w:hAnsi="Arial"/>
                <w:sz w:val="12"/>
                <w:szCs w:val="12"/>
                <w:color w:val="auto"/>
              </w:rPr>
              <w:t>— %</w:t>
            </w:r>
          </w:p>
        </w:tc>
        <w:tc>
          <w:tcPr>
            <w:tcW w:w="54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ind w:left="580"/>
              <w:spacing w:after="0"/>
              <w:rPr>
                <w:sz w:val="20"/>
                <w:szCs w:val="20"/>
                <w:color w:val="auto"/>
              </w:rPr>
            </w:pPr>
            <w:r>
              <w:rPr>
                <w:rFonts w:ascii="Arial" w:cs="Arial" w:eastAsia="Arial" w:hAnsi="Arial"/>
                <w:sz w:val="12"/>
                <w:szCs w:val="12"/>
                <w:color w:val="auto"/>
              </w:rPr>
              <w:t>— %</w:t>
            </w:r>
          </w:p>
        </w:tc>
        <w:tc>
          <w:tcPr>
            <w:tcW w:w="940" w:type="dxa"/>
            <w:vAlign w:val="bottom"/>
          </w:tcPr>
          <w:p>
            <w:pPr>
              <w:jc w:val="right"/>
              <w:spacing w:after="0"/>
              <w:rPr>
                <w:sz w:val="20"/>
                <w:szCs w:val="20"/>
                <w:color w:val="auto"/>
              </w:rPr>
            </w:pPr>
            <w:r>
              <w:rPr>
                <w:rFonts w:ascii="Arial" w:cs="Arial" w:eastAsia="Arial" w:hAnsi="Arial"/>
                <w:sz w:val="12"/>
                <w:szCs w:val="12"/>
                <w:color w:val="auto"/>
              </w:rPr>
              <w:t>(1.1)%</w:t>
            </w:r>
          </w:p>
        </w:tc>
        <w:tc>
          <w:tcPr>
            <w:tcW w:w="760" w:type="dxa"/>
            <w:vAlign w:val="bottom"/>
          </w:tcPr>
          <w:p>
            <w:pPr>
              <w:jc w:val="right"/>
              <w:spacing w:after="0"/>
              <w:rPr>
                <w:sz w:val="20"/>
                <w:szCs w:val="20"/>
                <w:color w:val="auto"/>
              </w:rPr>
            </w:pPr>
            <w:r>
              <w:rPr>
                <w:rFonts w:ascii="Arial" w:cs="Arial" w:eastAsia="Arial" w:hAnsi="Arial"/>
                <w:sz w:val="12"/>
                <w:szCs w:val="12"/>
                <w:color w:val="auto"/>
              </w:rPr>
              <w:t>(0.3)%</w:t>
            </w:r>
          </w:p>
        </w:tc>
        <w:tc>
          <w:tcPr>
            <w:tcW w:w="940" w:type="dxa"/>
            <w:vAlign w:val="bottom"/>
          </w:tcPr>
          <w:p>
            <w:pPr>
              <w:jc w:val="right"/>
              <w:spacing w:after="0"/>
              <w:rPr>
                <w:sz w:val="20"/>
                <w:szCs w:val="20"/>
                <w:color w:val="auto"/>
              </w:rPr>
            </w:pPr>
            <w:r>
              <w:rPr>
                <w:rFonts w:ascii="Arial" w:cs="Arial" w:eastAsia="Arial" w:hAnsi="Arial"/>
                <w:sz w:val="12"/>
                <w:szCs w:val="12"/>
                <w:color w:val="auto"/>
              </w:rPr>
              <w:t>(0.8)%</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ind w:left="560"/>
              <w:spacing w:after="0"/>
              <w:rPr>
                <w:sz w:val="20"/>
                <w:szCs w:val="20"/>
                <w:color w:val="auto"/>
              </w:rPr>
            </w:pPr>
            <w:r>
              <w:rPr>
                <w:rFonts w:ascii="Arial" w:cs="Arial" w:eastAsia="Arial" w:hAnsi="Arial"/>
                <w:sz w:val="12"/>
                <w:szCs w:val="12"/>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16.1 %</w:t>
            </w:r>
          </w:p>
        </w:tc>
        <w:tc>
          <w:tcPr>
            <w:tcW w:w="0" w:type="dxa"/>
            <w:vAlign w:val="bottom"/>
          </w:tcPr>
          <w:p>
            <w:pPr>
              <w:spacing w:after="0"/>
              <w:rPr>
                <w:sz w:val="1"/>
                <w:szCs w:val="1"/>
                <w:color w:val="auto"/>
              </w:rPr>
            </w:pPr>
          </w:p>
        </w:tc>
      </w:tr>
      <w:tr>
        <w:trPr>
          <w:trHeight w:val="154"/>
        </w:trPr>
        <w:tc>
          <w:tcPr>
            <w:tcW w:w="900" w:type="dxa"/>
            <w:vAlign w:val="bottom"/>
          </w:tcPr>
          <w:p>
            <w:pPr>
              <w:ind w:left="20"/>
              <w:spacing w:after="0"/>
              <w:rPr>
                <w:sz w:val="20"/>
                <w:szCs w:val="20"/>
                <w:color w:val="auto"/>
              </w:rPr>
            </w:pPr>
            <w:r>
              <w:rPr>
                <w:rFonts w:ascii="Arial" w:cs="Arial" w:eastAsia="Arial" w:hAnsi="Arial"/>
                <w:sz w:val="13"/>
                <w:szCs w:val="13"/>
                <w:color w:val="auto"/>
              </w:rPr>
              <w:t>Other</w:t>
            </w: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900" w:type="dxa"/>
            <w:vAlign w:val="bottom"/>
          </w:tcPr>
          <w:p>
            <w:pPr>
              <w:ind w:left="20"/>
              <w:spacing w:after="0" w:line="126" w:lineRule="exact"/>
              <w:rPr>
                <w:sz w:val="20"/>
                <w:szCs w:val="20"/>
                <w:color w:val="auto"/>
              </w:rPr>
            </w:pPr>
            <w:r>
              <w:rPr>
                <w:rFonts w:ascii="Arial" w:cs="Arial" w:eastAsia="Arial" w:hAnsi="Arial"/>
                <w:sz w:val="13"/>
                <w:szCs w:val="13"/>
                <w:color w:val="auto"/>
              </w:rPr>
              <w:t>operating</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00" w:type="dxa"/>
            <w:vAlign w:val="bottom"/>
          </w:tcPr>
          <w:p>
            <w:pPr>
              <w:ind w:left="20"/>
              <w:spacing w:after="0"/>
              <w:rPr>
                <w:sz w:val="20"/>
                <w:szCs w:val="20"/>
                <w:color w:val="auto"/>
              </w:rPr>
            </w:pPr>
            <w:r>
              <w:rPr>
                <w:rFonts w:ascii="Arial" w:cs="Arial" w:eastAsia="Arial" w:hAnsi="Arial"/>
                <w:sz w:val="13"/>
                <w:szCs w:val="13"/>
                <w:color w:val="auto"/>
              </w:rPr>
              <w:t>expenses</w:t>
            </w:r>
          </w:p>
        </w:tc>
        <w:tc>
          <w:tcPr>
            <w:tcW w:w="680" w:type="dxa"/>
            <w:vAlign w:val="bottom"/>
          </w:tcPr>
          <w:p>
            <w:pPr>
              <w:jc w:val="right"/>
              <w:ind w:right="121"/>
              <w:spacing w:after="0"/>
              <w:rPr>
                <w:sz w:val="20"/>
                <w:szCs w:val="20"/>
                <w:color w:val="auto"/>
              </w:rPr>
            </w:pPr>
            <w:r>
              <w:rPr>
                <w:rFonts w:ascii="Arial" w:cs="Arial" w:eastAsia="Arial" w:hAnsi="Arial"/>
                <w:sz w:val="12"/>
                <w:szCs w:val="12"/>
                <w:color w:val="auto"/>
              </w:rPr>
              <w:t>43.1</w:t>
            </w: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(0.8)</w:t>
            </w:r>
          </w:p>
        </w:tc>
        <w:tc>
          <w:tcPr>
            <w:tcW w:w="920" w:type="dxa"/>
            <w:vAlign w:val="bottom"/>
          </w:tcPr>
          <w:p>
            <w:pPr>
              <w:jc w:val="right"/>
              <w:ind w:right="101"/>
              <w:spacing w:after="0"/>
              <w:rPr>
                <w:sz w:val="20"/>
                <w:szCs w:val="20"/>
                <w:color w:val="auto"/>
              </w:rPr>
            </w:pPr>
            <w:r>
              <w:rPr>
                <w:rFonts w:ascii="Arial" w:cs="Arial" w:eastAsia="Arial" w:hAnsi="Arial"/>
                <w:sz w:val="12"/>
                <w:szCs w:val="12"/>
                <w:color w:val="auto"/>
              </w:rPr>
              <w:t>(9.8)</w:t>
            </w:r>
          </w:p>
        </w:tc>
        <w:tc>
          <w:tcPr>
            <w:tcW w:w="82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21"/>
              <w:spacing w:after="0"/>
              <w:rPr>
                <w:sz w:val="20"/>
                <w:szCs w:val="20"/>
                <w:color w:val="auto"/>
              </w:rPr>
            </w:pPr>
            <w:r>
              <w:rPr>
                <w:rFonts w:ascii="Arial" w:cs="Arial" w:eastAsia="Arial" w:hAnsi="Arial"/>
                <w:sz w:val="12"/>
                <w:szCs w:val="12"/>
                <w:color w:val="auto"/>
              </w:rPr>
              <w:t>0.7</w:t>
            </w:r>
          </w:p>
        </w:tc>
        <w:tc>
          <w:tcPr>
            <w:tcW w:w="8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80" w:type="dxa"/>
            <w:vAlign w:val="bottom"/>
          </w:tcPr>
          <w:p>
            <w:pPr>
              <w:ind w:left="58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(32.3)</w:t>
            </w:r>
          </w:p>
        </w:tc>
        <w:tc>
          <w:tcPr>
            <w:tcW w:w="9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80" w:type="dxa"/>
            <w:vAlign w:val="bottom"/>
          </w:tcPr>
          <w:p>
            <w:pPr>
              <w:ind w:left="56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7"/>
        </w:trPr>
        <w:tc>
          <w:tcPr>
            <w:tcW w:w="900" w:type="dxa"/>
            <w:vAlign w:val="bottom"/>
          </w:tcPr>
          <w:p>
            <w:pPr>
              <w:ind w:left="20"/>
              <w:spacing w:after="0"/>
              <w:rPr>
                <w:sz w:val="20"/>
                <w:szCs w:val="20"/>
                <w:color w:val="auto"/>
              </w:rPr>
            </w:pPr>
            <w:r>
              <w:rPr>
                <w:rFonts w:ascii="Arial" w:cs="Arial" w:eastAsia="Arial" w:hAnsi="Arial"/>
                <w:sz w:val="13"/>
                <w:szCs w:val="13"/>
                <w:color w:val="auto"/>
              </w:rPr>
              <w:t>Operating</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ind w:left="20"/>
              <w:spacing w:after="0"/>
              <w:rPr>
                <w:sz w:val="20"/>
                <w:szCs w:val="20"/>
                <w:color w:val="auto"/>
              </w:rPr>
            </w:pPr>
            <w:r>
              <w:rPr>
                <w:rFonts w:ascii="Arial" w:cs="Arial" w:eastAsia="Arial" w:hAnsi="Arial"/>
                <w:sz w:val="13"/>
                <w:szCs w:val="13"/>
                <w:color w:val="auto"/>
              </w:rPr>
              <w:t>(loss) income</w:t>
            </w:r>
          </w:p>
        </w:tc>
        <w:tc>
          <w:tcPr>
            <w:tcW w:w="680" w:type="dxa"/>
            <w:vAlign w:val="bottom"/>
          </w:tcPr>
          <w:p>
            <w:pPr>
              <w:jc w:val="right"/>
              <w:ind w:right="101"/>
              <w:spacing w:after="0"/>
              <w:rPr>
                <w:sz w:val="20"/>
                <w:szCs w:val="20"/>
                <w:color w:val="auto"/>
              </w:rPr>
            </w:pPr>
            <w:r>
              <w:rPr>
                <w:rFonts w:ascii="Arial" w:cs="Arial" w:eastAsia="Arial" w:hAnsi="Arial"/>
                <w:sz w:val="12"/>
                <w:szCs w:val="12"/>
                <w:color w:val="auto"/>
              </w:rPr>
              <w:t>(25.5)</w:t>
            </w:r>
          </w:p>
        </w:tc>
        <w:tc>
          <w:tcPr>
            <w:tcW w:w="740" w:type="dxa"/>
            <w:vAlign w:val="bottom"/>
          </w:tcPr>
          <w:p>
            <w:pPr>
              <w:jc w:val="right"/>
              <w:ind w:right="121"/>
              <w:spacing w:after="0"/>
              <w:rPr>
                <w:sz w:val="20"/>
                <w:szCs w:val="20"/>
                <w:color w:val="auto"/>
              </w:rPr>
            </w:pPr>
            <w:r>
              <w:rPr>
                <w:rFonts w:ascii="Arial" w:cs="Arial" w:eastAsia="Arial" w:hAnsi="Arial"/>
                <w:sz w:val="12"/>
                <w:szCs w:val="12"/>
                <w:color w:val="auto"/>
              </w:rPr>
              <w:t>0.8</w:t>
            </w:r>
          </w:p>
        </w:tc>
        <w:tc>
          <w:tcPr>
            <w:tcW w:w="920" w:type="dxa"/>
            <w:vAlign w:val="bottom"/>
          </w:tcPr>
          <w:p>
            <w:pPr>
              <w:jc w:val="right"/>
              <w:ind w:right="121"/>
              <w:spacing w:after="0"/>
              <w:rPr>
                <w:sz w:val="20"/>
                <w:szCs w:val="20"/>
                <w:color w:val="auto"/>
              </w:rPr>
            </w:pPr>
            <w:r>
              <w:rPr>
                <w:rFonts w:ascii="Arial" w:cs="Arial" w:eastAsia="Arial" w:hAnsi="Arial"/>
                <w:sz w:val="12"/>
                <w:szCs w:val="12"/>
                <w:color w:val="auto"/>
              </w:rPr>
              <w:t>9.8</w:t>
            </w:r>
          </w:p>
        </w:tc>
        <w:tc>
          <w:tcPr>
            <w:tcW w:w="820" w:type="dxa"/>
            <w:vAlign w:val="bottom"/>
          </w:tcPr>
          <w:p>
            <w:pPr>
              <w:jc w:val="right"/>
              <w:ind w:right="81"/>
              <w:spacing w:after="0"/>
              <w:rPr>
                <w:sz w:val="20"/>
                <w:szCs w:val="20"/>
                <w:color w:val="auto"/>
              </w:rPr>
            </w:pPr>
            <w:r>
              <w:rPr>
                <w:rFonts w:ascii="Arial" w:cs="Arial" w:eastAsia="Arial" w:hAnsi="Arial"/>
                <w:sz w:val="12"/>
                <w:szCs w:val="12"/>
                <w:color w:val="auto"/>
              </w:rPr>
              <w:t>21.0</w:t>
            </w:r>
          </w:p>
        </w:tc>
        <w:tc>
          <w:tcPr>
            <w:tcW w:w="540" w:type="dxa"/>
            <w:vAlign w:val="bottom"/>
          </w:tcPr>
          <w:p>
            <w:pPr>
              <w:jc w:val="right"/>
              <w:ind w:right="101"/>
              <w:spacing w:after="0"/>
              <w:rPr>
                <w:sz w:val="20"/>
                <w:szCs w:val="20"/>
                <w:color w:val="auto"/>
              </w:rPr>
            </w:pPr>
            <w:r>
              <w:rPr>
                <w:rFonts w:ascii="Arial" w:cs="Arial" w:eastAsia="Arial" w:hAnsi="Arial"/>
                <w:sz w:val="12"/>
                <w:szCs w:val="12"/>
                <w:color w:val="auto"/>
              </w:rPr>
              <w:t>(0.7)</w:t>
            </w:r>
          </w:p>
        </w:tc>
        <w:tc>
          <w:tcPr>
            <w:tcW w:w="840" w:type="dxa"/>
            <w:vAlign w:val="bottom"/>
          </w:tcPr>
          <w:p>
            <w:pPr>
              <w:jc w:val="right"/>
              <w:ind w:right="121"/>
              <w:spacing w:after="0"/>
              <w:rPr>
                <w:sz w:val="20"/>
                <w:szCs w:val="20"/>
                <w:color w:val="auto"/>
              </w:rPr>
            </w:pPr>
            <w:r>
              <w:rPr>
                <w:rFonts w:ascii="Arial" w:cs="Arial" w:eastAsia="Arial" w:hAnsi="Arial"/>
                <w:sz w:val="12"/>
                <w:szCs w:val="12"/>
                <w:color w:val="auto"/>
              </w:rPr>
              <w:t>0.4</w:t>
            </w:r>
          </w:p>
        </w:tc>
        <w:tc>
          <w:tcPr>
            <w:tcW w:w="880" w:type="dxa"/>
            <w:vAlign w:val="bottom"/>
          </w:tcPr>
          <w:p>
            <w:pPr>
              <w:ind w:left="58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41"/>
              <w:spacing w:after="0"/>
              <w:rPr>
                <w:sz w:val="20"/>
                <w:szCs w:val="20"/>
                <w:color w:val="auto"/>
              </w:rPr>
            </w:pPr>
            <w:r>
              <w:rPr>
                <w:rFonts w:ascii="Arial" w:cs="Arial" w:eastAsia="Arial" w:hAnsi="Arial"/>
                <w:sz w:val="12"/>
                <w:szCs w:val="12"/>
                <w:color w:val="auto"/>
              </w:rPr>
              <w:t>17.8</w:t>
            </w:r>
          </w:p>
        </w:tc>
        <w:tc>
          <w:tcPr>
            <w:tcW w:w="760" w:type="dxa"/>
            <w:vAlign w:val="bottom"/>
          </w:tcPr>
          <w:p>
            <w:pPr>
              <w:jc w:val="right"/>
              <w:ind w:right="141"/>
              <w:spacing w:after="0"/>
              <w:rPr>
                <w:sz w:val="20"/>
                <w:szCs w:val="20"/>
                <w:color w:val="auto"/>
              </w:rPr>
            </w:pPr>
            <w:r>
              <w:rPr>
                <w:rFonts w:ascii="Arial" w:cs="Arial" w:eastAsia="Arial" w:hAnsi="Arial"/>
                <w:sz w:val="12"/>
                <w:szCs w:val="12"/>
                <w:color w:val="auto"/>
              </w:rPr>
              <w:t>60.6</w:t>
            </w:r>
          </w:p>
        </w:tc>
        <w:tc>
          <w:tcPr>
            <w:tcW w:w="940" w:type="dxa"/>
            <w:vAlign w:val="bottom"/>
          </w:tcPr>
          <w:p>
            <w:pPr>
              <w:jc w:val="right"/>
              <w:ind w:right="121"/>
              <w:spacing w:after="0"/>
              <w:rPr>
                <w:sz w:val="20"/>
                <w:szCs w:val="20"/>
                <w:color w:val="auto"/>
              </w:rPr>
            </w:pPr>
            <w:r>
              <w:rPr>
                <w:rFonts w:ascii="Arial" w:cs="Arial" w:eastAsia="Arial" w:hAnsi="Arial"/>
                <w:sz w:val="12"/>
                <w:szCs w:val="12"/>
                <w:color w:val="auto"/>
              </w:rPr>
              <w:t>30.6</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880" w:type="dxa"/>
            <w:vAlign w:val="bottom"/>
          </w:tcPr>
          <w:p>
            <w:pPr>
              <w:ind w:left="56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114.7</w:t>
            </w:r>
          </w:p>
        </w:tc>
        <w:tc>
          <w:tcPr>
            <w:tcW w:w="0" w:type="dxa"/>
            <w:vAlign w:val="bottom"/>
          </w:tcPr>
          <w:p>
            <w:pPr>
              <w:spacing w:after="0"/>
              <w:rPr>
                <w:sz w:val="1"/>
                <w:szCs w:val="1"/>
                <w:color w:val="auto"/>
              </w:rPr>
            </w:pPr>
          </w:p>
        </w:tc>
      </w:tr>
      <w:tr>
        <w:trPr>
          <w:trHeight w:val="154"/>
        </w:trPr>
        <w:tc>
          <w:tcPr>
            <w:tcW w:w="900" w:type="dxa"/>
            <w:vAlign w:val="bottom"/>
          </w:tcPr>
          <w:p>
            <w:pPr>
              <w:ind w:left="20"/>
              <w:spacing w:after="0"/>
              <w:rPr>
                <w:sz w:val="20"/>
                <w:szCs w:val="20"/>
                <w:color w:val="auto"/>
              </w:rPr>
            </w:pPr>
            <w:r>
              <w:rPr>
                <w:rFonts w:ascii="Arial" w:cs="Arial" w:eastAsia="Arial" w:hAnsi="Arial"/>
                <w:sz w:val="13"/>
                <w:szCs w:val="13"/>
                <w:color w:val="auto"/>
              </w:rPr>
              <w:t>Operating</w:t>
            </w: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900" w:type="dxa"/>
            <w:vAlign w:val="bottom"/>
          </w:tcPr>
          <w:p>
            <w:pPr>
              <w:ind w:left="20"/>
              <w:spacing w:after="0" w:line="126" w:lineRule="exact"/>
              <w:rPr>
                <w:sz w:val="20"/>
                <w:szCs w:val="20"/>
                <w:color w:val="auto"/>
              </w:rPr>
            </w:pPr>
            <w:r>
              <w:rPr>
                <w:rFonts w:ascii="Arial" w:cs="Arial" w:eastAsia="Arial" w:hAnsi="Arial"/>
                <w:sz w:val="13"/>
                <w:szCs w:val="13"/>
                <w:color w:val="auto"/>
              </w:rPr>
              <w:t>margin</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00" w:type="dxa"/>
            <w:vAlign w:val="bottom"/>
          </w:tcPr>
          <w:p>
            <w:pPr>
              <w:ind w:left="20"/>
              <w:spacing w:after="0"/>
              <w:rPr>
                <w:sz w:val="20"/>
                <w:szCs w:val="20"/>
                <w:color w:val="auto"/>
              </w:rPr>
            </w:pPr>
            <w:r>
              <w:rPr>
                <w:rFonts w:ascii="Arial" w:cs="Arial" w:eastAsia="Arial" w:hAnsi="Arial"/>
                <w:sz w:val="13"/>
                <w:szCs w:val="13"/>
                <w:color w:val="auto"/>
              </w:rPr>
              <w:t>percent</w:t>
            </w:r>
          </w:p>
        </w:tc>
        <w:tc>
          <w:tcPr>
            <w:tcW w:w="680" w:type="dxa"/>
            <w:vAlign w:val="bottom"/>
          </w:tcPr>
          <w:p>
            <w:pPr>
              <w:jc w:val="right"/>
              <w:spacing w:after="0"/>
              <w:rPr>
                <w:sz w:val="20"/>
                <w:szCs w:val="20"/>
                <w:color w:val="auto"/>
              </w:rPr>
            </w:pPr>
            <w:r>
              <w:rPr>
                <w:rFonts w:ascii="Arial" w:cs="Arial" w:eastAsia="Arial" w:hAnsi="Arial"/>
                <w:sz w:val="12"/>
                <w:szCs w:val="12"/>
                <w:color w:val="auto"/>
              </w:rPr>
              <w:t>(3.3)%</w:t>
            </w:r>
          </w:p>
        </w:tc>
        <w:tc>
          <w:tcPr>
            <w:tcW w:w="740" w:type="dxa"/>
            <w:vAlign w:val="bottom"/>
          </w:tcPr>
          <w:p>
            <w:pPr>
              <w:jc w:val="right"/>
              <w:spacing w:after="0"/>
              <w:rPr>
                <w:sz w:val="20"/>
                <w:szCs w:val="20"/>
                <w:color w:val="auto"/>
              </w:rPr>
            </w:pPr>
            <w:r>
              <w:rPr>
                <w:rFonts w:ascii="Arial" w:cs="Arial" w:eastAsia="Arial" w:hAnsi="Arial"/>
                <w:sz w:val="12"/>
                <w:szCs w:val="12"/>
                <w:color w:val="auto"/>
              </w:rPr>
              <w:t>0.1 %</w:t>
            </w:r>
          </w:p>
        </w:tc>
        <w:tc>
          <w:tcPr>
            <w:tcW w:w="920" w:type="dxa"/>
            <w:vAlign w:val="bottom"/>
          </w:tcPr>
          <w:p>
            <w:pPr>
              <w:jc w:val="right"/>
              <w:spacing w:after="0"/>
              <w:rPr>
                <w:sz w:val="20"/>
                <w:szCs w:val="20"/>
                <w:color w:val="auto"/>
              </w:rPr>
            </w:pPr>
            <w:r>
              <w:rPr>
                <w:rFonts w:ascii="Arial" w:cs="Arial" w:eastAsia="Arial" w:hAnsi="Arial"/>
                <w:sz w:val="12"/>
                <w:szCs w:val="12"/>
                <w:color w:val="auto"/>
              </w:rPr>
              <w:t>1.3 %</w:t>
            </w:r>
          </w:p>
        </w:tc>
        <w:tc>
          <w:tcPr>
            <w:tcW w:w="820" w:type="dxa"/>
            <w:vAlign w:val="bottom"/>
          </w:tcPr>
          <w:p>
            <w:pPr>
              <w:jc w:val="right"/>
              <w:spacing w:after="0"/>
              <w:rPr>
                <w:sz w:val="20"/>
                <w:szCs w:val="20"/>
                <w:color w:val="auto"/>
              </w:rPr>
            </w:pPr>
            <w:r>
              <w:rPr>
                <w:rFonts w:ascii="Arial" w:cs="Arial" w:eastAsia="Arial" w:hAnsi="Arial"/>
                <w:sz w:val="12"/>
                <w:szCs w:val="12"/>
                <w:color w:val="auto"/>
              </w:rPr>
              <w:t>2.7 %</w:t>
            </w:r>
          </w:p>
        </w:tc>
        <w:tc>
          <w:tcPr>
            <w:tcW w:w="540" w:type="dxa"/>
            <w:vAlign w:val="bottom"/>
          </w:tcPr>
          <w:p>
            <w:pPr>
              <w:jc w:val="right"/>
              <w:spacing w:after="0"/>
              <w:rPr>
                <w:sz w:val="20"/>
                <w:szCs w:val="20"/>
                <w:color w:val="auto"/>
              </w:rPr>
            </w:pPr>
            <w:r>
              <w:rPr>
                <w:rFonts w:ascii="Arial" w:cs="Arial" w:eastAsia="Arial" w:hAnsi="Arial"/>
                <w:sz w:val="12"/>
                <w:szCs w:val="12"/>
                <w:color w:val="auto"/>
              </w:rPr>
              <w:t>(0.1)%</w:t>
            </w:r>
          </w:p>
        </w:tc>
        <w:tc>
          <w:tcPr>
            <w:tcW w:w="840" w:type="dxa"/>
            <w:vAlign w:val="bottom"/>
          </w:tcPr>
          <w:p>
            <w:pPr>
              <w:jc w:val="right"/>
              <w:spacing w:after="0"/>
              <w:rPr>
                <w:sz w:val="20"/>
                <w:szCs w:val="20"/>
                <w:color w:val="auto"/>
              </w:rPr>
            </w:pPr>
            <w:r>
              <w:rPr>
                <w:rFonts w:ascii="Arial" w:cs="Arial" w:eastAsia="Arial" w:hAnsi="Arial"/>
                <w:sz w:val="12"/>
                <w:szCs w:val="12"/>
                <w:color w:val="auto"/>
              </w:rPr>
              <w:t>0.1 %</w:t>
            </w:r>
          </w:p>
        </w:tc>
        <w:tc>
          <w:tcPr>
            <w:tcW w:w="880" w:type="dxa"/>
            <w:vAlign w:val="bottom"/>
          </w:tcPr>
          <w:p>
            <w:pPr>
              <w:ind w:left="580"/>
              <w:spacing w:after="0"/>
              <w:rPr>
                <w:sz w:val="20"/>
                <w:szCs w:val="20"/>
                <w:color w:val="auto"/>
              </w:rPr>
            </w:pPr>
            <w:r>
              <w:rPr>
                <w:rFonts w:ascii="Arial" w:cs="Arial" w:eastAsia="Arial" w:hAnsi="Arial"/>
                <w:sz w:val="12"/>
                <w:szCs w:val="12"/>
                <w:color w:val="auto"/>
              </w:rPr>
              <w:t>— %</w:t>
            </w:r>
          </w:p>
        </w:tc>
        <w:tc>
          <w:tcPr>
            <w:tcW w:w="940" w:type="dxa"/>
            <w:vAlign w:val="bottom"/>
          </w:tcPr>
          <w:p>
            <w:pPr>
              <w:jc w:val="right"/>
              <w:spacing w:after="0"/>
              <w:rPr>
                <w:sz w:val="20"/>
                <w:szCs w:val="20"/>
                <w:color w:val="auto"/>
              </w:rPr>
            </w:pPr>
            <w:r>
              <w:rPr>
                <w:rFonts w:ascii="Arial" w:cs="Arial" w:eastAsia="Arial" w:hAnsi="Arial"/>
                <w:sz w:val="12"/>
                <w:szCs w:val="12"/>
                <w:color w:val="auto"/>
              </w:rPr>
              <w:t>2.3 %</w:t>
            </w:r>
          </w:p>
        </w:tc>
        <w:tc>
          <w:tcPr>
            <w:tcW w:w="760" w:type="dxa"/>
            <w:vAlign w:val="bottom"/>
          </w:tcPr>
          <w:p>
            <w:pPr>
              <w:jc w:val="right"/>
              <w:spacing w:after="0"/>
              <w:rPr>
                <w:sz w:val="20"/>
                <w:szCs w:val="20"/>
                <w:color w:val="auto"/>
              </w:rPr>
            </w:pPr>
            <w:r>
              <w:rPr>
                <w:rFonts w:ascii="Arial" w:cs="Arial" w:eastAsia="Arial" w:hAnsi="Arial"/>
                <w:sz w:val="12"/>
                <w:szCs w:val="12"/>
                <w:color w:val="auto"/>
              </w:rPr>
              <w:t>7.9 %</w:t>
            </w:r>
          </w:p>
        </w:tc>
        <w:tc>
          <w:tcPr>
            <w:tcW w:w="940" w:type="dxa"/>
            <w:vAlign w:val="bottom"/>
          </w:tcPr>
          <w:p>
            <w:pPr>
              <w:jc w:val="right"/>
              <w:spacing w:after="0"/>
              <w:rPr>
                <w:sz w:val="20"/>
                <w:szCs w:val="20"/>
                <w:color w:val="auto"/>
              </w:rPr>
            </w:pPr>
            <w:r>
              <w:rPr>
                <w:rFonts w:ascii="Arial" w:cs="Arial" w:eastAsia="Arial" w:hAnsi="Arial"/>
                <w:sz w:val="12"/>
                <w:szCs w:val="12"/>
                <w:color w:val="auto"/>
              </w:rPr>
              <w:t>4.0 %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ind w:left="560"/>
              <w:spacing w:after="0"/>
              <w:rPr>
                <w:sz w:val="20"/>
                <w:szCs w:val="20"/>
                <w:color w:val="auto"/>
              </w:rPr>
            </w:pPr>
            <w:r>
              <w:rPr>
                <w:rFonts w:ascii="Arial" w:cs="Arial" w:eastAsia="Arial" w:hAnsi="Arial"/>
                <w:sz w:val="12"/>
                <w:szCs w:val="12"/>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15.0 %</w:t>
            </w:r>
          </w:p>
        </w:tc>
        <w:tc>
          <w:tcPr>
            <w:tcW w:w="0" w:type="dxa"/>
            <w:vAlign w:val="bottom"/>
          </w:tcPr>
          <w:p>
            <w:pPr>
              <w:spacing w:after="0"/>
              <w:rPr>
                <w:sz w:val="1"/>
                <w:szCs w:val="1"/>
                <w:color w:val="auto"/>
              </w:rPr>
            </w:pPr>
          </w:p>
        </w:tc>
      </w:tr>
      <w:tr>
        <w:trPr>
          <w:trHeight w:val="167"/>
        </w:trPr>
        <w:tc>
          <w:tcPr>
            <w:tcW w:w="900" w:type="dxa"/>
            <w:vAlign w:val="bottom"/>
          </w:tcPr>
          <w:p>
            <w:pPr>
              <w:ind w:left="20"/>
              <w:spacing w:after="0"/>
              <w:rPr>
                <w:sz w:val="20"/>
                <w:szCs w:val="20"/>
                <w:color w:val="auto"/>
              </w:rPr>
            </w:pPr>
            <w:r>
              <w:rPr>
                <w:rFonts w:ascii="Arial" w:cs="Arial" w:eastAsia="Arial" w:hAnsi="Arial"/>
                <w:sz w:val="13"/>
                <w:szCs w:val="13"/>
                <w:color w:val="auto"/>
              </w:rPr>
              <w:t>Income tax</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Pr>
          <w:p>
            <w:pPr>
              <w:ind w:left="20"/>
              <w:spacing w:after="0"/>
              <w:rPr>
                <w:sz w:val="20"/>
                <w:szCs w:val="20"/>
                <w:color w:val="auto"/>
              </w:rPr>
            </w:pPr>
            <w:r>
              <w:rPr>
                <w:rFonts w:ascii="Arial" w:cs="Arial" w:eastAsia="Arial" w:hAnsi="Arial"/>
                <w:sz w:val="13"/>
                <w:szCs w:val="13"/>
                <w:color w:val="auto"/>
              </w:rPr>
              <w:t>expense</w:t>
            </w:r>
          </w:p>
        </w:tc>
        <w:tc>
          <w:tcPr>
            <w:tcW w:w="680" w:type="dxa"/>
            <w:vAlign w:val="bottom"/>
          </w:tcPr>
          <w:p>
            <w:pPr>
              <w:jc w:val="right"/>
              <w:ind w:right="121"/>
              <w:spacing w:after="0"/>
              <w:rPr>
                <w:sz w:val="20"/>
                <w:szCs w:val="20"/>
                <w:color w:val="auto"/>
              </w:rPr>
            </w:pPr>
            <w:r>
              <w:rPr>
                <w:rFonts w:ascii="Arial" w:cs="Arial" w:eastAsia="Arial" w:hAnsi="Arial"/>
                <w:sz w:val="12"/>
                <w:szCs w:val="12"/>
                <w:color w:val="auto"/>
              </w:rPr>
              <w:t>8.4</w:t>
            </w:r>
          </w:p>
        </w:tc>
        <w:tc>
          <w:tcPr>
            <w:tcW w:w="740" w:type="dxa"/>
            <w:vAlign w:val="bottom"/>
          </w:tcPr>
          <w:p>
            <w:pPr>
              <w:jc w:val="right"/>
              <w:ind w:right="12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1"/>
              <w:spacing w:after="0"/>
              <w:rPr>
                <w:sz w:val="20"/>
                <w:szCs w:val="20"/>
                <w:color w:val="auto"/>
              </w:rPr>
            </w:pPr>
            <w:r>
              <w:rPr>
                <w:rFonts w:ascii="Arial" w:cs="Arial" w:eastAsia="Arial" w:hAnsi="Arial"/>
                <w:sz w:val="12"/>
                <w:szCs w:val="12"/>
                <w:color w:val="auto"/>
              </w:rPr>
              <w:t>0.3</w:t>
            </w:r>
          </w:p>
        </w:tc>
        <w:tc>
          <w:tcPr>
            <w:tcW w:w="820" w:type="dxa"/>
            <w:vAlign w:val="bottom"/>
          </w:tcPr>
          <w:p>
            <w:pPr>
              <w:jc w:val="right"/>
              <w:ind w:right="81"/>
              <w:spacing w:after="0"/>
              <w:rPr>
                <w:sz w:val="20"/>
                <w:szCs w:val="20"/>
                <w:color w:val="auto"/>
              </w:rPr>
            </w:pPr>
            <w:r>
              <w:rPr>
                <w:rFonts w:ascii="Arial" w:cs="Arial" w:eastAsia="Arial" w:hAnsi="Arial"/>
                <w:sz w:val="12"/>
                <w:szCs w:val="12"/>
                <w:color w:val="auto"/>
              </w:rPr>
              <w:t>1.6</w:t>
            </w:r>
          </w:p>
        </w:tc>
        <w:tc>
          <w:tcPr>
            <w:tcW w:w="540" w:type="dxa"/>
            <w:vAlign w:val="bottom"/>
          </w:tcPr>
          <w:p>
            <w:pPr>
              <w:jc w:val="right"/>
              <w:ind w:right="121"/>
              <w:spacing w:after="0"/>
              <w:rPr>
                <w:sz w:val="20"/>
                <w:szCs w:val="20"/>
                <w:color w:val="auto"/>
              </w:rPr>
            </w:pPr>
            <w:r>
              <w:rPr>
                <w:rFonts w:ascii="Arial" w:cs="Arial" w:eastAsia="Arial" w:hAnsi="Arial"/>
                <w:sz w:val="12"/>
                <w:szCs w:val="12"/>
                <w:color w:val="auto"/>
              </w:rPr>
              <w:t>3.0</w:t>
            </w:r>
          </w:p>
        </w:tc>
        <w:tc>
          <w:tcPr>
            <w:tcW w:w="840" w:type="dxa"/>
            <w:vAlign w:val="bottom"/>
          </w:tcPr>
          <w:p>
            <w:pPr>
              <w:jc w:val="right"/>
              <w:ind w:right="121"/>
              <w:spacing w:after="0"/>
              <w:rPr>
                <w:sz w:val="20"/>
                <w:szCs w:val="20"/>
                <w:color w:val="auto"/>
              </w:rPr>
            </w:pPr>
            <w:r>
              <w:rPr>
                <w:rFonts w:ascii="Arial" w:cs="Arial" w:eastAsia="Arial" w:hAnsi="Arial"/>
                <w:sz w:val="12"/>
                <w:szCs w:val="12"/>
                <w:color w:val="auto"/>
              </w:rPr>
              <w:t>0.1</w:t>
            </w:r>
          </w:p>
        </w:tc>
        <w:tc>
          <w:tcPr>
            <w:tcW w:w="880" w:type="dxa"/>
            <w:vAlign w:val="bottom"/>
          </w:tcPr>
          <w:p>
            <w:pPr>
              <w:ind w:left="58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41"/>
              <w:spacing w:after="0"/>
              <w:rPr>
                <w:sz w:val="20"/>
                <w:szCs w:val="20"/>
                <w:color w:val="auto"/>
              </w:rPr>
            </w:pPr>
            <w:r>
              <w:rPr>
                <w:rFonts w:ascii="Arial" w:cs="Arial" w:eastAsia="Arial" w:hAnsi="Arial"/>
                <w:sz w:val="12"/>
                <w:szCs w:val="12"/>
                <w:color w:val="auto"/>
              </w:rPr>
              <w:t>1.0</w:t>
            </w:r>
          </w:p>
        </w:tc>
        <w:tc>
          <w:tcPr>
            <w:tcW w:w="940" w:type="dxa"/>
            <w:vAlign w:val="bottom"/>
          </w:tcPr>
          <w:p>
            <w:pPr>
              <w:jc w:val="right"/>
              <w:ind w:right="121"/>
              <w:spacing w:after="0"/>
              <w:rPr>
                <w:sz w:val="20"/>
                <w:szCs w:val="20"/>
                <w:color w:val="auto"/>
              </w:rPr>
            </w:pPr>
            <w:r>
              <w:rPr>
                <w:rFonts w:ascii="Arial" w:cs="Arial" w:eastAsia="Arial" w:hAnsi="Arial"/>
                <w:sz w:val="12"/>
                <w:szCs w:val="12"/>
                <w:color w:val="auto"/>
              </w:rPr>
              <w:t>0.7</w:t>
            </w:r>
          </w:p>
        </w:tc>
        <w:tc>
          <w:tcPr>
            <w:tcW w:w="860" w:type="dxa"/>
            <w:vAlign w:val="bottom"/>
          </w:tcPr>
          <w:p>
            <w:pPr>
              <w:jc w:val="right"/>
              <w:ind w:right="81"/>
              <w:spacing w:after="0"/>
              <w:rPr>
                <w:sz w:val="20"/>
                <w:szCs w:val="20"/>
                <w:color w:val="auto"/>
              </w:rPr>
            </w:pPr>
            <w:r>
              <w:rPr>
                <w:rFonts w:ascii="Arial" w:cs="Arial" w:eastAsia="Arial" w:hAnsi="Arial"/>
                <w:sz w:val="12"/>
                <w:szCs w:val="12"/>
                <w:color w:val="auto"/>
              </w:rPr>
              <w:t>(5.7)</w:t>
            </w:r>
          </w:p>
        </w:tc>
        <w:tc>
          <w:tcPr>
            <w:tcW w:w="880" w:type="dxa"/>
            <w:vAlign w:val="bottom"/>
          </w:tcPr>
          <w:p>
            <w:pPr>
              <w:ind w:left="56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154"/>
        </w:trPr>
        <w:tc>
          <w:tcPr>
            <w:tcW w:w="900" w:type="dxa"/>
            <w:vAlign w:val="bottom"/>
          </w:tcPr>
          <w:p>
            <w:pPr>
              <w:ind w:left="20"/>
              <w:spacing w:after="0"/>
              <w:rPr>
                <w:sz w:val="20"/>
                <w:szCs w:val="20"/>
                <w:color w:val="auto"/>
              </w:rPr>
            </w:pPr>
            <w:r>
              <w:rPr>
                <w:rFonts w:ascii="Arial" w:cs="Arial" w:eastAsia="Arial" w:hAnsi="Arial"/>
                <w:sz w:val="13"/>
                <w:szCs w:val="13"/>
                <w:color w:val="auto"/>
              </w:rPr>
              <w:t>Income tax</w:t>
            </w: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00" w:type="dxa"/>
            <w:vAlign w:val="bottom"/>
          </w:tcPr>
          <w:p>
            <w:pPr>
              <w:ind w:left="20"/>
              <w:spacing w:after="0"/>
              <w:rPr>
                <w:sz w:val="20"/>
                <w:szCs w:val="20"/>
                <w:color w:val="auto"/>
              </w:rPr>
            </w:pPr>
            <w:r>
              <w:rPr>
                <w:rFonts w:ascii="Arial" w:cs="Arial" w:eastAsia="Arial" w:hAnsi="Arial"/>
                <w:sz w:val="13"/>
                <w:szCs w:val="13"/>
                <w:color w:val="auto"/>
              </w:rPr>
              <w:t>rate</w:t>
            </w:r>
          </w:p>
        </w:tc>
        <w:tc>
          <w:tcPr>
            <w:tcW w:w="680" w:type="dxa"/>
            <w:vAlign w:val="bottom"/>
          </w:tcPr>
          <w:p>
            <w:pPr>
              <w:jc w:val="right"/>
              <w:spacing w:after="0"/>
              <w:rPr>
                <w:sz w:val="20"/>
                <w:szCs w:val="20"/>
                <w:color w:val="auto"/>
              </w:rPr>
            </w:pPr>
            <w:r>
              <w:rPr>
                <w:rFonts w:ascii="Arial" w:cs="Arial" w:eastAsia="Arial" w:hAnsi="Arial"/>
                <w:sz w:val="12"/>
                <w:szCs w:val="12"/>
                <w:color w:val="auto"/>
              </w:rPr>
              <w:t>(6.9)%</w:t>
            </w:r>
          </w:p>
        </w:tc>
        <w:tc>
          <w:tcPr>
            <w:tcW w:w="740" w:type="dxa"/>
            <w:vAlign w:val="bottom"/>
          </w:tcPr>
          <w:p>
            <w:pPr>
              <w:jc w:val="right"/>
              <w:spacing w:after="0"/>
              <w:rPr>
                <w:sz w:val="20"/>
                <w:szCs w:val="20"/>
                <w:color w:val="auto"/>
              </w:rPr>
            </w:pPr>
            <w:r>
              <w:rPr>
                <w:rFonts w:ascii="Arial" w:cs="Arial" w:eastAsia="Arial" w:hAnsi="Arial"/>
                <w:sz w:val="12"/>
                <w:szCs w:val="12"/>
                <w:color w:val="auto"/>
              </w:rPr>
              <w:t>0.9 %</w:t>
            </w:r>
          </w:p>
        </w:tc>
        <w:tc>
          <w:tcPr>
            <w:tcW w:w="920" w:type="dxa"/>
            <w:vAlign w:val="bottom"/>
          </w:tcPr>
          <w:p>
            <w:pPr>
              <w:jc w:val="right"/>
              <w:spacing w:after="0"/>
              <w:rPr>
                <w:sz w:val="20"/>
                <w:szCs w:val="20"/>
                <w:color w:val="auto"/>
              </w:rPr>
            </w:pPr>
            <w:r>
              <w:rPr>
                <w:rFonts w:ascii="Arial" w:cs="Arial" w:eastAsia="Arial" w:hAnsi="Arial"/>
                <w:sz w:val="12"/>
                <w:szCs w:val="12"/>
                <w:color w:val="auto"/>
              </w:rPr>
              <w:t>3.2 %</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7.8 % (436.4)%</w:t>
            </w:r>
          </w:p>
        </w:tc>
        <w:tc>
          <w:tcPr>
            <w:tcW w:w="840" w:type="dxa"/>
            <w:vAlign w:val="bottom"/>
          </w:tcPr>
          <w:p>
            <w:pPr>
              <w:jc w:val="right"/>
              <w:spacing w:after="0"/>
              <w:rPr>
                <w:sz w:val="20"/>
                <w:szCs w:val="20"/>
                <w:color w:val="auto"/>
              </w:rPr>
            </w:pPr>
            <w:r>
              <w:rPr>
                <w:rFonts w:ascii="Arial" w:cs="Arial" w:eastAsia="Arial" w:hAnsi="Arial"/>
                <w:sz w:val="12"/>
                <w:szCs w:val="12"/>
                <w:color w:val="auto"/>
              </w:rPr>
              <w:t>29.8 %</w:t>
            </w:r>
          </w:p>
        </w:tc>
        <w:tc>
          <w:tcPr>
            <w:tcW w:w="880" w:type="dxa"/>
            <w:vAlign w:val="bottom"/>
          </w:tcPr>
          <w:p>
            <w:pPr>
              <w:ind w:left="580"/>
              <w:spacing w:after="0"/>
              <w:rPr>
                <w:sz w:val="20"/>
                <w:szCs w:val="20"/>
                <w:color w:val="auto"/>
              </w:rPr>
            </w:pPr>
            <w:r>
              <w:rPr>
                <w:rFonts w:ascii="Arial" w:cs="Arial" w:eastAsia="Arial" w:hAnsi="Arial"/>
                <w:sz w:val="12"/>
                <w:szCs w:val="12"/>
                <w:color w:val="auto"/>
              </w:rPr>
              <w:t>— %</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760" w:type="dxa"/>
            <w:vAlign w:val="bottom"/>
          </w:tcPr>
          <w:p>
            <w:pPr>
              <w:jc w:val="right"/>
              <w:spacing w:after="0"/>
              <w:rPr>
                <w:sz w:val="20"/>
                <w:szCs w:val="20"/>
                <w:color w:val="auto"/>
              </w:rPr>
            </w:pPr>
            <w:r>
              <w:rPr>
                <w:rFonts w:ascii="Arial" w:cs="Arial" w:eastAsia="Arial" w:hAnsi="Arial"/>
                <w:sz w:val="12"/>
                <w:szCs w:val="12"/>
                <w:color w:val="auto"/>
              </w:rPr>
              <w:t>2.0 %</w:t>
            </w:r>
          </w:p>
        </w:tc>
        <w:tc>
          <w:tcPr>
            <w:tcW w:w="940" w:type="dxa"/>
            <w:vAlign w:val="bottom"/>
          </w:tcPr>
          <w:p>
            <w:pPr>
              <w:jc w:val="right"/>
              <w:spacing w:after="0"/>
              <w:rPr>
                <w:sz w:val="20"/>
                <w:szCs w:val="20"/>
                <w:color w:val="auto"/>
              </w:rPr>
            </w:pPr>
            <w:r>
              <w:rPr>
                <w:rFonts w:ascii="Arial" w:cs="Arial" w:eastAsia="Arial" w:hAnsi="Arial"/>
                <w:sz w:val="12"/>
                <w:szCs w:val="12"/>
                <w:color w:val="auto"/>
              </w:rPr>
              <w:t>2.4 %</w:t>
            </w:r>
          </w:p>
        </w:tc>
        <w:tc>
          <w:tcPr>
            <w:tcW w:w="860" w:type="dxa"/>
            <w:vAlign w:val="bottom"/>
          </w:tcPr>
          <w:p>
            <w:pPr>
              <w:jc w:val="right"/>
              <w:spacing w:after="0"/>
              <w:rPr>
                <w:sz w:val="20"/>
                <w:szCs w:val="20"/>
                <w:color w:val="auto"/>
              </w:rPr>
            </w:pPr>
            <w:r>
              <w:rPr>
                <w:rFonts w:ascii="Arial" w:cs="Arial" w:eastAsia="Arial" w:hAnsi="Arial"/>
                <w:sz w:val="12"/>
                <w:szCs w:val="12"/>
                <w:color w:val="auto"/>
              </w:rPr>
              <w:t>N/A</w:t>
            </w:r>
          </w:p>
        </w:tc>
        <w:tc>
          <w:tcPr>
            <w:tcW w:w="880" w:type="dxa"/>
            <w:vAlign w:val="bottom"/>
          </w:tcPr>
          <w:p>
            <w:pPr>
              <w:ind w:left="560"/>
              <w:spacing w:after="0"/>
              <w:rPr>
                <w:sz w:val="20"/>
                <w:szCs w:val="20"/>
                <w:color w:val="auto"/>
              </w:rPr>
            </w:pPr>
            <w:r>
              <w:rPr>
                <w:rFonts w:ascii="Arial" w:cs="Arial" w:eastAsia="Arial" w:hAnsi="Arial"/>
                <w:sz w:val="12"/>
                <w:szCs w:val="12"/>
                <w:color w:val="auto"/>
              </w:rPr>
              <w:t>— %</w:t>
            </w:r>
          </w:p>
        </w:tc>
        <w:tc>
          <w:tcPr>
            <w:tcW w:w="640" w:type="dxa"/>
            <w:vAlign w:val="bottom"/>
          </w:tcPr>
          <w:p>
            <w:pPr>
              <w:jc w:val="right"/>
              <w:spacing w:after="0"/>
              <w:rPr>
                <w:sz w:val="20"/>
                <w:szCs w:val="20"/>
                <w:color w:val="auto"/>
              </w:rPr>
            </w:pPr>
            <w:r>
              <w:rPr>
                <w:rFonts w:ascii="Arial" w:cs="Arial" w:eastAsia="Arial" w:hAnsi="Arial"/>
                <w:sz w:val="12"/>
                <w:szCs w:val="12"/>
                <w:color w:val="auto"/>
              </w:rPr>
              <w:t>11.3 %</w:t>
            </w:r>
          </w:p>
        </w:tc>
        <w:tc>
          <w:tcPr>
            <w:tcW w:w="0" w:type="dxa"/>
            <w:vAlign w:val="bottom"/>
          </w:tcPr>
          <w:p>
            <w:pPr>
              <w:spacing w:after="0"/>
              <w:rPr>
                <w:sz w:val="1"/>
                <w:szCs w:val="1"/>
                <w:color w:val="auto"/>
              </w:rPr>
            </w:pPr>
          </w:p>
        </w:tc>
      </w:tr>
      <w:tr>
        <w:trPr>
          <w:trHeight w:val="154"/>
        </w:trPr>
        <w:tc>
          <w:tcPr>
            <w:tcW w:w="900" w:type="dxa"/>
            <w:vAlign w:val="bottom"/>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00" w:type="dxa"/>
            <w:vAlign w:val="bottom"/>
          </w:tcPr>
          <w:p>
            <w:pPr>
              <w:ind w:left="20"/>
              <w:spacing w:after="0"/>
              <w:rPr>
                <w:sz w:val="20"/>
                <w:szCs w:val="20"/>
                <w:color w:val="auto"/>
              </w:rPr>
            </w:pPr>
            <w:r>
              <w:rPr>
                <w:rFonts w:ascii="Arial" w:cs="Arial" w:eastAsia="Arial" w:hAnsi="Arial"/>
                <w:sz w:val="13"/>
                <w:szCs w:val="13"/>
                <w:color w:val="auto"/>
              </w:rPr>
              <w:t>income</w:t>
            </w:r>
          </w:p>
        </w:tc>
        <w:tc>
          <w:tcPr>
            <w:tcW w:w="680" w:type="dxa"/>
            <w:vAlign w:val="bottom"/>
          </w:tcPr>
          <w:p>
            <w:pPr>
              <w:jc w:val="right"/>
              <w:ind w:right="101"/>
              <w:spacing w:after="0"/>
              <w:rPr>
                <w:sz w:val="20"/>
                <w:szCs w:val="20"/>
                <w:color w:val="auto"/>
              </w:rPr>
            </w:pPr>
            <w:r>
              <w:rPr>
                <w:rFonts w:ascii="Arial" w:cs="Arial" w:eastAsia="Arial" w:hAnsi="Arial"/>
                <w:sz w:val="12"/>
                <w:szCs w:val="12"/>
                <w:color w:val="auto"/>
              </w:rPr>
              <w:t>(130.7)</w:t>
            </w:r>
          </w:p>
        </w:tc>
        <w:tc>
          <w:tcPr>
            <w:tcW w:w="740" w:type="dxa"/>
            <w:vAlign w:val="bottom"/>
          </w:tcPr>
          <w:p>
            <w:pPr>
              <w:jc w:val="right"/>
              <w:ind w:right="121"/>
              <w:spacing w:after="0"/>
              <w:rPr>
                <w:sz w:val="20"/>
                <w:szCs w:val="20"/>
                <w:color w:val="auto"/>
              </w:rPr>
            </w:pPr>
            <w:r>
              <w:rPr>
                <w:rFonts w:ascii="Arial" w:cs="Arial" w:eastAsia="Arial" w:hAnsi="Arial"/>
                <w:sz w:val="12"/>
                <w:szCs w:val="12"/>
                <w:color w:val="auto"/>
              </w:rPr>
              <w:t>0.8</w:t>
            </w:r>
          </w:p>
        </w:tc>
        <w:tc>
          <w:tcPr>
            <w:tcW w:w="920" w:type="dxa"/>
            <w:vAlign w:val="bottom"/>
          </w:tcPr>
          <w:p>
            <w:pPr>
              <w:jc w:val="right"/>
              <w:ind w:right="121"/>
              <w:spacing w:after="0"/>
              <w:rPr>
                <w:sz w:val="20"/>
                <w:szCs w:val="20"/>
                <w:color w:val="auto"/>
              </w:rPr>
            </w:pPr>
            <w:r>
              <w:rPr>
                <w:rFonts w:ascii="Arial" w:cs="Arial" w:eastAsia="Arial" w:hAnsi="Arial"/>
                <w:sz w:val="12"/>
                <w:szCs w:val="12"/>
                <w:color w:val="auto"/>
              </w:rPr>
              <w:t>9.5</w:t>
            </w:r>
          </w:p>
        </w:tc>
        <w:tc>
          <w:tcPr>
            <w:tcW w:w="820" w:type="dxa"/>
            <w:vAlign w:val="bottom"/>
          </w:tcPr>
          <w:p>
            <w:pPr>
              <w:jc w:val="right"/>
              <w:ind w:right="81"/>
              <w:spacing w:after="0"/>
              <w:rPr>
                <w:sz w:val="20"/>
                <w:szCs w:val="20"/>
                <w:color w:val="auto"/>
              </w:rPr>
            </w:pPr>
            <w:r>
              <w:rPr>
                <w:rFonts w:ascii="Arial" w:cs="Arial" w:eastAsia="Arial" w:hAnsi="Arial"/>
                <w:sz w:val="12"/>
                <w:szCs w:val="12"/>
                <w:color w:val="auto"/>
              </w:rPr>
              <w:t>19.3</w:t>
            </w:r>
          </w:p>
        </w:tc>
        <w:tc>
          <w:tcPr>
            <w:tcW w:w="540" w:type="dxa"/>
            <w:vAlign w:val="bottom"/>
          </w:tcPr>
          <w:p>
            <w:pPr>
              <w:jc w:val="right"/>
              <w:ind w:right="101"/>
              <w:spacing w:after="0"/>
              <w:rPr>
                <w:sz w:val="20"/>
                <w:szCs w:val="20"/>
                <w:color w:val="auto"/>
              </w:rPr>
            </w:pPr>
            <w:r>
              <w:rPr>
                <w:rFonts w:ascii="Arial" w:cs="Arial" w:eastAsia="Arial" w:hAnsi="Arial"/>
                <w:sz w:val="12"/>
                <w:szCs w:val="12"/>
                <w:color w:val="auto"/>
              </w:rPr>
              <w:t>(3.7)</w:t>
            </w:r>
          </w:p>
        </w:tc>
        <w:tc>
          <w:tcPr>
            <w:tcW w:w="840" w:type="dxa"/>
            <w:vAlign w:val="bottom"/>
          </w:tcPr>
          <w:p>
            <w:pPr>
              <w:jc w:val="right"/>
              <w:ind w:right="121"/>
              <w:spacing w:after="0"/>
              <w:rPr>
                <w:sz w:val="20"/>
                <w:szCs w:val="20"/>
                <w:color w:val="auto"/>
              </w:rPr>
            </w:pPr>
            <w:r>
              <w:rPr>
                <w:rFonts w:ascii="Arial" w:cs="Arial" w:eastAsia="Arial" w:hAnsi="Arial"/>
                <w:sz w:val="12"/>
                <w:szCs w:val="12"/>
                <w:color w:val="auto"/>
              </w:rPr>
              <w:t>0.3</w:t>
            </w:r>
          </w:p>
        </w:tc>
        <w:tc>
          <w:tcPr>
            <w:tcW w:w="880" w:type="dxa"/>
            <w:vAlign w:val="bottom"/>
          </w:tcPr>
          <w:p>
            <w:pPr>
              <w:jc w:val="right"/>
              <w:ind w:right="121"/>
              <w:spacing w:after="0"/>
              <w:rPr>
                <w:sz w:val="20"/>
                <w:szCs w:val="20"/>
                <w:color w:val="auto"/>
              </w:rPr>
            </w:pPr>
            <w:r>
              <w:rPr>
                <w:rFonts w:ascii="Arial" w:cs="Arial" w:eastAsia="Arial" w:hAnsi="Arial"/>
                <w:sz w:val="12"/>
                <w:szCs w:val="12"/>
                <w:color w:val="auto"/>
              </w:rPr>
              <w:t>62.7</w:t>
            </w:r>
          </w:p>
        </w:tc>
        <w:tc>
          <w:tcPr>
            <w:tcW w:w="940" w:type="dxa"/>
            <w:vAlign w:val="bottom"/>
          </w:tcPr>
          <w:p>
            <w:pPr>
              <w:jc w:val="right"/>
              <w:ind w:right="141"/>
              <w:spacing w:after="0"/>
              <w:rPr>
                <w:sz w:val="20"/>
                <w:szCs w:val="20"/>
                <w:color w:val="auto"/>
              </w:rPr>
            </w:pPr>
            <w:r>
              <w:rPr>
                <w:rFonts w:ascii="Arial" w:cs="Arial" w:eastAsia="Arial" w:hAnsi="Arial"/>
                <w:sz w:val="12"/>
                <w:szCs w:val="12"/>
                <w:color w:val="auto"/>
              </w:rPr>
              <w:t>17.8</w:t>
            </w:r>
          </w:p>
        </w:tc>
        <w:tc>
          <w:tcPr>
            <w:tcW w:w="760" w:type="dxa"/>
            <w:vAlign w:val="bottom"/>
          </w:tcPr>
          <w:p>
            <w:pPr>
              <w:jc w:val="right"/>
              <w:ind w:right="141"/>
              <w:spacing w:after="0"/>
              <w:rPr>
                <w:sz w:val="20"/>
                <w:szCs w:val="20"/>
                <w:color w:val="auto"/>
              </w:rPr>
            </w:pPr>
            <w:r>
              <w:rPr>
                <w:rFonts w:ascii="Arial" w:cs="Arial" w:eastAsia="Arial" w:hAnsi="Arial"/>
                <w:sz w:val="12"/>
                <w:szCs w:val="12"/>
                <w:color w:val="auto"/>
              </w:rPr>
              <w:t>51.5</w:t>
            </w:r>
          </w:p>
        </w:tc>
        <w:tc>
          <w:tcPr>
            <w:tcW w:w="940" w:type="dxa"/>
            <w:vAlign w:val="bottom"/>
          </w:tcPr>
          <w:p>
            <w:pPr>
              <w:jc w:val="right"/>
              <w:ind w:right="121"/>
              <w:spacing w:after="0"/>
              <w:rPr>
                <w:sz w:val="20"/>
                <w:szCs w:val="20"/>
                <w:color w:val="auto"/>
              </w:rPr>
            </w:pPr>
            <w:r>
              <w:rPr>
                <w:rFonts w:ascii="Arial" w:cs="Arial" w:eastAsia="Arial" w:hAnsi="Arial"/>
                <w:sz w:val="12"/>
                <w:szCs w:val="12"/>
                <w:color w:val="auto"/>
              </w:rPr>
              <w:t>29.8</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5.7</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13.2</w:t>
            </w: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76.1</w:t>
            </w:r>
          </w:p>
        </w:tc>
        <w:tc>
          <w:tcPr>
            <w:tcW w:w="0" w:type="dxa"/>
            <w:vAlign w:val="bottom"/>
          </w:tcPr>
          <w:p>
            <w:pPr>
              <w:spacing w:after="0"/>
              <w:rPr>
                <w:sz w:val="1"/>
                <w:szCs w:val="1"/>
                <w:color w:val="auto"/>
              </w:rPr>
            </w:pPr>
          </w:p>
        </w:tc>
      </w:tr>
      <w:tr>
        <w:trPr>
          <w:trHeight w:val="154"/>
        </w:trPr>
        <w:tc>
          <w:tcPr>
            <w:tcW w:w="900" w:type="dxa"/>
            <w:vAlign w:val="bottom"/>
          </w:tcPr>
          <w:p>
            <w:pPr>
              <w:ind w:left="20"/>
              <w:spacing w:after="0"/>
              <w:rPr>
                <w:sz w:val="20"/>
                <w:szCs w:val="20"/>
                <w:color w:val="auto"/>
              </w:rPr>
            </w:pPr>
            <w:r>
              <w:rPr>
                <w:rFonts w:ascii="Arial" w:cs="Arial" w:eastAsia="Arial" w:hAnsi="Arial"/>
                <w:sz w:val="13"/>
                <w:szCs w:val="13"/>
                <w:color w:val="auto"/>
              </w:rPr>
              <w:t>Net (loss)</w:t>
            </w: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900" w:type="dxa"/>
            <w:vAlign w:val="bottom"/>
          </w:tcPr>
          <w:p>
            <w:pPr>
              <w:ind w:left="20"/>
              <w:spacing w:after="0" w:line="126" w:lineRule="exact"/>
              <w:rPr>
                <w:sz w:val="20"/>
                <w:szCs w:val="20"/>
                <w:color w:val="auto"/>
              </w:rPr>
            </w:pPr>
            <w:r>
              <w:rPr>
                <w:rFonts w:ascii="Arial" w:cs="Arial" w:eastAsia="Arial" w:hAnsi="Arial"/>
                <w:sz w:val="13"/>
                <w:szCs w:val="13"/>
                <w:color w:val="auto"/>
              </w:rPr>
              <w:t>income as a</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900" w:type="dxa"/>
            <w:vAlign w:val="bottom"/>
          </w:tcPr>
          <w:p>
            <w:pPr>
              <w:ind w:left="20"/>
              <w:spacing w:after="0" w:line="139" w:lineRule="exact"/>
              <w:rPr>
                <w:sz w:val="20"/>
                <w:szCs w:val="20"/>
                <w:color w:val="auto"/>
              </w:rPr>
            </w:pPr>
            <w:r>
              <w:rPr>
                <w:rFonts w:ascii="Arial" w:cs="Arial" w:eastAsia="Arial" w:hAnsi="Arial"/>
                <w:sz w:val="13"/>
                <w:szCs w:val="13"/>
                <w:color w:val="auto"/>
              </w:rPr>
              <w:t>percent of net</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00" w:type="dxa"/>
            <w:vAlign w:val="bottom"/>
          </w:tcPr>
          <w:p>
            <w:pPr>
              <w:ind w:left="20"/>
              <w:spacing w:after="0"/>
              <w:rPr>
                <w:sz w:val="20"/>
                <w:szCs w:val="20"/>
                <w:color w:val="auto"/>
              </w:rPr>
            </w:pPr>
            <w:r>
              <w:rPr>
                <w:rFonts w:ascii="Arial" w:cs="Arial" w:eastAsia="Arial" w:hAnsi="Arial"/>
                <w:sz w:val="13"/>
                <w:szCs w:val="13"/>
                <w:color w:val="auto"/>
              </w:rPr>
              <w:t>revenue</w:t>
            </w:r>
          </w:p>
        </w:tc>
        <w:tc>
          <w:tcPr>
            <w:tcW w:w="680" w:type="dxa"/>
            <w:vAlign w:val="bottom"/>
          </w:tcPr>
          <w:p>
            <w:pPr>
              <w:jc w:val="right"/>
              <w:spacing w:after="0"/>
              <w:rPr>
                <w:sz w:val="20"/>
                <w:szCs w:val="20"/>
                <w:color w:val="auto"/>
              </w:rPr>
            </w:pPr>
            <w:r>
              <w:rPr>
                <w:rFonts w:ascii="Arial" w:cs="Arial" w:eastAsia="Arial" w:hAnsi="Arial"/>
                <w:sz w:val="12"/>
                <w:szCs w:val="12"/>
                <w:color w:val="auto"/>
              </w:rPr>
              <w:t>(17.1)%</w:t>
            </w:r>
          </w:p>
        </w:tc>
        <w:tc>
          <w:tcPr>
            <w:tcW w:w="740" w:type="dxa"/>
            <w:vAlign w:val="bottom"/>
          </w:tcPr>
          <w:p>
            <w:pPr>
              <w:jc w:val="right"/>
              <w:spacing w:after="0"/>
              <w:rPr>
                <w:sz w:val="20"/>
                <w:szCs w:val="20"/>
                <w:color w:val="auto"/>
              </w:rPr>
            </w:pPr>
            <w:r>
              <w:rPr>
                <w:rFonts w:ascii="Arial" w:cs="Arial" w:eastAsia="Arial" w:hAnsi="Arial"/>
                <w:sz w:val="12"/>
                <w:szCs w:val="12"/>
                <w:color w:val="auto"/>
              </w:rPr>
              <w:t>0.1 %</w:t>
            </w:r>
          </w:p>
        </w:tc>
        <w:tc>
          <w:tcPr>
            <w:tcW w:w="920" w:type="dxa"/>
            <w:vAlign w:val="bottom"/>
          </w:tcPr>
          <w:p>
            <w:pPr>
              <w:jc w:val="right"/>
              <w:spacing w:after="0"/>
              <w:rPr>
                <w:sz w:val="20"/>
                <w:szCs w:val="20"/>
                <w:color w:val="auto"/>
              </w:rPr>
            </w:pPr>
            <w:r>
              <w:rPr>
                <w:rFonts w:ascii="Arial" w:cs="Arial" w:eastAsia="Arial" w:hAnsi="Arial"/>
                <w:sz w:val="12"/>
                <w:szCs w:val="12"/>
                <w:color w:val="auto"/>
              </w:rPr>
              <w:t>1.2 %</w:t>
            </w:r>
          </w:p>
        </w:tc>
        <w:tc>
          <w:tcPr>
            <w:tcW w:w="820" w:type="dxa"/>
            <w:vAlign w:val="bottom"/>
          </w:tcPr>
          <w:p>
            <w:pPr>
              <w:jc w:val="right"/>
              <w:spacing w:after="0"/>
              <w:rPr>
                <w:sz w:val="20"/>
                <w:szCs w:val="20"/>
                <w:color w:val="auto"/>
              </w:rPr>
            </w:pPr>
            <w:r>
              <w:rPr>
                <w:rFonts w:ascii="Arial" w:cs="Arial" w:eastAsia="Arial" w:hAnsi="Arial"/>
                <w:sz w:val="12"/>
                <w:szCs w:val="12"/>
                <w:color w:val="auto"/>
              </w:rPr>
              <w:t>2.5 %</w:t>
            </w:r>
          </w:p>
        </w:tc>
        <w:tc>
          <w:tcPr>
            <w:tcW w:w="540" w:type="dxa"/>
            <w:vAlign w:val="bottom"/>
          </w:tcPr>
          <w:p>
            <w:pPr>
              <w:jc w:val="right"/>
              <w:spacing w:after="0"/>
              <w:rPr>
                <w:sz w:val="20"/>
                <w:szCs w:val="20"/>
                <w:color w:val="auto"/>
              </w:rPr>
            </w:pPr>
            <w:r>
              <w:rPr>
                <w:rFonts w:ascii="Arial" w:cs="Arial" w:eastAsia="Arial" w:hAnsi="Arial"/>
                <w:sz w:val="12"/>
                <w:szCs w:val="12"/>
                <w:color w:val="auto"/>
              </w:rPr>
              <w:t>(0.5)%</w:t>
            </w:r>
          </w:p>
        </w:tc>
        <w:tc>
          <w:tcPr>
            <w:tcW w:w="84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jc w:val="right"/>
              <w:spacing w:after="0"/>
              <w:rPr>
                <w:sz w:val="20"/>
                <w:szCs w:val="20"/>
                <w:color w:val="auto"/>
              </w:rPr>
            </w:pPr>
            <w:r>
              <w:rPr>
                <w:rFonts w:ascii="Arial" w:cs="Arial" w:eastAsia="Arial" w:hAnsi="Arial"/>
                <w:sz w:val="12"/>
                <w:szCs w:val="12"/>
                <w:color w:val="auto"/>
              </w:rPr>
              <w:t>8.2 %</w:t>
            </w:r>
          </w:p>
        </w:tc>
        <w:tc>
          <w:tcPr>
            <w:tcW w:w="940" w:type="dxa"/>
            <w:vAlign w:val="bottom"/>
          </w:tcPr>
          <w:p>
            <w:pPr>
              <w:jc w:val="right"/>
              <w:spacing w:after="0"/>
              <w:rPr>
                <w:sz w:val="20"/>
                <w:szCs w:val="20"/>
                <w:color w:val="auto"/>
              </w:rPr>
            </w:pPr>
            <w:r>
              <w:rPr>
                <w:rFonts w:ascii="Arial" w:cs="Arial" w:eastAsia="Arial" w:hAnsi="Arial"/>
                <w:sz w:val="12"/>
                <w:szCs w:val="12"/>
                <w:color w:val="auto"/>
              </w:rPr>
              <w:t>2.3 %</w:t>
            </w:r>
          </w:p>
        </w:tc>
        <w:tc>
          <w:tcPr>
            <w:tcW w:w="760" w:type="dxa"/>
            <w:vAlign w:val="bottom"/>
          </w:tcPr>
          <w:p>
            <w:pPr>
              <w:jc w:val="right"/>
              <w:spacing w:after="0"/>
              <w:rPr>
                <w:sz w:val="20"/>
                <w:szCs w:val="20"/>
                <w:color w:val="auto"/>
              </w:rPr>
            </w:pPr>
            <w:r>
              <w:rPr>
                <w:rFonts w:ascii="Arial" w:cs="Arial" w:eastAsia="Arial" w:hAnsi="Arial"/>
                <w:sz w:val="12"/>
                <w:szCs w:val="12"/>
                <w:color w:val="auto"/>
              </w:rPr>
              <w:t>6.7 %</w:t>
            </w:r>
          </w:p>
        </w:tc>
        <w:tc>
          <w:tcPr>
            <w:tcW w:w="940" w:type="dxa"/>
            <w:vAlign w:val="bottom"/>
          </w:tcPr>
          <w:p>
            <w:pPr>
              <w:jc w:val="right"/>
              <w:spacing w:after="0"/>
              <w:rPr>
                <w:sz w:val="20"/>
                <w:szCs w:val="20"/>
                <w:color w:val="auto"/>
              </w:rPr>
            </w:pPr>
            <w:r>
              <w:rPr>
                <w:rFonts w:ascii="Arial" w:cs="Arial" w:eastAsia="Arial" w:hAnsi="Arial"/>
                <w:sz w:val="12"/>
                <w:szCs w:val="12"/>
                <w:color w:val="auto"/>
              </w:rPr>
              <w:t>3.9 %</w:t>
            </w:r>
          </w:p>
        </w:tc>
        <w:tc>
          <w:tcPr>
            <w:tcW w:w="860" w:type="dxa"/>
            <w:vAlign w:val="bottom"/>
          </w:tcPr>
          <w:p>
            <w:pPr>
              <w:jc w:val="right"/>
              <w:spacing w:after="0"/>
              <w:rPr>
                <w:sz w:val="20"/>
                <w:szCs w:val="20"/>
                <w:color w:val="auto"/>
              </w:rPr>
            </w:pPr>
            <w:r>
              <w:rPr>
                <w:rFonts w:ascii="Arial" w:cs="Arial" w:eastAsia="Arial" w:hAnsi="Arial"/>
                <w:sz w:val="12"/>
                <w:szCs w:val="12"/>
                <w:color w:val="auto"/>
              </w:rPr>
              <w:t>0.7 %</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1.7 %</w:t>
            </w:r>
          </w:p>
        </w:tc>
        <w:tc>
          <w:tcPr>
            <w:tcW w:w="640" w:type="dxa"/>
            <w:vAlign w:val="bottom"/>
          </w:tcPr>
          <w:p>
            <w:pPr>
              <w:jc w:val="right"/>
              <w:spacing w:after="0"/>
              <w:rPr>
                <w:sz w:val="20"/>
                <w:szCs w:val="20"/>
                <w:color w:val="auto"/>
              </w:rPr>
            </w:pPr>
            <w:r>
              <w:rPr>
                <w:rFonts w:ascii="Arial" w:cs="Arial" w:eastAsia="Arial" w:hAnsi="Arial"/>
                <w:sz w:val="12"/>
                <w:szCs w:val="12"/>
                <w:color w:val="auto"/>
              </w:rPr>
              <w:t>9.9 %</w:t>
            </w:r>
          </w:p>
        </w:tc>
        <w:tc>
          <w:tcPr>
            <w:tcW w:w="0" w:type="dxa"/>
            <w:vAlign w:val="bottom"/>
          </w:tcPr>
          <w:p>
            <w:pPr>
              <w:spacing w:after="0"/>
              <w:rPr>
                <w:sz w:val="1"/>
                <w:szCs w:val="1"/>
                <w:color w:val="auto"/>
              </w:rPr>
            </w:pPr>
          </w:p>
        </w:tc>
      </w:tr>
      <w:tr>
        <w:trPr>
          <w:trHeight w:val="190"/>
        </w:trPr>
        <w:tc>
          <w:tcPr>
            <w:tcW w:w="900" w:type="dxa"/>
            <w:vAlign w:val="bottom"/>
          </w:tcPr>
          <w:p>
            <w:pPr>
              <w:ind w:left="20"/>
              <w:spacing w:after="0"/>
              <w:rPr>
                <w:sz w:val="20"/>
                <w:szCs w:val="20"/>
                <w:color w:val="auto"/>
              </w:rPr>
            </w:pPr>
            <w:r>
              <w:rPr>
                <w:rFonts w:ascii="Arial" w:cs="Arial" w:eastAsia="Arial" w:hAnsi="Arial"/>
                <w:sz w:val="13"/>
                <w:szCs w:val="13"/>
                <w:color w:val="auto"/>
              </w:rPr>
              <w:t>Diluted EPS</w:t>
            </w:r>
          </w:p>
        </w:tc>
        <w:tc>
          <w:tcPr>
            <w:tcW w:w="680" w:type="dxa"/>
            <w:vAlign w:val="bottom"/>
          </w:tcPr>
          <w:p>
            <w:pPr>
              <w:jc w:val="right"/>
              <w:ind w:right="101"/>
              <w:spacing w:after="0"/>
              <w:rPr>
                <w:sz w:val="20"/>
                <w:szCs w:val="20"/>
                <w:color w:val="auto"/>
              </w:rPr>
            </w:pPr>
            <w:r>
              <w:rPr>
                <w:rFonts w:ascii="Arial" w:cs="Arial" w:eastAsia="Arial" w:hAnsi="Arial"/>
                <w:sz w:val="12"/>
                <w:szCs w:val="12"/>
                <w:color w:val="auto"/>
              </w:rPr>
              <w:t>($2.63)</w:t>
            </w:r>
          </w:p>
        </w:tc>
        <w:tc>
          <w:tcPr>
            <w:tcW w:w="740" w:type="dxa"/>
            <w:vAlign w:val="bottom"/>
          </w:tcPr>
          <w:p>
            <w:pPr>
              <w:jc w:val="right"/>
              <w:ind w:right="121"/>
              <w:spacing w:after="0"/>
              <w:rPr>
                <w:sz w:val="20"/>
                <w:szCs w:val="20"/>
                <w:color w:val="auto"/>
              </w:rPr>
            </w:pPr>
            <w:r>
              <w:rPr>
                <w:rFonts w:ascii="Arial" w:cs="Arial" w:eastAsia="Arial" w:hAnsi="Arial"/>
                <w:sz w:val="12"/>
                <w:szCs w:val="12"/>
                <w:color w:val="auto"/>
              </w:rPr>
              <w:t>$0.01</w:t>
            </w:r>
          </w:p>
        </w:tc>
        <w:tc>
          <w:tcPr>
            <w:tcW w:w="920" w:type="dxa"/>
            <w:vAlign w:val="bottom"/>
          </w:tcPr>
          <w:p>
            <w:pPr>
              <w:jc w:val="right"/>
              <w:ind w:right="121"/>
              <w:spacing w:after="0"/>
              <w:rPr>
                <w:sz w:val="20"/>
                <w:szCs w:val="20"/>
                <w:color w:val="auto"/>
              </w:rPr>
            </w:pPr>
            <w:r>
              <w:rPr>
                <w:rFonts w:ascii="Arial" w:cs="Arial" w:eastAsia="Arial" w:hAnsi="Arial"/>
                <w:sz w:val="12"/>
                <w:szCs w:val="12"/>
                <w:color w:val="auto"/>
              </w:rPr>
              <w:t>$0.19</w:t>
            </w:r>
          </w:p>
        </w:tc>
        <w:tc>
          <w:tcPr>
            <w:tcW w:w="820" w:type="dxa"/>
            <w:vAlign w:val="bottom"/>
          </w:tcPr>
          <w:p>
            <w:pPr>
              <w:jc w:val="right"/>
              <w:ind w:right="81"/>
              <w:spacing w:after="0"/>
              <w:rPr>
                <w:sz w:val="20"/>
                <w:szCs w:val="20"/>
                <w:color w:val="auto"/>
              </w:rPr>
            </w:pPr>
            <w:r>
              <w:rPr>
                <w:rFonts w:ascii="Arial" w:cs="Arial" w:eastAsia="Arial" w:hAnsi="Arial"/>
                <w:sz w:val="12"/>
                <w:szCs w:val="12"/>
                <w:color w:val="auto"/>
              </w:rPr>
              <w:t>$0.38</w:t>
            </w:r>
          </w:p>
        </w:tc>
        <w:tc>
          <w:tcPr>
            <w:tcW w:w="540" w:type="dxa"/>
            <w:vAlign w:val="bottom"/>
          </w:tcPr>
          <w:p>
            <w:pPr>
              <w:jc w:val="right"/>
              <w:ind w:right="81"/>
              <w:spacing w:after="0"/>
              <w:rPr>
                <w:sz w:val="20"/>
                <w:szCs w:val="20"/>
                <w:color w:val="auto"/>
              </w:rPr>
            </w:pPr>
            <w:r>
              <w:rPr>
                <w:rFonts w:ascii="Arial" w:cs="Arial" w:eastAsia="Arial" w:hAnsi="Arial"/>
                <w:sz w:val="12"/>
                <w:szCs w:val="12"/>
                <w:color w:val="auto"/>
                <w:w w:val="99"/>
              </w:rPr>
              <w:t>($0.07)</w:t>
            </w:r>
          </w:p>
        </w:tc>
        <w:tc>
          <w:tcPr>
            <w:tcW w:w="840" w:type="dxa"/>
            <w:vAlign w:val="bottom"/>
          </w:tcPr>
          <w:p>
            <w:pPr>
              <w:jc w:val="right"/>
              <w:ind w:right="121"/>
              <w:spacing w:after="0"/>
              <w:rPr>
                <w:sz w:val="20"/>
                <w:szCs w:val="20"/>
                <w:color w:val="auto"/>
              </w:rPr>
            </w:pPr>
            <w:r>
              <w:rPr>
                <w:rFonts w:ascii="Arial" w:cs="Arial" w:eastAsia="Arial" w:hAnsi="Arial"/>
                <w:sz w:val="12"/>
                <w:szCs w:val="12"/>
                <w:color w:val="auto"/>
              </w:rPr>
              <w:t>$0.01</w:t>
            </w:r>
          </w:p>
        </w:tc>
        <w:tc>
          <w:tcPr>
            <w:tcW w:w="880" w:type="dxa"/>
            <w:vAlign w:val="bottom"/>
          </w:tcPr>
          <w:p>
            <w:pPr>
              <w:jc w:val="right"/>
              <w:ind w:right="121"/>
              <w:spacing w:after="0"/>
              <w:rPr>
                <w:sz w:val="20"/>
                <w:szCs w:val="20"/>
                <w:color w:val="auto"/>
              </w:rPr>
            </w:pPr>
            <w:r>
              <w:rPr>
                <w:rFonts w:ascii="Arial" w:cs="Arial" w:eastAsia="Arial" w:hAnsi="Arial"/>
                <w:sz w:val="12"/>
                <w:szCs w:val="12"/>
                <w:color w:val="auto"/>
              </w:rPr>
              <w:t>$1.24</w:t>
            </w:r>
          </w:p>
        </w:tc>
        <w:tc>
          <w:tcPr>
            <w:tcW w:w="940" w:type="dxa"/>
            <w:vAlign w:val="bottom"/>
          </w:tcPr>
          <w:p>
            <w:pPr>
              <w:jc w:val="right"/>
              <w:ind w:right="141"/>
              <w:spacing w:after="0"/>
              <w:rPr>
                <w:sz w:val="20"/>
                <w:szCs w:val="20"/>
                <w:color w:val="auto"/>
              </w:rPr>
            </w:pPr>
            <w:r>
              <w:rPr>
                <w:rFonts w:ascii="Arial" w:cs="Arial" w:eastAsia="Arial" w:hAnsi="Arial"/>
                <w:sz w:val="12"/>
                <w:szCs w:val="12"/>
                <w:color w:val="auto"/>
              </w:rPr>
              <w:t>$0.35</w:t>
            </w:r>
          </w:p>
        </w:tc>
        <w:tc>
          <w:tcPr>
            <w:tcW w:w="760" w:type="dxa"/>
            <w:vAlign w:val="bottom"/>
          </w:tcPr>
          <w:p>
            <w:pPr>
              <w:jc w:val="right"/>
              <w:ind w:right="141"/>
              <w:spacing w:after="0"/>
              <w:rPr>
                <w:sz w:val="20"/>
                <w:szCs w:val="20"/>
                <w:color w:val="auto"/>
              </w:rPr>
            </w:pPr>
            <w:r>
              <w:rPr>
                <w:rFonts w:ascii="Arial" w:cs="Arial" w:eastAsia="Arial" w:hAnsi="Arial"/>
                <w:sz w:val="12"/>
                <w:szCs w:val="12"/>
                <w:color w:val="auto"/>
              </w:rPr>
              <w:t>$1.02</w:t>
            </w:r>
          </w:p>
        </w:tc>
        <w:tc>
          <w:tcPr>
            <w:tcW w:w="940" w:type="dxa"/>
            <w:vAlign w:val="bottom"/>
          </w:tcPr>
          <w:p>
            <w:pPr>
              <w:jc w:val="right"/>
              <w:ind w:right="121"/>
              <w:spacing w:after="0"/>
              <w:rPr>
                <w:sz w:val="20"/>
                <w:szCs w:val="20"/>
                <w:color w:val="auto"/>
              </w:rPr>
            </w:pPr>
            <w:r>
              <w:rPr>
                <w:rFonts w:ascii="Arial" w:cs="Arial" w:eastAsia="Arial" w:hAnsi="Arial"/>
                <w:sz w:val="12"/>
                <w:szCs w:val="12"/>
                <w:color w:val="auto"/>
              </w:rPr>
              <w:t>$0.59</w:t>
            </w:r>
          </w:p>
        </w:tc>
        <w:tc>
          <w:tcPr>
            <w:tcW w:w="860" w:type="dxa"/>
            <w:vAlign w:val="bottom"/>
          </w:tcPr>
          <w:p>
            <w:pPr>
              <w:jc w:val="right"/>
              <w:ind w:right="121"/>
              <w:spacing w:after="0"/>
              <w:rPr>
                <w:sz w:val="20"/>
                <w:szCs w:val="20"/>
                <w:color w:val="auto"/>
              </w:rPr>
            </w:pPr>
            <w:r>
              <w:rPr>
                <w:rFonts w:ascii="Arial" w:cs="Arial" w:eastAsia="Arial" w:hAnsi="Arial"/>
                <w:sz w:val="12"/>
                <w:szCs w:val="12"/>
                <w:color w:val="auto"/>
              </w:rPr>
              <w:t>$0.11</w:t>
            </w:r>
          </w:p>
        </w:tc>
        <w:tc>
          <w:tcPr>
            <w:tcW w:w="880" w:type="dxa"/>
            <w:vAlign w:val="bottom"/>
          </w:tcPr>
          <w:p>
            <w:pPr>
              <w:jc w:val="right"/>
              <w:ind w:right="141"/>
              <w:spacing w:after="0"/>
              <w:rPr>
                <w:sz w:val="20"/>
                <w:szCs w:val="20"/>
                <w:color w:val="auto"/>
              </w:rPr>
            </w:pPr>
            <w:r>
              <w:rPr>
                <w:rFonts w:ascii="Arial" w:cs="Arial" w:eastAsia="Arial" w:hAnsi="Arial"/>
                <w:sz w:val="12"/>
                <w:szCs w:val="12"/>
                <w:color w:val="auto"/>
              </w:rPr>
              <w:t>$0.26</w:t>
            </w:r>
          </w:p>
        </w:tc>
        <w:tc>
          <w:tcPr>
            <w:tcW w:w="640" w:type="dxa"/>
            <w:vAlign w:val="bottom"/>
          </w:tcPr>
          <w:p>
            <w:pPr>
              <w:jc w:val="right"/>
              <w:ind w:right="101"/>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nine months ended September 30, 2021 include:</w:t>
      </w:r>
    </w:p>
    <w:p>
      <w:pPr>
        <w:spacing w:after="0" w:line="56" w:lineRule="exact"/>
        <w:rPr>
          <w:sz w:val="20"/>
          <w:szCs w:val="20"/>
          <w:color w:val="auto"/>
        </w:rPr>
      </w:pPr>
    </w:p>
    <w:p>
      <w:pPr>
        <w:ind w:left="340" w:hanging="322"/>
        <w:spacing w:after="0"/>
        <w:tabs>
          <w:tab w:leader="none" w:pos="340" w:val="left"/>
        </w:tabs>
        <w:numPr>
          <w:ilvl w:val="0"/>
          <w:numId w:val="19"/>
        </w:numPr>
        <w:rPr>
          <w:rFonts w:ascii="Arial" w:cs="Arial" w:eastAsia="Arial" w:hAnsi="Arial"/>
          <w:sz w:val="13"/>
          <w:szCs w:val="13"/>
          <w:b w:val="1"/>
          <w:bCs w:val="1"/>
          <w:color w:val="auto"/>
        </w:rPr>
      </w:pPr>
      <w:r>
        <w:rPr>
          <w:rFonts w:ascii="Arial" w:cs="Arial" w:eastAsia="Arial" w:hAnsi="Arial"/>
          <w:sz w:val="13"/>
          <w:szCs w:val="13"/>
          <w:color w:val="auto"/>
        </w:rPr>
        <w:t>Merger and integration expenses related to our legacy companies and recent acquisitions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9"/>
        </w:numPr>
        <w:rPr>
          <w:rFonts w:ascii="Arial" w:cs="Arial" w:eastAsia="Arial" w:hAnsi="Arial"/>
          <w:sz w:val="13"/>
          <w:szCs w:val="13"/>
          <w:b w:val="1"/>
          <w:bCs w:val="1"/>
          <w:color w:val="auto"/>
        </w:rPr>
      </w:pPr>
      <w:r>
        <w:rPr>
          <w:rFonts w:ascii="Arial" w:cs="Arial" w:eastAsia="Arial" w:hAnsi="Arial"/>
          <w:sz w:val="13"/>
          <w:szCs w:val="13"/>
          <w:color w:val="auto"/>
        </w:rPr>
        <w:t>Restructuring expenses related to organizational changes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9"/>
        </w:numPr>
        <w:rPr>
          <w:rFonts w:ascii="Arial" w:cs="Arial" w:eastAsia="Arial" w:hAnsi="Arial"/>
          <w:sz w:val="13"/>
          <w:szCs w:val="13"/>
          <w:b w:val="1"/>
          <w:bCs w:val="1"/>
          <w:color w:val="auto"/>
        </w:rPr>
      </w:pPr>
      <w:r>
        <w:rPr>
          <w:rFonts w:ascii="Arial" w:cs="Arial" w:eastAsia="Arial" w:hAnsi="Arial"/>
          <w:sz w:val="13"/>
          <w:szCs w:val="13"/>
          <w:color w:val="auto"/>
        </w:rPr>
        <w:t>Includes depreciation and amortization associated with purchase price accounting</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9"/>
        </w:numPr>
        <w:rPr>
          <w:rFonts w:ascii="Arial" w:cs="Arial" w:eastAsia="Arial" w:hAnsi="Arial"/>
          <w:sz w:val="13"/>
          <w:szCs w:val="13"/>
          <w:b w:val="1"/>
          <w:bCs w:val="1"/>
          <w:color w:val="auto"/>
        </w:rPr>
      </w:pPr>
      <w:r>
        <w:rPr>
          <w:rFonts w:ascii="Arial" w:cs="Arial" w:eastAsia="Arial" w:hAnsi="Arial"/>
          <w:sz w:val="13"/>
          <w:szCs w:val="13"/>
          <w:color w:val="auto"/>
        </w:rPr>
        <w:t>Gain associated with the sale of Heart Valves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9"/>
        </w:numPr>
        <w:rPr>
          <w:rFonts w:ascii="Arial" w:cs="Arial" w:eastAsia="Arial" w:hAnsi="Arial"/>
          <w:sz w:val="13"/>
          <w:szCs w:val="13"/>
          <w:b w:val="1"/>
          <w:bCs w:val="1"/>
          <w:color w:val="auto"/>
        </w:rPr>
      </w:pPr>
      <w:r>
        <w:rPr>
          <w:rFonts w:ascii="Arial" w:cs="Arial" w:eastAsia="Arial" w:hAnsi="Arial"/>
          <w:sz w:val="13"/>
          <w:szCs w:val="13"/>
          <w:color w:val="auto"/>
        </w:rPr>
        <w:t>Costs related to the 3T Heater-Cooler remediation plan</w:t>
      </w:r>
    </w:p>
    <w:p>
      <w:pPr>
        <w:spacing w:after="0" w:line="40" w:lineRule="exact"/>
        <w:rPr>
          <w:rFonts w:ascii="Arial" w:cs="Arial" w:eastAsia="Arial" w:hAnsi="Arial"/>
          <w:sz w:val="13"/>
          <w:szCs w:val="13"/>
          <w:b w:val="1"/>
          <w:bCs w:val="1"/>
          <w:color w:val="auto"/>
        </w:rPr>
      </w:pPr>
    </w:p>
    <w:p>
      <w:pPr>
        <w:ind w:left="340" w:right="340" w:hanging="322"/>
        <w:spacing w:after="0" w:line="231" w:lineRule="auto"/>
        <w:tabs>
          <w:tab w:leader="none" w:pos="340" w:val="left"/>
        </w:tabs>
        <w:numPr>
          <w:ilvl w:val="0"/>
          <w:numId w:val="19"/>
        </w:numPr>
        <w:rPr>
          <w:rFonts w:ascii="Arial" w:cs="Arial" w:eastAsia="Arial" w:hAnsi="Arial"/>
          <w:sz w:val="13"/>
          <w:szCs w:val="13"/>
          <w:b w:val="1"/>
          <w:bCs w:val="1"/>
          <w:color w:val="auto"/>
        </w:rPr>
      </w:pPr>
      <w:r>
        <w:rPr>
          <w:rFonts w:ascii="Arial" w:cs="Arial" w:eastAsia="Arial" w:hAnsi="Arial"/>
          <w:sz w:val="13"/>
          <w:szCs w:val="13"/>
          <w:color w:val="auto"/>
        </w:rPr>
        <w:t>Costs associated with our June 2020 financing transactions, including loss on debt extinguishment, the mark-to-market adjustment for the exchangeable option feature and capped call derivatives</w:t>
      </w:r>
    </w:p>
    <w:p>
      <w:pPr>
        <w:spacing w:after="0" w:line="28" w:lineRule="exact"/>
        <w:rPr>
          <w:rFonts w:ascii="Arial" w:cs="Arial" w:eastAsia="Arial" w:hAnsi="Arial"/>
          <w:sz w:val="13"/>
          <w:szCs w:val="13"/>
          <w:b w:val="1"/>
          <w:bCs w:val="1"/>
          <w:color w:val="auto"/>
        </w:rPr>
      </w:pPr>
    </w:p>
    <w:p>
      <w:pPr>
        <w:ind w:left="340" w:hanging="322"/>
        <w:spacing w:after="0"/>
        <w:tabs>
          <w:tab w:leader="none" w:pos="340" w:val="left"/>
        </w:tabs>
        <w:numPr>
          <w:ilvl w:val="0"/>
          <w:numId w:val="19"/>
        </w:numPr>
        <w:rPr>
          <w:rFonts w:ascii="Arial" w:cs="Arial" w:eastAsia="Arial" w:hAnsi="Arial"/>
          <w:sz w:val="13"/>
          <w:szCs w:val="13"/>
          <w:b w:val="1"/>
          <w:bCs w:val="1"/>
          <w:color w:val="auto"/>
        </w:rPr>
      </w:pPr>
      <w:r>
        <w:rPr>
          <w:rFonts w:ascii="Arial" w:cs="Arial" w:eastAsia="Arial" w:hAnsi="Arial"/>
          <w:sz w:val="13"/>
          <w:szCs w:val="13"/>
          <w:color w:val="auto"/>
        </w:rPr>
        <w:t>Remeasurement of contingent consideration related to acquisitions</w:t>
      </w:r>
    </w:p>
    <w:p>
      <w:pPr>
        <w:spacing w:after="0" w:line="40" w:lineRule="exact"/>
        <w:rPr>
          <w:rFonts w:ascii="Arial" w:cs="Arial" w:eastAsia="Arial" w:hAnsi="Arial"/>
          <w:sz w:val="13"/>
          <w:szCs w:val="13"/>
          <w:b w:val="1"/>
          <w:bCs w:val="1"/>
          <w:color w:val="auto"/>
        </w:rPr>
      </w:pPr>
    </w:p>
    <w:p>
      <w:pPr>
        <w:ind w:left="340" w:right="600" w:hanging="322"/>
        <w:spacing w:after="0" w:line="231" w:lineRule="auto"/>
        <w:tabs>
          <w:tab w:leader="none" w:pos="340" w:val="left"/>
        </w:tabs>
        <w:numPr>
          <w:ilvl w:val="0"/>
          <w:numId w:val="19"/>
        </w:numPr>
        <w:rPr>
          <w:rFonts w:ascii="Arial" w:cs="Arial" w:eastAsia="Arial" w:hAnsi="Arial"/>
          <w:sz w:val="13"/>
          <w:szCs w:val="13"/>
          <w:b w:val="1"/>
          <w:bCs w:val="1"/>
          <w:color w:val="auto"/>
        </w:rPr>
      </w:pPr>
      <w:r>
        <w:rPr>
          <w:rFonts w:ascii="Arial" w:cs="Arial" w:eastAsia="Arial" w:hAnsi="Arial"/>
          <w:sz w:val="13"/>
          <w:szCs w:val="13"/>
          <w:color w:val="auto"/>
        </w:rPr>
        <w:t>3T Heater-Cooler litigation provision, legal expenses primarily related to 3T Heater-Cooler defense, costs related to the SNIA matter, other legal matters, MDR costs, gain from remeasurement of an investment and dividend income</w:t>
      </w:r>
    </w:p>
    <w:p>
      <w:pPr>
        <w:spacing w:after="0" w:line="28" w:lineRule="exact"/>
        <w:rPr>
          <w:rFonts w:ascii="Arial" w:cs="Arial" w:eastAsia="Arial" w:hAnsi="Arial"/>
          <w:sz w:val="13"/>
          <w:szCs w:val="13"/>
          <w:b w:val="1"/>
          <w:bCs w:val="1"/>
          <w:color w:val="auto"/>
        </w:rPr>
      </w:pPr>
    </w:p>
    <w:p>
      <w:pPr>
        <w:ind w:left="340" w:hanging="322"/>
        <w:spacing w:after="0"/>
        <w:tabs>
          <w:tab w:leader="none" w:pos="340" w:val="left"/>
        </w:tabs>
        <w:numPr>
          <w:ilvl w:val="0"/>
          <w:numId w:val="19"/>
        </w:numPr>
        <w:rPr>
          <w:rFonts w:ascii="Arial" w:cs="Arial" w:eastAsia="Arial" w:hAnsi="Arial"/>
          <w:sz w:val="13"/>
          <w:szCs w:val="13"/>
          <w:b w:val="1"/>
          <w:bCs w:val="1"/>
          <w:color w:val="auto"/>
        </w:rPr>
      </w:pPr>
      <w:r>
        <w:rPr>
          <w:rFonts w:ascii="Arial" w:cs="Arial" w:eastAsia="Arial" w:hAnsi="Arial"/>
          <w:sz w:val="13"/>
          <w:szCs w:val="13"/>
          <w:color w:val="auto"/>
        </w:rPr>
        <w:t>Non-cash expenses associated with stock-based compensation costs</w:t>
      </w:r>
    </w:p>
    <w:p>
      <w:pPr>
        <w:spacing w:after="0" w:line="40" w:lineRule="exact"/>
        <w:rPr>
          <w:rFonts w:ascii="Arial" w:cs="Arial" w:eastAsia="Arial" w:hAnsi="Arial"/>
          <w:sz w:val="13"/>
          <w:szCs w:val="13"/>
          <w:b w:val="1"/>
          <w:bCs w:val="1"/>
          <w:color w:val="auto"/>
        </w:rPr>
      </w:pPr>
    </w:p>
    <w:p>
      <w:pPr>
        <w:ind w:left="340" w:hanging="322"/>
        <w:spacing w:after="0"/>
        <w:tabs>
          <w:tab w:leader="none" w:pos="340" w:val="left"/>
        </w:tabs>
        <w:numPr>
          <w:ilvl w:val="0"/>
          <w:numId w:val="19"/>
        </w:numPr>
        <w:rPr>
          <w:rFonts w:ascii="Arial" w:cs="Arial" w:eastAsia="Arial" w:hAnsi="Arial"/>
          <w:sz w:val="13"/>
          <w:szCs w:val="13"/>
          <w:b w:val="1"/>
          <w:bCs w:val="1"/>
          <w:color w:val="auto"/>
        </w:rPr>
      </w:pPr>
      <w:r>
        <w:rPr>
          <w:rFonts w:ascii="Arial" w:cs="Arial" w:eastAsia="Arial" w:hAnsi="Arial"/>
          <w:sz w:val="13"/>
          <w:szCs w:val="13"/>
          <w:color w:val="auto"/>
        </w:rPr>
        <w:t>Discrete tax items and the tax impact of intercompany transactions</w:t>
      </w:r>
    </w:p>
    <w:p>
      <w:pPr>
        <w:spacing w:after="0" w:line="19" w:lineRule="exact"/>
        <w:rPr>
          <w:rFonts w:ascii="Arial" w:cs="Arial" w:eastAsia="Arial" w:hAnsi="Arial"/>
          <w:sz w:val="13"/>
          <w:szCs w:val="13"/>
          <w:b w:val="1"/>
          <w:bCs w:val="1"/>
          <w:color w:val="auto"/>
        </w:rPr>
      </w:pPr>
    </w:p>
    <w:p>
      <w:pPr>
        <w:ind w:left="340" w:hanging="322"/>
        <w:spacing w:after="0"/>
        <w:tabs>
          <w:tab w:leader="none" w:pos="340" w:val="left"/>
        </w:tabs>
        <w:numPr>
          <w:ilvl w:val="0"/>
          <w:numId w:val="19"/>
        </w:numPr>
        <w:rPr>
          <w:rFonts w:ascii="Arial" w:cs="Arial" w:eastAsia="Arial" w:hAnsi="Arial"/>
          <w:sz w:val="13"/>
          <w:szCs w:val="13"/>
          <w:b w:val="1"/>
          <w:bCs w:val="1"/>
          <w:color w:val="auto"/>
        </w:rPr>
      </w:pPr>
      <w:r>
        <w:rPr>
          <w:rFonts w:ascii="Arial" w:cs="Arial" w:eastAsia="Arial" w:hAnsi="Arial"/>
          <w:sz w:val="13"/>
          <w:szCs w:val="13"/>
          <w:color w:val="auto"/>
        </w:rPr>
        <w:t>Non-cash interest expense on our Senior Secured Term Loan and Cash Exchangeable Senior Notes</w:t>
      </w:r>
    </w:p>
    <w:tbl>
      <w:tblPr>
        <w:tblLayout w:type="fixed"/>
        <w:tblInd w:w="20" w:type="dxa"/>
        <w:tblCellMar>
          <w:top w:w="0" w:type="dxa"/>
          <w:left w:w="0" w:type="dxa"/>
          <w:bottom w:w="0" w:type="dxa"/>
          <w:right w:w="0" w:type="dxa"/>
        </w:tblCellMar>
      </w:tblPr>
      <w:tr>
        <w:trPr>
          <w:trHeight w:val="243"/>
        </w:trPr>
        <w:tc>
          <w:tcPr>
            <w:tcW w:w="4240" w:type="dxa"/>
            <w:vAlign w:val="bottom"/>
          </w:tcPr>
          <w:p>
            <w:pPr>
              <w:spacing w:after="0"/>
              <w:rPr>
                <w:sz w:val="20"/>
                <w:szCs w:val="20"/>
                <w:color w:val="auto"/>
              </w:rPr>
            </w:pPr>
            <w:r>
              <w:rPr>
                <w:rFonts w:ascii="Arial" w:cs="Arial" w:eastAsia="Arial" w:hAnsi="Arial"/>
                <w:sz w:val="13"/>
                <w:szCs w:val="13"/>
                <w:color w:val="auto"/>
              </w:rPr>
              <w:t>* Numbers may not add precisely due to rounding.</w:t>
            </w:r>
          </w:p>
        </w:tc>
        <w:tc>
          <w:tcPr>
            <w:tcW w:w="1480" w:type="dxa"/>
            <w:vAlign w:val="bottom"/>
          </w:tcPr>
          <w:p>
            <w:pPr>
              <w:jc w:val="right"/>
              <w:spacing w:after="0"/>
              <w:rPr>
                <w:sz w:val="20"/>
                <w:szCs w:val="20"/>
                <w:color w:val="auto"/>
              </w:rPr>
            </w:pPr>
            <w:r>
              <w:rPr>
                <w:rFonts w:ascii="Arial" w:cs="Arial" w:eastAsia="Arial" w:hAnsi="Arial"/>
                <w:sz w:val="20"/>
                <w:szCs w:val="20"/>
                <w:color w:val="auto"/>
              </w:rPr>
              <w:t>18</w:t>
            </w:r>
          </w:p>
        </w:tc>
      </w:tr>
    </w:tbl>
    <w:p>
      <w:pPr>
        <w:sectPr>
          <w:pgSz w:w="11900" w:h="16838" w:orient="portrait"/>
          <w:cols w:equalWidth="0" w:num="1">
            <w:col w:w="11340"/>
          </w:cols>
          <w:pgMar w:left="320" w:top="1440"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LIVANOVA PLC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 UNAUDITED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2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September 30, 2022</w:t>
            </w:r>
          </w:p>
        </w:tc>
        <w:tc>
          <w:tcPr>
            <w:tcW w:w="2160" w:type="dxa"/>
            <w:vAlign w:val="bottom"/>
          </w:tcPr>
          <w:p>
            <w:pPr>
              <w:jc w:val="right"/>
              <w:ind w:right="280"/>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88"/>
        </w:trPr>
        <w:tc>
          <w:tcPr>
            <w:tcW w:w="68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160" w:type="dxa"/>
            <w:vAlign w:val="bottom"/>
          </w:tcPr>
          <w:p>
            <w:pPr>
              <w:jc w:val="right"/>
              <w:spacing w:after="0"/>
              <w:rPr>
                <w:sz w:val="20"/>
                <w:szCs w:val="20"/>
                <w:color w:val="auto"/>
              </w:rPr>
            </w:pPr>
            <w:r>
              <w:rPr>
                <w:rFonts w:ascii="Arial" w:cs="Arial" w:eastAsia="Arial" w:hAnsi="Arial"/>
                <w:sz w:val="16"/>
                <w:szCs w:val="16"/>
                <w:color w:val="auto"/>
              </w:rPr>
              <w:t>$231.1</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$208.0</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160" w:type="dxa"/>
            <w:vAlign w:val="bottom"/>
          </w:tcPr>
          <w:p>
            <w:pPr>
              <w:jc w:val="right"/>
              <w:spacing w:after="0"/>
              <w:rPr>
                <w:sz w:val="20"/>
                <w:szCs w:val="20"/>
                <w:color w:val="auto"/>
              </w:rPr>
            </w:pPr>
            <w:r>
              <w:rPr>
                <w:rFonts w:ascii="Arial" w:cs="Arial" w:eastAsia="Arial" w:hAnsi="Arial"/>
                <w:sz w:val="16"/>
                <w:szCs w:val="16"/>
                <w:color w:val="auto"/>
              </w:rPr>
              <w:t>275.2</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Accounts receivable, net of allowance</w:t>
            </w:r>
          </w:p>
        </w:tc>
        <w:tc>
          <w:tcPr>
            <w:tcW w:w="2160" w:type="dxa"/>
            <w:vAlign w:val="bottom"/>
          </w:tcPr>
          <w:p>
            <w:pPr>
              <w:jc w:val="right"/>
              <w:spacing w:after="0"/>
              <w:rPr>
                <w:sz w:val="20"/>
                <w:szCs w:val="20"/>
                <w:color w:val="auto"/>
              </w:rPr>
            </w:pPr>
            <w:r>
              <w:rPr>
                <w:rFonts w:ascii="Arial" w:cs="Arial" w:eastAsia="Arial" w:hAnsi="Arial"/>
                <w:sz w:val="16"/>
                <w:szCs w:val="16"/>
                <w:color w:val="auto"/>
              </w:rPr>
              <w:t>172.1</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185.4</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160" w:type="dxa"/>
            <w:vAlign w:val="bottom"/>
          </w:tcPr>
          <w:p>
            <w:pPr>
              <w:jc w:val="right"/>
              <w:spacing w:after="0"/>
              <w:rPr>
                <w:sz w:val="20"/>
                <w:szCs w:val="20"/>
                <w:color w:val="auto"/>
              </w:rPr>
            </w:pPr>
            <w:r>
              <w:rPr>
                <w:rFonts w:ascii="Arial" w:cs="Arial" w:eastAsia="Arial" w:hAnsi="Arial"/>
                <w:sz w:val="16"/>
                <w:szCs w:val="16"/>
                <w:color w:val="auto"/>
              </w:rPr>
              <w:t>122.0</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Prepaid and refundable taxes</w:t>
            </w:r>
          </w:p>
        </w:tc>
        <w:tc>
          <w:tcPr>
            <w:tcW w:w="2160" w:type="dxa"/>
            <w:vAlign w:val="bottom"/>
          </w:tcPr>
          <w:p>
            <w:pPr>
              <w:jc w:val="right"/>
              <w:spacing w:after="0"/>
              <w:rPr>
                <w:sz w:val="20"/>
                <w:szCs w:val="20"/>
                <w:color w:val="auto"/>
              </w:rPr>
            </w:pPr>
            <w:r>
              <w:rPr>
                <w:rFonts w:ascii="Arial" w:cs="Arial" w:eastAsia="Arial" w:hAnsi="Arial"/>
                <w:sz w:val="16"/>
                <w:szCs w:val="16"/>
                <w:color w:val="auto"/>
              </w:rPr>
              <w:t>26.5</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Current derivative assets</w:t>
            </w:r>
          </w:p>
        </w:tc>
        <w:tc>
          <w:tcPr>
            <w:tcW w:w="216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13"/>
        </w:trPr>
        <w:tc>
          <w:tcPr>
            <w:tcW w:w="6800" w:type="dxa"/>
            <w:vAlign w:val="bottom"/>
          </w:tcPr>
          <w:p>
            <w:pPr>
              <w:spacing w:after="0"/>
              <w:rPr>
                <w:sz w:val="20"/>
                <w:szCs w:val="20"/>
                <w:color w:val="auto"/>
              </w:rPr>
            </w:pPr>
            <w:r>
              <w:rPr>
                <w:rFonts w:ascii="Arial" w:cs="Arial" w:eastAsia="Arial" w:hAnsi="Arial"/>
                <w:sz w:val="16"/>
                <w:szCs w:val="16"/>
                <w:color w:val="auto"/>
              </w:rPr>
              <w:t>Total Current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851.2</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679.2</w:t>
            </w:r>
          </w:p>
        </w:tc>
        <w:tc>
          <w:tcPr>
            <w:tcW w:w="0" w:type="dxa"/>
            <w:vAlign w:val="bottom"/>
          </w:tcPr>
          <w:p>
            <w:pPr>
              <w:spacing w:after="0"/>
              <w:rPr>
                <w:sz w:val="1"/>
                <w:szCs w:val="1"/>
                <w:color w:val="auto"/>
              </w:rPr>
            </w:pPr>
          </w:p>
        </w:tc>
      </w:tr>
      <w:tr>
        <w:trPr>
          <w:trHeight w:val="194"/>
        </w:trPr>
        <w:tc>
          <w:tcPr>
            <w:tcW w:w="6800" w:type="dxa"/>
            <w:vAlign w:val="bottom"/>
          </w:tcPr>
          <w:p>
            <w:pPr>
              <w:ind w:left="200"/>
              <w:spacing w:after="0"/>
              <w:rPr>
                <w:sz w:val="20"/>
                <w:szCs w:val="20"/>
                <w:color w:val="auto"/>
              </w:rPr>
            </w:pPr>
            <w:r>
              <w:rPr>
                <w:rFonts w:ascii="Arial" w:cs="Arial" w:eastAsia="Arial" w:hAnsi="Arial"/>
                <w:sz w:val="16"/>
                <w:szCs w:val="16"/>
                <w:color w:val="auto"/>
              </w:rPr>
              <w:t>Property, plant and equipment, net</w:t>
            </w:r>
          </w:p>
        </w:tc>
        <w:tc>
          <w:tcPr>
            <w:tcW w:w="2160" w:type="dxa"/>
            <w:vAlign w:val="bottom"/>
          </w:tcPr>
          <w:p>
            <w:pPr>
              <w:jc w:val="right"/>
              <w:spacing w:after="0"/>
              <w:rPr>
                <w:sz w:val="20"/>
                <w:szCs w:val="20"/>
                <w:color w:val="auto"/>
              </w:rPr>
            </w:pPr>
            <w:r>
              <w:rPr>
                <w:rFonts w:ascii="Arial" w:cs="Arial" w:eastAsia="Arial" w:hAnsi="Arial"/>
                <w:sz w:val="16"/>
                <w:szCs w:val="16"/>
                <w:color w:val="auto"/>
              </w:rPr>
              <w:t>139.2</w:t>
            </w:r>
          </w:p>
        </w:tc>
        <w:tc>
          <w:tcPr>
            <w:tcW w:w="8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150.1</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Goodwill</w:t>
            </w:r>
          </w:p>
        </w:tc>
        <w:tc>
          <w:tcPr>
            <w:tcW w:w="2160" w:type="dxa"/>
            <w:vAlign w:val="bottom"/>
          </w:tcPr>
          <w:p>
            <w:pPr>
              <w:jc w:val="right"/>
              <w:spacing w:after="0"/>
              <w:rPr>
                <w:sz w:val="20"/>
                <w:szCs w:val="20"/>
                <w:color w:val="auto"/>
              </w:rPr>
            </w:pPr>
            <w:r>
              <w:rPr>
                <w:rFonts w:ascii="Arial" w:cs="Arial" w:eastAsia="Arial" w:hAnsi="Arial"/>
                <w:sz w:val="16"/>
                <w:szCs w:val="16"/>
                <w:color w:val="auto"/>
              </w:rPr>
              <w:t>742.4</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899.5</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Intangible assets, net</w:t>
            </w:r>
          </w:p>
        </w:tc>
        <w:tc>
          <w:tcPr>
            <w:tcW w:w="2160" w:type="dxa"/>
            <w:vAlign w:val="bottom"/>
          </w:tcPr>
          <w:p>
            <w:pPr>
              <w:jc w:val="right"/>
              <w:spacing w:after="0"/>
              <w:rPr>
                <w:sz w:val="20"/>
                <w:szCs w:val="20"/>
                <w:color w:val="auto"/>
              </w:rPr>
            </w:pPr>
            <w:r>
              <w:rPr>
                <w:rFonts w:ascii="Arial" w:cs="Arial" w:eastAsia="Arial" w:hAnsi="Arial"/>
                <w:sz w:val="16"/>
                <w:szCs w:val="16"/>
                <w:color w:val="auto"/>
              </w:rPr>
              <w:t>365.0</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Operating lease assets</w:t>
            </w:r>
          </w:p>
        </w:tc>
        <w:tc>
          <w:tcPr>
            <w:tcW w:w="2160" w:type="dxa"/>
            <w:vAlign w:val="bottom"/>
          </w:tcPr>
          <w:p>
            <w:pPr>
              <w:jc w:val="right"/>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2160" w:type="dxa"/>
            <w:vAlign w:val="bottom"/>
          </w:tcPr>
          <w:p>
            <w:pPr>
              <w:jc w:val="right"/>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Deferred tax assets</w:t>
            </w:r>
          </w:p>
        </w:tc>
        <w:tc>
          <w:tcPr>
            <w:tcW w:w="216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Long-term derivative assets</w:t>
            </w:r>
          </w:p>
        </w:tc>
        <w:tc>
          <w:tcPr>
            <w:tcW w:w="2160" w:type="dxa"/>
            <w:vAlign w:val="bottom"/>
          </w:tcPr>
          <w:p>
            <w:pPr>
              <w:jc w:val="right"/>
              <w:spacing w:after="0"/>
              <w:rPr>
                <w:sz w:val="20"/>
                <w:szCs w:val="20"/>
                <w:color w:val="auto"/>
              </w:rPr>
            </w:pPr>
            <w:r>
              <w:rPr>
                <w:rFonts w:ascii="Arial" w:cs="Arial" w:eastAsia="Arial" w:hAnsi="Arial"/>
                <w:sz w:val="16"/>
                <w:szCs w:val="16"/>
                <w:color w:val="auto"/>
              </w:rPr>
              <w:t>48.2</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6"/>
                <w:szCs w:val="16"/>
                <w:color w:val="auto"/>
              </w:rPr>
              <w:t>Other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5"/>
        </w:trPr>
        <w:tc>
          <w:tcPr>
            <w:tcW w:w="6800" w:type="dxa"/>
            <w:vAlign w:val="bottom"/>
          </w:tcPr>
          <w:p>
            <w:pPr>
              <w:spacing w:after="0"/>
              <w:rPr>
                <w:sz w:val="20"/>
                <w:szCs w:val="20"/>
                <w:color w:val="auto"/>
              </w:rPr>
            </w:pPr>
            <w:r>
              <w:rPr>
                <w:rFonts w:ascii="Arial" w:cs="Arial" w:eastAsia="Arial" w:hAnsi="Arial"/>
                <w:sz w:val="16"/>
                <w:szCs w:val="16"/>
                <w:color w:val="auto"/>
              </w:rPr>
              <w:t>Total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$2,212.9</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$2,201.0</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80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00" w:type="dxa"/>
            <w:vAlign w:val="bottom"/>
          </w:tcPr>
          <w:p>
            <w:pPr>
              <w:spacing w:after="0"/>
              <w:rPr>
                <w:sz w:val="20"/>
                <w:szCs w:val="20"/>
                <w:color w:val="auto"/>
              </w:rPr>
            </w:pPr>
            <w:r>
              <w:rPr>
                <w:rFonts w:ascii="Arial" w:cs="Arial" w:eastAsia="Arial" w:hAnsi="Arial"/>
                <w:sz w:val="16"/>
                <w:szCs w:val="16"/>
                <w:i w:val="1"/>
                <w:iCs w:val="1"/>
                <w:color w:val="auto"/>
              </w:rPr>
              <w:t>Current Liabilities: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Current debt obligations</w:t>
            </w:r>
          </w:p>
        </w:tc>
        <w:tc>
          <w:tcPr>
            <w:tcW w:w="2160" w:type="dxa"/>
            <w:vAlign w:val="bottom"/>
          </w:tcPr>
          <w:p>
            <w:pPr>
              <w:jc w:val="right"/>
              <w:spacing w:after="0"/>
              <w:rPr>
                <w:sz w:val="20"/>
                <w:szCs w:val="20"/>
                <w:color w:val="auto"/>
              </w:rPr>
            </w:pPr>
            <w:r>
              <w:rPr>
                <w:rFonts w:ascii="Arial" w:cs="Arial" w:eastAsia="Arial" w:hAnsi="Arial"/>
                <w:sz w:val="16"/>
                <w:szCs w:val="16"/>
                <w:color w:val="auto"/>
              </w:rPr>
              <w:t>$21.7</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$229.7</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160" w:type="dxa"/>
            <w:vAlign w:val="bottom"/>
          </w:tcPr>
          <w:p>
            <w:pPr>
              <w:jc w:val="right"/>
              <w:spacing w:after="0"/>
              <w:rPr>
                <w:sz w:val="20"/>
                <w:szCs w:val="20"/>
                <w:color w:val="auto"/>
              </w:rPr>
            </w:pPr>
            <w:r>
              <w:rPr>
                <w:rFonts w:ascii="Arial" w:cs="Arial" w:eastAsia="Arial" w:hAnsi="Arial"/>
                <w:sz w:val="16"/>
                <w:szCs w:val="16"/>
                <w:color w:val="auto"/>
              </w:rPr>
              <w:t>69.6</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Accrued liabilities and other</w:t>
            </w:r>
          </w:p>
        </w:tc>
        <w:tc>
          <w:tcPr>
            <w:tcW w:w="2160" w:type="dxa"/>
            <w:vAlign w:val="bottom"/>
          </w:tcPr>
          <w:p>
            <w:pPr>
              <w:jc w:val="right"/>
              <w:spacing w:after="0"/>
              <w:rPr>
                <w:sz w:val="20"/>
                <w:szCs w:val="20"/>
                <w:color w:val="auto"/>
              </w:rPr>
            </w:pPr>
            <w:r>
              <w:rPr>
                <w:rFonts w:ascii="Arial" w:cs="Arial" w:eastAsia="Arial" w:hAnsi="Arial"/>
                <w:sz w:val="16"/>
                <w:szCs w:val="16"/>
                <w:color w:val="auto"/>
              </w:rPr>
              <w:t>79.0</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Current derivative liabilities</w:t>
            </w:r>
          </w:p>
        </w:tc>
        <w:tc>
          <w:tcPr>
            <w:tcW w:w="216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183.1</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Current litigation provision liability</w:t>
            </w:r>
          </w:p>
        </w:tc>
        <w:tc>
          <w:tcPr>
            <w:tcW w:w="2160" w:type="dxa"/>
            <w:vAlign w:val="bottom"/>
          </w:tcPr>
          <w:p>
            <w:pPr>
              <w:jc w:val="right"/>
              <w:spacing w:after="0"/>
              <w:rPr>
                <w:sz w:val="20"/>
                <w:szCs w:val="20"/>
                <w:color w:val="auto"/>
              </w:rPr>
            </w:pPr>
            <w:r>
              <w:rPr>
                <w:rFonts w:ascii="Arial" w:cs="Arial" w:eastAsia="Arial" w:hAnsi="Arial"/>
                <w:sz w:val="16"/>
                <w:szCs w:val="16"/>
                <w:color w:val="auto"/>
              </w:rPr>
              <w:t>44.0</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2160" w:type="dxa"/>
            <w:vAlign w:val="bottom"/>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6"/>
                <w:szCs w:val="16"/>
                <w:color w:val="auto"/>
              </w:rPr>
              <w:t>Accrued employee compensation and related benefits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13"/>
        </w:trPr>
        <w:tc>
          <w:tcPr>
            <w:tcW w:w="680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288.0</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697.0</w:t>
            </w:r>
          </w:p>
        </w:tc>
        <w:tc>
          <w:tcPr>
            <w:tcW w:w="0" w:type="dxa"/>
            <w:vAlign w:val="bottom"/>
          </w:tcPr>
          <w:p>
            <w:pPr>
              <w:spacing w:after="0"/>
              <w:rPr>
                <w:sz w:val="1"/>
                <w:szCs w:val="1"/>
                <w:color w:val="auto"/>
              </w:rPr>
            </w:pPr>
          </w:p>
        </w:tc>
      </w:tr>
      <w:tr>
        <w:trPr>
          <w:trHeight w:val="194"/>
        </w:trPr>
        <w:tc>
          <w:tcPr>
            <w:tcW w:w="6800" w:type="dxa"/>
            <w:vAlign w:val="bottom"/>
          </w:tcPr>
          <w:p>
            <w:pPr>
              <w:ind w:left="200"/>
              <w:spacing w:after="0"/>
              <w:rPr>
                <w:sz w:val="20"/>
                <w:szCs w:val="20"/>
                <w:color w:val="auto"/>
              </w:rPr>
            </w:pPr>
            <w:r>
              <w:rPr>
                <w:rFonts w:ascii="Arial" w:cs="Arial" w:eastAsia="Arial" w:hAnsi="Arial"/>
                <w:sz w:val="16"/>
                <w:szCs w:val="16"/>
                <w:color w:val="auto"/>
              </w:rPr>
              <w:t>Long-term debt obligations</w:t>
            </w:r>
          </w:p>
        </w:tc>
        <w:tc>
          <w:tcPr>
            <w:tcW w:w="2160" w:type="dxa"/>
            <w:vAlign w:val="bottom"/>
          </w:tcPr>
          <w:p>
            <w:pPr>
              <w:jc w:val="right"/>
              <w:spacing w:after="0"/>
              <w:rPr>
                <w:sz w:val="20"/>
                <w:szCs w:val="20"/>
                <w:color w:val="auto"/>
              </w:rPr>
            </w:pPr>
            <w:r>
              <w:rPr>
                <w:rFonts w:ascii="Arial" w:cs="Arial" w:eastAsia="Arial" w:hAnsi="Arial"/>
                <w:sz w:val="16"/>
                <w:szCs w:val="16"/>
                <w:color w:val="auto"/>
              </w:rPr>
              <w:t>518.2</w:t>
            </w:r>
          </w:p>
        </w:tc>
        <w:tc>
          <w:tcPr>
            <w:tcW w:w="8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Contingent consideration</w:t>
            </w:r>
          </w:p>
        </w:tc>
        <w:tc>
          <w:tcPr>
            <w:tcW w:w="2160" w:type="dxa"/>
            <w:vAlign w:val="bottom"/>
          </w:tcPr>
          <w:p>
            <w:pPr>
              <w:jc w:val="right"/>
              <w:spacing w:after="0"/>
              <w:rPr>
                <w:sz w:val="20"/>
                <w:szCs w:val="20"/>
                <w:color w:val="auto"/>
              </w:rPr>
            </w:pPr>
            <w:r>
              <w:rPr>
                <w:rFonts w:ascii="Arial" w:cs="Arial" w:eastAsia="Arial" w:hAnsi="Arial"/>
                <w:sz w:val="16"/>
                <w:szCs w:val="16"/>
                <w:color w:val="auto"/>
              </w:rPr>
              <w:t>81.9</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Deferred tax liabilities</w:t>
            </w:r>
          </w:p>
        </w:tc>
        <w:tc>
          <w:tcPr>
            <w:tcW w:w="216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Long-term operating lease liabilities</w:t>
            </w:r>
          </w:p>
        </w:tc>
        <w:tc>
          <w:tcPr>
            <w:tcW w:w="2160" w:type="dxa"/>
            <w:vAlign w:val="bottom"/>
          </w:tcPr>
          <w:p>
            <w:pPr>
              <w:jc w:val="right"/>
              <w:spacing w:after="0"/>
              <w:rPr>
                <w:sz w:val="20"/>
                <w:szCs w:val="20"/>
                <w:color w:val="auto"/>
              </w:rPr>
            </w:pPr>
            <w:r>
              <w:rPr>
                <w:rFonts w:ascii="Arial" w:cs="Arial" w:eastAsia="Arial" w:hAnsi="Arial"/>
                <w:sz w:val="16"/>
                <w:szCs w:val="16"/>
                <w:color w:val="auto"/>
              </w:rPr>
              <w:t>28.2</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Long-term employee compensation and related benefits</w:t>
            </w:r>
          </w:p>
        </w:tc>
        <w:tc>
          <w:tcPr>
            <w:tcW w:w="2160" w:type="dxa"/>
            <w:vAlign w:val="bottom"/>
          </w:tcPr>
          <w:p>
            <w:pPr>
              <w:jc w:val="right"/>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Long-term derivative liabilities</w:t>
            </w:r>
          </w:p>
        </w:tc>
        <w:tc>
          <w:tcPr>
            <w:tcW w:w="2160" w:type="dxa"/>
            <w:vAlign w:val="bottom"/>
          </w:tcPr>
          <w:p>
            <w:pPr>
              <w:jc w:val="right"/>
              <w:spacing w:after="0"/>
              <w:rPr>
                <w:sz w:val="20"/>
                <w:szCs w:val="20"/>
                <w:color w:val="auto"/>
              </w:rPr>
            </w:pPr>
            <w:r>
              <w:rPr>
                <w:rFonts w:ascii="Arial" w:cs="Arial" w:eastAsia="Arial" w:hAnsi="Arial"/>
                <w:sz w:val="16"/>
                <w:szCs w:val="16"/>
                <w:color w:val="auto"/>
              </w:rPr>
              <w:t>83.1</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6"/>
                <w:szCs w:val="16"/>
                <w:color w:val="auto"/>
              </w:rPr>
              <w:t>Other long-term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07"/>
        </w:trPr>
        <w:tc>
          <w:tcPr>
            <w:tcW w:w="6800" w:type="dxa"/>
            <w:vAlign w:val="bottom"/>
          </w:tcPr>
          <w:p>
            <w:pPr>
              <w:spacing w:after="0"/>
              <w:rPr>
                <w:sz w:val="20"/>
                <w:szCs w:val="20"/>
                <w:color w:val="auto"/>
              </w:rPr>
            </w:pPr>
            <w:r>
              <w:rPr>
                <w:rFonts w:ascii="Arial" w:cs="Arial" w:eastAsia="Arial" w:hAnsi="Arial"/>
                <w:sz w:val="16"/>
                <w:szCs w:val="16"/>
                <w:color w:val="auto"/>
              </w:rPr>
              <w:t>Total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1,065.9</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207"/>
        </w:trPr>
        <w:tc>
          <w:tcPr>
            <w:tcW w:w="680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1,147.0</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1,294.6</w:t>
            </w:r>
          </w:p>
        </w:tc>
        <w:tc>
          <w:tcPr>
            <w:tcW w:w="0" w:type="dxa"/>
            <w:vAlign w:val="bottom"/>
          </w:tcPr>
          <w:p>
            <w:pPr>
              <w:spacing w:after="0"/>
              <w:rPr>
                <w:sz w:val="1"/>
                <w:szCs w:val="1"/>
                <w:color w:val="auto"/>
              </w:rPr>
            </w:pPr>
          </w:p>
        </w:tc>
      </w:tr>
      <w:tr>
        <w:trPr>
          <w:trHeight w:val="215"/>
        </w:trPr>
        <w:tc>
          <w:tcPr>
            <w:tcW w:w="680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$2,212.9</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$2,201.0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 Numbers may not add precisely due to rounding.</w:t>
      </w: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00"/>
          </w:cols>
          <w:pgMar w:left="360" w:top="1370"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color w:val="auto"/>
        </w:rPr>
        <w:t>LIVANOVA PLC AND SUBSIDIARIES</w:t>
      </w:r>
    </w:p>
    <w:p>
      <w:pPr>
        <w:spacing w:after="0" w:line="40" w:lineRule="exact"/>
        <w:rPr>
          <w:sz w:val="20"/>
          <w:szCs w:val="20"/>
          <w:color w:val="auto"/>
        </w:rPr>
      </w:pPr>
    </w:p>
    <w:p>
      <w:pPr>
        <w:ind w:right="1840"/>
        <w:spacing w:after="0" w:line="349" w:lineRule="auto"/>
        <w:rPr>
          <w:sz w:val="20"/>
          <w:szCs w:val="20"/>
          <w:color w:val="auto"/>
        </w:rPr>
      </w:pPr>
      <w:r>
        <w:rPr>
          <w:rFonts w:ascii="Arial" w:cs="Arial" w:eastAsia="Arial" w:hAnsi="Arial"/>
          <w:sz w:val="13"/>
          <w:szCs w:val="13"/>
          <w:b w:val="1"/>
          <w:bCs w:val="1"/>
          <w:color w:val="auto"/>
        </w:rPr>
        <w:t>CONDENSED CONSOLIDATED STATEMENTS OF CASH FLOWS - UNAUDITED (U.S. dollars in millions)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Operating Activities: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Net loss</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Non-cash items included in net loss:</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Impairment of goodwill</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Remeasurement of derivative instruments</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Stock-based compensation</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Remeasurement of contingent consideration to fair value</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Amortization</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Depreciation</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Amortization of debt issuance costs</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Amortization of operating lease assets</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Deferred tax expense (benefit)</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Loss on debt extinguishment</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Remeasurement of Respicardia investment and loan</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Other</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operating assets and liabilities:</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Accounts receivable, net</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Inventories</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Other current and non-current assets</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Accounts payable and accrued current and non-current liabilities</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Taxes payable</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Litigation provision liability</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Net cash provided by operating activities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Investing Activities:</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Purchases of property, plant and equipment</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Acquisition, net of cash acquired</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Purchase of investments</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Proceeds from sale of Heart Valves, net of cash disposed</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Proceeds from sale of Respicardia investment and loan</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Other</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Net cash (used in) provided by investing activities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Financing Activities: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Proceeds from long-term debt obligations</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Repayment of long-term debt obligations</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Shares repurchased from employees for minimum tax withholding</w:t>
      </w:r>
    </w:p>
    <w:p>
      <w:pPr>
        <w:spacing w:after="0" w:line="40" w:lineRule="exact"/>
        <w:rPr>
          <w:sz w:val="20"/>
          <w:szCs w:val="20"/>
          <w:color w:val="auto"/>
        </w:rPr>
      </w:pPr>
    </w:p>
    <w:p>
      <w:pPr>
        <w:ind w:left="100" w:right="820"/>
        <w:spacing w:after="0" w:line="304" w:lineRule="auto"/>
        <w:rPr>
          <w:sz w:val="20"/>
          <w:szCs w:val="20"/>
          <w:color w:val="auto"/>
        </w:rPr>
      </w:pPr>
      <w:r>
        <w:rPr>
          <w:rFonts w:ascii="Arial" w:cs="Arial" w:eastAsia="Arial" w:hAnsi="Arial"/>
          <w:sz w:val="13"/>
          <w:szCs w:val="13"/>
          <w:color w:val="auto"/>
        </w:rPr>
        <w:t>Proceeds from deferred consideration from sale of Heart Valves, net of working capital adjustments Payment of debt issuance costs</w:t>
      </w:r>
    </w:p>
    <w:p>
      <w:pPr>
        <w:ind w:left="100"/>
        <w:spacing w:after="0"/>
        <w:rPr>
          <w:sz w:val="20"/>
          <w:szCs w:val="20"/>
          <w:color w:val="auto"/>
        </w:rPr>
      </w:pPr>
      <w:r>
        <w:rPr>
          <w:rFonts w:ascii="Arial" w:cs="Arial" w:eastAsia="Arial" w:hAnsi="Arial"/>
          <w:sz w:val="13"/>
          <w:szCs w:val="13"/>
          <w:color w:val="auto"/>
        </w:rPr>
        <w:t>Proceeds from share issuances under ESPP</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Proceeds from issuance of ordinary shares, net</w:t>
      </w:r>
    </w:p>
    <w:p>
      <w:pPr>
        <w:spacing w:after="0" w:line="40" w:lineRule="exact"/>
        <w:rPr>
          <w:sz w:val="20"/>
          <w:szCs w:val="20"/>
          <w:color w:val="auto"/>
        </w:rPr>
      </w:pPr>
    </w:p>
    <w:p>
      <w:pPr>
        <w:ind w:left="100" w:right="2940"/>
        <w:spacing w:after="0" w:line="338" w:lineRule="auto"/>
        <w:rPr>
          <w:sz w:val="20"/>
          <w:szCs w:val="20"/>
          <w:color w:val="auto"/>
        </w:rPr>
      </w:pPr>
      <w:r>
        <w:rPr>
          <w:rFonts w:ascii="Arial" w:cs="Arial" w:eastAsia="Arial" w:hAnsi="Arial"/>
          <w:sz w:val="13"/>
          <w:szCs w:val="13"/>
          <w:color w:val="auto"/>
        </w:rPr>
        <w:t>Payment of make-whole premium on long-term debt obligations Payment of contingent consideration Other</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Net cash provided by (used in) financing activities</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Effect of exchange rate changes on cash, cash equivalents and restricted cash</w:t>
      </w:r>
    </w:p>
    <w:p>
      <w:pPr>
        <w:spacing w:after="0" w:line="37"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Net increase (decrease) in cash, cash equivalents and restricted cash</w:t>
      </w:r>
    </w:p>
    <w:p>
      <w:pPr>
        <w:spacing w:after="0" w:line="56" w:lineRule="exact"/>
        <w:rPr>
          <w:sz w:val="20"/>
          <w:szCs w:val="20"/>
          <w:color w:val="auto"/>
        </w:rPr>
      </w:pPr>
    </w:p>
    <w:p>
      <w:pPr>
        <w:ind w:right="2920"/>
        <w:spacing w:after="0" w:line="326" w:lineRule="auto"/>
        <w:rPr>
          <w:sz w:val="20"/>
          <w:szCs w:val="20"/>
          <w:color w:val="auto"/>
        </w:rPr>
      </w:pPr>
      <w:r>
        <w:rPr>
          <w:rFonts w:ascii="Arial" w:cs="Arial" w:eastAsia="Arial" w:hAnsi="Arial"/>
          <w:sz w:val="13"/>
          <w:szCs w:val="13"/>
          <w:color w:val="auto"/>
        </w:rPr>
        <w:t>Cash, cash equivalents and restricted cash at beginning of period Cash, cash equivalents and restricted cash at end of period</w:t>
      </w:r>
    </w:p>
    <w:p>
      <w:pPr>
        <w:ind w:left="5500"/>
        <w:spacing w:after="0" w:line="222" w:lineRule="auto"/>
        <w:rPr>
          <w:sz w:val="20"/>
          <w:szCs w:val="20"/>
          <w:color w:val="auto"/>
        </w:rPr>
      </w:pPr>
      <w:r>
        <w:rPr>
          <w:rFonts w:ascii="Arial" w:cs="Arial" w:eastAsia="Arial" w:hAnsi="Arial"/>
          <w:sz w:val="20"/>
          <w:szCs w:val="20"/>
          <w:color w:val="auto"/>
        </w:rPr>
        <w:t>20</w:t>
      </w:r>
    </w:p>
    <w:p>
      <w:pPr>
        <w:spacing w:after="0"/>
        <w:rPr>
          <w:sz w:val="20"/>
          <w:szCs w:val="20"/>
          <w:color w:val="auto"/>
        </w:rPr>
      </w:pPr>
      <w:r>
        <w:rPr>
          <w:rFonts w:ascii="Arial" w:cs="Arial" w:eastAsia="Arial" w:hAnsi="Arial"/>
          <w:sz w:val="13"/>
          <w:szCs w:val="13"/>
          <w:color w:val="auto"/>
        </w:rPr>
        <w:t>* Numbers may not add precisely due to rounding.</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tcBorders>
          </w:tcPr>
          <w:p>
            <w:pPr>
              <w:spacing w:after="0"/>
              <w:rPr>
                <w:sz w:val="16"/>
                <w:szCs w:val="16"/>
                <w:color w:val="auto"/>
              </w:rPr>
            </w:pPr>
          </w:p>
        </w:tc>
        <w:tc>
          <w:tcPr>
            <w:tcW w:w="178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3"/>
                <w:szCs w:val="13"/>
                <w:b w:val="1"/>
                <w:bCs w:val="1"/>
                <w:color w:val="auto"/>
              </w:rPr>
              <w:t>2021</w:t>
            </w:r>
          </w:p>
        </w:tc>
      </w:tr>
      <w:tr>
        <w:trPr>
          <w:trHeight w:val="354"/>
        </w:trPr>
        <w:tc>
          <w:tcPr>
            <w:tcW w:w="1800" w:type="dxa"/>
            <w:vAlign w:val="bottom"/>
          </w:tcPr>
          <w:p>
            <w:pPr>
              <w:jc w:val="right"/>
              <w:spacing w:after="0"/>
              <w:rPr>
                <w:sz w:val="20"/>
                <w:szCs w:val="20"/>
                <w:color w:val="auto"/>
              </w:rPr>
            </w:pPr>
            <w:r>
              <w:rPr>
                <w:rFonts w:ascii="Arial" w:cs="Arial" w:eastAsia="Arial" w:hAnsi="Arial"/>
                <w:sz w:val="13"/>
                <w:szCs w:val="13"/>
                <w:color w:val="auto"/>
              </w:rPr>
              <w:t>($87.9)</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($130.7)</w:t>
            </w:r>
          </w:p>
        </w:tc>
      </w:tr>
      <w:tr>
        <w:trPr>
          <w:trHeight w:val="379"/>
        </w:trPr>
        <w:tc>
          <w:tcPr>
            <w:tcW w:w="1800" w:type="dxa"/>
            <w:vAlign w:val="bottom"/>
          </w:tcPr>
          <w:p>
            <w:pPr>
              <w:jc w:val="right"/>
              <w:ind w:right="13"/>
              <w:spacing w:after="0"/>
              <w:rPr>
                <w:sz w:val="20"/>
                <w:szCs w:val="20"/>
                <w:color w:val="auto"/>
              </w:rPr>
            </w:pPr>
            <w:r>
              <w:rPr>
                <w:rFonts w:ascii="Arial" w:cs="Arial" w:eastAsia="Arial" w:hAnsi="Arial"/>
                <w:sz w:val="13"/>
                <w:szCs w:val="13"/>
                <w:color w:val="auto"/>
              </w:rPr>
              <w:t>129.4</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1800" w:type="dxa"/>
            <w:vAlign w:val="bottom"/>
          </w:tcPr>
          <w:p>
            <w:pPr>
              <w:jc w:val="right"/>
              <w:spacing w:after="0"/>
              <w:rPr>
                <w:sz w:val="20"/>
                <w:szCs w:val="20"/>
                <w:color w:val="auto"/>
              </w:rPr>
            </w:pPr>
            <w:r>
              <w:rPr>
                <w:rFonts w:ascii="Arial" w:cs="Arial" w:eastAsia="Arial" w:hAnsi="Arial"/>
                <w:sz w:val="13"/>
                <w:szCs w:val="13"/>
                <w:color w:val="auto"/>
              </w:rPr>
              <w:t>(38.8)</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90"/>
        </w:trPr>
        <w:tc>
          <w:tcPr>
            <w:tcW w:w="1800" w:type="dxa"/>
            <w:vAlign w:val="bottom"/>
          </w:tcPr>
          <w:p>
            <w:pPr>
              <w:jc w:val="right"/>
              <w:ind w:right="13"/>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30.6</w:t>
            </w:r>
          </w:p>
        </w:tc>
      </w:tr>
      <w:tr>
        <w:trPr>
          <w:trHeight w:val="190"/>
        </w:trPr>
        <w:tc>
          <w:tcPr>
            <w:tcW w:w="1800" w:type="dxa"/>
            <w:vAlign w:val="bottom"/>
          </w:tcPr>
          <w:p>
            <w:pPr>
              <w:jc w:val="right"/>
              <w:spacing w:after="0"/>
              <w:rPr>
                <w:sz w:val="20"/>
                <w:szCs w:val="20"/>
                <w:color w:val="auto"/>
              </w:rPr>
            </w:pPr>
            <w:r>
              <w:rPr>
                <w:rFonts w:ascii="Arial" w:cs="Arial" w:eastAsia="Arial" w:hAnsi="Arial"/>
                <w:sz w:val="13"/>
                <w:szCs w:val="13"/>
                <w:color w:val="auto"/>
              </w:rPr>
              <w:t>(33.3)</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17.8</w:t>
            </w:r>
          </w:p>
        </w:tc>
      </w:tr>
      <w:tr>
        <w:trPr>
          <w:trHeight w:val="190"/>
        </w:trPr>
        <w:tc>
          <w:tcPr>
            <w:tcW w:w="1800" w:type="dxa"/>
            <w:vAlign w:val="bottom"/>
          </w:tcPr>
          <w:p>
            <w:pPr>
              <w:jc w:val="right"/>
              <w:ind w:right="13"/>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20.0</w:t>
            </w:r>
          </w:p>
        </w:tc>
      </w:tr>
      <w:tr>
        <w:trPr>
          <w:trHeight w:val="190"/>
        </w:trPr>
        <w:tc>
          <w:tcPr>
            <w:tcW w:w="1800" w:type="dxa"/>
            <w:vAlign w:val="bottom"/>
          </w:tcPr>
          <w:p>
            <w:pPr>
              <w:jc w:val="right"/>
              <w:ind w:right="13"/>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18.5</w:t>
            </w:r>
          </w:p>
        </w:tc>
      </w:tr>
      <w:tr>
        <w:trPr>
          <w:trHeight w:val="190"/>
        </w:trPr>
        <w:tc>
          <w:tcPr>
            <w:tcW w:w="1800" w:type="dxa"/>
            <w:vAlign w:val="bottom"/>
          </w:tcPr>
          <w:p>
            <w:pPr>
              <w:jc w:val="right"/>
              <w:ind w:right="13"/>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13.1</w:t>
            </w:r>
          </w:p>
        </w:tc>
      </w:tr>
      <w:tr>
        <w:trPr>
          <w:trHeight w:val="190"/>
        </w:trPr>
        <w:tc>
          <w:tcPr>
            <w:tcW w:w="1800" w:type="dxa"/>
            <w:vAlign w:val="bottom"/>
          </w:tcPr>
          <w:p>
            <w:pPr>
              <w:jc w:val="right"/>
              <w:ind w:right="13"/>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12.1</w:t>
            </w:r>
          </w:p>
        </w:tc>
      </w:tr>
      <w:tr>
        <w:trPr>
          <w:trHeight w:val="190"/>
        </w:trPr>
        <w:tc>
          <w:tcPr>
            <w:tcW w:w="1800" w:type="dxa"/>
            <w:vAlign w:val="bottom"/>
          </w:tcPr>
          <w:p>
            <w:pPr>
              <w:jc w:val="right"/>
              <w:ind w:right="13"/>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90"/>
        </w:trPr>
        <w:tc>
          <w:tcPr>
            <w:tcW w:w="1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60.2</w:t>
            </w:r>
          </w:p>
        </w:tc>
      </w:tr>
      <w:tr>
        <w:trPr>
          <w:trHeight w:val="190"/>
        </w:trPr>
        <w:tc>
          <w:tcPr>
            <w:tcW w:w="1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90"/>
        </w:trPr>
        <w:tc>
          <w:tcPr>
            <w:tcW w:w="1800" w:type="dxa"/>
            <w:vAlign w:val="bottom"/>
          </w:tcPr>
          <w:p>
            <w:pPr>
              <w:jc w:val="right"/>
              <w:ind w:right="13"/>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379"/>
        </w:trPr>
        <w:tc>
          <w:tcPr>
            <w:tcW w:w="18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90"/>
        </w:trPr>
        <w:tc>
          <w:tcPr>
            <w:tcW w:w="1800" w:type="dxa"/>
            <w:vAlign w:val="bottom"/>
          </w:tcPr>
          <w:p>
            <w:pPr>
              <w:jc w:val="right"/>
              <w:spacing w:after="0"/>
              <w:rPr>
                <w:sz w:val="20"/>
                <w:szCs w:val="20"/>
                <w:color w:val="auto"/>
              </w:rPr>
            </w:pPr>
            <w:r>
              <w:rPr>
                <w:rFonts w:ascii="Arial" w:cs="Arial" w:eastAsia="Arial" w:hAnsi="Arial"/>
                <w:sz w:val="13"/>
                <w:szCs w:val="13"/>
                <w:color w:val="auto"/>
              </w:rPr>
              <w:t>(22.6)</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8.8</w:t>
            </w:r>
          </w:p>
        </w:tc>
      </w:tr>
      <w:tr>
        <w:trPr>
          <w:trHeight w:val="190"/>
        </w:trPr>
        <w:tc>
          <w:tcPr>
            <w:tcW w:w="1800" w:type="dxa"/>
            <w:vAlign w:val="bottom"/>
          </w:tcPr>
          <w:p>
            <w:pPr>
              <w:jc w:val="right"/>
              <w:ind w:right="13"/>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20.5</w:t>
            </w:r>
          </w:p>
        </w:tc>
      </w:tr>
      <w:tr>
        <w:trPr>
          <w:trHeight w:val="190"/>
        </w:trPr>
        <w:tc>
          <w:tcPr>
            <w:tcW w:w="180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90"/>
        </w:trPr>
        <w:tc>
          <w:tcPr>
            <w:tcW w:w="180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95"/>
        </w:trPr>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r>
      <w:tr>
        <w:trPr>
          <w:trHeight w:val="182"/>
        </w:trPr>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51.2</w:t>
            </w:r>
          </w:p>
        </w:tc>
        <w:tc>
          <w:tcPr>
            <w:tcW w:w="100" w:type="dxa"/>
            <w:vAlign w:val="bottom"/>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69.1</w:t>
            </w:r>
          </w:p>
        </w:tc>
      </w:tr>
      <w:tr>
        <w:trPr>
          <w:trHeight w:val="354"/>
        </w:trPr>
        <w:tc>
          <w:tcPr>
            <w:tcW w:w="1800" w:type="dxa"/>
            <w:vAlign w:val="bottom"/>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(17.9)</w:t>
            </w:r>
          </w:p>
        </w:tc>
      </w:tr>
      <w:tr>
        <w:trPr>
          <w:trHeight w:val="190"/>
        </w:trPr>
        <w:tc>
          <w:tcPr>
            <w:tcW w:w="180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180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90"/>
        </w:trPr>
        <w:tc>
          <w:tcPr>
            <w:tcW w:w="1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40.2</w:t>
            </w:r>
          </w:p>
        </w:tc>
      </w:tr>
      <w:tr>
        <w:trPr>
          <w:trHeight w:val="190"/>
        </w:trPr>
        <w:tc>
          <w:tcPr>
            <w:tcW w:w="1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23.1</w:t>
            </w:r>
          </w:p>
        </w:tc>
      </w:tr>
      <w:tr>
        <w:trPr>
          <w:trHeight w:val="19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r>
      <w:tr>
        <w:trPr>
          <w:trHeight w:val="18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w:t>
            </w:r>
          </w:p>
        </w:tc>
        <w:tc>
          <w:tcPr>
            <w:tcW w:w="100" w:type="dxa"/>
            <w:vAlign w:val="bottom"/>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w:t>
            </w:r>
          </w:p>
        </w:tc>
      </w:tr>
      <w:tr>
        <w:trPr>
          <w:trHeight w:val="354"/>
        </w:trPr>
        <w:tc>
          <w:tcPr>
            <w:tcW w:w="1800" w:type="dxa"/>
            <w:vAlign w:val="bottom"/>
          </w:tcPr>
          <w:p>
            <w:pPr>
              <w:jc w:val="right"/>
              <w:ind w:right="13"/>
              <w:spacing w:after="0"/>
              <w:rPr>
                <w:sz w:val="20"/>
                <w:szCs w:val="20"/>
                <w:color w:val="auto"/>
              </w:rPr>
            </w:pPr>
            <w:r>
              <w:rPr>
                <w:rFonts w:ascii="Arial" w:cs="Arial" w:eastAsia="Arial" w:hAnsi="Arial"/>
                <w:sz w:val="13"/>
                <w:szCs w:val="13"/>
                <w:color w:val="auto"/>
              </w:rPr>
              <w:t>507.5</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1800" w:type="dxa"/>
            <w:vAlign w:val="bottom"/>
          </w:tcPr>
          <w:p>
            <w:pPr>
              <w:jc w:val="right"/>
              <w:spacing w:after="0"/>
              <w:rPr>
                <w:sz w:val="20"/>
                <w:szCs w:val="20"/>
                <w:color w:val="auto"/>
              </w:rPr>
            </w:pPr>
            <w:r>
              <w:rPr>
                <w:rFonts w:ascii="Arial" w:cs="Arial" w:eastAsia="Arial" w:hAnsi="Arial"/>
                <w:sz w:val="13"/>
                <w:szCs w:val="13"/>
                <w:color w:val="auto"/>
              </w:rPr>
              <w:t>(220.8)</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(451.4)</w:t>
            </w:r>
          </w:p>
        </w:tc>
      </w:tr>
      <w:tr>
        <w:trPr>
          <w:trHeight w:val="190"/>
        </w:trPr>
        <w:tc>
          <w:tcPr>
            <w:tcW w:w="180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(12.2)</w:t>
            </w:r>
          </w:p>
        </w:tc>
      </w:tr>
      <w:tr>
        <w:trPr>
          <w:trHeight w:val="190"/>
        </w:trPr>
        <w:tc>
          <w:tcPr>
            <w:tcW w:w="1800" w:type="dxa"/>
            <w:vAlign w:val="bottom"/>
          </w:tcPr>
          <w:p>
            <w:pPr>
              <w:jc w:val="right"/>
              <w:ind w:right="13"/>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180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90"/>
        </w:trPr>
        <w:tc>
          <w:tcPr>
            <w:tcW w:w="1800" w:type="dxa"/>
            <w:vAlign w:val="bottom"/>
          </w:tcPr>
          <w:p>
            <w:pPr>
              <w:jc w:val="right"/>
              <w:ind w:right="13"/>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90"/>
        </w:trPr>
        <w:tc>
          <w:tcPr>
            <w:tcW w:w="1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324.2</w:t>
            </w:r>
          </w:p>
        </w:tc>
      </w:tr>
      <w:tr>
        <w:trPr>
          <w:trHeight w:val="190"/>
        </w:trPr>
        <w:tc>
          <w:tcPr>
            <w:tcW w:w="1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(35.6)</w:t>
            </w:r>
          </w:p>
        </w:tc>
      </w:tr>
      <w:tr>
        <w:trPr>
          <w:trHeight w:val="190"/>
        </w:trPr>
        <w:tc>
          <w:tcPr>
            <w:tcW w:w="1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95"/>
        </w:trPr>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r>
      <w:tr>
        <w:trPr>
          <w:trHeight w:val="182"/>
        </w:trPr>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281.8</w:t>
            </w:r>
          </w:p>
        </w:tc>
        <w:tc>
          <w:tcPr>
            <w:tcW w:w="100" w:type="dxa"/>
            <w:vAlign w:val="bottom"/>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(178.2)</w:t>
            </w:r>
          </w:p>
        </w:tc>
      </w:tr>
      <w:tr>
        <w:trPr>
          <w:trHeight w:val="18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177"/>
        </w:trPr>
        <w:tc>
          <w:tcPr>
            <w:tcW w:w="1800" w:type="dxa"/>
            <w:vAlign w:val="bottom"/>
          </w:tcPr>
          <w:p>
            <w:pPr>
              <w:jc w:val="right"/>
              <w:ind w:right="13"/>
              <w:spacing w:after="0"/>
              <w:rPr>
                <w:sz w:val="20"/>
                <w:szCs w:val="20"/>
                <w:color w:val="auto"/>
              </w:rPr>
            </w:pPr>
            <w:r>
              <w:rPr>
                <w:rFonts w:ascii="Arial" w:cs="Arial" w:eastAsia="Arial" w:hAnsi="Arial"/>
                <w:sz w:val="13"/>
                <w:szCs w:val="13"/>
                <w:color w:val="auto"/>
              </w:rPr>
              <w:t>298.3</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(71.0)</w:t>
            </w:r>
          </w:p>
        </w:tc>
      </w:tr>
      <w:tr>
        <w:trPr>
          <w:trHeight w:val="195"/>
        </w:trPr>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208.0</w:t>
            </w:r>
          </w:p>
        </w:tc>
        <w:tc>
          <w:tcPr>
            <w:tcW w:w="100" w:type="dxa"/>
            <w:vAlign w:val="bottom"/>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252.8</w:t>
            </w:r>
          </w:p>
        </w:tc>
      </w:tr>
      <w:tr>
        <w:trPr>
          <w:trHeight w:val="182"/>
        </w:trPr>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$506.3</w:t>
            </w:r>
          </w:p>
        </w:tc>
        <w:tc>
          <w:tcPr>
            <w:tcW w:w="100" w:type="dxa"/>
            <w:vAlign w:val="bottom"/>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$181.8</w:t>
            </w:r>
          </w:p>
        </w:tc>
      </w:tr>
      <w:tr>
        <w:trPr>
          <w:trHeight w:val="23"/>
        </w:trPr>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ectPr>
          <w:pgSz w:w="11900" w:h="16838" w:orient="portrait"/>
          <w:cols w:equalWidth="0" w:num="2">
            <w:col w:w="6820" w:space="720"/>
            <w:col w:w="3680"/>
          </w:cols>
          <w:pgMar w:left="340" w:top="621" w:right="339" w:bottom="1440" w:gutter="0" w:footer="0" w:header="0"/>
        </w:sectPr>
      </w:pPr>
    </w:p>
    <w:bookmarkStart w:id="23" w:name="page24"/>
    <w:bookmarkEnd w:id="23"/>
    <w:p>
      <w:pPr>
        <w:ind w:right="40"/>
        <w:spacing w:after="0" w:line="353" w:lineRule="auto"/>
        <w:rPr>
          <w:sz w:val="20"/>
          <w:szCs w:val="20"/>
          <w:color w:val="auto"/>
        </w:rPr>
      </w:pPr>
      <w:r>
        <w:rPr>
          <w:rFonts w:ascii="Arial" w:cs="Arial" w:eastAsia="Arial" w:hAnsi="Arial"/>
          <w:sz w:val="19"/>
          <w:szCs w:val="19"/>
          <w:color w:val="auto"/>
        </w:rPr>
        <w:t>The following table presents the reconciliation of GAAP diluted weighted average shares outstanding, used in the computation of GAAP diluted net loss per common share, to adjusted diluted weighted average shares outstanding, used in the computation of adjusted diluted earnings per common share (in millions of shares):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RECONCILIATION OF GAAP TO NON-GAAP FINANCIAL MEASURES - UNAUDITED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right="1700"/>
        <w:spacing w:after="0" w:line="304" w:lineRule="auto"/>
        <w:rPr>
          <w:sz w:val="20"/>
          <w:szCs w:val="20"/>
          <w:color w:val="auto"/>
        </w:rPr>
      </w:pPr>
      <w:r>
        <w:rPr>
          <w:rFonts w:ascii="Arial" w:cs="Arial" w:eastAsia="Arial" w:hAnsi="Arial"/>
          <w:sz w:val="16"/>
          <w:szCs w:val="16"/>
          <w:color w:val="auto"/>
        </w:rPr>
        <w:t>GAAP diluted weighted average shares outstanding Add effects of stock-based compensation instruments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Adjusted diluted weighted average shares outstanding </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40" w:type="dxa"/>
            <w:vAlign w:val="bottom"/>
            <w:gridSpan w:val="4"/>
          </w:tcPr>
          <w:p>
            <w:pPr>
              <w:jc w:val="center"/>
              <w:ind w:right="140"/>
              <w:spacing w:after="0" w:line="192" w:lineRule="exact"/>
              <w:rPr>
                <w:sz w:val="20"/>
                <w:szCs w:val="20"/>
                <w:color w:val="auto"/>
              </w:rPr>
            </w:pPr>
            <w:r>
              <w:rPr>
                <w:rFonts w:ascii="Arial" w:cs="Arial" w:eastAsia="Arial" w:hAnsi="Arial"/>
                <w:sz w:val="17"/>
                <w:szCs w:val="17"/>
                <w:b w:val="1"/>
                <w:bCs w:val="1"/>
                <w:color w:val="auto"/>
                <w:w w:val="98"/>
              </w:rPr>
              <w:t>Three Months Ended</w:t>
            </w:r>
          </w:p>
        </w:tc>
        <w:tc>
          <w:tcPr>
            <w:tcW w:w="2360" w:type="dxa"/>
            <w:vAlign w:val="bottom"/>
            <w:gridSpan w:val="3"/>
          </w:tcPr>
          <w:p>
            <w:pPr>
              <w:jc w:val="right"/>
              <w:ind w:right="336"/>
              <w:spacing w:after="0" w:line="192" w:lineRule="exact"/>
              <w:rPr>
                <w:sz w:val="20"/>
                <w:szCs w:val="20"/>
                <w:color w:val="auto"/>
              </w:rPr>
            </w:pPr>
            <w:r>
              <w:rPr>
                <w:rFonts w:ascii="Arial" w:cs="Arial" w:eastAsia="Arial" w:hAnsi="Arial"/>
                <w:sz w:val="17"/>
                <w:szCs w:val="17"/>
                <w:b w:val="1"/>
                <w:bCs w:val="1"/>
                <w:color w:val="auto"/>
              </w:rPr>
              <w:t>Nine Months Ended</w:t>
            </w:r>
          </w:p>
        </w:tc>
      </w:tr>
      <w:tr>
        <w:trPr>
          <w:trHeight w:val="223"/>
        </w:trPr>
        <w:tc>
          <w:tcPr>
            <w:tcW w:w="244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8"/>
              </w:rPr>
              <w:t>September 30,</w:t>
            </w:r>
          </w:p>
        </w:tc>
        <w:tc>
          <w:tcPr>
            <w:tcW w:w="2360" w:type="dxa"/>
            <w:vAlign w:val="bottom"/>
            <w:gridSpan w:val="3"/>
          </w:tcPr>
          <w:p>
            <w:pPr>
              <w:jc w:val="right"/>
              <w:ind w:right="516"/>
              <w:spacing w:after="0"/>
              <w:rPr>
                <w:sz w:val="20"/>
                <w:szCs w:val="20"/>
                <w:color w:val="auto"/>
              </w:rPr>
            </w:pPr>
            <w:r>
              <w:rPr>
                <w:rFonts w:ascii="Arial" w:cs="Arial" w:eastAsia="Arial" w:hAnsi="Arial"/>
                <w:sz w:val="17"/>
                <w:szCs w:val="17"/>
                <w:b w:val="1"/>
                <w:bCs w:val="1"/>
                <w:color w:val="auto"/>
              </w:rPr>
              <w:t>September 30,</w:t>
            </w:r>
          </w:p>
        </w:tc>
      </w:tr>
      <w:tr>
        <w:trPr>
          <w:trHeight w:val="207"/>
        </w:trPr>
        <w:tc>
          <w:tcPr>
            <w:tcW w:w="11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color w:val="auto"/>
              </w:rPr>
              <w:t>2022</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color w:val="auto"/>
              </w:rPr>
              <w:t>2022</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color w:val="auto"/>
              </w:rPr>
              <w:t>2021</w:t>
            </w:r>
          </w:p>
        </w:tc>
      </w:tr>
      <w:tr>
        <w:trPr>
          <w:trHeight w:val="207"/>
        </w:trPr>
        <w:tc>
          <w:tcPr>
            <w:tcW w:w="1120" w:type="dxa"/>
            <w:vAlign w:val="bottom"/>
          </w:tcPr>
          <w:p>
            <w:pPr>
              <w:jc w:val="right"/>
              <w:spacing w:after="0"/>
              <w:rPr>
                <w:sz w:val="20"/>
                <w:szCs w:val="20"/>
                <w:color w:val="auto"/>
              </w:rPr>
            </w:pPr>
            <w:r>
              <w:rPr>
                <w:rFonts w:ascii="Arial" w:cs="Arial" w:eastAsia="Arial" w:hAnsi="Arial"/>
                <w:sz w:val="17"/>
                <w:szCs w:val="17"/>
                <w:color w:val="auto"/>
              </w:rPr>
              <w:t>53.5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51.6</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53.5</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49.7</w:t>
            </w:r>
          </w:p>
        </w:tc>
      </w:tr>
      <w:tr>
        <w:trPr>
          <w:trHeight w:val="215"/>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r>
      <w:tr>
        <w:trPr>
          <w:trHeight w:val="207"/>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50.6</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ectPr>
          <w:pgSz w:w="11900" w:h="16838" w:orient="portrait"/>
          <w:cols w:equalWidth="0" w:num="2">
            <w:col w:w="5720" w:space="720"/>
            <w:col w:w="4800"/>
          </w:cols>
          <w:pgMar w:left="320" w:top="1412" w:right="339" w:bottom="1440" w:gutter="0" w:footer="0" w:header="0"/>
          <w:type w:val="continuous"/>
        </w:sectPr>
      </w:pPr>
    </w:p>
    <w:p>
      <w:pPr>
        <w:ind w:left="440" w:right="40" w:hanging="422"/>
        <w:spacing w:after="0" w:line="231" w:lineRule="auto"/>
        <w:tabs>
          <w:tab w:leader="none" w:pos="4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Adjusted diluted weighted average shares outstanding is a non-GAAP measure and includes the effects of stock-based compensation instruments, as reconciled in the above table.</w:t>
      </w:r>
    </w:p>
    <w:p>
      <w:pPr>
        <w:spacing w:after="0" w:line="22" w:lineRule="exact"/>
        <w:rPr>
          <w:sz w:val="20"/>
          <w:szCs w:val="20"/>
          <w:color w:val="auto"/>
        </w:rPr>
      </w:pPr>
    </w:p>
    <w:p>
      <w:pPr>
        <w:ind w:left="440" w:hanging="422"/>
        <w:spacing w:after="0"/>
        <w:tabs>
          <w:tab w:leader="none" w:pos="4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sectPr>
      <w:pgSz w:w="11900" w:h="16838" w:orient="portrait"/>
      <w:cols w:equalWidth="0" w:num="1">
        <w:col w:w="11240"/>
      </w:cols>
      <w:pgMar w:left="320" w:top="14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2"/>
      <w:numFmt w:val="bullet"/>
      <w:start w:val="1"/>
    </w:lvl>
  </w:abstractNum>
  <w:abstractNum w:abstractNumId="5">
    <w:nsid w:val="109CF92E"/>
    <w:multiLevelType w:val="hybridMultilevel"/>
    <w:lvl w:ilvl="0">
      <w:lvlJc w:val="left"/>
      <w:lvlText w:val="3"/>
      <w:numFmt w:val="bullet"/>
      <w:start w:val="1"/>
    </w:lvl>
  </w:abstractNum>
  <w:abstractNum w:abstractNumId="6">
    <w:nsid w:val="DED7263"/>
    <w:multiLevelType w:val="hybridMultilevel"/>
    <w:lvl w:ilvl="0">
      <w:lvlJc w:val="left"/>
      <w:lvlText w:val="(%1)"/>
      <w:numFmt w:val="lowerRoman"/>
      <w:start w:val="23"/>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upperLetter"/>
      <w:start w:val="1"/>
    </w:lvl>
  </w:abstractNum>
  <w:abstractNum w:abstractNumId="16">
    <w:nsid w:val="7C83E458"/>
    <w:multiLevelType w:val="hybridMultilevel"/>
    <w:lvl w:ilvl="0">
      <w:lvlJc w:val="left"/>
      <w:lvlText w:val="(%1)"/>
      <w:numFmt w:val="upperLetter"/>
      <w:start w:val="1"/>
    </w:lvl>
  </w:abstractNum>
  <w:abstractNum w:abstractNumId="17">
    <w:nsid w:val="257130A3"/>
    <w:multiLevelType w:val="hybridMultilevel"/>
    <w:lvl w:ilvl="0">
      <w:lvlJc w:val="left"/>
      <w:lvlText w:val="(%1)"/>
      <w:numFmt w:val="upperLetter"/>
      <w:start w:val="1"/>
    </w:lvl>
  </w:abstractNum>
  <w:abstractNum w:abstractNumId="18">
    <w:nsid w:val="62BBD95A"/>
    <w:multiLevelType w:val="hybridMultilevel"/>
    <w:lvl w:ilvl="0">
      <w:lvlJc w:val="left"/>
      <w:lvlText w:val="(%1)"/>
      <w:numFmt w:val="upp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2022-11-02T05:25:53Z</dcterms:created>
  <dcterms:modified xsi:type="dcterms:W3CDTF">2022-11-02T05:25:53Z</dcterms:modified>
</cp:coreProperties>
</file>