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24, 2015 (November 18, 2015)</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20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England and Wales</w:t>
            </w:r>
          </w:p>
        </w:tc>
        <w:tc>
          <w:tcPr>
            <w:tcW w:w="43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333-203510</w:t>
            </w:r>
          </w:p>
        </w:tc>
        <w:tc>
          <w:tcPr>
            <w:tcW w:w="1600" w:type="dxa"/>
            <w:vAlign w:val="bottom"/>
          </w:tcPr>
          <w:p>
            <w:pPr>
              <w:jc w:val="center"/>
              <w:ind w:left="170"/>
              <w:spacing w:after="0"/>
              <w:rPr>
                <w:sz w:val="20"/>
                <w:szCs w:val="20"/>
                <w:color w:val="auto"/>
              </w:rPr>
            </w:pPr>
            <w:r>
              <w:rPr>
                <w:rFonts w:ascii="Arial" w:cs="Arial" w:eastAsia="Arial" w:hAnsi="Arial"/>
                <w:sz w:val="18"/>
                <w:szCs w:val="18"/>
                <w:b w:val="1"/>
                <w:bCs w:val="1"/>
                <w:color w:val="auto"/>
                <w:w w:val="96"/>
              </w:rPr>
              <w:t>N/A</w:t>
            </w:r>
          </w:p>
        </w:tc>
      </w:tr>
      <w:tr>
        <w:trPr>
          <w:trHeight w:val="216"/>
        </w:trPr>
        <w:tc>
          <w:tcPr>
            <w:tcW w:w="2060" w:type="dxa"/>
            <w:vAlign w:val="bottom"/>
          </w:tcPr>
          <w:p>
            <w:pPr>
              <w:jc w:val="center"/>
              <w:ind w:right="10"/>
              <w:spacing w:after="0"/>
              <w:rPr>
                <w:sz w:val="20"/>
                <w:szCs w:val="20"/>
                <w:color w:val="auto"/>
              </w:rPr>
            </w:pPr>
            <w:r>
              <w:rPr>
                <w:rFonts w:ascii="Arial" w:cs="Arial" w:eastAsia="Arial" w:hAnsi="Arial"/>
                <w:sz w:val="18"/>
                <w:szCs w:val="18"/>
                <w:color w:val="auto"/>
                <w:w w:val="91"/>
              </w:rPr>
              <w:t>(State or Other Jurisdiction</w:t>
            </w:r>
          </w:p>
        </w:tc>
        <w:tc>
          <w:tcPr>
            <w:tcW w:w="4360" w:type="dxa"/>
            <w:vAlign w:val="bottom"/>
          </w:tcPr>
          <w:p>
            <w:pPr>
              <w:jc w:val="center"/>
              <w:ind w:right="70"/>
              <w:spacing w:after="0"/>
              <w:rPr>
                <w:sz w:val="20"/>
                <w:szCs w:val="20"/>
                <w:color w:val="auto"/>
              </w:rPr>
            </w:pPr>
            <w:r>
              <w:rPr>
                <w:rFonts w:ascii="Arial" w:cs="Arial" w:eastAsia="Arial" w:hAnsi="Arial"/>
                <w:sz w:val="18"/>
                <w:szCs w:val="18"/>
                <w:color w:val="auto"/>
                <w:w w:val="91"/>
              </w:rPr>
              <w:t>(Commission</w:t>
            </w:r>
          </w:p>
        </w:tc>
        <w:tc>
          <w:tcPr>
            <w:tcW w:w="1600" w:type="dxa"/>
            <w:vAlign w:val="bottom"/>
          </w:tcPr>
          <w:p>
            <w:pPr>
              <w:jc w:val="center"/>
              <w:ind w:left="170"/>
              <w:spacing w:after="0"/>
              <w:rPr>
                <w:sz w:val="20"/>
                <w:szCs w:val="20"/>
                <w:color w:val="auto"/>
              </w:rPr>
            </w:pPr>
            <w:r>
              <w:rPr>
                <w:rFonts w:ascii="Arial" w:cs="Arial" w:eastAsia="Arial" w:hAnsi="Arial"/>
                <w:sz w:val="18"/>
                <w:szCs w:val="18"/>
                <w:color w:val="auto"/>
                <w:w w:val="93"/>
              </w:rPr>
              <w:t>(IRS Employer</w:t>
            </w:r>
          </w:p>
        </w:tc>
      </w:tr>
      <w:tr>
        <w:trPr>
          <w:trHeight w:val="230"/>
        </w:trPr>
        <w:tc>
          <w:tcPr>
            <w:tcW w:w="20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4360" w:type="dxa"/>
            <w:vAlign w:val="bottom"/>
          </w:tcPr>
          <w:p>
            <w:pPr>
              <w:jc w:val="center"/>
              <w:ind w:right="70"/>
              <w:spacing w:after="0"/>
              <w:rPr>
                <w:sz w:val="20"/>
                <w:szCs w:val="20"/>
                <w:color w:val="auto"/>
              </w:rPr>
            </w:pPr>
            <w:r>
              <w:rPr>
                <w:rFonts w:ascii="Arial" w:cs="Arial" w:eastAsia="Arial" w:hAnsi="Arial"/>
                <w:sz w:val="18"/>
                <w:szCs w:val="18"/>
                <w:color w:val="auto"/>
                <w:w w:val="92"/>
              </w:rPr>
              <w:t>File Number)</w:t>
            </w:r>
          </w:p>
        </w:tc>
        <w:tc>
          <w:tcPr>
            <w:tcW w:w="1600" w:type="dxa"/>
            <w:vAlign w:val="bottom"/>
          </w:tcPr>
          <w:p>
            <w:pPr>
              <w:jc w:val="center"/>
              <w:ind w:left="170"/>
              <w:spacing w:after="0"/>
              <w:rPr>
                <w:sz w:val="20"/>
                <w:szCs w:val="20"/>
                <w:color w:val="auto"/>
              </w:rPr>
            </w:pPr>
            <w:r>
              <w:rPr>
                <w:rFonts w:ascii="Arial" w:cs="Arial" w:eastAsia="Arial" w:hAnsi="Arial"/>
                <w:sz w:val="18"/>
                <w:szCs w:val="18"/>
                <w:color w:val="auto"/>
                <w:w w:val="95"/>
              </w:rPr>
              <w:t>Identification No.)</w:t>
            </w:r>
          </w:p>
        </w:tc>
      </w:tr>
      <w:tr>
        <w:trPr>
          <w:trHeight w:val="684"/>
        </w:trPr>
        <w:tc>
          <w:tcPr>
            <w:tcW w:w="2060" w:type="dxa"/>
            <w:vAlign w:val="bottom"/>
          </w:tcPr>
          <w:p>
            <w:pPr>
              <w:spacing w:after="0"/>
              <w:rPr>
                <w:sz w:val="24"/>
                <w:szCs w:val="24"/>
                <w:color w:val="auto"/>
              </w:rPr>
            </w:pPr>
          </w:p>
        </w:tc>
        <w:tc>
          <w:tcPr>
            <w:tcW w:w="43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5 Merchant Square</w:t>
            </w:r>
          </w:p>
        </w:tc>
        <w:tc>
          <w:tcPr>
            <w:tcW w:w="160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43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North Wharf Road</w:t>
            </w:r>
          </w:p>
        </w:tc>
        <w:tc>
          <w:tcPr>
            <w:tcW w:w="16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43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London, W2 1AY</w:t>
            </w:r>
          </w:p>
        </w:tc>
        <w:tc>
          <w:tcPr>
            <w:tcW w:w="1600" w:type="dxa"/>
            <w:vAlign w:val="bottom"/>
          </w:tcPr>
          <w:p>
            <w:pPr>
              <w:spacing w:after="0"/>
              <w:rPr>
                <w:sz w:val="18"/>
                <w:szCs w:val="18"/>
                <w:color w:val="auto"/>
              </w:rPr>
            </w:pPr>
          </w:p>
        </w:tc>
      </w:tr>
      <w:tr>
        <w:trPr>
          <w:trHeight w:val="220"/>
        </w:trPr>
        <w:tc>
          <w:tcPr>
            <w:tcW w:w="2060" w:type="dxa"/>
            <w:vAlign w:val="bottom"/>
          </w:tcPr>
          <w:p>
            <w:pPr>
              <w:spacing w:after="0"/>
              <w:rPr>
                <w:sz w:val="19"/>
                <w:szCs w:val="19"/>
                <w:color w:val="auto"/>
              </w:rPr>
            </w:pPr>
          </w:p>
        </w:tc>
        <w:tc>
          <w:tcPr>
            <w:tcW w:w="4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United Kingdom</w:t>
            </w:r>
          </w:p>
        </w:tc>
        <w:tc>
          <w:tcPr>
            <w:tcW w:w="1600" w:type="dxa"/>
            <w:vAlign w:val="bottom"/>
          </w:tcPr>
          <w:p>
            <w:pPr>
              <w:spacing w:after="0"/>
              <w:rPr>
                <w:sz w:val="19"/>
                <w:szCs w:val="19"/>
                <w:color w:val="auto"/>
              </w:rPr>
            </w:pPr>
          </w:p>
        </w:tc>
      </w:tr>
      <w:tr>
        <w:trPr>
          <w:trHeight w:val="230"/>
        </w:trPr>
        <w:tc>
          <w:tcPr>
            <w:tcW w:w="2060" w:type="dxa"/>
            <w:vAlign w:val="bottom"/>
          </w:tcPr>
          <w:p>
            <w:pPr>
              <w:spacing w:after="0"/>
              <w:rPr>
                <w:sz w:val="20"/>
                <w:szCs w:val="20"/>
                <w:color w:val="auto"/>
              </w:rPr>
            </w:pPr>
          </w:p>
        </w:tc>
        <w:tc>
          <w:tcPr>
            <w:tcW w:w="436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spacing w:after="0"/>
              <w:rPr>
                <w:sz w:val="20"/>
                <w:szCs w:val="20"/>
                <w:color w:val="auto"/>
              </w:rPr>
            </w:pPr>
          </w:p>
        </w:tc>
      </w:tr>
      <w:tr>
        <w:trPr>
          <w:trHeight w:val="472"/>
        </w:trPr>
        <w:tc>
          <w:tcPr>
            <w:tcW w:w="2060" w:type="dxa"/>
            <w:vAlign w:val="bottom"/>
          </w:tcPr>
          <w:p>
            <w:pPr>
              <w:spacing w:after="0"/>
              <w:rPr>
                <w:sz w:val="24"/>
                <w:szCs w:val="24"/>
                <w:color w:val="auto"/>
              </w:rPr>
            </w:pPr>
          </w:p>
        </w:tc>
        <w:tc>
          <w:tcPr>
            <w:tcW w:w="4360" w:type="dxa"/>
            <w:vAlign w:val="bottom"/>
          </w:tcPr>
          <w:p>
            <w:pPr>
              <w:jc w:val="right"/>
              <w:ind w:right="1490"/>
              <w:spacing w:after="0"/>
              <w:rPr>
                <w:sz w:val="20"/>
                <w:szCs w:val="20"/>
                <w:color w:val="auto"/>
              </w:rPr>
            </w:pPr>
            <w:r>
              <w:rPr>
                <w:rFonts w:ascii="Arial" w:cs="Arial" w:eastAsia="Arial" w:hAnsi="Arial"/>
                <w:sz w:val="18"/>
                <w:szCs w:val="18"/>
                <w:b w:val="1"/>
                <w:bCs w:val="1"/>
                <w:color w:val="auto"/>
              </w:rPr>
              <w:t>+44 20 37865275</w:t>
            </w:r>
          </w:p>
        </w:tc>
        <w:tc>
          <w:tcPr>
            <w:tcW w:w="160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p>
        </w:tc>
        <w:tc>
          <w:tcPr>
            <w:tcW w:w="4360" w:type="dxa"/>
            <w:vAlign w:val="bottom"/>
          </w:tcPr>
          <w:p>
            <w:pPr>
              <w:jc w:val="center"/>
              <w:ind w:right="30"/>
              <w:spacing w:after="0"/>
              <w:rPr>
                <w:sz w:val="20"/>
                <w:szCs w:val="20"/>
                <w:color w:val="auto"/>
              </w:rPr>
            </w:pPr>
            <w:r>
              <w:rPr>
                <w:rFonts w:ascii="Arial" w:cs="Arial" w:eastAsia="Arial" w:hAnsi="Arial"/>
                <w:sz w:val="18"/>
                <w:szCs w:val="18"/>
                <w:color w:val="auto"/>
                <w:w w:val="91"/>
              </w:rPr>
              <w:t>(Registrant’s Telephone Number, Including Area Code)</w:t>
            </w:r>
          </w:p>
        </w:tc>
        <w:tc>
          <w:tcPr>
            <w:tcW w:w="1600" w:type="dxa"/>
            <w:vAlign w:val="bottom"/>
          </w:tcPr>
          <w:p>
            <w:pPr>
              <w:spacing w:after="0"/>
              <w:rPr>
                <w:sz w:val="20"/>
                <w:szCs w:val="20"/>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1616710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960" w:right="60" w:hanging="944"/>
        <w:spacing w:after="0" w:line="282" w:lineRule="auto"/>
        <w:tabs>
          <w:tab w:leader="none" w:pos="940" w:val="left"/>
        </w:tabs>
        <w:rPr>
          <w:sz w:val="20"/>
          <w:szCs w:val="20"/>
          <w:color w:val="auto"/>
        </w:rPr>
      </w:pPr>
      <w:r>
        <w:rPr>
          <w:rFonts w:ascii="Arial" w:cs="Arial" w:eastAsia="Arial" w:hAnsi="Arial"/>
          <w:sz w:val="18"/>
          <w:szCs w:val="18"/>
          <w:b w:val="1"/>
          <w:bCs w:val="1"/>
          <w:color w:val="auto"/>
        </w:rPr>
        <w:t>Item 5.02</w:t>
        <w:tab/>
        <w:t>Departure of Directors or Principal Officers; Election of Directors; Appointment of Principal Officers; Compensatory Arrangements of Certain Officers.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Grant of Restricted Stock Units Under Equity Incentive Plan</w:t>
      </w:r>
    </w:p>
    <w:p>
      <w:pPr>
        <w:spacing w:after="0" w:line="27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November 18, 2015, LivaNova PLC, a public limited company incorporated under the laws of England and Wales (the “</w:t>
      </w:r>
      <w:r>
        <w:rPr>
          <w:rFonts w:ascii="Arial" w:cs="Arial" w:eastAsia="Arial" w:hAnsi="Arial"/>
          <w:sz w:val="16"/>
          <w:szCs w:val="16"/>
          <w:i w:val="1"/>
          <w:iCs w:val="1"/>
          <w:color w:val="auto"/>
        </w:rPr>
        <w:t>Company</w:t>
      </w:r>
      <w:r>
        <w:rPr>
          <w:rFonts w:ascii="Arial" w:cs="Arial" w:eastAsia="Arial" w:hAnsi="Arial"/>
          <w:sz w:val="16"/>
          <w:szCs w:val="16"/>
          <w:color w:val="auto"/>
        </w:rPr>
        <w:t>” or “</w:t>
      </w:r>
      <w:r>
        <w:rPr>
          <w:rFonts w:ascii="Arial" w:cs="Arial" w:eastAsia="Arial" w:hAnsi="Arial"/>
          <w:sz w:val="16"/>
          <w:szCs w:val="16"/>
          <w:i w:val="1"/>
          <w:iCs w:val="1"/>
          <w:color w:val="auto"/>
        </w:rPr>
        <w:t>LivaNova</w:t>
      </w:r>
      <w:r>
        <w:rPr>
          <w:rFonts w:ascii="Arial" w:cs="Arial" w:eastAsia="Arial" w:hAnsi="Arial"/>
          <w:sz w:val="16"/>
          <w:szCs w:val="16"/>
          <w:color w:val="auto"/>
        </w:rPr>
        <w:t>”) granted 89,174 restricted stock units (“</w:t>
      </w:r>
      <w:r>
        <w:rPr>
          <w:rFonts w:ascii="Arial" w:cs="Arial" w:eastAsia="Arial" w:hAnsi="Arial"/>
          <w:sz w:val="16"/>
          <w:szCs w:val="16"/>
          <w:i w:val="1"/>
          <w:iCs w:val="1"/>
          <w:color w:val="auto"/>
        </w:rPr>
        <w:t>RSUs</w:t>
      </w:r>
      <w:r>
        <w:rPr>
          <w:rFonts w:ascii="Arial" w:cs="Arial" w:eastAsia="Arial" w:hAnsi="Arial"/>
          <w:sz w:val="16"/>
          <w:szCs w:val="16"/>
          <w:color w:val="auto"/>
        </w:rPr>
        <w:t>”) under the Company’s 2015 Equity Incentive Plan (the “</w:t>
      </w:r>
      <w:r>
        <w:rPr>
          <w:rFonts w:ascii="Arial" w:cs="Arial" w:eastAsia="Arial" w:hAnsi="Arial"/>
          <w:sz w:val="16"/>
          <w:szCs w:val="16"/>
          <w:i w:val="1"/>
          <w:iCs w:val="1"/>
          <w:color w:val="auto"/>
        </w:rPr>
        <w:t>Plan</w:t>
      </w:r>
      <w:r>
        <w:rPr>
          <w:rFonts w:ascii="Arial" w:cs="Arial" w:eastAsia="Arial" w:hAnsi="Arial"/>
          <w:sz w:val="16"/>
          <w:szCs w:val="16"/>
          <w:color w:val="auto"/>
        </w:rPr>
        <w:t>”) and an award agreement thereunder (the “</w:t>
      </w:r>
      <w:r>
        <w:rPr>
          <w:rFonts w:ascii="Arial" w:cs="Arial" w:eastAsia="Arial" w:hAnsi="Arial"/>
          <w:sz w:val="16"/>
          <w:szCs w:val="16"/>
          <w:i w:val="1"/>
          <w:iCs w:val="1"/>
          <w:color w:val="auto"/>
        </w:rPr>
        <w:t>RSU Award Agreement</w:t>
      </w:r>
      <w:r>
        <w:rPr>
          <w:rFonts w:ascii="Arial" w:cs="Arial" w:eastAsia="Arial" w:hAnsi="Arial"/>
          <w:sz w:val="16"/>
          <w:szCs w:val="16"/>
          <w:color w:val="auto"/>
        </w:rPr>
        <w:t>”) to André-Michel Ballester, the Company’s Chief Executive Officer. Each of the RSUs will entitle the holder to receive (i) either one LivaNova Ordinary Share (a “</w:t>
      </w:r>
      <w:r>
        <w:rPr>
          <w:rFonts w:ascii="Arial" w:cs="Arial" w:eastAsia="Arial" w:hAnsi="Arial"/>
          <w:sz w:val="16"/>
          <w:szCs w:val="16"/>
          <w:i w:val="1"/>
          <w:iCs w:val="1"/>
          <w:color w:val="auto"/>
        </w:rPr>
        <w:t>Share</w:t>
      </w:r>
      <w:r>
        <w:rPr>
          <w:rFonts w:ascii="Arial" w:cs="Arial" w:eastAsia="Arial" w:hAnsi="Arial"/>
          <w:sz w:val="16"/>
          <w:szCs w:val="16"/>
          <w:color w:val="auto"/>
        </w:rPr>
        <w:t>”) or, at the option of the Company, an amount of cash equal to the Fair Market Value, as defined in the Plan, of a Share on the day immediately preceding the applicable distribution or payment date, and (ii) the amount of cash that is paid as a dividend on one Share (a “</w:t>
      </w:r>
      <w:r>
        <w:rPr>
          <w:rFonts w:ascii="Arial" w:cs="Arial" w:eastAsia="Arial" w:hAnsi="Arial"/>
          <w:sz w:val="16"/>
          <w:szCs w:val="16"/>
          <w:i w:val="1"/>
          <w:iCs w:val="1"/>
          <w:color w:val="auto"/>
        </w:rPr>
        <w:t>Dividend Equivalent</w:t>
      </w:r>
      <w:r>
        <w:rPr>
          <w:rFonts w:ascii="Arial" w:cs="Arial" w:eastAsia="Arial" w:hAnsi="Arial"/>
          <w:sz w:val="16"/>
          <w:szCs w:val="16"/>
          <w:color w:val="auto"/>
        </w:rPr>
        <w:t>”). The RSUs had a value of $5 million based on the closing price of the Company’s shares on the NASDAQ Stock Market on the grant date. Twenty percent of the RSUs will vest on each of the first three anniversaries of the grant date, with the balance vesting on the fourth anniversary of the grant date. If the holder’s employment terminates for any reason, the holder shall immediately forfeit any and all RSUs and Dividend Equivalents that are not vested, and the holder’s rights in any such RSUs and Dividend Equivalents that are not vested will lapse and expire.</w:t>
      </w:r>
    </w:p>
    <w:p>
      <w:pPr>
        <w:spacing w:after="0" w:line="22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complete copy of the form of RSU Award Agreement is filed herewith as Exhibit 10.1 and incorporated herein by reference. The above summary of the RSU Award Agreement does not purport to be complete and is qualified in its entirety by reference to such exhibit.</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1360" w:hanging="704"/>
        <w:spacing w:after="0"/>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the Exhibit Index following the signature page hereto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7320" w:type="dxa"/>
            <w:vAlign w:val="bottom"/>
            <w:gridSpan w:val="3"/>
          </w:tcPr>
          <w:p>
            <w:pPr>
              <w:ind w:left="2220"/>
              <w:spacing w:after="0"/>
              <w:rPr>
                <w:sz w:val="20"/>
                <w:szCs w:val="20"/>
                <w:color w:val="auto"/>
              </w:rPr>
            </w:pPr>
            <w:r>
              <w:rPr>
                <w:rFonts w:ascii="Arial" w:cs="Arial" w:eastAsia="Arial" w:hAnsi="Arial"/>
                <w:sz w:val="18"/>
                <w:szCs w:val="18"/>
                <w:color w:val="auto"/>
              </w:rPr>
              <w:t>LivaNova PLC</w:t>
            </w:r>
          </w:p>
        </w:tc>
      </w:tr>
      <w:tr>
        <w:trPr>
          <w:trHeight w:val="392"/>
        </w:trPr>
        <w:tc>
          <w:tcPr>
            <w:tcW w:w="4100" w:type="dxa"/>
            <w:vAlign w:val="bottom"/>
          </w:tcPr>
          <w:p>
            <w:pPr>
              <w:spacing w:after="0"/>
              <w:rPr>
                <w:sz w:val="20"/>
                <w:szCs w:val="20"/>
                <w:color w:val="auto"/>
              </w:rPr>
            </w:pPr>
            <w:r>
              <w:rPr>
                <w:rFonts w:ascii="Arial" w:cs="Arial" w:eastAsia="Arial" w:hAnsi="Arial"/>
                <w:sz w:val="18"/>
                <w:szCs w:val="18"/>
                <w:color w:val="auto"/>
              </w:rPr>
              <w:t>Date: November 24, 2015</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Sheridan</w:t>
            </w:r>
          </w:p>
        </w:tc>
        <w:tc>
          <w:tcPr>
            <w:tcW w:w="160" w:type="dxa"/>
            <w:vAlign w:val="bottom"/>
          </w:tcPr>
          <w:p>
            <w:pPr>
              <w:spacing w:after="0"/>
              <w:rPr>
                <w:sz w:val="24"/>
                <w:szCs w:val="24"/>
                <w:color w:val="auto"/>
              </w:rPr>
            </w:pPr>
          </w:p>
        </w:tc>
      </w:tr>
      <w:tr>
        <w:trPr>
          <w:trHeight w:val="222"/>
        </w:trPr>
        <w:tc>
          <w:tcPr>
            <w:tcW w:w="4100" w:type="dxa"/>
            <w:vAlign w:val="bottom"/>
          </w:tcPr>
          <w:p>
            <w:pPr>
              <w:spacing w:after="0"/>
              <w:rPr>
                <w:sz w:val="19"/>
                <w:szCs w:val="19"/>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Name:</w:t>
            </w:r>
          </w:p>
        </w:tc>
        <w:tc>
          <w:tcPr>
            <w:tcW w:w="4560" w:type="dxa"/>
            <w:vAlign w:val="bottom"/>
            <w:gridSpan w:val="2"/>
          </w:tcPr>
          <w:p>
            <w:pPr>
              <w:spacing w:after="0"/>
              <w:rPr>
                <w:sz w:val="20"/>
                <w:szCs w:val="20"/>
                <w:color w:val="auto"/>
              </w:rPr>
            </w:pPr>
            <w:r>
              <w:rPr>
                <w:rFonts w:ascii="Arial" w:cs="Arial" w:eastAsia="Arial" w:hAnsi="Arial"/>
                <w:sz w:val="18"/>
                <w:szCs w:val="18"/>
                <w:color w:val="auto"/>
              </w:rPr>
              <w:t>Brian Sheridan</w:t>
            </w:r>
          </w:p>
        </w:tc>
      </w:tr>
      <w:tr>
        <w:trPr>
          <w:trHeight w:val="230"/>
        </w:trPr>
        <w:tc>
          <w:tcPr>
            <w:tcW w:w="4100" w:type="dxa"/>
            <w:vAlign w:val="bottom"/>
          </w:tcPr>
          <w:p>
            <w:pPr>
              <w:spacing w:after="0"/>
              <w:rPr>
                <w:sz w:val="20"/>
                <w:szCs w:val="20"/>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Title</w:t>
            </w:r>
          </w:p>
        </w:tc>
        <w:tc>
          <w:tcPr>
            <w:tcW w:w="4560" w:type="dxa"/>
            <w:vAlign w:val="bottom"/>
            <w:gridSpan w:val="2"/>
          </w:tcPr>
          <w:p>
            <w:pPr>
              <w:spacing w:after="0"/>
              <w:rPr>
                <w:sz w:val="20"/>
                <w:szCs w:val="20"/>
                <w:color w:val="auto"/>
              </w:rPr>
            </w:pPr>
            <w:r>
              <w:rPr>
                <w:rFonts w:ascii="Arial" w:cs="Arial" w:eastAsia="Arial" w:hAnsi="Arial"/>
                <w:sz w:val="18"/>
                <w:szCs w:val="18"/>
                <w:color w:val="auto"/>
              </w:rPr>
              <w:t>Company Secretary</w:t>
            </w:r>
          </w:p>
        </w:tc>
      </w:tr>
      <w:tr>
        <w:trPr>
          <w:trHeight w:val="1469"/>
        </w:trPr>
        <w:tc>
          <w:tcPr>
            <w:tcW w:w="410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Exhibit No.</w:t>
            </w:r>
          </w:p>
        </w:tc>
        <w:tc>
          <w:tcPr>
            <w:tcW w:w="10040" w:type="dxa"/>
            <w:vAlign w:val="bottom"/>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380" w:type="dxa"/>
            <w:vAlign w:val="bottom"/>
          </w:tcPr>
          <w:p>
            <w:pPr>
              <w:jc w:val="right"/>
              <w:ind w:right="490"/>
              <w:spacing w:after="0"/>
              <w:rPr>
                <w:sz w:val="20"/>
                <w:szCs w:val="20"/>
                <w:color w:val="auto"/>
              </w:rPr>
            </w:pPr>
            <w:r>
              <w:rPr>
                <w:rFonts w:ascii="Arial" w:cs="Arial" w:eastAsia="Arial" w:hAnsi="Arial"/>
                <w:sz w:val="18"/>
                <w:szCs w:val="18"/>
                <w:color w:val="auto"/>
              </w:rPr>
              <w:t>10.1</w:t>
            </w:r>
          </w:p>
        </w:tc>
        <w:tc>
          <w:tcPr>
            <w:tcW w:w="10040" w:type="dxa"/>
            <w:vAlign w:val="bottom"/>
          </w:tcPr>
          <w:p>
            <w:pPr>
              <w:ind w:left="240"/>
              <w:spacing w:after="0"/>
              <w:rPr>
                <w:sz w:val="20"/>
                <w:szCs w:val="20"/>
                <w:color w:val="auto"/>
              </w:rPr>
            </w:pPr>
            <w:r>
              <w:rPr>
                <w:rFonts w:ascii="Arial" w:cs="Arial" w:eastAsia="Arial" w:hAnsi="Arial"/>
                <w:sz w:val="18"/>
                <w:szCs w:val="18"/>
                <w:color w:val="auto"/>
              </w:rPr>
              <w:t>Form of Restricted Stock Unit Award*</w:t>
            </w:r>
          </w:p>
        </w:tc>
      </w:tr>
      <w:tr>
        <w:trPr>
          <w:trHeight w:val="486"/>
        </w:trPr>
        <w:tc>
          <w:tcPr>
            <w:tcW w:w="1380" w:type="dxa"/>
            <w:vAlign w:val="bottom"/>
          </w:tcPr>
          <w:p>
            <w:pPr>
              <w:spacing w:after="0"/>
              <w:rPr>
                <w:sz w:val="20"/>
                <w:szCs w:val="20"/>
                <w:color w:val="auto"/>
              </w:rPr>
            </w:pPr>
            <w:r>
              <w:rPr>
                <w:rFonts w:ascii="Arial" w:cs="Arial" w:eastAsia="Arial" w:hAnsi="Arial"/>
                <w:sz w:val="18"/>
                <w:szCs w:val="18"/>
                <w:color w:val="auto"/>
              </w:rPr>
              <w:t>*Filed herewith</w:t>
            </w:r>
          </w:p>
        </w:tc>
        <w:tc>
          <w:tcPr>
            <w:tcW w:w="10040" w:type="dxa"/>
            <w:vAlign w:val="bottom"/>
          </w:tcPr>
          <w:p>
            <w:pPr>
              <w:spacing w:after="0"/>
              <w:rPr>
                <w:sz w:val="24"/>
                <w:szCs w:val="24"/>
                <w:color w:val="auto"/>
              </w:rPr>
            </w:pPr>
          </w:p>
        </w:tc>
      </w:tr>
      <w:tr>
        <w:trPr>
          <w:trHeight w:val="659"/>
        </w:trPr>
        <w:tc>
          <w:tcPr>
            <w:tcW w:w="138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INCENTIVE AWARD SUB-PLAN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GRANT NOTICE</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LivaNova PLC, a public limited company incorporated under the laws of England and Wales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2015 Incentive Award Sub-Plan, as amended from time to time (the “Sub-</w:t>
      </w:r>
      <w:r>
        <w:rPr>
          <w:rFonts w:ascii="Arial" w:cs="Arial" w:eastAsia="Arial" w:hAnsi="Arial"/>
          <w:sz w:val="16"/>
          <w:szCs w:val="16"/>
          <w:u w:val="single" w:color="auto"/>
          <w:color w:val="auto"/>
        </w:rPr>
        <w:t>Plan</w:t>
      </w:r>
      <w:r>
        <w:rPr>
          <w:rFonts w:ascii="Arial" w:cs="Arial" w:eastAsia="Arial" w:hAnsi="Arial"/>
          <w:sz w:val="16"/>
          <w:szCs w:val="16"/>
          <w:color w:val="auto"/>
        </w:rPr>
        <w:t>”), hereby grants to the holder listed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the number of Restricted Stock Units (the “</w:t>
      </w:r>
      <w:r>
        <w:rPr>
          <w:rFonts w:ascii="Arial" w:cs="Arial" w:eastAsia="Arial" w:hAnsi="Arial"/>
          <w:sz w:val="16"/>
          <w:szCs w:val="16"/>
          <w:u w:val="single" w:color="auto"/>
          <w:color w:val="auto"/>
        </w:rPr>
        <w:t>RSUs</w:t>
      </w:r>
      <w:r>
        <w:rPr>
          <w:rFonts w:ascii="Arial" w:cs="Arial" w:eastAsia="Arial" w:hAnsi="Arial"/>
          <w:sz w:val="16"/>
          <w:szCs w:val="16"/>
          <w:color w:val="auto"/>
        </w:rPr>
        <w:t>”) set forth below. The RSUs are subject to the terms and conditions set forth in this Restricted Stock Unit Grant Notice (the “</w:t>
      </w:r>
      <w:r>
        <w:rPr>
          <w:rFonts w:ascii="Arial" w:cs="Arial" w:eastAsia="Arial" w:hAnsi="Arial"/>
          <w:sz w:val="16"/>
          <w:szCs w:val="16"/>
          <w:u w:val="single" w:color="auto"/>
          <w:color w:val="auto"/>
        </w:rPr>
        <w:t>Grant Notice</w:t>
      </w:r>
      <w:r>
        <w:rPr>
          <w:rFonts w:ascii="Arial" w:cs="Arial" w:eastAsia="Arial" w:hAnsi="Arial"/>
          <w:sz w:val="16"/>
          <w:szCs w:val="16"/>
          <w:color w:val="auto"/>
        </w:rPr>
        <w:t xml:space="preserve">”) and the Restricted Stock Unit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Sub-Plan, which are incorporated herein by reference. Unless otherwise defined herein, the terms defined in (or by reference in) the Sub-Plan shall have the same defined meanings in the Grant Notice and the Agreement.</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Participant: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André-Michel Ballester</w:t>
      </w:r>
    </w:p>
    <w:p>
      <w:pPr>
        <w:spacing w:after="0" w:line="82" w:lineRule="exact"/>
        <w:rPr>
          <w:sz w:val="20"/>
          <w:szCs w:val="20"/>
          <w:color w:val="auto"/>
        </w:rPr>
      </w:pPr>
    </w:p>
    <w:p>
      <w:pPr>
        <w:sectPr>
          <w:pgSz w:w="11900" w:h="16838" w:orient="portrait"/>
          <w:cols w:equalWidth="0" w:num="2">
            <w:col w:w="3240" w:space="720"/>
            <w:col w:w="7460"/>
          </w:cols>
          <w:pgMar w:left="240" w:top="121" w:right="239" w:bottom="1440" w:gutter="0" w:footer="0" w:header="0"/>
          <w:type w:val="continuous"/>
        </w:sectPr>
      </w:pPr>
    </w:p>
    <w:p>
      <w:pPr>
        <w:ind w:left="1360"/>
        <w:spacing w:after="0"/>
        <w:rPr>
          <w:sz w:val="20"/>
          <w:szCs w:val="20"/>
          <w:color w:val="auto"/>
        </w:rPr>
      </w:pPr>
      <w:r>
        <w:rPr>
          <w:rFonts w:ascii="Arial" w:cs="Arial" w:eastAsia="Arial" w:hAnsi="Arial"/>
          <w:sz w:val="16"/>
          <w:szCs w:val="16"/>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18 November 2015</w:t>
      </w:r>
    </w:p>
    <w:p>
      <w:pPr>
        <w:spacing w:after="0" w:line="82" w:lineRule="exact"/>
        <w:rPr>
          <w:sz w:val="20"/>
          <w:szCs w:val="20"/>
          <w:color w:val="auto"/>
        </w:rPr>
      </w:pPr>
    </w:p>
    <w:p>
      <w:pPr>
        <w:sectPr>
          <w:pgSz w:w="11900" w:h="16838" w:orient="portrait"/>
          <w:cols w:equalWidth="0" w:num="2">
            <w:col w:w="3240" w:space="720"/>
            <w:col w:w="7460"/>
          </w:cols>
          <w:pgMar w:left="240" w:top="121" w:right="239" w:bottom="1440" w:gutter="0" w:footer="0" w:header="0"/>
          <w:type w:val="continuous"/>
        </w:sectPr>
      </w:pPr>
    </w:p>
    <w:p>
      <w:pPr>
        <w:jc w:val="center"/>
        <w:ind w:left="680"/>
        <w:spacing w:after="0"/>
        <w:rPr>
          <w:sz w:val="20"/>
          <w:szCs w:val="20"/>
          <w:color w:val="auto"/>
        </w:rPr>
      </w:pPr>
      <w:r>
        <w:rPr>
          <w:rFonts w:ascii="Arial" w:cs="Arial" w:eastAsia="Arial" w:hAnsi="Arial"/>
          <w:sz w:val="16"/>
          <w:szCs w:val="16"/>
          <w:b w:val="1"/>
          <w:bCs w:val="1"/>
          <w:color w:val="auto"/>
        </w:rPr>
        <w:t>Grant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w:t>
      </w:r>
    </w:p>
    <w:p>
      <w:pPr>
        <w:spacing w:after="0" w:line="82" w:lineRule="exact"/>
        <w:rPr>
          <w:sz w:val="20"/>
          <w:szCs w:val="20"/>
          <w:color w:val="auto"/>
        </w:rPr>
      </w:pPr>
    </w:p>
    <w:p>
      <w:pPr>
        <w:sectPr>
          <w:pgSz w:w="11900" w:h="16838" w:orient="portrait"/>
          <w:cols w:equalWidth="0" w:num="2">
            <w:col w:w="3240" w:space="720"/>
            <w:col w:w="7460"/>
          </w:cols>
          <w:pgMar w:left="240" w:top="121" w:right="239" w:bottom="1440" w:gutter="0" w:footer="0" w:header="0"/>
          <w:type w:val="continuous"/>
        </w:sectPr>
      </w:pPr>
    </w:p>
    <w:p>
      <w:pPr>
        <w:jc w:val="center"/>
        <w:ind w:left="840"/>
        <w:spacing w:after="0"/>
        <w:rPr>
          <w:sz w:val="20"/>
          <w:szCs w:val="20"/>
          <w:color w:val="auto"/>
        </w:rPr>
      </w:pPr>
      <w:r>
        <w:rPr>
          <w:rFonts w:ascii="Arial" w:cs="Arial" w:eastAsia="Arial" w:hAnsi="Arial"/>
          <w:sz w:val="16"/>
          <w:szCs w:val="16"/>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89,174</w:t>
      </w:r>
    </w:p>
    <w:p>
      <w:pPr>
        <w:spacing w:after="0" w:line="82" w:lineRule="exact"/>
        <w:rPr>
          <w:sz w:val="20"/>
          <w:szCs w:val="20"/>
          <w:color w:val="auto"/>
        </w:rPr>
      </w:pPr>
    </w:p>
    <w:p>
      <w:pPr>
        <w:sectPr>
          <w:pgSz w:w="11900" w:h="16838" w:orient="portrait"/>
          <w:cols w:equalWidth="0" w:num="2">
            <w:col w:w="3240" w:space="720"/>
            <w:col w:w="7460"/>
          </w:cols>
          <w:pgMar w:left="240" w:top="121" w:right="239" w:bottom="1440" w:gutter="0" w:footer="0" w:header="0"/>
          <w:type w:val="continuous"/>
        </w:sectPr>
      </w:pPr>
    </w:p>
    <w:p>
      <w:pPr>
        <w:jc w:val="center"/>
        <w:ind w:left="84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jc w:val="both"/>
        <w:ind w:right="1480"/>
        <w:spacing w:after="0" w:line="286" w:lineRule="auto"/>
        <w:rPr>
          <w:sz w:val="20"/>
          <w:szCs w:val="20"/>
          <w:color w:val="auto"/>
        </w:rPr>
      </w:pPr>
      <w:r>
        <w:rPr>
          <w:rFonts w:ascii="Arial" w:cs="Arial" w:eastAsia="Arial" w:hAnsi="Arial"/>
          <w:sz w:val="17"/>
          <w:szCs w:val="17"/>
          <w:color w:val="auto"/>
        </w:rPr>
        <w:t>The RSUs shall vest as follows: (i) 20% of the RSUs will vest on each of the first, second and third anniversaries of the Grant Date; and (ii) the remaining 40% of the RSUs will vest on the fourth anniversary of the Grant Date.</w:t>
      </w:r>
    </w:p>
    <w:p>
      <w:pPr>
        <w:spacing w:after="0" w:line="200" w:lineRule="exact"/>
        <w:rPr>
          <w:sz w:val="20"/>
          <w:szCs w:val="20"/>
          <w:color w:val="auto"/>
        </w:rPr>
      </w:pPr>
    </w:p>
    <w:p>
      <w:pPr>
        <w:sectPr>
          <w:pgSz w:w="11900" w:h="16838" w:orient="portrait"/>
          <w:cols w:equalWidth="0" w:num="2">
            <w:col w:w="3240" w:space="720"/>
            <w:col w:w="7460"/>
          </w:cols>
          <w:pgMar w:left="240" w:top="121" w:right="239" w:bottom="1440" w:gutter="0" w:footer="0" w:header="0"/>
          <w:type w:val="continuous"/>
        </w:sectPr>
      </w:pPr>
    </w:p>
    <w:p>
      <w:pPr>
        <w:spacing w:after="0" w:line="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By Participant’s signature below, Participant agrees to be bound by the terms and conditions of the Sub-Plan, the Agreement and the Grant Notice. Participant has reviewed the Agreement, the Sub-Plan and the Grant Notice in their entirety, has had an opportunity to obtain the advice of counsel prior to executing the Grant Notice and fully understands all provisions of the Grant Notice, the Agreement and the Sub-Plan. Participant hereby agrees to accept as binding, conclusive and final all decisions or interpretations of the Administrator upon any questions arising under the Sub-Plan, the Grant Notice or the Agreement. If Participant is married, his or her spouse has signed the Consent of Spouse attached to this Grant Notice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4"/>
          </w:tcPr>
          <w:p>
            <w:pPr>
              <w:spacing w:after="0"/>
              <w:rPr>
                <w:sz w:val="20"/>
                <w:szCs w:val="20"/>
                <w:color w:val="auto"/>
              </w:rPr>
            </w:pPr>
            <w:r>
              <w:rPr>
                <w:rFonts w:ascii="Arial" w:cs="Arial" w:eastAsia="Arial" w:hAnsi="Arial"/>
                <w:sz w:val="18"/>
                <w:szCs w:val="18"/>
                <w:b w:val="1"/>
                <w:bCs w:val="1"/>
                <w:color w:val="auto"/>
              </w:rPr>
              <w:t>LIVANOVA PLC</w:t>
            </w:r>
          </w:p>
        </w:tc>
        <w:tc>
          <w:tcPr>
            <w:tcW w:w="6820" w:type="dxa"/>
            <w:vAlign w:val="bottom"/>
            <w:gridSpan w:val="3"/>
          </w:tcPr>
          <w:p>
            <w:pPr>
              <w:ind w:left="940"/>
              <w:spacing w:after="0"/>
              <w:rPr>
                <w:sz w:val="20"/>
                <w:szCs w:val="20"/>
                <w:color w:val="auto"/>
              </w:rPr>
            </w:pPr>
            <w:r>
              <w:rPr>
                <w:rFonts w:ascii="Arial" w:cs="Arial" w:eastAsia="Arial" w:hAnsi="Arial"/>
                <w:sz w:val="18"/>
                <w:szCs w:val="18"/>
                <w:b w:val="1"/>
                <w:bCs w:val="1"/>
                <w:color w:val="auto"/>
              </w:rPr>
              <w:t>PARTICIPANT</w:t>
            </w:r>
          </w:p>
        </w:tc>
      </w:tr>
      <w:tr>
        <w:trPr>
          <w:trHeight w:val="39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gridSpan w:val="3"/>
          </w:tcPr>
          <w:p>
            <w:pPr>
              <w:ind w:left="220"/>
              <w:spacing w:after="0"/>
              <w:rPr>
                <w:sz w:val="20"/>
                <w:szCs w:val="20"/>
                <w:color w:val="auto"/>
              </w:rPr>
            </w:pPr>
            <w:r>
              <w:rPr>
                <w:rFonts w:ascii="Arial" w:cs="Arial" w:eastAsia="Arial" w:hAnsi="Arial"/>
                <w:sz w:val="18"/>
                <w:szCs w:val="18"/>
                <w:color w:val="auto"/>
              </w:rPr>
              <w:t>/s/ Brian Sheridan</w:t>
            </w:r>
          </w:p>
        </w:tc>
        <w:tc>
          <w:tcPr>
            <w:tcW w:w="1640" w:type="dxa"/>
            <w:vAlign w:val="bottom"/>
          </w:tcPr>
          <w:p>
            <w:pPr>
              <w:ind w:left="940"/>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spacing w:after="0"/>
              <w:rPr>
                <w:sz w:val="20"/>
                <w:szCs w:val="20"/>
                <w:color w:val="auto"/>
              </w:rPr>
            </w:pPr>
            <w:r>
              <w:rPr>
                <w:rFonts w:ascii="Arial" w:cs="Arial" w:eastAsia="Arial" w:hAnsi="Arial"/>
                <w:sz w:val="18"/>
                <w:szCs w:val="18"/>
                <w:color w:val="auto"/>
              </w:rPr>
              <w:t>/s/ Andre-Michel Ballester</w:t>
            </w:r>
          </w:p>
        </w:tc>
      </w:tr>
      <w:tr>
        <w:trPr>
          <w:trHeight w:val="222"/>
        </w:trPr>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Brian Sheridan</w:t>
            </w:r>
          </w:p>
        </w:tc>
        <w:tc>
          <w:tcPr>
            <w:tcW w:w="1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5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André-Michel Ballester</w:t>
            </w:r>
          </w:p>
        </w:tc>
        <w:tc>
          <w:tcPr>
            <w:tcW w:w="2640" w:type="dxa"/>
            <w:vAlign w:val="bottom"/>
          </w:tcPr>
          <w:p>
            <w:pPr>
              <w:spacing w:after="0"/>
              <w:rPr>
                <w:sz w:val="19"/>
                <w:szCs w:val="19"/>
                <w:color w:val="auto"/>
              </w:rPr>
            </w:pPr>
          </w:p>
        </w:tc>
      </w:tr>
      <w:tr>
        <w:trPr>
          <w:trHeight w:val="230"/>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gridSpan w:val="2"/>
          </w:tcPr>
          <w:p>
            <w:pPr>
              <w:ind w:left="240"/>
              <w:spacing w:after="0"/>
              <w:rPr>
                <w:sz w:val="20"/>
                <w:szCs w:val="20"/>
                <w:color w:val="auto"/>
              </w:rPr>
            </w:pPr>
            <w:r>
              <w:rPr>
                <w:rFonts w:ascii="Arial" w:cs="Arial" w:eastAsia="Arial" w:hAnsi="Arial"/>
                <w:sz w:val="18"/>
                <w:szCs w:val="18"/>
                <w:color w:val="auto"/>
              </w:rPr>
              <w:t>Sr. Vice President &amp; General Counsel</w:t>
            </w:r>
          </w:p>
        </w:tc>
        <w:tc>
          <w:tcPr>
            <w:tcW w:w="1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1091"/>
        </w:trPr>
        <w:tc>
          <w:tcPr>
            <w:tcW w:w="4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RESTRICTED STOCK UNIT AWARD GRANT NOTICE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Grant Notice to which this Agreement is attached, the Company has granted to Participant the number of RSUs set forth in the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40" w:lineRule="exact"/>
        <w:rPr>
          <w:sz w:val="20"/>
          <w:szCs w:val="20"/>
          <w:color w:val="auto"/>
        </w:rPr>
      </w:pPr>
    </w:p>
    <w:p>
      <w:pPr>
        <w:jc w:val="center"/>
        <w:ind w:right="-139"/>
        <w:spacing w:after="0"/>
        <w:tabs>
          <w:tab w:leader="none" w:pos="2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not specifically defined herein shall have the meanings specified in the Sub-Plan or the Grant Notice.</w:t>
      </w:r>
    </w:p>
    <w:p>
      <w:pPr>
        <w:spacing w:after="0" w:line="27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Sub-Plan</w:t>
      </w:r>
      <w:r>
        <w:rPr>
          <w:rFonts w:ascii="Arial" w:cs="Arial" w:eastAsia="Arial" w:hAnsi="Arial"/>
          <w:sz w:val="18"/>
          <w:szCs w:val="18"/>
          <w:color w:val="auto"/>
        </w:rPr>
        <w:t>. The RSUs and the Shares issued to Participant hereunder are subject to the terms and conditions set forth in this Agreement and the Sub-Plan, which is incorporated herein by reference. In the event of any inconsistency between the Sub-Plan and this Agreement, the terms of the Sub-Plan shall control.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52" w:lineRule="exact"/>
        <w:rPr>
          <w:sz w:val="20"/>
          <w:szCs w:val="20"/>
          <w:color w:val="auto"/>
        </w:rPr>
      </w:pPr>
    </w:p>
    <w:p>
      <w:pPr>
        <w:ind w:left="660" w:right="2620" w:firstLine="1978"/>
        <w:spacing w:after="0" w:line="313" w:lineRule="auto"/>
        <w:rPr>
          <w:sz w:val="20"/>
          <w:szCs w:val="20"/>
          <w:color w:val="auto"/>
        </w:rPr>
      </w:pPr>
      <w:r>
        <w:rPr>
          <w:rFonts w:ascii="Arial" w:cs="Arial" w:eastAsia="Arial" w:hAnsi="Arial"/>
          <w:sz w:val="18"/>
          <w:szCs w:val="18"/>
          <w:b w:val="1"/>
          <w:bCs w:val="1"/>
          <w:color w:val="auto"/>
        </w:rPr>
        <w:t xml:space="preserve">AWARD OF RESTRICTED STOCK UNITS AND DIVIDEND EQUIVALENTS </w:t>
      </w:r>
      <w:r>
        <w:rPr>
          <w:rFonts w:ascii="Arial" w:cs="Arial" w:eastAsia="Arial" w:hAnsi="Arial"/>
          <w:sz w:val="18"/>
          <w:szCs w:val="18"/>
          <w:color w:val="auto"/>
        </w:rPr>
        <w:t xml:space="preserve">2.1 </w:t>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193" w:lineRule="exact"/>
        <w:rPr>
          <w:sz w:val="20"/>
          <w:szCs w:val="20"/>
          <w:color w:val="auto"/>
        </w:rPr>
      </w:pPr>
    </w:p>
    <w:p>
      <w:pPr>
        <w:ind w:right="100" w:firstLine="1305"/>
        <w:spacing w:after="0" w:line="262" w:lineRule="auto"/>
        <w:tabs>
          <w:tab w:leader="none" w:pos="1590" w:val="left"/>
        </w:tabs>
        <w:numPr>
          <w:ilvl w:val="0"/>
          <w:numId w:val="2"/>
        </w:numPr>
        <w:rPr>
          <w:rFonts w:ascii="Arial" w:cs="Arial" w:eastAsia="Arial" w:hAnsi="Arial"/>
          <w:sz w:val="21"/>
          <w:szCs w:val="21"/>
          <w:color w:val="auto"/>
        </w:rPr>
      </w:pPr>
      <w:r>
        <w:rPr>
          <w:rFonts w:ascii="Arial" w:cs="Arial" w:eastAsia="Arial" w:hAnsi="Arial"/>
          <w:sz w:val="17"/>
          <w:szCs w:val="17"/>
          <w:color w:val="auto"/>
        </w:rPr>
        <w:t>In consideration of Participant’s past and/or continued employment with or service to the Company or a Subsidiary and for other good and valuable consideration, effective as of the grant date set forth in the Grant Notice (the “</w:t>
      </w:r>
      <w:r>
        <w:rPr>
          <w:rFonts w:ascii="Arial" w:cs="Arial" w:eastAsia="Arial" w:hAnsi="Arial"/>
          <w:sz w:val="17"/>
          <w:szCs w:val="17"/>
          <w:u w:val="single" w:color="auto"/>
          <w:color w:val="auto"/>
        </w:rPr>
        <w:t>Grant Date</w:t>
      </w:r>
      <w:r>
        <w:rPr>
          <w:rFonts w:ascii="Arial" w:cs="Arial" w:eastAsia="Arial" w:hAnsi="Arial"/>
          <w:sz w:val="17"/>
          <w:szCs w:val="17"/>
          <w:color w:val="auto"/>
        </w:rPr>
        <w:t>”), the Company has granted to Participant the number of RSUs set forth in the Grant Notice, upon the terms and conditions set forth in the Grant Notice, the Sub-Plan and this Agreement, subject to adjustment as provided in Section 13 of the Sub-Plan.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238" w:lineRule="exact"/>
        <w:rPr>
          <w:rFonts w:ascii="Arial" w:cs="Arial" w:eastAsia="Arial" w:hAnsi="Arial"/>
          <w:sz w:val="21"/>
          <w:szCs w:val="21"/>
          <w:color w:val="auto"/>
        </w:rPr>
      </w:pPr>
    </w:p>
    <w:p>
      <w:pPr>
        <w:ind w:firstLine="1305"/>
        <w:spacing w:after="0" w:line="272" w:lineRule="auto"/>
        <w:tabs>
          <w:tab w:leader="none" w:pos="172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hereby grants to Participant an Award of Dividend Equivalents with respect to each RSU granted pursuant to the Grant Notice for all ordinary cash dividends which are paid to all or substantially all holders of the outstanding Shares between the Grant Date and the date when the applicable RSU is distributed or paid to Participant or is forfeited or expires. The Dividend Equivalents for each RSU shall be equal to the amount of cash which is paid as a dividend on one Share. All such Dividend Equivalents shall be credited to Participant and be deemed to be reinvested in additional RSUs as of the date of payment of any such dividend based on the Fair Market Value of a Share on such date. Each additional RSU which results from such deemed reinvestment of Dividend Equivalents granted hereunder shall be subject to the same vesting, distribution or payment, adjustment and other provisions which apply to the underlying RSU to which such additional RSU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ind w:left="660"/>
        <w:spacing w:after="0"/>
        <w:tabs>
          <w:tab w:leader="none" w:pos="10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Vesting of RSUs and Dividend Equivalents</w:t>
      </w:r>
      <w:r>
        <w:rPr>
          <w:rFonts w:ascii="Arial" w:cs="Arial" w:eastAsia="Arial" w:hAnsi="Arial"/>
          <w:sz w:val="16"/>
          <w:szCs w:val="16"/>
          <w:color w:val="auto"/>
        </w:rPr>
        <w:t>.</w:t>
      </w:r>
    </w:p>
    <w:p>
      <w:pPr>
        <w:spacing w:after="0" w:line="279" w:lineRule="exact"/>
        <w:rPr>
          <w:sz w:val="20"/>
          <w:szCs w:val="20"/>
          <w:color w:val="auto"/>
        </w:rPr>
      </w:pPr>
    </w:p>
    <w:p>
      <w:pPr>
        <w:ind w:right="200" w:firstLine="1305"/>
        <w:spacing w:after="0" w:line="259" w:lineRule="auto"/>
        <w:tabs>
          <w:tab w:leader="none" w:pos="1712"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Participant’s continued employment with or service to the Company or a Subsidiary on each applicable vesting date and subject to the terms of this Agreement, the RSUs shall vest in such amounts and at such times as are set forth in the Grant Notice. Each additional RSU which results from deemed reinvestments of Dividend Equivalents pursuant to Section 2.1(b) hereof shall vest whenever the underlying RSU to which such additional RSU relates vests.</w:t>
      </w:r>
    </w:p>
    <w:p>
      <w:pPr>
        <w:spacing w:after="0" w:line="240" w:lineRule="exact"/>
        <w:rPr>
          <w:rFonts w:ascii="Arial" w:cs="Arial" w:eastAsia="Arial" w:hAnsi="Arial"/>
          <w:sz w:val="18"/>
          <w:szCs w:val="18"/>
          <w:color w:val="auto"/>
        </w:rPr>
      </w:pPr>
    </w:p>
    <w:p>
      <w:pPr>
        <w:jc w:val="both"/>
        <w:ind w:right="60" w:firstLine="1305"/>
        <w:spacing w:after="0" w:line="259" w:lineRule="auto"/>
        <w:tabs>
          <w:tab w:leader="none" w:pos="172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event Participant incurs a Termination of Service, except as may be otherwise provided by the Administrator or as set forth in a written agreement between Participant and the Company, Participant shall immediately forfeit any and all RSUs and Dividend Equivalents granted under this Agreement which have not vested or do not vest on or prior to the date on which such Termination of Service occurs, and Participant’s rights in any such RSUs and Dividend Equivalents which are not so vested shall lapse and expire.</w:t>
      </w:r>
    </w:p>
    <w:p>
      <w:pPr>
        <w:spacing w:after="0" w:line="24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Distribution or Payment of RSUs</w:t>
      </w:r>
      <w:r>
        <w:rPr>
          <w:rFonts w:ascii="Arial" w:cs="Arial" w:eastAsia="Arial" w:hAnsi="Arial"/>
          <w:sz w:val="16"/>
          <w:szCs w:val="16"/>
          <w:color w:val="auto"/>
        </w:rPr>
        <w:t>.</w:t>
      </w:r>
    </w:p>
    <w:p>
      <w:pPr>
        <w:spacing w:after="0" w:line="279" w:lineRule="exact"/>
        <w:rPr>
          <w:sz w:val="20"/>
          <w:szCs w:val="20"/>
          <w:color w:val="auto"/>
        </w:rPr>
      </w:pPr>
    </w:p>
    <w:p>
      <w:pPr>
        <w:ind w:firstLine="1305"/>
        <w:spacing w:after="0" w:line="271" w:lineRule="auto"/>
        <w:tabs>
          <w:tab w:leader="none" w:pos="1712"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Participant’s RSUs shall be distributed in Shares (either in book-entry form or otherwise) or, at the option of the Company, paid in an amount of cash as set forth in Section 2.3(b), in either case, as soon as administratively practicable following the vesting of the applicable RSU pursuant to Section 2.2,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RSUs if it reasonably determines that such payment or distribution will violate Federal securities laws or any other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payment or distribution shall be delayed under this Section 2.3(a) if such delay will result in a violation of Section 409A of the Code.</w:t>
      </w:r>
    </w:p>
    <w:p>
      <w:pPr>
        <w:spacing w:after="0" w:line="232" w:lineRule="exact"/>
        <w:rPr>
          <w:rFonts w:ascii="Arial" w:cs="Arial" w:eastAsia="Arial" w:hAnsi="Arial"/>
          <w:sz w:val="17"/>
          <w:szCs w:val="17"/>
          <w:color w:val="auto"/>
        </w:rPr>
      </w:pPr>
    </w:p>
    <w:p>
      <w:pPr>
        <w:ind w:right="80" w:firstLine="1305"/>
        <w:spacing w:after="0" w:line="291" w:lineRule="auto"/>
        <w:tabs>
          <w:tab w:leader="none" w:pos="172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event that the Company elects to make payment of Participant’s RSUs in cash, the amount of cash payable with respect to each RSU shall be equal to the Fair Market Value of a Share on the day immediately preceding the applicable distribution or payment date set forth in</w:t>
      </w: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24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Conditions to Issuance of Shares</w:t>
      </w:r>
      <w:r>
        <w:rPr>
          <w:rFonts w:ascii="Arial" w:cs="Arial" w:eastAsia="Arial" w:hAnsi="Arial"/>
          <w:sz w:val="17"/>
          <w:szCs w:val="17"/>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23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Tax Withholding</w:t>
      </w:r>
      <w:r>
        <w:rPr>
          <w:rFonts w:ascii="Arial" w:cs="Arial" w:eastAsia="Arial" w:hAnsi="Arial"/>
          <w:sz w:val="16"/>
          <w:szCs w:val="16"/>
          <w:color w:val="auto"/>
        </w:rPr>
        <w:t>. Notwithstanding any other provision of this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 w:name="page9"/>
    <w:bookmarkEnd w:id="8"/>
    <w:p>
      <w:pPr>
        <w:ind w:left="-20" w:right="80" w:firstLine="1305"/>
        <w:spacing w:after="0" w:line="273" w:lineRule="auto"/>
        <w:tabs>
          <w:tab w:leader="none" w:pos="169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and its Subsidiaries have the authority to deduct or withhold, or require Participant to remit to the Company or the applicable Subsidiary, an amount sufficient to satisfy any applicable federal, state, local and foreign taxes (including income tax, employees’ (and at the discretion of the Company, employer’s ) National Insurance contributions, social security contributions and the employee portion of any FICA obligation) required by law to be withheld or otherwise arising with respect to any taxable event arising pursuant to this Agreement, including the grant or vesting of any RSUs, the settlement of the RSUs on vesting in either Shares or cash and the sale of any of the Shares (any a “</w:t>
      </w:r>
      <w:r>
        <w:rPr>
          <w:rFonts w:ascii="Arial" w:cs="Arial" w:eastAsia="Arial" w:hAnsi="Arial"/>
          <w:sz w:val="17"/>
          <w:szCs w:val="17"/>
          <w:u w:val="single" w:color="auto"/>
          <w:color w:val="auto"/>
        </w:rPr>
        <w:t>Tax Liability</w:t>
      </w:r>
      <w:r>
        <w:rPr>
          <w:rFonts w:ascii="Arial" w:cs="Arial" w:eastAsia="Arial" w:hAnsi="Arial"/>
          <w:sz w:val="17"/>
          <w:szCs w:val="17"/>
          <w:color w:val="auto"/>
        </w:rPr>
        <w:t>”). The Company and its Subsidiaries may withhold or Participant may make such payment in one or more of the forms specified below:</w:t>
      </w:r>
    </w:p>
    <w:p>
      <w:pPr>
        <w:spacing w:after="0" w:line="232" w:lineRule="exact"/>
        <w:rPr>
          <w:rFonts w:ascii="Arial" w:cs="Arial" w:eastAsia="Arial" w:hAnsi="Arial"/>
          <w:sz w:val="17"/>
          <w:szCs w:val="17"/>
          <w:color w:val="auto"/>
        </w:rPr>
      </w:pPr>
    </w:p>
    <w:p>
      <w:pPr>
        <w:ind w:left="2320" w:hanging="387"/>
        <w:spacing w:after="0"/>
        <w:tabs>
          <w:tab w:leader="none" w:pos="2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by cash or check made payable to the Company or the Subsidiary with respect to which the withholding obligation arises;</w:t>
      </w:r>
    </w:p>
    <w:p>
      <w:pPr>
        <w:spacing w:after="0" w:line="302" w:lineRule="exact"/>
        <w:rPr>
          <w:rFonts w:ascii="Arial" w:cs="Arial" w:eastAsia="Arial" w:hAnsi="Arial"/>
          <w:sz w:val="16"/>
          <w:szCs w:val="16"/>
          <w:color w:val="auto"/>
        </w:rPr>
      </w:pPr>
    </w:p>
    <w:p>
      <w:pPr>
        <w:ind w:left="2360" w:hanging="427"/>
        <w:spacing w:after="0"/>
        <w:tabs>
          <w:tab w:leader="none" w:pos="2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by the deduction of such amount from other compensation payable to Participant;</w:t>
      </w:r>
    </w:p>
    <w:p>
      <w:pPr>
        <w:spacing w:after="0" w:line="279" w:lineRule="exact"/>
        <w:rPr>
          <w:rFonts w:ascii="Arial" w:cs="Arial" w:eastAsia="Arial" w:hAnsi="Arial"/>
          <w:sz w:val="18"/>
          <w:szCs w:val="18"/>
          <w:color w:val="auto"/>
        </w:rPr>
      </w:pPr>
    </w:p>
    <w:p>
      <w:pPr>
        <w:ind w:left="-20" w:right="20" w:firstLine="1953"/>
        <w:spacing w:after="0" w:line="259" w:lineRule="auto"/>
        <w:tabs>
          <w:tab w:leader="none" w:pos="2411" w:val="left"/>
        </w:tabs>
        <w:numPr>
          <w:ilvl w:val="1"/>
          <w:numId w:val="5"/>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RSUs, by the Company withholding a net number of vested Shares otherwise issuable pursuant to the RSUs having a then current Fair Market Value not exceeding the amount necessary to satisfy the Tax Liabilty based on the minimum applicable statutory rates for such Tax Liability or such other rate as does not result in adverse accounting consequences for the Company;</w:t>
      </w:r>
    </w:p>
    <w:p>
      <w:pPr>
        <w:spacing w:after="0" w:line="240" w:lineRule="exact"/>
        <w:rPr>
          <w:rFonts w:ascii="Arial" w:cs="Arial" w:eastAsia="Arial" w:hAnsi="Arial"/>
          <w:sz w:val="18"/>
          <w:szCs w:val="18"/>
          <w:color w:val="auto"/>
        </w:rPr>
      </w:pPr>
    </w:p>
    <w:p>
      <w:pPr>
        <w:ind w:left="-20" w:right="160" w:firstLine="1953"/>
        <w:spacing w:after="0" w:line="259" w:lineRule="auto"/>
        <w:tabs>
          <w:tab w:leader="none" w:pos="2401" w:val="left"/>
        </w:tabs>
        <w:numPr>
          <w:ilvl w:val="1"/>
          <w:numId w:val="5"/>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RSUs, with the consent of the Administrator, by tendering to the Company vested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240" w:lineRule="exact"/>
        <w:rPr>
          <w:rFonts w:ascii="Arial" w:cs="Arial" w:eastAsia="Arial" w:hAnsi="Arial"/>
          <w:sz w:val="18"/>
          <w:szCs w:val="18"/>
          <w:color w:val="auto"/>
        </w:rPr>
      </w:pPr>
    </w:p>
    <w:p>
      <w:pPr>
        <w:ind w:left="-20" w:firstLine="1953"/>
        <w:spacing w:after="0" w:line="276" w:lineRule="auto"/>
        <w:tabs>
          <w:tab w:leader="none" w:pos="2351"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with respect to any withholding taxes arising in connection with the distribution of the RSUs, through the delivery of a notice that Participant has placed a market sell order with a broker acceptable to the Company with respect to Shares then issuable to Participant pursuant to the RSUs, and that the broker has been directed to pay a sufficient portion of the net proceeds of the sale to the Company or the Subsidiary with respect to which the Tax Liability arises in satisfaction of such Tax Liability;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226" w:lineRule="exact"/>
        <w:rPr>
          <w:rFonts w:ascii="Arial" w:cs="Arial" w:eastAsia="Arial" w:hAnsi="Arial"/>
          <w:sz w:val="17"/>
          <w:szCs w:val="17"/>
          <w:color w:val="auto"/>
        </w:rPr>
      </w:pPr>
    </w:p>
    <w:p>
      <w:pPr>
        <w:ind w:left="2400" w:hanging="467"/>
        <w:spacing w:after="0"/>
        <w:tabs>
          <w:tab w:leader="none" w:pos="2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 any combination of the foregoing.</w:t>
      </w:r>
    </w:p>
    <w:p>
      <w:pPr>
        <w:spacing w:after="0" w:line="279" w:lineRule="exact"/>
        <w:rPr>
          <w:rFonts w:ascii="Arial" w:cs="Arial" w:eastAsia="Arial" w:hAnsi="Arial"/>
          <w:sz w:val="18"/>
          <w:szCs w:val="18"/>
          <w:color w:val="auto"/>
        </w:rPr>
      </w:pPr>
    </w:p>
    <w:p>
      <w:pPr>
        <w:ind w:left="-20" w:right="20" w:firstLine="1305"/>
        <w:spacing w:after="0" w:line="291" w:lineRule="auto"/>
        <w:tabs>
          <w:tab w:leader="none" w:pos="1702" w:val="left"/>
        </w:tabs>
        <w:numPr>
          <w:ilvl w:val="0"/>
          <w:numId w:val="5"/>
        </w:numPr>
        <w:rPr>
          <w:rFonts w:ascii="Arial" w:cs="Arial" w:eastAsia="Arial" w:hAnsi="Arial"/>
          <w:sz w:val="16"/>
          <w:szCs w:val="16"/>
          <w:color w:val="auto"/>
        </w:rPr>
      </w:pPr>
      <w:r>
        <w:rPr>
          <w:rFonts w:ascii="Arial" w:cs="Arial" w:eastAsia="Arial" w:hAnsi="Arial"/>
          <w:sz w:val="16"/>
          <w:szCs w:val="16"/>
          <w:color w:val="auto"/>
        </w:rPr>
        <w:t>With respect to any Tax Liability arising in connection with the RSUs,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 The Company shall not be obligated to deliver any certificate representing Shares issuable with respect to the RSUs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01" w:right="239" w:bottom="1440" w:gutter="0" w:footer="0" w:header="0"/>
        </w:sectPr>
      </w:pPr>
    </w:p>
    <w:bookmarkStart w:id="9" w:name="page10"/>
    <w:bookmarkEnd w:id="9"/>
    <w:p>
      <w:pPr>
        <w:ind w:right="40" w:firstLine="1305"/>
        <w:spacing w:after="0" w:line="254" w:lineRule="auto"/>
        <w:tabs>
          <w:tab w:leader="none" w:pos="171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the event any Tax Liability arising in connection with the RSUs will be satisfied under Section 2.5(a)(iii), then the Company may elect to instruct any brokerage firm determined acceptable to the Company for such purpose to sell on Participant’s behalf a whole number of shares from those Shares then issuable to Participant pursuant to the RSUs as the Company determines to be appropriate to generate cash proceeds sufficient to satisfy the Tax Liability and to remit the proceeds of such sale to the Company or the Subsidiary.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in settlement of the RSUs to Participant until the foregoing Tax Liability is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payment shall be delayed under this Section 2.5(c) if such delay will result in a violation of Section 409A of the Code.</w:t>
      </w:r>
    </w:p>
    <w:p>
      <w:pPr>
        <w:spacing w:after="0" w:line="246" w:lineRule="exact"/>
        <w:rPr>
          <w:rFonts w:ascii="Arial" w:cs="Arial" w:eastAsia="Arial" w:hAnsi="Arial"/>
          <w:sz w:val="18"/>
          <w:szCs w:val="18"/>
          <w:color w:val="auto"/>
        </w:rPr>
      </w:pPr>
    </w:p>
    <w:p>
      <w:pPr>
        <w:ind w:firstLine="1305"/>
        <w:spacing w:after="0" w:line="257" w:lineRule="auto"/>
        <w:tabs>
          <w:tab w:leader="none" w:pos="1722"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any Tax Liability.</w:t>
      </w:r>
    </w:p>
    <w:p>
      <w:pPr>
        <w:spacing w:after="0" w:line="24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283"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Administration</w:t>
      </w:r>
      <w:r>
        <w:rPr>
          <w:rFonts w:ascii="Arial" w:cs="Arial" w:eastAsia="Arial" w:hAnsi="Arial"/>
          <w:sz w:val="16"/>
          <w:szCs w:val="16"/>
          <w:color w:val="auto"/>
        </w:rPr>
        <w:t>. The Administrator shall have the power to interpret the Sub-Plan, the Grant Notice and this Agreement and to adopt such rules for the administration, interpretation and application of the Sub-Plan,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or this Agreement.</w:t>
      </w:r>
    </w:p>
    <w:p>
      <w:pPr>
        <w:spacing w:after="0" w:line="212"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RSUs Not Transferable</w:t>
      </w:r>
      <w:r>
        <w:rPr>
          <w:rFonts w:ascii="Arial" w:cs="Arial" w:eastAsia="Arial" w:hAnsi="Arial"/>
          <w:sz w:val="16"/>
          <w:szCs w:val="16"/>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w:t>
      </w:r>
    </w:p>
    <w:p>
      <w:pPr>
        <w:spacing w:after="0" w:line="5" w:lineRule="exact"/>
        <w:rPr>
          <w:sz w:val="20"/>
          <w:szCs w:val="20"/>
          <w:color w:val="auto"/>
        </w:rPr>
      </w:pPr>
    </w:p>
    <w:p>
      <w:pPr>
        <w:jc w:val="both"/>
        <w:ind w:right="340"/>
        <w:spacing w:after="0" w:line="254" w:lineRule="auto"/>
        <w:rPr>
          <w:sz w:val="20"/>
          <w:szCs w:val="20"/>
          <w:color w:val="auto"/>
        </w:rPr>
      </w:pPr>
      <w:r>
        <w:rPr>
          <w:rFonts w:ascii="Arial" w:cs="Arial" w:eastAsia="Arial" w:hAnsi="Arial"/>
          <w:sz w:val="18"/>
          <w:szCs w:val="18"/>
          <w:color w:val="auto"/>
        </w:rPr>
        <w:t>sentence. Notwithstanding the foregoing, with the consent of the Administrator, the RSUs may be transferred to certain persons or entities related to the Participant, including but not limited to members of Participant’s family, charitable institutions or trusts or other entities whose beneficiaries or beneficial owners are members of Participant’s family or to such other persons or entities as may be expressly approved by the Administrator, pursuant to any such conditions and procedures the Administrator may require.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0" w:name="page11"/>
    <w:bookmarkEnd w:id="10"/>
    <w:p>
      <w:pPr>
        <w:ind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Adjustments</w:t>
      </w:r>
      <w:r>
        <w:rPr>
          <w:rFonts w:ascii="Arial" w:cs="Arial" w:eastAsia="Arial" w:hAnsi="Arial"/>
          <w:sz w:val="18"/>
          <w:szCs w:val="18"/>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Sub-Plan, including Section 13 of the Sub-Plan.</w:t>
      </w:r>
    </w:p>
    <w:p>
      <w:pPr>
        <w:spacing w:after="0" w:line="23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22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Titles</w:t>
      </w:r>
      <w:r>
        <w:rPr>
          <w:rFonts w:ascii="Arial" w:cs="Arial" w:eastAsia="Arial" w:hAnsi="Arial"/>
          <w:sz w:val="16"/>
          <w:szCs w:val="16"/>
          <w:color w:val="auto"/>
        </w:rPr>
        <w:t>. Titles are provided herein for convenience only and are not to serve as a basis for interpretation or construction of this Agreement.</w:t>
      </w:r>
    </w:p>
    <w:p>
      <w:pPr>
        <w:spacing w:after="0" w:line="27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22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Sub-Plan,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Sub-Plan shall be administered, and the RSUs are granted, only in such a manner as to conform to Applicable Law. To the extent permitted by Applicable Law, the Sub-Plan and this Agreement shall be deemed amended to the extent necessary to conform to Applicable Law.</w:t>
      </w:r>
    </w:p>
    <w:p>
      <w:pPr>
        <w:spacing w:after="0" w:line="21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To the extent permitted by the Sub-Plan, this Agreement may be wholly or partially amended or otherwise modified, suspended or terminated at any time or from time to time by the Administrator or the Board</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except as may otherwise be provided by the Sub-Plan, no amendment, modification, suspension or termination of this Agreement shall adversely affect the RSUs in any material way without the prior written consent of Participant.</w:t>
      </w:r>
    </w:p>
    <w:p>
      <w:pPr>
        <w:spacing w:after="0" w:line="24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Section </w:t>
      </w:r>
      <w:r>
        <w:rPr>
          <w:rFonts w:ascii="Arial" w:cs="Arial" w:eastAsia="Arial" w:hAnsi="Arial"/>
          <w:sz w:val="16"/>
          <w:szCs w:val="16"/>
          <w:u w:val="single" w:color="auto"/>
          <w:color w:val="0000EE"/>
        </w:rPr>
        <w:t>3.2</w:t>
      </w:r>
      <w:r>
        <w:rPr>
          <w:rFonts w:ascii="Arial" w:cs="Arial" w:eastAsia="Arial" w:hAnsi="Arial"/>
          <w:sz w:val="16"/>
          <w:szCs w:val="16"/>
          <w:color w:val="auto"/>
        </w:rPr>
        <w:t xml:space="preserve"> and the Sub-Plan, this Agreement shall be binding upon and inure to the benefit of the heirs, legatees, legal representatives, successors and assigns of the parties hereto.</w:t>
      </w:r>
    </w:p>
    <w:p>
      <w:pPr>
        <w:spacing w:after="0" w:line="20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Sub-Plan or this Agreement, if Participant is subject to Section 16 of the Exchange Act, the Sub-Plan, the RSUs (including RSUs which result from the deemed reinvestment of Dividend Equivalents),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 w:name="page12"/>
    <w:bookmarkEnd w:id="11"/>
    <w:p>
      <w:pPr>
        <w:ind w:right="100" w:firstLine="648"/>
        <w:spacing w:after="0" w:line="290"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Not a Contract of Employment</w:t>
      </w:r>
      <w:r>
        <w:rPr>
          <w:rFonts w:ascii="Arial" w:cs="Arial" w:eastAsia="Arial" w:hAnsi="Arial"/>
          <w:sz w:val="16"/>
          <w:szCs w:val="16"/>
          <w:color w:val="auto"/>
        </w:rPr>
        <w:t>. Nothing in this Agreement or in the Sub-Plan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 Neither the Sub-Plan nor this Agreement afford the Participant any rights to compensation or damages, including for loss of or potential loss that the Participant may suffer as a result of the termination of the Sub-Plan, lapse of the RSUs or the termination of the Participant’s employment with or service to the Company. Neither the Sub-Plan, the Grant Notice, nor this Agreement afford the Participant any rights to compensation or damages including for loss or potential loss that the Participant may suffer as a result of the termination of the Sub-Plan, lapse of the RSU or the termination of the Participant’s employment.</w:t>
      </w:r>
    </w:p>
    <w:p>
      <w:pPr>
        <w:spacing w:after="0" w:line="22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RSUs Not Part of Employment Compensation</w:t>
      </w:r>
      <w:r>
        <w:rPr>
          <w:rFonts w:ascii="Arial" w:cs="Arial" w:eastAsia="Arial" w:hAnsi="Arial"/>
          <w:sz w:val="18"/>
          <w:szCs w:val="18"/>
          <w:color w:val="auto"/>
        </w:rPr>
        <w:t>. The RSUs and the Shares subject to the RSUs are extraordinary items 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w:t>
      </w:r>
    </w:p>
    <w:p>
      <w:pPr>
        <w:spacing w:after="0" w:line="24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Data Protection</w:t>
      </w:r>
      <w:r>
        <w:rPr>
          <w:rFonts w:ascii="Arial" w:cs="Arial" w:eastAsia="Arial" w:hAnsi="Arial"/>
          <w:sz w:val="16"/>
          <w:szCs w:val="16"/>
          <w:color w:val="auto"/>
        </w:rPr>
        <w:t>. By signing this Agreement, the Participant acknowledges and agrees that:</w:t>
      </w:r>
    </w:p>
    <w:p>
      <w:pPr>
        <w:spacing w:after="0" w:line="279" w:lineRule="exact"/>
        <w:rPr>
          <w:sz w:val="20"/>
          <w:szCs w:val="20"/>
          <w:color w:val="auto"/>
        </w:rPr>
      </w:pPr>
    </w:p>
    <w:p>
      <w:pPr>
        <w:ind w:right="120" w:firstLine="1305"/>
        <w:spacing w:after="0" w:line="277" w:lineRule="auto"/>
        <w:tabs>
          <w:tab w:leader="none" w:pos="17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or the Participant’s employer are permitted to hold and process personal (and sensitive) information and data about the Participant as part of their personnel and other business records and may use such information in the course of its business.</w:t>
      </w:r>
    </w:p>
    <w:p>
      <w:pPr>
        <w:spacing w:after="0" w:line="224" w:lineRule="exact"/>
        <w:rPr>
          <w:rFonts w:ascii="Arial" w:cs="Arial" w:eastAsia="Arial" w:hAnsi="Arial"/>
          <w:sz w:val="18"/>
          <w:szCs w:val="18"/>
          <w:color w:val="auto"/>
        </w:rPr>
      </w:pPr>
    </w:p>
    <w:p>
      <w:pPr>
        <w:ind w:firstLine="1305"/>
        <w:spacing w:after="0" w:line="342" w:lineRule="auto"/>
        <w:tabs>
          <w:tab w:leader="none" w:pos="172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or the Participant’s employer may disclose such information (as described in (a) above) to third parties, including where they are situated outside the European Economic Area, in the event that such disclosure is in their view required for the proper conduct of their business; and</w:t>
      </w:r>
    </w:p>
    <w:p>
      <w:pPr>
        <w:spacing w:after="0" w:line="177" w:lineRule="exact"/>
        <w:rPr>
          <w:rFonts w:ascii="Arial" w:cs="Arial" w:eastAsia="Arial" w:hAnsi="Arial"/>
          <w:sz w:val="16"/>
          <w:szCs w:val="16"/>
          <w:color w:val="auto"/>
        </w:rPr>
      </w:pPr>
    </w:p>
    <w:p>
      <w:pPr>
        <w:ind w:left="1720" w:hanging="415"/>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section applies to any information held, used or disclosed in any medium.</w:t>
      </w:r>
    </w:p>
    <w:p>
      <w:pPr>
        <w:spacing w:after="0" w:line="27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Sub-Plan,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Section 409A</w:t>
      </w:r>
      <w:r>
        <w:rPr>
          <w:rFonts w:ascii="Arial" w:cs="Arial" w:eastAsia="Arial" w:hAnsi="Arial"/>
          <w:sz w:val="17"/>
          <w:szCs w:val="17"/>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7"/>
          <w:szCs w:val="17"/>
          <w:u w:val="single" w:color="auto"/>
          <w:color w:val="auto"/>
        </w:rPr>
        <w:t>Section 409A</w:t>
      </w:r>
      <w:r>
        <w:rPr>
          <w:rFonts w:ascii="Arial" w:cs="Arial" w:eastAsia="Arial" w:hAnsi="Arial"/>
          <w:sz w:val="17"/>
          <w:szCs w:val="17"/>
          <w:color w:val="auto"/>
        </w:rPr>
        <w:t>”). However, notwithstanding any other provision of the Sub-Plan,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Sub-Plan,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12" w:name="page13"/>
    <w:bookmarkEnd w:id="12"/>
    <w:p>
      <w:pPr>
        <w:ind w:right="60" w:firstLine="648"/>
        <w:spacing w:after="0" w:line="264"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23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Limitation on Participant’s Rights</w:t>
      </w:r>
      <w:r>
        <w:rPr>
          <w:rFonts w:ascii="Arial" w:cs="Arial" w:eastAsia="Arial" w:hAnsi="Arial"/>
          <w:sz w:val="17"/>
          <w:szCs w:val="17"/>
          <w:color w:val="auto"/>
        </w:rPr>
        <w:t>. Participation in the Sub-Plan confers no rights or interests other than as herein 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 to the RSUs and Dividend Equivalents.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22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Broker-Assisted Sales</w:t>
      </w:r>
      <w:r>
        <w:rPr>
          <w:rFonts w:ascii="Arial" w:cs="Arial" w:eastAsia="Arial" w:hAnsi="Arial"/>
          <w:sz w:val="16"/>
          <w:szCs w:val="16"/>
          <w:color w:val="auto"/>
        </w:rPr>
        <w:t>. In the event of any broker-assisted sale of Shares in connection with the payment of withholding taxes as provided in Section 2.5(a)(iii) or Section 2.5(c):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TO RESTRICTED STOCK UNIT AWARD GRANT NOTICE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CONSENT OF SPOUSE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_______________, spouse of _______________, have read and approve the foregoing Agreement. In consideration of issuing to my spouse the</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restricted stock units of LivaNova PLC set forth in the Agreement, I hereby appoint my spouse as my attorney-in-fact in respect of the exercise of any rights under the Agreement and agree to be bound by the provisions of the Agreement insofar as I may have any rights in said Agreement or any shares of LivaNova PLC issued pursuant thereto under the community property laws or similar laws relating to marital property in effect in the state of our residence as of the date of the signing of the foregoing 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9040" w:type="dxa"/>
            <w:vAlign w:val="bottom"/>
            <w:gridSpan w:val="2"/>
          </w:tcPr>
          <w:p>
            <w:pPr>
              <w:ind w:left="5160"/>
              <w:spacing w:after="0"/>
              <w:rPr>
                <w:sz w:val="20"/>
                <w:szCs w:val="20"/>
                <w:color w:val="auto"/>
              </w:rPr>
            </w:pPr>
            <w:r>
              <w:rPr>
                <w:rFonts w:ascii="Arial" w:cs="Arial" w:eastAsia="Arial" w:hAnsi="Arial"/>
                <w:sz w:val="18"/>
                <w:szCs w:val="18"/>
                <w:color w:val="auto"/>
                <w:w w:val="89"/>
              </w:rPr>
              <w:t>___________________________________________</w:t>
            </w:r>
          </w:p>
        </w:tc>
      </w:tr>
      <w:tr>
        <w:trPr>
          <w:trHeight w:val="237"/>
        </w:trPr>
        <w:tc>
          <w:tcPr>
            <w:tcW w:w="540" w:type="dxa"/>
            <w:vAlign w:val="bottom"/>
          </w:tcPr>
          <w:p>
            <w:pPr>
              <w:spacing w:after="0"/>
              <w:rPr>
                <w:sz w:val="20"/>
                <w:szCs w:val="20"/>
                <w:color w:val="auto"/>
              </w:rPr>
            </w:pPr>
          </w:p>
        </w:tc>
        <w:tc>
          <w:tcPr>
            <w:tcW w:w="3220" w:type="dxa"/>
            <w:vAlign w:val="bottom"/>
            <w:tcBorders>
              <w:top w:val="single" w:sz="8" w:color="auto"/>
            </w:tcBorders>
          </w:tcPr>
          <w:p>
            <w:pPr>
              <w:spacing w:after="0"/>
              <w:rPr>
                <w:sz w:val="20"/>
                <w:szCs w:val="20"/>
                <w:color w:val="auto"/>
              </w:rPr>
            </w:pPr>
          </w:p>
        </w:tc>
        <w:tc>
          <w:tcPr>
            <w:tcW w:w="5820" w:type="dxa"/>
            <w:vAlign w:val="bottom"/>
          </w:tcPr>
          <w:p>
            <w:pPr>
              <w:ind w:left="1940"/>
              <w:spacing w:after="0"/>
              <w:rPr>
                <w:sz w:val="20"/>
                <w:szCs w:val="20"/>
                <w:color w:val="auto"/>
              </w:rPr>
            </w:pPr>
            <w:r>
              <w:rPr>
                <w:rFonts w:ascii="Arial" w:cs="Arial" w:eastAsia="Arial" w:hAnsi="Arial"/>
                <w:sz w:val="18"/>
                <w:szCs w:val="18"/>
                <w:color w:val="auto"/>
              </w:rPr>
              <w:t>Signature of Spouse</w:t>
            </w:r>
          </w:p>
        </w:tc>
      </w:tr>
    </w:tbl>
    <w:p>
      <w:pPr>
        <w:spacing w:after="0" w:line="1" w:lineRule="exact"/>
        <w:rPr>
          <w:sz w:val="20"/>
          <w:szCs w:val="20"/>
          <w:color w:val="auto"/>
        </w:rPr>
      </w:pPr>
    </w:p>
    <w:sectPr>
      <w:pgSz w:w="11900" w:h="16838" w:orient="portrait"/>
      <w:cols w:equalWidth="0" w:num="1">
        <w:col w:w="11420"/>
      </w:cols>
      <w:pgMar w:left="240" w:top="9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lvl w:ilvl="1">
      <w:lvlJc w:val="left"/>
      <w:lvlText w:val="(%2)"/>
      <w:numFmt w:val="lowerRoman"/>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2019-12-29T15:08:14Z</dcterms:created>
  <dcterms:modified xsi:type="dcterms:W3CDTF">2019-12-29T15:08:14Z</dcterms:modified>
</cp:coreProperties>
</file>