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422275</wp:posOffset>
            </wp:positionV>
            <wp:extent cx="713613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1651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May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160020</wp:posOffset>
            </wp:positionV>
            <wp:extent cx="1433830" cy="4502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3830" cy="4502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0" w:lineRule="exact"/>
        <w:rPr>
          <w:sz w:val="24"/>
          <w:szCs w:val="24"/>
          <w:color w:val="auto"/>
        </w:rPr>
      </w:pPr>
    </w:p>
    <w:tbl>
      <w:tblPr>
        <w:tblLayout w:type="fixed"/>
        <w:tblInd w:w="1340" w:type="dxa"/>
        <w:tblCellMar>
          <w:top w:w="0" w:type="dxa"/>
          <w:left w:w="0" w:type="dxa"/>
          <w:bottom w:w="0" w:type="dxa"/>
          <w:right w:w="0" w:type="dxa"/>
        </w:tblCellMar>
      </w:tblPr>
      <w:tr>
        <w:trPr>
          <w:trHeight w:val="228"/>
        </w:trPr>
        <w:tc>
          <w:tcPr>
            <w:tcW w:w="2120" w:type="dxa"/>
            <w:vAlign w:val="bottom"/>
          </w:tcPr>
          <w:p>
            <w:pPr>
              <w:jc w:val="center"/>
              <w:ind w:right="112"/>
              <w:spacing w:after="0"/>
              <w:rPr>
                <w:sz w:val="20"/>
                <w:szCs w:val="20"/>
                <w:color w:val="auto"/>
              </w:rPr>
            </w:pPr>
            <w:r>
              <w:rPr>
                <w:rFonts w:ascii="Arial" w:cs="Arial" w:eastAsia="Arial" w:hAnsi="Arial"/>
                <w:sz w:val="18"/>
                <w:szCs w:val="18"/>
                <w:b w:val="1"/>
                <w:bCs w:val="1"/>
                <w:color w:val="auto"/>
                <w:w w:val="87"/>
              </w:rPr>
              <w:t>England and Wales</w:t>
            </w:r>
          </w:p>
        </w:tc>
        <w:tc>
          <w:tcPr>
            <w:tcW w:w="446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001-37599</w:t>
            </w:r>
          </w:p>
        </w:tc>
        <w:tc>
          <w:tcPr>
            <w:tcW w:w="1660" w:type="dxa"/>
            <w:vAlign w:val="bottom"/>
          </w:tcPr>
          <w:p>
            <w:pPr>
              <w:jc w:val="center"/>
              <w:ind w:left="272"/>
              <w:spacing w:after="0"/>
              <w:rPr>
                <w:sz w:val="20"/>
                <w:szCs w:val="20"/>
                <w:color w:val="auto"/>
              </w:rPr>
            </w:pPr>
            <w:r>
              <w:rPr>
                <w:rFonts w:ascii="Arial" w:cs="Arial" w:eastAsia="Arial" w:hAnsi="Arial"/>
                <w:sz w:val="18"/>
                <w:szCs w:val="18"/>
                <w:b w:val="1"/>
                <w:bCs w:val="1"/>
                <w:color w:val="auto"/>
                <w:w w:val="89"/>
              </w:rPr>
              <w:t>98-1268150</w:t>
            </w:r>
          </w:p>
        </w:tc>
      </w:tr>
      <w:tr>
        <w:trPr>
          <w:trHeight w:val="251"/>
        </w:trPr>
        <w:tc>
          <w:tcPr>
            <w:tcW w:w="2120" w:type="dxa"/>
            <w:vAlign w:val="bottom"/>
          </w:tcPr>
          <w:p>
            <w:pPr>
              <w:jc w:val="center"/>
              <w:ind w:right="132"/>
              <w:spacing w:after="0"/>
              <w:rPr>
                <w:sz w:val="20"/>
                <w:szCs w:val="20"/>
                <w:color w:val="auto"/>
              </w:rPr>
            </w:pPr>
            <w:r>
              <w:rPr>
                <w:rFonts w:ascii="Arial" w:cs="Arial" w:eastAsia="Arial" w:hAnsi="Arial"/>
                <w:sz w:val="18"/>
                <w:szCs w:val="18"/>
                <w:color w:val="auto"/>
                <w:w w:val="88"/>
              </w:rPr>
              <w:t>(State or Other Jurisdiction</w:t>
            </w:r>
          </w:p>
        </w:tc>
        <w:tc>
          <w:tcPr>
            <w:tcW w:w="4460" w:type="dxa"/>
            <w:vAlign w:val="bottom"/>
          </w:tcPr>
          <w:p>
            <w:pPr>
              <w:ind w:left="1660"/>
              <w:spacing w:after="0"/>
              <w:rPr>
                <w:sz w:val="20"/>
                <w:szCs w:val="20"/>
                <w:color w:val="auto"/>
              </w:rPr>
            </w:pPr>
            <w:r>
              <w:rPr>
                <w:rFonts w:ascii="Arial" w:cs="Arial" w:eastAsia="Arial" w:hAnsi="Arial"/>
                <w:sz w:val="18"/>
                <w:szCs w:val="18"/>
                <w:color w:val="auto"/>
              </w:rPr>
              <w:t>(Commission</w:t>
            </w:r>
          </w:p>
        </w:tc>
        <w:tc>
          <w:tcPr>
            <w:tcW w:w="1660" w:type="dxa"/>
            <w:vAlign w:val="bottom"/>
          </w:tcPr>
          <w:p>
            <w:pPr>
              <w:jc w:val="center"/>
              <w:ind w:left="232"/>
              <w:spacing w:after="0"/>
              <w:rPr>
                <w:sz w:val="20"/>
                <w:szCs w:val="20"/>
                <w:color w:val="auto"/>
              </w:rPr>
            </w:pPr>
            <w:r>
              <w:rPr>
                <w:rFonts w:ascii="Arial" w:cs="Arial" w:eastAsia="Arial" w:hAnsi="Arial"/>
                <w:sz w:val="18"/>
                <w:szCs w:val="18"/>
                <w:color w:val="auto"/>
                <w:w w:val="90"/>
              </w:rPr>
              <w:t>(IRS Employer</w:t>
            </w:r>
          </w:p>
        </w:tc>
      </w:tr>
      <w:tr>
        <w:trPr>
          <w:trHeight w:val="222"/>
        </w:trPr>
        <w:tc>
          <w:tcPr>
            <w:tcW w:w="2120" w:type="dxa"/>
            <w:vAlign w:val="bottom"/>
          </w:tcPr>
          <w:p>
            <w:pPr>
              <w:jc w:val="center"/>
              <w:ind w:right="72"/>
              <w:spacing w:after="0"/>
              <w:rPr>
                <w:sz w:val="20"/>
                <w:szCs w:val="20"/>
                <w:color w:val="auto"/>
              </w:rPr>
            </w:pPr>
            <w:r>
              <w:rPr>
                <w:rFonts w:ascii="Arial" w:cs="Arial" w:eastAsia="Arial" w:hAnsi="Arial"/>
                <w:sz w:val="18"/>
                <w:szCs w:val="18"/>
                <w:color w:val="auto"/>
                <w:w w:val="91"/>
              </w:rPr>
              <w:t>of Incorporation)</w:t>
            </w:r>
          </w:p>
        </w:tc>
        <w:tc>
          <w:tcPr>
            <w:tcW w:w="4460" w:type="dxa"/>
            <w:vAlign w:val="bottom"/>
          </w:tcPr>
          <w:p>
            <w:pPr>
              <w:jc w:val="center"/>
              <w:ind w:right="72"/>
              <w:spacing w:after="0"/>
              <w:rPr>
                <w:sz w:val="20"/>
                <w:szCs w:val="20"/>
                <w:color w:val="auto"/>
              </w:rPr>
            </w:pPr>
            <w:r>
              <w:rPr>
                <w:rFonts w:ascii="Arial" w:cs="Arial" w:eastAsia="Arial" w:hAnsi="Arial"/>
                <w:sz w:val="18"/>
                <w:szCs w:val="18"/>
                <w:color w:val="auto"/>
                <w:w w:val="90"/>
              </w:rPr>
              <w:t>File Number)</w:t>
            </w:r>
          </w:p>
        </w:tc>
        <w:tc>
          <w:tcPr>
            <w:tcW w:w="1660" w:type="dxa"/>
            <w:vAlign w:val="bottom"/>
          </w:tcPr>
          <w:p>
            <w:pPr>
              <w:jc w:val="center"/>
              <w:ind w:left="272"/>
              <w:spacing w:after="0"/>
              <w:rPr>
                <w:sz w:val="20"/>
                <w:szCs w:val="20"/>
                <w:color w:val="auto"/>
              </w:rPr>
            </w:pPr>
            <w:r>
              <w:rPr>
                <w:rFonts w:ascii="Arial" w:cs="Arial" w:eastAsia="Arial" w:hAnsi="Arial"/>
                <w:sz w:val="18"/>
                <w:szCs w:val="18"/>
                <w:color w:val="auto"/>
                <w:w w:val="92"/>
              </w:rPr>
              <w:t>Identification No.)</w:t>
            </w:r>
          </w:p>
        </w:tc>
      </w:tr>
      <w:tr>
        <w:trPr>
          <w:trHeight w:val="547"/>
        </w:trPr>
        <w:tc>
          <w:tcPr>
            <w:tcW w:w="2120" w:type="dxa"/>
            <w:vAlign w:val="bottom"/>
          </w:tcPr>
          <w:p>
            <w:pPr>
              <w:spacing w:after="0"/>
              <w:rPr>
                <w:sz w:val="24"/>
                <w:szCs w:val="24"/>
                <w:color w:val="auto"/>
              </w:rPr>
            </w:pPr>
          </w:p>
        </w:tc>
        <w:tc>
          <w:tcPr>
            <w:tcW w:w="446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20 Eastbourne Terrace</w:t>
            </w:r>
          </w:p>
        </w:tc>
        <w:tc>
          <w:tcPr>
            <w:tcW w:w="1660" w:type="dxa"/>
            <w:vAlign w:val="bottom"/>
          </w:tcPr>
          <w:p>
            <w:pPr>
              <w:spacing w:after="0"/>
              <w:rPr>
                <w:sz w:val="24"/>
                <w:szCs w:val="24"/>
                <w:color w:val="auto"/>
              </w:rPr>
            </w:pPr>
          </w:p>
        </w:tc>
      </w:tr>
      <w:tr>
        <w:trPr>
          <w:trHeight w:val="210"/>
        </w:trPr>
        <w:tc>
          <w:tcPr>
            <w:tcW w:w="2120" w:type="dxa"/>
            <w:vAlign w:val="bottom"/>
          </w:tcPr>
          <w:p>
            <w:pPr>
              <w:spacing w:after="0"/>
              <w:rPr>
                <w:sz w:val="18"/>
                <w:szCs w:val="18"/>
                <w:color w:val="auto"/>
              </w:rPr>
            </w:pPr>
          </w:p>
        </w:tc>
        <w:tc>
          <w:tcPr>
            <w:tcW w:w="4460" w:type="dxa"/>
            <w:vAlign w:val="bottom"/>
          </w:tcPr>
          <w:p>
            <w:pPr>
              <w:jc w:val="center"/>
              <w:ind w:right="52"/>
              <w:spacing w:after="0"/>
              <w:rPr>
                <w:sz w:val="20"/>
                <w:szCs w:val="20"/>
                <w:color w:val="auto"/>
              </w:rPr>
            </w:pPr>
            <w:r>
              <w:rPr>
                <w:rFonts w:ascii="Arial" w:cs="Arial" w:eastAsia="Arial" w:hAnsi="Arial"/>
                <w:sz w:val="18"/>
                <w:szCs w:val="18"/>
                <w:b w:val="1"/>
                <w:bCs w:val="1"/>
                <w:color w:val="auto"/>
                <w:w w:val="92"/>
              </w:rPr>
              <w:t>London, W2 6LG</w:t>
            </w:r>
          </w:p>
        </w:tc>
        <w:tc>
          <w:tcPr>
            <w:tcW w:w="166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4460" w:type="dxa"/>
            <w:vAlign w:val="bottom"/>
          </w:tcPr>
          <w:p>
            <w:pPr>
              <w:jc w:val="center"/>
              <w:ind w:right="52"/>
              <w:spacing w:after="0"/>
              <w:rPr>
                <w:sz w:val="20"/>
                <w:szCs w:val="20"/>
                <w:color w:val="auto"/>
              </w:rPr>
            </w:pPr>
            <w:r>
              <w:rPr>
                <w:rFonts w:ascii="Arial" w:cs="Arial" w:eastAsia="Arial" w:hAnsi="Arial"/>
                <w:sz w:val="18"/>
                <w:szCs w:val="18"/>
                <w:b w:val="1"/>
                <w:bCs w:val="1"/>
                <w:color w:val="auto"/>
                <w:w w:val="89"/>
              </w:rPr>
              <w:t>United Kingdom</w:t>
            </w:r>
          </w:p>
        </w:tc>
        <w:tc>
          <w:tcPr>
            <w:tcW w:w="1660" w:type="dxa"/>
            <w:vAlign w:val="bottom"/>
          </w:tcPr>
          <w:p>
            <w:pPr>
              <w:spacing w:after="0"/>
              <w:rPr>
                <w:sz w:val="18"/>
                <w:szCs w:val="18"/>
                <w:color w:val="auto"/>
              </w:rPr>
            </w:pPr>
          </w:p>
        </w:tc>
      </w:tr>
      <w:tr>
        <w:trPr>
          <w:trHeight w:val="222"/>
        </w:trPr>
        <w:tc>
          <w:tcPr>
            <w:tcW w:w="2120" w:type="dxa"/>
            <w:vAlign w:val="bottom"/>
          </w:tcPr>
          <w:p>
            <w:pPr>
              <w:spacing w:after="0"/>
              <w:rPr>
                <w:sz w:val="19"/>
                <w:szCs w:val="19"/>
                <w:color w:val="auto"/>
              </w:rPr>
            </w:pPr>
          </w:p>
        </w:tc>
        <w:tc>
          <w:tcPr>
            <w:tcW w:w="4460" w:type="dxa"/>
            <w:vAlign w:val="bottom"/>
          </w:tcPr>
          <w:p>
            <w:pPr>
              <w:jc w:val="center"/>
              <w:ind w:right="32"/>
              <w:spacing w:after="0"/>
              <w:rPr>
                <w:sz w:val="20"/>
                <w:szCs w:val="20"/>
                <w:color w:val="auto"/>
              </w:rPr>
            </w:pPr>
            <w:r>
              <w:rPr>
                <w:rFonts w:ascii="Arial" w:cs="Arial" w:eastAsia="Arial" w:hAnsi="Arial"/>
                <w:sz w:val="18"/>
                <w:szCs w:val="18"/>
                <w:color w:val="auto"/>
                <w:w w:val="90"/>
              </w:rPr>
              <w:t>(Address of Principal Executive Offices)</w:t>
            </w:r>
          </w:p>
        </w:tc>
        <w:tc>
          <w:tcPr>
            <w:tcW w:w="1660" w:type="dxa"/>
            <w:vAlign w:val="bottom"/>
          </w:tcPr>
          <w:p>
            <w:pPr>
              <w:spacing w:after="0"/>
              <w:rPr>
                <w:sz w:val="19"/>
                <w:szCs w:val="19"/>
                <w:color w:val="auto"/>
              </w:rPr>
            </w:pPr>
          </w:p>
        </w:tc>
      </w:tr>
      <w:tr>
        <w:trPr>
          <w:trHeight w:val="434"/>
        </w:trPr>
        <w:tc>
          <w:tcPr>
            <w:tcW w:w="2120" w:type="dxa"/>
            <w:vAlign w:val="bottom"/>
          </w:tcPr>
          <w:p>
            <w:pPr>
              <w:spacing w:after="0"/>
              <w:rPr>
                <w:sz w:val="24"/>
                <w:szCs w:val="24"/>
                <w:color w:val="auto"/>
              </w:rPr>
            </w:pPr>
          </w:p>
        </w:tc>
        <w:tc>
          <w:tcPr>
            <w:tcW w:w="446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+44 20 33250660</w:t>
            </w:r>
          </w:p>
        </w:tc>
        <w:tc>
          <w:tcPr>
            <w:tcW w:w="1660" w:type="dxa"/>
            <w:vAlign w:val="bottom"/>
          </w:tcPr>
          <w:p>
            <w:pPr>
              <w:spacing w:after="0"/>
              <w:rPr>
                <w:sz w:val="24"/>
                <w:szCs w:val="24"/>
                <w:color w:val="auto"/>
              </w:rPr>
            </w:pPr>
          </w:p>
        </w:tc>
      </w:tr>
      <w:tr>
        <w:trPr>
          <w:trHeight w:val="222"/>
        </w:trPr>
        <w:tc>
          <w:tcPr>
            <w:tcW w:w="2120" w:type="dxa"/>
            <w:vAlign w:val="bottom"/>
          </w:tcPr>
          <w:p>
            <w:pPr>
              <w:spacing w:after="0"/>
              <w:rPr>
                <w:sz w:val="19"/>
                <w:szCs w:val="19"/>
                <w:color w:val="auto"/>
              </w:rPr>
            </w:pPr>
          </w:p>
        </w:tc>
        <w:tc>
          <w:tcPr>
            <w:tcW w:w="4460" w:type="dxa"/>
            <w:vAlign w:val="bottom"/>
          </w:tcPr>
          <w:p>
            <w:pPr>
              <w:jc w:val="center"/>
              <w:ind w:right="52"/>
              <w:spacing w:after="0"/>
              <w:rPr>
                <w:sz w:val="20"/>
                <w:szCs w:val="20"/>
                <w:color w:val="auto"/>
              </w:rPr>
            </w:pPr>
            <w:r>
              <w:rPr>
                <w:rFonts w:ascii="Arial" w:cs="Arial" w:eastAsia="Arial" w:hAnsi="Arial"/>
                <w:sz w:val="18"/>
                <w:szCs w:val="18"/>
                <w:color w:val="auto"/>
                <w:w w:val="88"/>
              </w:rPr>
              <w:t>(Registrant’s Telephone Number, Including Area Code)</w:t>
            </w:r>
          </w:p>
        </w:tc>
        <w:tc>
          <w:tcPr>
            <w:tcW w:w="1660" w:type="dxa"/>
            <w:vAlign w:val="bottom"/>
          </w:tcPr>
          <w:p>
            <w:pPr>
              <w:spacing w:after="0"/>
              <w:rPr>
                <w:sz w:val="19"/>
                <w:szCs w:val="19"/>
                <w:color w:val="auto"/>
              </w:rPr>
            </w:pPr>
          </w:p>
        </w:tc>
      </w:tr>
    </w:tbl>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8" w:lineRule="exact"/>
        <w:rPr>
          <w:sz w:val="24"/>
          <w:szCs w:val="24"/>
          <w:color w:val="auto"/>
        </w:rPr>
      </w:pPr>
    </w:p>
    <w:p>
      <w:pPr>
        <w:ind w:right="680"/>
        <w:spacing w:after="0" w:line="260"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47" w:lineRule="exact"/>
        <w:rPr>
          <w:sz w:val="24"/>
          <w:szCs w:val="24"/>
          <w:color w:val="auto"/>
        </w:rPr>
      </w:pPr>
    </w:p>
    <w:p>
      <w:pPr>
        <w:ind w:left="240" w:hanging="235"/>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Written communications pursuant to Rule 425 under the Securities Act (17 CFR 230.425)</w:t>
      </w:r>
    </w:p>
    <w:p>
      <w:pPr>
        <w:spacing w:after="0" w:line="267" w:lineRule="exact"/>
        <w:rPr>
          <w:rFonts w:ascii="MS PGothic" w:cs="MS PGothic" w:eastAsia="MS PGothic" w:hAnsi="MS PGothic"/>
          <w:sz w:val="21"/>
          <w:szCs w:val="21"/>
          <w:color w:val="auto"/>
        </w:rPr>
      </w:pPr>
    </w:p>
    <w:p>
      <w:pPr>
        <w:ind w:left="240" w:hanging="235"/>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Soliciting material pursuant to Rule 14a-12 under the Exchange Act (17 CFR 240.14a-12)</w:t>
      </w:r>
    </w:p>
    <w:p>
      <w:pPr>
        <w:spacing w:after="0" w:line="267" w:lineRule="exact"/>
        <w:rPr>
          <w:rFonts w:ascii="MS PGothic" w:cs="MS PGothic" w:eastAsia="MS PGothic" w:hAnsi="MS PGothic"/>
          <w:sz w:val="21"/>
          <w:szCs w:val="21"/>
          <w:color w:val="auto"/>
        </w:rPr>
      </w:pPr>
    </w:p>
    <w:p>
      <w:pPr>
        <w:ind w:left="240" w:hanging="235"/>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14d-2(b) under the Exchange Act (17 CFR 240.14d-2(b))</w:t>
      </w:r>
    </w:p>
    <w:p>
      <w:pPr>
        <w:spacing w:after="0" w:line="267" w:lineRule="exact"/>
        <w:rPr>
          <w:rFonts w:ascii="MS PGothic" w:cs="MS PGothic" w:eastAsia="MS PGothic" w:hAnsi="MS PGothic"/>
          <w:sz w:val="21"/>
          <w:szCs w:val="21"/>
          <w:color w:val="auto"/>
        </w:rPr>
      </w:pPr>
    </w:p>
    <w:p>
      <w:pPr>
        <w:ind w:right="3180" w:firstLine="5"/>
        <w:spacing w:after="0" w:line="391" w:lineRule="auto"/>
        <w:tabs>
          <w:tab w:leader="none" w:pos="228"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8"/>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Trading Symbol(s)</w:t>
            </w:r>
          </w:p>
        </w:tc>
        <w:tc>
          <w:tcPr>
            <w:tcW w:w="4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Name on each exchange on which registered</w:t>
            </w:r>
          </w:p>
        </w:tc>
      </w:tr>
      <w:tr>
        <w:trPr>
          <w:trHeight w:val="216"/>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303" w:lineRule="exact"/>
        <w:rPr>
          <w:sz w:val="24"/>
          <w:szCs w:val="24"/>
          <w:color w:val="auto"/>
        </w:rPr>
      </w:pPr>
    </w:p>
    <w:p>
      <w:pPr>
        <w:spacing w:after="0" w:line="26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ind w:left="7780"/>
        <w:spacing w:after="0" w:line="207" w:lineRule="exact"/>
        <w:tabs>
          <w:tab w:leader="none" w:pos="107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20"/>
          <w:szCs w:val="20"/>
          <w:color w:val="auto"/>
        </w:rPr>
        <w:t>☐</w:t>
      </w:r>
    </w:p>
    <w:p>
      <w:pPr>
        <w:spacing w:after="0" w:line="200" w:lineRule="exact"/>
        <w:rPr>
          <w:sz w:val="24"/>
          <w:szCs w:val="24"/>
          <w:color w:val="auto"/>
        </w:rPr>
      </w:pPr>
    </w:p>
    <w:p>
      <w:pPr>
        <w:spacing w:after="0" w:line="219" w:lineRule="exact"/>
        <w:rPr>
          <w:sz w:val="24"/>
          <w:szCs w:val="24"/>
          <w:color w:val="auto"/>
        </w:rPr>
      </w:pPr>
    </w:p>
    <w:p>
      <w:pPr>
        <w:spacing w:after="0" w:line="260"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64" w:right="339" w:bottom="1440" w:gutter="0" w:footer="0" w:header="0"/>
        </w:sectPr>
      </w:pPr>
    </w:p>
    <w:p>
      <w:pPr>
        <w:spacing w:after="0" w:line="41" w:lineRule="exact"/>
        <w:rPr>
          <w:sz w:val="24"/>
          <w:szCs w:val="24"/>
          <w:color w:val="auto"/>
        </w:rPr>
      </w:pPr>
    </w:p>
    <w:p>
      <w:pPr>
        <w:ind w:left="10720"/>
        <w:spacing w:after="0" w:line="201" w:lineRule="exact"/>
        <w:rPr>
          <w:sz w:val="20"/>
          <w:szCs w:val="20"/>
          <w:color w:val="auto"/>
        </w:rPr>
      </w:pP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474345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194945</wp:posOffset>
            </wp:positionV>
            <wp:extent cx="713613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19" w:lineRule="exact"/>
        <w:rPr>
          <w:sz w:val="20"/>
          <w:szCs w:val="20"/>
          <w:color w:val="auto"/>
        </w:rPr>
      </w:pPr>
    </w:p>
    <w:p>
      <w:pPr>
        <w:jc w:val="both"/>
        <w:ind w:right="60" w:firstLine="630"/>
        <w:spacing w:after="0" w:line="264" w:lineRule="auto"/>
        <w:rPr>
          <w:sz w:val="20"/>
          <w:szCs w:val="20"/>
          <w:color w:val="auto"/>
        </w:rPr>
      </w:pPr>
      <w:r>
        <w:rPr>
          <w:rFonts w:ascii="Arial" w:cs="Arial" w:eastAsia="Arial" w:hAnsi="Arial"/>
          <w:sz w:val="16"/>
          <w:szCs w:val="16"/>
          <w:color w:val="auto"/>
        </w:rPr>
        <w:t xml:space="preserve">On May 4, 2022, LivaNova PLC (the “Company”) issued a press release announcing financial results for the first quarter ended March 31, 2022. The Company will host a business update conference call and webcast today, May 4, 2022, at 1 p.m. London time (8 a.m. Eastern Daylight Time), during which the Company will discuss the financial results. The conference call will be available through the LivaNova website at </w:t>
      </w:r>
      <w:r>
        <w:rPr>
          <w:rFonts w:ascii="Arial" w:cs="Arial" w:eastAsia="Arial" w:hAnsi="Arial"/>
          <w:sz w:val="16"/>
          <w:szCs w:val="16"/>
          <w:color w:val="0070C0"/>
        </w:rPr>
        <w:t>www.livanova.com</w:t>
      </w:r>
      <w:r>
        <w:rPr>
          <w:rFonts w:ascii="Arial" w:cs="Arial" w:eastAsia="Arial" w:hAnsi="Arial"/>
          <w:sz w:val="16"/>
          <w:szCs w:val="16"/>
          <w:color w:val="auto"/>
        </w:rPr>
        <w:t>.</w:t>
      </w:r>
    </w:p>
    <w:p>
      <w:pPr>
        <w:spacing w:after="0" w:line="181" w:lineRule="exact"/>
        <w:rPr>
          <w:sz w:val="20"/>
          <w:szCs w:val="20"/>
          <w:color w:val="auto"/>
        </w:rPr>
      </w:pPr>
    </w:p>
    <w:p>
      <w:pPr>
        <w:ind w:firstLine="630"/>
        <w:spacing w:after="0" w:line="224" w:lineRule="auto"/>
        <w:rPr>
          <w:sz w:val="20"/>
          <w:szCs w:val="20"/>
          <w:color w:val="auto"/>
        </w:rPr>
      </w:pPr>
      <w:r>
        <w:rPr>
          <w:rFonts w:ascii="Arial" w:cs="Arial" w:eastAsia="Arial" w:hAnsi="Arial"/>
          <w:sz w:val="18"/>
          <w:szCs w:val="18"/>
          <w:color w:val="auto"/>
        </w:rPr>
        <w:t>A copy of the Company’s press release related to the foregoing matters is attached hereto as Exhibit 99.1. The information in Exhibit 99.1 is being furnished and shall not be deemed “filed” for purposes of Section 18 of the Securities Exchange Act of 1934, as amended (the “Exchange Act”), and is not to be incorporated by reference into any filing by the Company under the Securities Act of 1933, as amended or the Exchange Act, regardless of any general incorporation language contained in such filing, unless otherwise expressly stated in such filing.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273"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272" w:lineRule="exact"/>
        <w:rPr>
          <w:sz w:val="20"/>
          <w:szCs w:val="20"/>
          <w:color w:val="auto"/>
        </w:rPr>
      </w:pPr>
    </w:p>
    <w:p>
      <w:pPr>
        <w:ind w:left="20"/>
        <w:spacing w:after="0"/>
        <w:tabs>
          <w:tab w:leader="none" w:pos="152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FF"/>
          </w:rPr>
          <w:t>Press Release of LivaNova PLC dated May 4, 2022</w:t>
        </w:r>
      </w:hyperlink>
    </w:p>
    <w:p>
      <w:pPr>
        <w:spacing w:after="0" w:line="16" w:lineRule="exact"/>
        <w:rPr>
          <w:sz w:val="20"/>
          <w:szCs w:val="20"/>
          <w:color w:val="auto"/>
        </w:rPr>
      </w:pPr>
    </w:p>
    <w:p>
      <w:pPr>
        <w:ind w:left="1540" w:hanging="1518"/>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8"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188595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4" w:right="35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45" w:lineRule="exact"/>
        <w:rPr>
          <w:sz w:val="20"/>
          <w:szCs w:val="20"/>
          <w:color w:val="auto"/>
        </w:rPr>
      </w:pPr>
    </w:p>
    <w:p>
      <w:pPr>
        <w:ind w:firstLine="630"/>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4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315" w:lineRule="exact"/>
        <w:rPr>
          <w:sz w:val="20"/>
          <w:szCs w:val="20"/>
          <w:color w:val="auto"/>
        </w:rPr>
      </w:pPr>
    </w:p>
    <w:p>
      <w:pPr>
        <w:ind w:left="20"/>
        <w:spacing w:after="0"/>
        <w:tabs>
          <w:tab w:leader="none" w:pos="5660" w:val="left"/>
        </w:tabs>
        <w:rPr>
          <w:sz w:val="20"/>
          <w:szCs w:val="20"/>
          <w:color w:val="auto"/>
        </w:rPr>
      </w:pPr>
      <w:r>
        <w:rPr>
          <w:rFonts w:ascii="Arial" w:cs="Arial" w:eastAsia="Arial" w:hAnsi="Arial"/>
          <w:sz w:val="18"/>
          <w:szCs w:val="18"/>
          <w:color w:val="auto"/>
        </w:rPr>
        <w:t>Date: May 4, 2022</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Keyna Skeffington</w:t>
      </w:r>
    </w:p>
    <w:p>
      <w:pPr>
        <w:spacing w:after="0" w:line="5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Name: Keyna Skeffington</w:t>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Title: Senior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80"/>
          </w:cols>
          <w:pgMar w:left="320" w:top="988" w:right="899" w:bottom="1440" w:gutter="0" w:footer="0" w:header="0"/>
        </w:sectPr>
      </w:pPr>
    </w:p>
    <w:bookmarkStart w:id="3" w:name="page4"/>
    <w:bookmarkEnd w:id="3"/>
    <w:p>
      <w:pPr>
        <w:spacing w:after="0" w:line="169" w:lineRule="exact"/>
        <w:rPr>
          <w:sz w:val="20"/>
          <w:szCs w:val="20"/>
          <w:color w:val="auto"/>
        </w:rPr>
      </w:pPr>
    </w:p>
    <w:p>
      <w:pPr>
        <w:jc w:val="right"/>
        <w:spacing w:after="0"/>
        <w:rPr>
          <w:sz w:val="20"/>
          <w:szCs w:val="20"/>
          <w:color w:val="auto"/>
        </w:rPr>
      </w:pPr>
      <w:r>
        <w:rPr>
          <w:rFonts w:ascii="Arial" w:cs="Arial" w:eastAsia="Arial" w:hAnsi="Arial"/>
          <w:sz w:val="19"/>
          <w:szCs w:val="19"/>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170815</wp:posOffset>
            </wp:positionV>
            <wp:extent cx="1633855" cy="466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3855" cy="466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9"/>
          <w:szCs w:val="19"/>
          <w:color w:val="6D207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13613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8"/>
          <w:szCs w:val="28"/>
          <w:color w:val="6D2077"/>
        </w:rPr>
        <w:t>LivaNova Reports First-Quarter 2022 Results</w:t>
      </w:r>
    </w:p>
    <w:p>
      <w:pPr>
        <w:spacing w:after="0" w:line="200" w:lineRule="exact"/>
        <w:rPr>
          <w:sz w:val="20"/>
          <w:szCs w:val="20"/>
          <w:color w:val="auto"/>
        </w:rPr>
      </w:pPr>
    </w:p>
    <w:p>
      <w:pPr>
        <w:spacing w:after="0" w:line="373" w:lineRule="exact"/>
        <w:rPr>
          <w:sz w:val="20"/>
          <w:szCs w:val="20"/>
          <w:color w:val="auto"/>
        </w:rPr>
      </w:pPr>
    </w:p>
    <w:p>
      <w:pPr>
        <w:spacing w:after="0" w:line="401" w:lineRule="auto"/>
        <w:rPr>
          <w:sz w:val="20"/>
          <w:szCs w:val="20"/>
          <w:color w:val="auto"/>
        </w:rPr>
      </w:pPr>
      <w:r>
        <w:rPr>
          <w:rFonts w:ascii="Arial" w:cs="Arial" w:eastAsia="Arial" w:hAnsi="Arial"/>
          <w:sz w:val="19"/>
          <w:szCs w:val="19"/>
          <w:b w:val="1"/>
          <w:bCs w:val="1"/>
          <w:color w:val="auto"/>
        </w:rPr>
        <w:t xml:space="preserve">London, May 4, 2022 – </w:t>
      </w:r>
      <w:r>
        <w:rPr>
          <w:rFonts w:ascii="Arial" w:cs="Arial" w:eastAsia="Arial" w:hAnsi="Arial"/>
          <w:sz w:val="19"/>
          <w:szCs w:val="19"/>
          <w:color w:val="auto"/>
        </w:rPr>
        <w:t>LivaNova PLC (Nasdaq: LIVN), a market-leading medical technology and innovation company, today</w:t>
      </w:r>
      <w:r>
        <w:rPr>
          <w:rFonts w:ascii="Arial" w:cs="Arial" w:eastAsia="Arial" w:hAnsi="Arial"/>
          <w:sz w:val="19"/>
          <w:szCs w:val="19"/>
          <w:b w:val="1"/>
          <w:bCs w:val="1"/>
          <w:color w:val="auto"/>
        </w:rPr>
        <w:t xml:space="preserve"> </w:t>
      </w:r>
      <w:r>
        <w:rPr>
          <w:rFonts w:ascii="Arial" w:cs="Arial" w:eastAsia="Arial" w:hAnsi="Arial"/>
          <w:sz w:val="19"/>
          <w:szCs w:val="19"/>
          <w:color w:val="auto"/>
        </w:rPr>
        <w:t>reported results for the quarter ended March 31, 2022.</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Financial Summary and Highlights</w:t>
      </w:r>
      <w:r>
        <w:rPr>
          <w:rFonts w:ascii="Arial" w:cs="Arial" w:eastAsia="Arial" w:hAnsi="Arial"/>
          <w:sz w:val="25"/>
          <w:szCs w:val="25"/>
          <w:b w:val="1"/>
          <w:bCs w:val="1"/>
          <w:color w:val="auto"/>
          <w:vertAlign w:val="superscript"/>
        </w:rPr>
        <w:t>1</w:t>
      </w:r>
    </w:p>
    <w:p>
      <w:pPr>
        <w:spacing w:after="0" w:line="183" w:lineRule="exact"/>
        <w:rPr>
          <w:sz w:val="20"/>
          <w:szCs w:val="20"/>
          <w:color w:val="auto"/>
        </w:rPr>
      </w:pPr>
    </w:p>
    <w:p>
      <w:pPr>
        <w:ind w:left="320" w:hanging="236"/>
        <w:spacing w:after="0" w:line="289" w:lineRule="auto"/>
        <w:tabs>
          <w:tab w:leader="none" w:pos="269" w:val="left"/>
        </w:tabs>
        <w:numPr>
          <w:ilvl w:val="0"/>
          <w:numId w:val="3"/>
        </w:numPr>
        <w:rPr>
          <w:rFonts w:ascii="Arial" w:cs="Arial" w:eastAsia="Arial" w:hAnsi="Arial"/>
          <w:sz w:val="19"/>
          <w:szCs w:val="19"/>
          <w:b w:val="1"/>
          <w:bCs w:val="1"/>
          <w:color w:val="auto"/>
        </w:rPr>
      </w:pPr>
      <w:r>
        <w:rPr>
          <w:rFonts w:ascii="Arial" w:cs="Arial" w:eastAsia="Arial" w:hAnsi="Arial"/>
          <w:sz w:val="19"/>
          <w:szCs w:val="19"/>
          <w:color w:val="auto"/>
        </w:rPr>
        <w:t>Worldwide sales were $240.2 million, a decrease of 3.0 percent on a reported basis and 0.3 percent on a constant-currency basis, as compared to the previous year</w:t>
      </w:r>
    </w:p>
    <w:p>
      <w:pPr>
        <w:spacing w:after="0" w:line="90" w:lineRule="exact"/>
        <w:rPr>
          <w:rFonts w:ascii="Arial" w:cs="Arial" w:eastAsia="Arial" w:hAnsi="Arial"/>
          <w:sz w:val="19"/>
          <w:szCs w:val="19"/>
          <w:b w:val="1"/>
          <w:bCs w:val="1"/>
          <w:color w:val="auto"/>
        </w:rPr>
      </w:pPr>
    </w:p>
    <w:p>
      <w:pPr>
        <w:ind w:left="320" w:hanging="236"/>
        <w:spacing w:after="0" w:line="289" w:lineRule="auto"/>
        <w:tabs>
          <w:tab w:leader="none" w:pos="269" w:val="left"/>
        </w:tabs>
        <w:numPr>
          <w:ilvl w:val="0"/>
          <w:numId w:val="3"/>
        </w:numPr>
        <w:rPr>
          <w:rFonts w:ascii="Arial" w:cs="Arial" w:eastAsia="Arial" w:hAnsi="Arial"/>
          <w:sz w:val="19"/>
          <w:szCs w:val="19"/>
          <w:color w:val="auto"/>
        </w:rPr>
      </w:pPr>
      <w:r>
        <w:rPr>
          <w:rFonts w:ascii="Arial" w:cs="Arial" w:eastAsia="Arial" w:hAnsi="Arial"/>
          <w:sz w:val="19"/>
          <w:szCs w:val="19"/>
          <w:color w:val="auto"/>
        </w:rPr>
        <w:t>Excluding sales from the Heart Valves business, which was divested effective June 1, 2021, worldwide sales increased by 6.2 percent on a reported basis and 9.1 percent on a constant-currency basis</w:t>
      </w:r>
    </w:p>
    <w:p>
      <w:pPr>
        <w:spacing w:after="0" w:line="103" w:lineRule="exact"/>
        <w:rPr>
          <w:rFonts w:ascii="Arial" w:cs="Arial" w:eastAsia="Arial" w:hAnsi="Arial"/>
          <w:sz w:val="19"/>
          <w:szCs w:val="19"/>
          <w:color w:val="auto"/>
        </w:rPr>
      </w:pPr>
    </w:p>
    <w:p>
      <w:pPr>
        <w:ind w:left="260" w:hanging="176"/>
        <w:spacing w:after="0"/>
        <w:tabs>
          <w:tab w:leader="none" w:pos="260" w:val="left"/>
        </w:tabs>
        <w:numPr>
          <w:ilvl w:val="0"/>
          <w:numId w:val="3"/>
        </w:numPr>
        <w:rPr>
          <w:rFonts w:ascii="Arial" w:cs="Arial" w:eastAsia="Arial" w:hAnsi="Arial"/>
          <w:sz w:val="19"/>
          <w:szCs w:val="19"/>
          <w:color w:val="auto"/>
        </w:rPr>
      </w:pPr>
      <w:r>
        <w:rPr>
          <w:rFonts w:ascii="Arial" w:cs="Arial" w:eastAsia="Arial" w:hAnsi="Arial"/>
          <w:sz w:val="19"/>
          <w:szCs w:val="19"/>
          <w:color w:val="auto"/>
        </w:rPr>
        <w:t>Reported U.S. GAAP diluted earnings per share of $0.06 and adjusted diluted earnings per share of $0.48</w:t>
      </w:r>
    </w:p>
    <w:p>
      <w:pPr>
        <w:spacing w:after="0" w:line="149" w:lineRule="exact"/>
        <w:rPr>
          <w:rFonts w:ascii="Arial" w:cs="Arial" w:eastAsia="Arial" w:hAnsi="Arial"/>
          <w:sz w:val="19"/>
          <w:szCs w:val="19"/>
          <w:color w:val="auto"/>
        </w:rPr>
      </w:pPr>
    </w:p>
    <w:p>
      <w:pPr>
        <w:ind w:left="260" w:hanging="176"/>
        <w:spacing w:after="0"/>
        <w:tabs>
          <w:tab w:leader="none" w:pos="260" w:val="left"/>
        </w:tabs>
        <w:numPr>
          <w:ilvl w:val="0"/>
          <w:numId w:val="3"/>
        </w:numPr>
        <w:rPr>
          <w:rFonts w:ascii="Arial" w:cs="Arial" w:eastAsia="Arial" w:hAnsi="Arial"/>
          <w:sz w:val="19"/>
          <w:szCs w:val="19"/>
          <w:color w:val="auto"/>
        </w:rPr>
      </w:pPr>
      <w:r>
        <w:rPr>
          <w:rFonts w:ascii="Arial" w:cs="Arial" w:eastAsia="Arial" w:hAnsi="Arial"/>
          <w:sz w:val="19"/>
          <w:szCs w:val="19"/>
          <w:color w:val="auto"/>
        </w:rPr>
        <w:t>Achieved key milestones in ANTHEM-HFrEF pivotal trial and initiated interim analyses</w:t>
      </w:r>
    </w:p>
    <w:p>
      <w:pPr>
        <w:spacing w:after="0" w:line="144" w:lineRule="exact"/>
        <w:rPr>
          <w:rFonts w:ascii="Arial" w:cs="Arial" w:eastAsia="Arial" w:hAnsi="Arial"/>
          <w:sz w:val="19"/>
          <w:szCs w:val="19"/>
          <w:color w:val="auto"/>
        </w:rPr>
      </w:pPr>
    </w:p>
    <w:p>
      <w:pPr>
        <w:ind w:left="260" w:hanging="176"/>
        <w:spacing w:after="0"/>
        <w:tabs>
          <w:tab w:leader="none" w:pos="260" w:val="left"/>
        </w:tabs>
        <w:numPr>
          <w:ilvl w:val="0"/>
          <w:numId w:val="3"/>
        </w:numPr>
        <w:rPr>
          <w:rFonts w:ascii="Arial" w:cs="Arial" w:eastAsia="Arial" w:hAnsi="Arial"/>
          <w:sz w:val="19"/>
          <w:szCs w:val="19"/>
          <w:color w:val="auto"/>
        </w:rPr>
      </w:pPr>
      <w:r>
        <w:rPr>
          <w:rFonts w:ascii="Arial" w:cs="Arial" w:eastAsia="Arial" w:hAnsi="Arial"/>
          <w:sz w:val="19"/>
          <w:szCs w:val="19"/>
          <w:color w:val="auto"/>
        </w:rPr>
        <w:t>Implanted 250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unipolar depression patient in RECOVER clinical study and initiated interim analyses</w:t>
      </w:r>
    </w:p>
    <w:p>
      <w:pPr>
        <w:spacing w:after="0" w:line="80" w:lineRule="exact"/>
        <w:rPr>
          <w:rFonts w:ascii="Arial" w:cs="Arial" w:eastAsia="Arial" w:hAnsi="Arial"/>
          <w:sz w:val="19"/>
          <w:szCs w:val="19"/>
          <w:color w:val="auto"/>
        </w:rPr>
      </w:pPr>
    </w:p>
    <w:p>
      <w:pPr>
        <w:ind w:left="260" w:hanging="176"/>
        <w:spacing w:after="0"/>
        <w:tabs>
          <w:tab w:leader="none" w:pos="260" w:val="left"/>
        </w:tabs>
        <w:numPr>
          <w:ilvl w:val="0"/>
          <w:numId w:val="3"/>
        </w:numPr>
        <w:rPr>
          <w:rFonts w:ascii="Arial" w:cs="Arial" w:eastAsia="Arial" w:hAnsi="Arial"/>
          <w:sz w:val="19"/>
          <w:szCs w:val="19"/>
          <w:color w:val="auto"/>
        </w:rPr>
      </w:pPr>
      <w:r>
        <w:rPr>
          <w:rFonts w:ascii="Arial" w:cs="Arial" w:eastAsia="Arial" w:hAnsi="Arial"/>
          <w:sz w:val="19"/>
          <w:szCs w:val="19"/>
          <w:color w:val="auto"/>
        </w:rPr>
        <w:t>Implanted 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patient in OSPREY clinical trial for patients with moderate to severe obstructive sleep apnea</w:t>
      </w:r>
    </w:p>
    <w:p>
      <w:pPr>
        <w:spacing w:after="0" w:line="97" w:lineRule="exact"/>
        <w:rPr>
          <w:rFonts w:ascii="Arial" w:cs="Arial" w:eastAsia="Arial" w:hAnsi="Arial"/>
          <w:sz w:val="19"/>
          <w:szCs w:val="19"/>
          <w:color w:val="auto"/>
        </w:rPr>
      </w:pPr>
    </w:p>
    <w:p>
      <w:pPr>
        <w:ind w:left="320" w:hanging="236"/>
        <w:spacing w:after="0" w:line="289" w:lineRule="auto"/>
        <w:tabs>
          <w:tab w:leader="none" w:pos="269" w:val="left"/>
        </w:tabs>
        <w:numPr>
          <w:ilvl w:val="0"/>
          <w:numId w:val="3"/>
        </w:numPr>
        <w:rPr>
          <w:rFonts w:ascii="Arial" w:cs="Arial" w:eastAsia="Arial" w:hAnsi="Arial"/>
          <w:sz w:val="19"/>
          <w:szCs w:val="19"/>
          <w:color w:val="auto"/>
        </w:rPr>
      </w:pPr>
      <w:r>
        <w:rPr>
          <w:rFonts w:ascii="Arial" w:cs="Arial" w:eastAsia="Arial" w:hAnsi="Arial"/>
          <w:sz w:val="19"/>
          <w:szCs w:val="19"/>
          <w:color w:val="auto"/>
        </w:rPr>
        <w:t>Acquired ALung Technologies, Inc., a privately held medical device company within the Advanced Circulatory Support (ACS) space focused on creating advanced medical devices for treating respiratory failure</w:t>
      </w:r>
    </w:p>
    <w:p>
      <w:pPr>
        <w:spacing w:after="0" w:line="380" w:lineRule="exact"/>
        <w:rPr>
          <w:sz w:val="20"/>
          <w:szCs w:val="20"/>
          <w:color w:val="auto"/>
        </w:rPr>
      </w:pPr>
    </w:p>
    <w:p>
      <w:pPr>
        <w:jc w:val="both"/>
        <w:spacing w:after="0" w:line="364" w:lineRule="auto"/>
        <w:rPr>
          <w:sz w:val="20"/>
          <w:szCs w:val="20"/>
          <w:color w:val="auto"/>
        </w:rPr>
      </w:pPr>
      <w:r>
        <w:rPr>
          <w:rFonts w:ascii="Arial" w:cs="Arial" w:eastAsia="Arial" w:hAnsi="Arial"/>
          <w:sz w:val="19"/>
          <w:szCs w:val="19"/>
          <w:color w:val="auto"/>
        </w:rPr>
        <w:t>“Against a backdrop of macroeconomic challenges, we achieved sales growth across all regions in Cardiopulmonary, as cardiac surgery procedure volumes recovered, and in Neuromodulation, which accelerated after experiencing COVID-related pressures early in the quarter,” said Damien McDonald, Chief Executive Officer of LivaNova. “We continue to invest in our strategic portfolio initiatives, the phased launch of our next-generation heart-lung machine, Essenz, and expanded indications in Advanced Circulatory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659130</wp:posOffset>
            </wp:positionV>
            <wp:extent cx="16675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675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80" w:hanging="75"/>
        <w:spacing w:after="0" w:line="203" w:lineRule="auto"/>
        <w:tabs>
          <w:tab w:leader="none" w:pos="77" w:val="left"/>
        </w:tabs>
        <w:numPr>
          <w:ilvl w:val="0"/>
          <w:numId w:val="4"/>
        </w:numPr>
        <w:rPr>
          <w:rFonts w:ascii="Arial" w:cs="Arial" w:eastAsia="Arial" w:hAnsi="Arial"/>
          <w:sz w:val="14"/>
          <w:szCs w:val="14"/>
          <w:color w:val="auto"/>
          <w:vertAlign w:val="superscript"/>
        </w:rPr>
      </w:pPr>
      <w:r>
        <w:rPr>
          <w:rFonts w:ascii="Arial" w:cs="Arial" w:eastAsia="Arial" w:hAnsi="Arial"/>
          <w:sz w:val="11"/>
          <w:szCs w:val="11"/>
          <w:color w:val="auto"/>
        </w:rPr>
        <w:t>Constant-currency percent change, worldwide sales excluding sales from the Heart Valves business, adjusted diluted earnings per share and adjusted free cash flow are non-GAAP measures. For an explanation of these and other non-GAAP measures used in this release, see the section entitled "Use of Non-GAAP Financial Measures." For reconciliations of certain non-GAAP measures, see the tables that accompany this press release.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First-Quarter 2022 Results</w:t>
      </w: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worldwide sales for the first quarter of 2022 by segment (in millions):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4"/>
          </w:tcPr>
          <w:p>
            <w:pPr>
              <w:jc w:val="center"/>
              <w:ind w:left="532"/>
              <w:spacing w:after="0"/>
              <w:rPr>
                <w:sz w:val="20"/>
                <w:szCs w:val="20"/>
                <w:color w:val="auto"/>
              </w:rPr>
            </w:pPr>
            <w:r>
              <w:rPr>
                <w:rFonts w:ascii="Arial" w:cs="Arial" w:eastAsia="Arial" w:hAnsi="Arial"/>
                <w:sz w:val="18"/>
                <w:szCs w:val="18"/>
                <w:b w:val="1"/>
                <w:bCs w:val="1"/>
                <w:color w:val="auto"/>
                <w:w w:val="97"/>
              </w:rPr>
              <w:t>Three Months Ended</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ind w:left="420"/>
              <w:spacing w:after="0"/>
              <w:rPr>
                <w:sz w:val="20"/>
                <w:szCs w:val="20"/>
                <w:color w:val="auto"/>
              </w:rPr>
            </w:pPr>
            <w:r>
              <w:rPr>
                <w:rFonts w:ascii="Arial" w:cs="Arial" w:eastAsia="Arial" w:hAnsi="Arial"/>
                <w:sz w:val="19"/>
                <w:szCs w:val="19"/>
                <w:b w:val="1"/>
                <w:bCs w:val="1"/>
                <w:color w:val="auto"/>
              </w:rPr>
              <w:t>Constant-</w:t>
            </w:r>
          </w:p>
        </w:tc>
      </w:tr>
      <w:tr>
        <w:trPr>
          <w:trHeight w:val="158"/>
        </w:trPr>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center"/>
              <w:ind w:right="560"/>
              <w:spacing w:after="0" w:line="138" w:lineRule="exact"/>
              <w:rPr>
                <w:sz w:val="20"/>
                <w:szCs w:val="20"/>
                <w:color w:val="auto"/>
              </w:rPr>
            </w:pPr>
            <w:r>
              <w:rPr>
                <w:rFonts w:ascii="Arial" w:cs="Arial" w:eastAsia="Arial" w:hAnsi="Arial"/>
                <w:sz w:val="15"/>
                <w:szCs w:val="15"/>
                <w:b w:val="1"/>
                <w:bCs w:val="1"/>
                <w:color w:val="auto"/>
              </w:rPr>
              <w:t>March 31,</w:t>
            </w: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ind w:left="420"/>
              <w:spacing w:after="0" w:line="157" w:lineRule="exact"/>
              <w:rPr>
                <w:sz w:val="20"/>
                <w:szCs w:val="20"/>
                <w:color w:val="auto"/>
              </w:rPr>
            </w:pPr>
            <w:r>
              <w:rPr>
                <w:rFonts w:ascii="Arial" w:cs="Arial" w:eastAsia="Arial" w:hAnsi="Arial"/>
                <w:sz w:val="18"/>
                <w:szCs w:val="18"/>
                <w:b w:val="1"/>
                <w:bCs w:val="1"/>
                <w:color w:val="auto"/>
              </w:rPr>
              <w:t>Currency</w:t>
            </w:r>
          </w:p>
        </w:tc>
      </w:tr>
      <w:tr>
        <w:trPr>
          <w:trHeight w:val="243"/>
        </w:trPr>
        <w:tc>
          <w:tcPr>
            <w:tcW w:w="4940" w:type="dxa"/>
            <w:vAlign w:val="bottom"/>
            <w:gridSpan w:val="3"/>
          </w:tcPr>
          <w:p>
            <w:pPr>
              <w:ind w:left="4460"/>
              <w:spacing w:after="0"/>
              <w:rPr>
                <w:sz w:val="20"/>
                <w:szCs w:val="20"/>
                <w:color w:val="auto"/>
              </w:rPr>
            </w:pPr>
            <w:r>
              <w:rPr>
                <w:rFonts w:ascii="Arial" w:cs="Arial" w:eastAsia="Arial" w:hAnsi="Arial"/>
                <w:sz w:val="18"/>
                <w:szCs w:val="18"/>
                <w:b w:val="1"/>
                <w:bCs w:val="1"/>
                <w:color w:val="auto"/>
              </w:rPr>
              <w:t>2022</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2021</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gridSpan w:val="2"/>
          </w:tcPr>
          <w:p>
            <w:pPr>
              <w:ind w:left="400"/>
              <w:spacing w:after="0"/>
              <w:rPr>
                <w:sz w:val="20"/>
                <w:szCs w:val="20"/>
                <w:color w:val="auto"/>
              </w:rPr>
            </w:pPr>
            <w:r>
              <w:rPr>
                <w:rFonts w:ascii="Arial" w:cs="Arial" w:eastAsia="Arial" w:hAnsi="Arial"/>
                <w:sz w:val="19"/>
                <w:szCs w:val="19"/>
                <w:b w:val="1"/>
                <w:bCs w:val="1"/>
                <w:color w:val="auto"/>
              </w:rPr>
              <w:t>% Change</w:t>
            </w:r>
          </w:p>
        </w:tc>
        <w:tc>
          <w:tcPr>
            <w:tcW w:w="1740" w:type="dxa"/>
            <w:vAlign w:val="bottom"/>
          </w:tcPr>
          <w:p>
            <w:pPr>
              <w:ind w:left="400"/>
              <w:spacing w:after="0"/>
              <w:rPr>
                <w:sz w:val="20"/>
                <w:szCs w:val="20"/>
                <w:color w:val="auto"/>
              </w:rPr>
            </w:pPr>
            <w:r>
              <w:rPr>
                <w:rFonts w:ascii="Arial" w:cs="Arial" w:eastAsia="Arial" w:hAnsi="Arial"/>
                <w:sz w:val="19"/>
                <w:szCs w:val="19"/>
                <w:b w:val="1"/>
                <w:bCs w:val="1"/>
                <w:color w:val="auto"/>
              </w:rPr>
              <w:t>% Change</w:t>
            </w:r>
          </w:p>
        </w:tc>
      </w:tr>
      <w:tr>
        <w:trPr>
          <w:trHeight w:val="216"/>
        </w:trPr>
        <w:tc>
          <w:tcPr>
            <w:tcW w:w="37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Cardiopulmonary</w:t>
            </w:r>
          </w:p>
        </w:tc>
        <w:tc>
          <w:tcPr>
            <w:tcW w:w="1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12.4 %</w:t>
            </w:r>
          </w:p>
        </w:tc>
      </w:tr>
      <w:tr>
        <w:trPr>
          <w:trHeight w:val="223"/>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Neuromodulation</w:t>
            </w:r>
          </w:p>
        </w:tc>
        <w:tc>
          <w:tcPr>
            <w:tcW w:w="660" w:type="dxa"/>
            <w:vAlign w:val="bottom"/>
          </w:tcPr>
          <w:p>
            <w:pPr>
              <w:jc w:val="right"/>
              <w:spacing w:after="0"/>
              <w:rPr>
                <w:sz w:val="20"/>
                <w:szCs w:val="20"/>
                <w:color w:val="auto"/>
              </w:rPr>
            </w:pPr>
            <w:r>
              <w:rPr>
                <w:rFonts w:ascii="Arial" w:cs="Arial" w:eastAsia="Arial" w:hAnsi="Arial"/>
                <w:sz w:val="18"/>
                <w:szCs w:val="18"/>
                <w:color w:val="auto"/>
              </w:rPr>
              <w:t>110.2</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7.5 %</w:t>
            </w:r>
          </w:p>
        </w:tc>
      </w:tr>
      <w:tr>
        <w:trPr>
          <w:trHeight w:val="223"/>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Advanced Circulatory Support</w:t>
            </w:r>
          </w:p>
        </w:tc>
        <w:tc>
          <w:tcPr>
            <w:tcW w:w="66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4"/>
        </w:trPr>
        <w:tc>
          <w:tcPr>
            <w:tcW w:w="3620" w:type="dxa"/>
            <w:vAlign w:val="bottom"/>
            <w:tcBorders>
              <w:bottom w:val="single" w:sz="8" w:color="auto"/>
            </w:tcBorders>
          </w:tcPr>
          <w:p>
            <w:pPr>
              <w:ind w:left="20"/>
              <w:spacing w:after="0" w:line="224" w:lineRule="exact"/>
              <w:rPr>
                <w:sz w:val="20"/>
                <w:szCs w:val="20"/>
                <w:color w:val="auto"/>
              </w:rPr>
            </w:pPr>
            <w:r>
              <w:rPr>
                <w:rFonts w:ascii="Arial" w:cs="Arial" w:eastAsia="Arial" w:hAnsi="Arial"/>
                <w:sz w:val="18"/>
                <w:szCs w:val="18"/>
                <w:color w:val="auto"/>
              </w:rPr>
              <w:t>Other</w:t>
            </w:r>
            <w:r>
              <w:rPr>
                <w:rFonts w:ascii="Arial" w:cs="Arial" w:eastAsia="Arial" w:hAnsi="Arial"/>
                <w:sz w:val="22"/>
                <w:szCs w:val="22"/>
                <w:color w:val="auto"/>
                <w:vertAlign w:val="superscript"/>
              </w:rPr>
              <w:t>(1)</w:t>
            </w: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r>
      <w:tr>
        <w:trPr>
          <w:trHeight w:val="216"/>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Total Net Sales</w:t>
            </w:r>
          </w:p>
        </w:tc>
        <w:tc>
          <w:tcPr>
            <w:tcW w:w="660" w:type="dxa"/>
            <w:vAlign w:val="bottom"/>
          </w:tcPr>
          <w:p>
            <w:pPr>
              <w:jc w:val="right"/>
              <w:spacing w:after="0"/>
              <w:rPr>
                <w:sz w:val="20"/>
                <w:szCs w:val="20"/>
                <w:color w:val="auto"/>
              </w:rPr>
            </w:pPr>
            <w:r>
              <w:rPr>
                <w:rFonts w:ascii="Arial" w:cs="Arial" w:eastAsia="Arial" w:hAnsi="Arial"/>
                <w:sz w:val="18"/>
                <w:szCs w:val="18"/>
                <w:color w:val="auto"/>
              </w:rPr>
              <w:t>240.2</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4"/>
        </w:trPr>
        <w:tc>
          <w:tcPr>
            <w:tcW w:w="3620" w:type="dxa"/>
            <w:vAlign w:val="bottom"/>
            <w:tcBorders>
              <w:bottom w:val="single" w:sz="8" w:color="auto"/>
            </w:tcBorders>
          </w:tcPr>
          <w:p>
            <w:pPr>
              <w:ind w:left="120"/>
              <w:spacing w:after="0" w:line="224" w:lineRule="exact"/>
              <w:rPr>
                <w:sz w:val="20"/>
                <w:szCs w:val="20"/>
                <w:color w:val="auto"/>
              </w:rPr>
            </w:pPr>
            <w:r>
              <w:rPr>
                <w:rFonts w:ascii="Arial" w:cs="Arial" w:eastAsia="Arial" w:hAnsi="Arial"/>
                <w:sz w:val="18"/>
                <w:szCs w:val="18"/>
                <w:color w:val="auto"/>
              </w:rPr>
              <w:t>Less: Heart Valves</w:t>
            </w:r>
            <w:r>
              <w:rPr>
                <w:rFonts w:ascii="Arial" w:cs="Arial" w:eastAsia="Arial" w:hAnsi="Arial"/>
                <w:sz w:val="22"/>
                <w:szCs w:val="22"/>
                <w:color w:val="auto"/>
                <w:vertAlign w:val="superscript"/>
              </w:rPr>
              <w:t>(1)</w:t>
            </w: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Total Net Sales, Excluding Heart Valves</w:t>
            </w:r>
          </w:p>
        </w:tc>
        <w:tc>
          <w:tcPr>
            <w:tcW w:w="660" w:type="dxa"/>
            <w:vAlign w:val="bottom"/>
          </w:tcPr>
          <w:p>
            <w:pPr>
              <w:jc w:val="right"/>
              <w:spacing w:after="0"/>
              <w:rPr>
                <w:sz w:val="20"/>
                <w:szCs w:val="20"/>
                <w:color w:val="auto"/>
              </w:rPr>
            </w:pPr>
            <w:r>
              <w:rPr>
                <w:rFonts w:ascii="Arial" w:cs="Arial" w:eastAsia="Arial" w:hAnsi="Arial"/>
                <w:sz w:val="18"/>
                <w:szCs w:val="18"/>
                <w:color w:val="auto"/>
              </w:rPr>
              <w:t>$240.2</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$226.1</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9.1 %</w:t>
            </w:r>
          </w:p>
        </w:tc>
      </w:tr>
      <w:tr>
        <w:trPr>
          <w:trHeight w:val="20"/>
        </w:trPr>
        <w:tc>
          <w:tcPr>
            <w:tcW w:w="3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240" w:hanging="235"/>
        <w:spacing w:after="0" w:line="239" w:lineRule="auto"/>
        <w:tabs>
          <w:tab w:leader="none" w:pos="19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Note: Numbers may not add precisely due to rounding. Constant-currency percent change and Total Net Sales, Excluding Heart Valves are non-GAAP metrics. For an explanation of these and other non-GAAP metrics used in this release, see the section entitled "Use of Non-GAAP Financial Measures." For</w:t>
      </w:r>
    </w:p>
    <w:p>
      <w:pPr>
        <w:ind w:left="240"/>
        <w:spacing w:after="0" w:line="203" w:lineRule="auto"/>
        <w:rPr>
          <w:sz w:val="20"/>
          <w:szCs w:val="20"/>
          <w:color w:val="auto"/>
        </w:rPr>
      </w:pPr>
      <w:r>
        <w:rPr>
          <w:rFonts w:ascii="Arial" w:cs="Arial" w:eastAsia="Arial" w:hAnsi="Arial"/>
          <w:sz w:val="16"/>
          <w:szCs w:val="16"/>
          <w:color w:val="auto"/>
        </w:rPr>
        <w:t>reconciliations of certain non-GAAP metrics, see the tables that accompany this press release.</w:t>
      </w:r>
    </w:p>
    <w:p>
      <w:pPr>
        <w:ind w:left="340" w:hanging="335"/>
        <w:spacing w:after="0" w:line="213" w:lineRule="auto"/>
        <w:tabs>
          <w:tab w:leader="none" w:pos="340" w:val="left"/>
        </w:tabs>
        <w:numPr>
          <w:ilvl w:val="0"/>
          <w:numId w:val="6"/>
        </w:numPr>
        <w:rPr>
          <w:rFonts w:ascii="Arial" w:cs="Arial" w:eastAsia="Arial" w:hAnsi="Arial"/>
          <w:sz w:val="20"/>
          <w:szCs w:val="20"/>
          <w:color w:val="auto"/>
          <w:vertAlign w:val="superscript"/>
        </w:rPr>
      </w:pPr>
      <w:r>
        <w:rPr>
          <w:rFonts w:ascii="Arial" w:cs="Arial" w:eastAsia="Arial" w:hAnsi="Arial"/>
          <w:sz w:val="16"/>
          <w:szCs w:val="16"/>
          <w:color w:val="auto"/>
        </w:rPr>
        <w:t>Three-month period ended March 31, 2021 includes the results of the Heart Valves business, which was divested effective June 1, 2021.</w:t>
      </w:r>
    </w:p>
    <w:p>
      <w:pPr>
        <w:spacing w:after="0" w:line="200" w:lineRule="exact"/>
        <w:rPr>
          <w:sz w:val="20"/>
          <w:szCs w:val="20"/>
          <w:color w:val="auto"/>
        </w:rPr>
      </w:pPr>
    </w:p>
    <w:p>
      <w:pPr>
        <w:spacing w:after="0" w:line="263" w:lineRule="exact"/>
        <w:rPr>
          <w:sz w:val="20"/>
          <w:szCs w:val="20"/>
          <w:color w:val="auto"/>
        </w:rPr>
      </w:pPr>
    </w:p>
    <w:p>
      <w:pPr>
        <w:jc w:val="both"/>
        <w:spacing w:after="0" w:line="375" w:lineRule="auto"/>
        <w:rPr>
          <w:sz w:val="20"/>
          <w:szCs w:val="20"/>
          <w:color w:val="auto"/>
        </w:rPr>
      </w:pPr>
      <w:r>
        <w:rPr>
          <w:rFonts w:ascii="Arial" w:cs="Arial" w:eastAsia="Arial" w:hAnsi="Arial"/>
          <w:sz w:val="19"/>
          <w:szCs w:val="19"/>
          <w:color w:val="auto"/>
        </w:rPr>
        <w:t>All sales growth rates below reflect comparable, constant-currency growth. Constant-currency growth accounts for the impact from fluctuations in the various currencies in which the Company operates as compared to reported growth.</w:t>
      </w:r>
    </w:p>
    <w:p>
      <w:pPr>
        <w:spacing w:after="0" w:line="160" w:lineRule="exact"/>
        <w:rPr>
          <w:sz w:val="20"/>
          <w:szCs w:val="20"/>
          <w:color w:val="auto"/>
        </w:rPr>
      </w:pPr>
    </w:p>
    <w:p>
      <w:pPr>
        <w:jc w:val="both"/>
        <w:spacing w:after="0" w:line="381" w:lineRule="auto"/>
        <w:rPr>
          <w:sz w:val="20"/>
          <w:szCs w:val="20"/>
          <w:color w:val="auto"/>
        </w:rPr>
      </w:pPr>
      <w:r>
        <w:rPr>
          <w:rFonts w:ascii="Arial" w:cs="Arial" w:eastAsia="Arial" w:hAnsi="Arial"/>
          <w:sz w:val="19"/>
          <w:szCs w:val="19"/>
          <w:b w:val="1"/>
          <w:bCs w:val="1"/>
          <w:color w:val="auto"/>
        </w:rPr>
        <w:t xml:space="preserve">Cardiopulmonary </w:t>
      </w:r>
      <w:r>
        <w:rPr>
          <w:rFonts w:ascii="Arial" w:cs="Arial" w:eastAsia="Arial" w:hAnsi="Arial"/>
          <w:sz w:val="19"/>
          <w:szCs w:val="19"/>
          <w:color w:val="auto"/>
        </w:rPr>
        <w:t>sales increased 12.4 percent versus the first quarter of 2021 with growth across all regions. This growth was</w:t>
      </w:r>
      <w:r>
        <w:rPr>
          <w:rFonts w:ascii="Arial" w:cs="Arial" w:eastAsia="Arial" w:hAnsi="Arial"/>
          <w:sz w:val="19"/>
          <w:szCs w:val="19"/>
          <w:b w:val="1"/>
          <w:bCs w:val="1"/>
          <w:color w:val="auto"/>
        </w:rPr>
        <w:t xml:space="preserve"> </w:t>
      </w:r>
      <w:r>
        <w:rPr>
          <w:rFonts w:ascii="Arial" w:cs="Arial" w:eastAsia="Arial" w:hAnsi="Arial"/>
          <w:sz w:val="19"/>
          <w:szCs w:val="19"/>
          <w:color w:val="auto"/>
        </w:rPr>
        <w:t>primarily driven by oxygenator sales due to an increase in cardiac surgery procedure volumes and heart-lung machine sales in the Rest of World region.</w:t>
      </w:r>
    </w:p>
    <w:p>
      <w:pPr>
        <w:spacing w:after="0" w:line="154" w:lineRule="exact"/>
        <w:rPr>
          <w:sz w:val="20"/>
          <w:szCs w:val="20"/>
          <w:color w:val="auto"/>
        </w:rPr>
      </w:pPr>
    </w:p>
    <w:p>
      <w:pPr>
        <w:jc w:val="both"/>
        <w:spacing w:after="0" w:line="401" w:lineRule="auto"/>
        <w:rPr>
          <w:sz w:val="20"/>
          <w:szCs w:val="20"/>
          <w:color w:val="auto"/>
        </w:rPr>
      </w:pPr>
      <w:r>
        <w:rPr>
          <w:rFonts w:ascii="Arial" w:cs="Arial" w:eastAsia="Arial" w:hAnsi="Arial"/>
          <w:sz w:val="19"/>
          <w:szCs w:val="19"/>
          <w:b w:val="1"/>
          <w:bCs w:val="1"/>
          <w:color w:val="auto"/>
        </w:rPr>
        <w:t xml:space="preserve">Neuromodulation </w:t>
      </w:r>
      <w:r>
        <w:rPr>
          <w:rFonts w:ascii="Arial" w:cs="Arial" w:eastAsia="Arial" w:hAnsi="Arial"/>
          <w:sz w:val="19"/>
          <w:szCs w:val="19"/>
          <w:color w:val="auto"/>
        </w:rPr>
        <w:t>sales increased 7.5 percent versus the first quarter of 2021 with growth across all regions driven by replacement</w:t>
      </w:r>
      <w:r>
        <w:rPr>
          <w:rFonts w:ascii="Arial" w:cs="Arial" w:eastAsia="Arial" w:hAnsi="Arial"/>
          <w:sz w:val="19"/>
          <w:szCs w:val="19"/>
          <w:b w:val="1"/>
          <w:bCs w:val="1"/>
          <w:color w:val="auto"/>
        </w:rPr>
        <w:t xml:space="preserve"> </w:t>
      </w:r>
      <w:r>
        <w:rPr>
          <w:rFonts w:ascii="Arial" w:cs="Arial" w:eastAsia="Arial" w:hAnsi="Arial"/>
          <w:sz w:val="19"/>
          <w:szCs w:val="19"/>
          <w:color w:val="auto"/>
        </w:rPr>
        <w:t>implants.</w:t>
      </w:r>
    </w:p>
    <w:p>
      <w:pPr>
        <w:spacing w:after="0" w:line="136" w:lineRule="exact"/>
        <w:rPr>
          <w:sz w:val="20"/>
          <w:szCs w:val="20"/>
          <w:color w:val="auto"/>
        </w:rPr>
      </w:pPr>
    </w:p>
    <w:p>
      <w:pPr>
        <w:jc w:val="both"/>
        <w:spacing w:after="0" w:line="401" w:lineRule="auto"/>
        <w:rPr>
          <w:sz w:val="20"/>
          <w:szCs w:val="20"/>
          <w:color w:val="auto"/>
        </w:rPr>
      </w:pPr>
      <w:r>
        <w:rPr>
          <w:rFonts w:ascii="Arial" w:cs="Arial" w:eastAsia="Arial" w:hAnsi="Arial"/>
          <w:sz w:val="19"/>
          <w:szCs w:val="19"/>
          <w:b w:val="1"/>
          <w:bCs w:val="1"/>
          <w:color w:val="auto"/>
        </w:rPr>
        <w:t xml:space="preserve">ACS </w:t>
      </w:r>
      <w:r>
        <w:rPr>
          <w:rFonts w:ascii="Arial" w:cs="Arial" w:eastAsia="Arial" w:hAnsi="Arial"/>
          <w:sz w:val="19"/>
          <w:szCs w:val="19"/>
          <w:color w:val="auto"/>
        </w:rPr>
        <w:t>sales decreased 9.7 percent compared to the first quarter of 2021 primarily due to a reduction in patients treated with</w:t>
      </w:r>
      <w:r>
        <w:rPr>
          <w:rFonts w:ascii="Arial" w:cs="Arial" w:eastAsia="Arial" w:hAnsi="Arial"/>
          <w:sz w:val="19"/>
          <w:szCs w:val="19"/>
          <w:b w:val="1"/>
          <w:bCs w:val="1"/>
          <w:color w:val="auto"/>
        </w:rPr>
        <w:t xml:space="preserve"> </w:t>
      </w:r>
      <w:r>
        <w:rPr>
          <w:rFonts w:ascii="Arial" w:cs="Arial" w:eastAsia="Arial" w:hAnsi="Arial"/>
          <w:sz w:val="19"/>
          <w:szCs w:val="19"/>
          <w:color w:val="auto"/>
        </w:rPr>
        <w:t>extracorporeal membrane oxygenation (ECMO) related to hospital staffing shortages and less severe COVID-19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Financial Performance</w:t>
      </w:r>
      <w:r>
        <w:rPr>
          <w:rFonts w:ascii="Arial" w:cs="Arial" w:eastAsia="Arial" w:hAnsi="Arial"/>
          <w:sz w:val="25"/>
          <w:szCs w:val="25"/>
          <w:b w:val="1"/>
          <w:bCs w:val="1"/>
          <w:i w:val="1"/>
          <w:iCs w:val="1"/>
          <w:color w:val="auto"/>
          <w:vertAlign w:val="superscript"/>
        </w:rPr>
        <w:t>2</w:t>
      </w:r>
    </w:p>
    <w:p>
      <w:pPr>
        <w:spacing w:after="0" w:line="275" w:lineRule="exact"/>
        <w:rPr>
          <w:sz w:val="20"/>
          <w:szCs w:val="20"/>
          <w:color w:val="auto"/>
        </w:rPr>
      </w:pPr>
    </w:p>
    <w:p>
      <w:pPr>
        <w:jc w:val="both"/>
        <w:spacing w:after="0" w:line="368" w:lineRule="auto"/>
        <w:rPr>
          <w:sz w:val="20"/>
          <w:szCs w:val="20"/>
          <w:color w:val="auto"/>
        </w:rPr>
      </w:pPr>
      <w:r>
        <w:rPr>
          <w:rFonts w:ascii="Arial" w:cs="Arial" w:eastAsia="Arial" w:hAnsi="Arial"/>
          <w:sz w:val="19"/>
          <w:szCs w:val="19"/>
          <w:color w:val="auto"/>
        </w:rPr>
        <w:t>On a U.S. GAAP basis, first-quarter 2022 operating income was $9.5 million, as compared to an operating loss of $5.7 million for the first quarter of 2021. Adjusted operating income for the first quarter of 2022 was $28.4 million, as compared to $30.3 million for the first quarter of 2021.</w:t>
      </w:r>
    </w:p>
    <w:p>
      <w:pPr>
        <w:spacing w:after="0" w:line="190" w:lineRule="exact"/>
        <w:rPr>
          <w:sz w:val="20"/>
          <w:szCs w:val="20"/>
          <w:color w:val="auto"/>
        </w:rPr>
      </w:pPr>
    </w:p>
    <w:p>
      <w:pPr>
        <w:jc w:val="both"/>
        <w:spacing w:after="0" w:line="368" w:lineRule="auto"/>
        <w:rPr>
          <w:sz w:val="20"/>
          <w:szCs w:val="20"/>
          <w:color w:val="auto"/>
        </w:rPr>
      </w:pPr>
      <w:r>
        <w:rPr>
          <w:rFonts w:ascii="Arial" w:cs="Arial" w:eastAsia="Arial" w:hAnsi="Arial"/>
          <w:sz w:val="19"/>
          <w:szCs w:val="19"/>
          <w:color w:val="auto"/>
        </w:rPr>
        <w:t>On a U.S. GAAP basis, first-quarter 2022 diluted earnings per share was $0.06, as compared to a diluted loss per share of $0.63 in the first quarter of 2021. First-quarter 2022 adjusted diluted earnings per share was $0.48, as compared to $0.34 per share in the first quarter of 2021.</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Subsequent Event</w:t>
      </w:r>
    </w:p>
    <w:p>
      <w:pPr>
        <w:spacing w:after="0" w:line="239" w:lineRule="exact"/>
        <w:rPr>
          <w:sz w:val="20"/>
          <w:szCs w:val="20"/>
          <w:color w:val="auto"/>
        </w:rPr>
      </w:pPr>
    </w:p>
    <w:p>
      <w:pPr>
        <w:jc w:val="both"/>
        <w:spacing w:after="0" w:line="363" w:lineRule="auto"/>
        <w:rPr>
          <w:sz w:val="20"/>
          <w:szCs w:val="20"/>
          <w:color w:val="auto"/>
        </w:rPr>
      </w:pPr>
      <w:r>
        <w:rPr>
          <w:rFonts w:ascii="Arial" w:cs="Arial" w:eastAsia="Arial" w:hAnsi="Arial"/>
          <w:sz w:val="19"/>
          <w:szCs w:val="19"/>
          <w:color w:val="auto"/>
        </w:rPr>
        <w:t>On May 2, 2022, LivaNova acquired the remaining 97% equity interests in ALung Technologies, Inc. (ALung). The purchase price included $10 million paid at closing, subject to customary adjustments, and contingent considerations payable upon the achievement of sales-based milestones. ALung is a privately held medical device company focused on developing and manufacturing advanced medical devices for treating respiratory failure. ALung products are complementary to LivaNova's ACS portfolio and, as such, the business and financial results will be included in the Company's ACS segment. The acquisition is expected to have a neutral impact on adjusted diluted earnings per share in 2022.</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Full-Year 2022 Outlook</w:t>
      </w:r>
    </w:p>
    <w:p>
      <w:pPr>
        <w:spacing w:after="0" w:line="344" w:lineRule="exact"/>
        <w:rPr>
          <w:sz w:val="20"/>
          <w:szCs w:val="20"/>
          <w:color w:val="auto"/>
        </w:rPr>
      </w:pPr>
    </w:p>
    <w:p>
      <w:pPr>
        <w:jc w:val="both"/>
        <w:spacing w:after="0" w:line="375" w:lineRule="auto"/>
        <w:rPr>
          <w:sz w:val="20"/>
          <w:szCs w:val="20"/>
          <w:color w:val="auto"/>
        </w:rPr>
      </w:pPr>
      <w:r>
        <w:rPr>
          <w:rFonts w:ascii="Arial" w:cs="Arial" w:eastAsia="Arial" w:hAnsi="Arial"/>
          <w:sz w:val="19"/>
          <w:szCs w:val="19"/>
          <w:color w:val="auto"/>
        </w:rPr>
        <w:t>LivaNova continues to expect worldwide net sales for full-year 2022 to grow between 3 and 5 percent on a constant-currency basis after excluding the impact of the Heart Valves divestiture. LivaNova assumes foreign currency is now a 2 to 3 percent headwind.</w:t>
      </w:r>
    </w:p>
    <w:p>
      <w:pPr>
        <w:spacing w:after="0" w:line="184" w:lineRule="exact"/>
        <w:rPr>
          <w:sz w:val="20"/>
          <w:szCs w:val="20"/>
          <w:color w:val="auto"/>
        </w:rPr>
      </w:pPr>
    </w:p>
    <w:p>
      <w:pPr>
        <w:jc w:val="both"/>
        <w:spacing w:after="0" w:line="410" w:lineRule="auto"/>
        <w:rPr>
          <w:sz w:val="20"/>
          <w:szCs w:val="20"/>
          <w:color w:val="auto"/>
        </w:rPr>
      </w:pPr>
      <w:r>
        <w:rPr>
          <w:rFonts w:ascii="Arial" w:cs="Arial" w:eastAsia="Arial" w:hAnsi="Arial"/>
          <w:sz w:val="19"/>
          <w:szCs w:val="19"/>
          <w:color w:val="auto"/>
        </w:rPr>
        <w:t>Adjusted diluted earnings per share for 2022 are still expected to be in the range of $2.50 to $2.80, assuming a share count of 54 million for full-year 2022. In 2022, the Company still estimates that adjusted free cash flow will be in the range of $90 to $110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1387475</wp:posOffset>
            </wp:positionV>
            <wp:extent cx="16675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75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80" w:hanging="75"/>
        <w:spacing w:after="0" w:line="209" w:lineRule="auto"/>
        <w:tabs>
          <w:tab w:leader="none" w:pos="73" w:val="left"/>
        </w:tabs>
        <w:numPr>
          <w:ilvl w:val="0"/>
          <w:numId w:val="7"/>
        </w:numPr>
        <w:rPr>
          <w:rFonts w:ascii="Arial" w:cs="Arial" w:eastAsia="Arial" w:hAnsi="Arial"/>
          <w:sz w:val="14"/>
          <w:szCs w:val="14"/>
          <w:color w:val="auto"/>
          <w:vertAlign w:val="superscript"/>
        </w:rPr>
      </w:pPr>
      <w:r>
        <w:rPr>
          <w:rFonts w:ascii="Arial" w:cs="Arial" w:eastAsia="Arial" w:hAnsi="Arial"/>
          <w:sz w:val="11"/>
          <w:szCs w:val="11"/>
          <w:color w:val="auto"/>
        </w:rPr>
        <w:t>During the fourth quarter of 2021, the Company identified and rectified an error related to foreign currency exchange rates utilized to calculate inventory and cost of sales for the years ended December 31, 2017 through 2020 and the nine months ended September 30, 2021. Accordingly, prior period results on a GAAP and non-GAAP basis were revised. See the section entitled "Supplemental Unaudited Revised Financial Information and Non-GAAP Measures" in the Form 8-K furnished on February 23, 2022.</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Conference Call Instructions</w:t>
      </w:r>
    </w:p>
    <w:p>
      <w:pPr>
        <w:spacing w:after="0" w:line="344" w:lineRule="exact"/>
        <w:rPr>
          <w:sz w:val="20"/>
          <w:szCs w:val="20"/>
          <w:color w:val="auto"/>
        </w:rPr>
      </w:pPr>
    </w:p>
    <w:p>
      <w:pPr>
        <w:jc w:val="both"/>
        <w:spacing w:after="0" w:line="364" w:lineRule="auto"/>
        <w:rPr>
          <w:sz w:val="20"/>
          <w:szCs w:val="20"/>
          <w:color w:val="auto"/>
        </w:rPr>
      </w:pPr>
      <w:r>
        <w:rPr>
          <w:rFonts w:ascii="Arial" w:cs="Arial" w:eastAsia="Arial" w:hAnsi="Arial"/>
          <w:sz w:val="19"/>
          <w:szCs w:val="19"/>
          <w:color w:val="auto"/>
        </w:rPr>
        <w:t xml:space="preserve">The Company will host a live audiocast at 1 p.m. London time (8 a.m. EDT) on Wednesday, May 4, 2022 that will be accessible at </w:t>
      </w:r>
      <w:r>
        <w:rPr>
          <w:rFonts w:ascii="Arial" w:cs="Arial" w:eastAsia="Arial" w:hAnsi="Arial"/>
          <w:sz w:val="19"/>
          <w:szCs w:val="19"/>
          <w:u w:val="single" w:color="auto"/>
          <w:color w:val="0E32E1"/>
        </w:rPr>
        <w:t>www.livanova.com/events</w:t>
      </w:r>
      <w:r>
        <w:rPr>
          <w:rFonts w:ascii="Arial" w:cs="Arial" w:eastAsia="Arial" w:hAnsi="Arial"/>
          <w:sz w:val="19"/>
          <w:szCs w:val="19"/>
          <w:color w:val="000000"/>
        </w:rPr>
        <w:t>. Listeners should log on approximately 10 minutes in advance to ensure proper setup. To listen to the</w:t>
      </w:r>
      <w:r>
        <w:rPr>
          <w:rFonts w:ascii="Arial" w:cs="Arial" w:eastAsia="Arial" w:hAnsi="Arial"/>
          <w:sz w:val="19"/>
          <w:szCs w:val="19"/>
          <w:color w:val="0E32E1"/>
        </w:rPr>
        <w:t xml:space="preserve"> </w:t>
      </w:r>
      <w:r>
        <w:rPr>
          <w:rFonts w:ascii="Arial" w:cs="Arial" w:eastAsia="Arial" w:hAnsi="Arial"/>
          <w:sz w:val="19"/>
          <w:szCs w:val="19"/>
          <w:color w:val="000000"/>
        </w:rPr>
        <w:t xml:space="preserve">conference call by telephone, dial +1 844 200 6205 (if dialing from within the U.S.) or +1 929 526 1599 (if dialing from outside the U.S.). The conference call access code is 596849. Within 24 hours of the audiocast, a replay will be available at </w:t>
      </w:r>
      <w:r>
        <w:rPr>
          <w:rFonts w:ascii="Arial" w:cs="Arial" w:eastAsia="Arial" w:hAnsi="Arial"/>
          <w:sz w:val="19"/>
          <w:szCs w:val="19"/>
          <w:u w:val="single" w:color="auto"/>
          <w:color w:val="0E32E1"/>
        </w:rPr>
        <w:t>www.livanova.com/events</w:t>
      </w:r>
      <w:r>
        <w:rPr>
          <w:rFonts w:ascii="Arial" w:cs="Arial" w:eastAsia="Arial" w:hAnsi="Arial"/>
          <w:sz w:val="19"/>
          <w:szCs w:val="19"/>
          <w:color w:val="000000"/>
        </w:rPr>
        <w:t>, where it will be archived and accessible for approximately 90 days.</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6D2077"/>
        </w:rPr>
        <w:t>About LivaNova</w:t>
      </w:r>
    </w:p>
    <w:p>
      <w:pPr>
        <w:spacing w:after="0" w:line="320" w:lineRule="exact"/>
        <w:rPr>
          <w:sz w:val="20"/>
          <w:szCs w:val="20"/>
          <w:color w:val="auto"/>
        </w:rPr>
      </w:pPr>
    </w:p>
    <w:p>
      <w:pPr>
        <w:jc w:val="both"/>
        <w:spacing w:after="0" w:line="364" w:lineRule="auto"/>
        <w:rPr>
          <w:sz w:val="20"/>
          <w:szCs w:val="20"/>
          <w:color w:val="auto"/>
        </w:rPr>
      </w:pPr>
      <w:r>
        <w:rPr>
          <w:rFonts w:ascii="Arial" w:cs="Arial" w:eastAsia="Arial" w:hAnsi="Arial"/>
          <w:sz w:val="19"/>
          <w:szCs w:val="19"/>
          <w:color w:val="auto"/>
        </w:rPr>
        <w:t xml:space="preserve">LivaNova PLC is a global medical technology and innovation company built on nearly five decades of experience and a relentless commitment to provide hope for patients and their families through innovative medical technologies, delivering life-changing improvements for both the Head and Heart. Headquartered in London, LivaNova employs approximately 3,000 employees and has a presence in more than 100 countries for the benefit of patients, healthcare professionals and healthcare systems worldwide. For more information, please visit </w:t>
      </w:r>
      <w:r>
        <w:rPr>
          <w:rFonts w:ascii="Arial" w:cs="Arial" w:eastAsia="Arial" w:hAnsi="Arial"/>
          <w:sz w:val="19"/>
          <w:szCs w:val="19"/>
          <w:u w:val="single" w:color="auto"/>
          <w:color w:val="0E32E1"/>
        </w:rPr>
        <w:t>www.livanova.com</w:t>
      </w:r>
      <w:r>
        <w:rPr>
          <w:rFonts w:ascii="Arial" w:cs="Arial" w:eastAsia="Arial" w:hAnsi="Arial"/>
          <w:sz w:val="19"/>
          <w:szCs w:val="19"/>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6D2077"/>
        </w:rPr>
        <w:t>Use of Non-GAAP Financial Measures</w:t>
      </w:r>
    </w:p>
    <w:p>
      <w:pPr>
        <w:spacing w:after="0" w:line="320" w:lineRule="exact"/>
        <w:rPr>
          <w:sz w:val="20"/>
          <w:szCs w:val="20"/>
          <w:color w:val="auto"/>
        </w:rPr>
      </w:pPr>
    </w:p>
    <w:p>
      <w:pPr>
        <w:jc w:val="both"/>
        <w:spacing w:after="0" w:line="363" w:lineRule="auto"/>
        <w:rPr>
          <w:sz w:val="20"/>
          <w:szCs w:val="20"/>
          <w:color w:val="auto"/>
        </w:rPr>
      </w:pPr>
      <w:r>
        <w:rPr>
          <w:rFonts w:ascii="Arial" w:cs="Arial" w:eastAsia="Arial" w:hAnsi="Arial"/>
          <w:sz w:val="19"/>
          <w:szCs w:val="19"/>
          <w:color w:val="auto"/>
        </w:rPr>
        <w:t>In this press release, management has disclosed financial measurements that present financial information not in accordance with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the operating performance measure as prescribed by GAAP.</w:t>
      </w:r>
    </w:p>
    <w:p>
      <w:pPr>
        <w:spacing w:after="0" w:line="197" w:lineRule="exact"/>
        <w:rPr>
          <w:sz w:val="20"/>
          <w:szCs w:val="20"/>
          <w:color w:val="auto"/>
        </w:rPr>
      </w:pPr>
    </w:p>
    <w:p>
      <w:pPr>
        <w:jc w:val="both"/>
        <w:spacing w:after="0" w:line="364" w:lineRule="auto"/>
        <w:rPr>
          <w:sz w:val="20"/>
          <w:szCs w:val="20"/>
          <w:color w:val="auto"/>
        </w:rPr>
      </w:pPr>
      <w:r>
        <w:rPr>
          <w:rFonts w:ascii="Arial" w:cs="Arial" w:eastAsia="Arial" w:hAnsi="Arial"/>
          <w:sz w:val="19"/>
          <w:szCs w:val="19"/>
          <w:color w:val="auto"/>
        </w:rPr>
        <w:t>Unless otherwise noted, all sales growth rates in this release reflect comparable, constant-currency growth. Management believes that referring to comparable, constant-currency growth is the most useful way to evaluate the sales performance of LivaNova and to compare the sales performance of current periods to prior periods on a consistent basis. Constant-currency growth, a non-GAAP financial measure, measures the change in sales between current and prior-year periods using average exchange rates in effect during the applicable prior-year period.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361" w:lineRule="exact"/>
        <w:rPr>
          <w:sz w:val="20"/>
          <w:szCs w:val="20"/>
          <w:color w:val="auto"/>
        </w:rPr>
      </w:pPr>
    </w:p>
    <w:p>
      <w:pPr>
        <w:jc w:val="both"/>
        <w:spacing w:after="0" w:line="361" w:lineRule="auto"/>
        <w:rPr>
          <w:sz w:val="20"/>
          <w:szCs w:val="20"/>
          <w:color w:val="auto"/>
        </w:rPr>
      </w:pPr>
      <w:r>
        <w:rPr>
          <w:rFonts w:ascii="Arial" w:cs="Arial" w:eastAsia="Arial" w:hAnsi="Arial"/>
          <w:sz w:val="19"/>
          <w:szCs w:val="19"/>
          <w:color w:val="auto"/>
        </w:rPr>
        <w:t>LivaNova calculates forward-looking non-GAAP financial measures based on internal forecasts that omit certain amounts that would be included in GAAP financial measures. For example, forward-looking net sales growth projections are estimated on a constant-currency basis and exclude the impact of foreign currency fluctuations. Forward-looking non-GAAP adjusted tax rate and adjusted diluted earnings per share guidance exclude other items such as, but not limited to, changes in fair value of derivatives and contingent consideration arrangements and asset impairment charges that would be included in comparable GAAP financial measures. The most directly comparable GAAP measure for constant-currency net sales, non-GAAP adjusted tax rate and adjusted diluted earnings per share are net sales, the effective tax rate and earnings per share, respectively. The most directly comparable GAAP measure for adjusted free cash flow is net cash provided by operating activities. However, non-GAAP financial adjustments on a forward-looking basis are subject to uncertainty and variability as they are dependent on many factors, including but not limited to, the effect of foreign currency exchange fluctuations, impacts from potential acquisitions or divestitures, the ultimate outcome of legal proceedings, gains or losses on the potential sale of businesses or other assets, restructuring costs, merger and integration activities, changes in fair value of derivatives and contingent consideration arrangements, asset impairment charges and the tax impact of the aforementioned items, tax law changes or other tax matters. Accordingly, forward-looking GAAP financial measures and reconciliations to the most directly comparable forward-looking GAAP financial measures are not available without unreasonable effort.</w:t>
      </w:r>
    </w:p>
    <w:p>
      <w:pPr>
        <w:spacing w:after="0" w:line="204" w:lineRule="exact"/>
        <w:rPr>
          <w:sz w:val="20"/>
          <w:szCs w:val="20"/>
          <w:color w:val="auto"/>
        </w:rPr>
      </w:pPr>
    </w:p>
    <w:p>
      <w:pPr>
        <w:jc w:val="both"/>
        <w:spacing w:after="0" w:line="362" w:lineRule="auto"/>
        <w:rPr>
          <w:sz w:val="20"/>
          <w:szCs w:val="20"/>
          <w:color w:val="auto"/>
        </w:rPr>
      </w:pPr>
      <w:r>
        <w:rPr>
          <w:rFonts w:ascii="Arial" w:cs="Arial" w:eastAsia="Arial" w:hAnsi="Arial"/>
          <w:sz w:val="19"/>
          <w:szCs w:val="19"/>
          <w:color w:val="auto"/>
        </w:rPr>
        <w:t>The Company also believes adjusted financial measures such as adjusted gross profit percentage, adjusted selling, general and administrative expense, adjusted research and development expense, adjusted other operating expenses, adjusted operating income, adjusted income tax expense, adjusted net income and adjusted diluted earnings per share, are measures by which LivaNova generally uses to facilitate management review of the operational performance of the company, to serve as a basis for strategic planning and to assist in the design of compensation incentive plans. Additionally, the Company also uses the non-GAAP liquidity measure adjusted free cash flow. Furthermore, adjusted financial measures allow investors to evaluate the Company’s core performance for different periods on a more comparable and consistent basis, and with other entities in the medical technology industry by adjusting for items that are not related to the ongoing operations of the Company or incurred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9"/>
          <w:szCs w:val="19"/>
          <w:color w:val="6D2077"/>
        </w:rPr>
        <w:t>Safe Harbor Statement</w:t>
      </w:r>
    </w:p>
    <w:p>
      <w:pPr>
        <w:spacing w:after="0" w:line="320" w:lineRule="exact"/>
        <w:rPr>
          <w:sz w:val="20"/>
          <w:szCs w:val="20"/>
          <w:color w:val="auto"/>
        </w:rPr>
      </w:pPr>
    </w:p>
    <w:p>
      <w:pPr>
        <w:jc w:val="both"/>
        <w:spacing w:after="0" w:line="361" w:lineRule="auto"/>
        <w:rPr>
          <w:sz w:val="20"/>
          <w:szCs w:val="20"/>
          <w:color w:val="auto"/>
        </w:rPr>
      </w:pPr>
      <w:r>
        <w:rPr>
          <w:rFonts w:ascii="Arial" w:cs="Arial" w:eastAsia="Arial" w:hAnsi="Arial"/>
          <w:sz w:val="19"/>
          <w:szCs w:val="19"/>
          <w:color w:val="auto"/>
        </w:rPr>
        <w:t>Certain statements in this press release, other than purely historical information, are “forward-looking statements” within the meaning of the Private Securities Litigation Reform Act of 1995, Section 27A of the Securities Act of 1933 and Section 21E of the Securities Exchange Act of 1934, as amended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"outlook,"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Investors are cautioned that all such statements involve risks and uncertainties, including without limitation, statements concerning achieving a stronger future, driving sustainable growth and value to our shareholders, projected net sales, adjusted diluted earnings per share, cash flow from operations, capital expenditures, depreciation and amortization, advancing our growth, driving product launches and funding our equity investments, executing on our synergy targets and retaining our focus, energy and discipline as a company, and serving the needs of our customers and patients. Important factors that may cause actual results to differ include, but are not limited to: (i) changes in technology, including the development of superior or alternative technology or devices by competitors and/or competition from providers of alternative medical therapies; (ii) risks related to reductions, interruptions or increasing costs related to the supply of raw materials and components and the distribution of finished products, including as a result of inflation, war, etc.; (iii) failure to develop and commercialize new products and the rate and degree of market acceptance of such products; (iv) failure to obtain approvals or maintain the current regulatory approvals for our products’ approved indications; (v) failure to comply with, or changes in, laws, regulations or administrative practices affecting government regulation of our products, including, but not limited to, U.S. Food and Drug Administration (“FDA”) laws and regulations; (vi) changes in customer spending patterns; (vii) failure to establish, expand or maintain market acceptance of our products for the treatment of our approved indications; (viii) any legislative or administrative reform to the healthcare system, including the U.S. Medicare or Medicaid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114" w:lineRule="exact"/>
        <w:rPr>
          <w:sz w:val="20"/>
          <w:szCs w:val="20"/>
          <w:color w:val="auto"/>
        </w:rPr>
      </w:pPr>
    </w:p>
    <w:p>
      <w:pPr>
        <w:jc w:val="both"/>
        <w:spacing w:after="0" w:line="360" w:lineRule="auto"/>
        <w:rPr>
          <w:sz w:val="20"/>
          <w:szCs w:val="20"/>
          <w:color w:val="auto"/>
        </w:rPr>
      </w:pPr>
      <w:r>
        <w:rPr>
          <w:rFonts w:ascii="Arial" w:cs="Arial" w:eastAsia="Arial" w:hAnsi="Arial"/>
          <w:sz w:val="19"/>
          <w:szCs w:val="19"/>
          <w:color w:val="auto"/>
        </w:rPr>
        <w:t>systems or international reimbursement systems, that significantly reduces reimbursement for our products or procedures or denies coverage for such products or procedures or enhances coverage for competitive products or procedures, as well as adverse decisions by administrators of such systems on coverage or reimbursement issues relating to our products; (ix) failure to obtain or maintain coverage and reimbursement for our products’ approved indications and risks related to cost containment efforts of healthcare purchasing organizations; (x) unfavorable results from clinical studies or failure to meet milestones; (xi) losses or costs from pending, or future lawsuits and governmental investigations, including any amount of liability or damages imposed by the Appeals Court or the Supreme Court of Italy with respect to SNIA S.p.A.; (xii) risks relating to our indebtedness under the exchangeable senior notes, our revolving credit facility and our bridge loan facility; (xiii) volatility in the global market and worldwide economic conditions, including volatility caused by the invasion of Ukraine, changes to existing trade agreements and relationships between the U.S. and other countries including the implementation of sanctions and/or COVID-19; (xiv) effectiveness of our internal controls over financial reporting; (xv) changes in our profitability and/or failure to manage costs and expenses; (xvi) fluctuations in future quarterly operating results and/or variations in sales and operating expenses relative to estimates; (xvii) cyber-attacks or other disruptions to our information technology systems; (xviii) product liability, intellectual property, shareholder-related, environmental-related, income tax and other litigation, disputes, losses and costs; (xix) protection, expiration and validity of our intellectual property; (xx) failure to comply with applicable U.S. laws and regulations, including federal and state privacy and security laws and regulations, and applicable non-U.S. laws and regulations; (xxi) non-U.S. operational and economic risks and concerns;</w:t>
      </w:r>
    </w:p>
    <w:p>
      <w:pPr>
        <w:spacing w:after="0" w:line="8" w:lineRule="exact"/>
        <w:rPr>
          <w:sz w:val="20"/>
          <w:szCs w:val="20"/>
          <w:color w:val="auto"/>
        </w:rPr>
      </w:pPr>
    </w:p>
    <w:p>
      <w:pPr>
        <w:jc w:val="both"/>
        <w:ind w:firstLine="5"/>
        <w:spacing w:after="0" w:line="363" w:lineRule="auto"/>
        <w:tabs>
          <w:tab w:leader="none" w:pos="467" w:val="left"/>
        </w:tabs>
        <w:numPr>
          <w:ilvl w:val="0"/>
          <w:numId w:val="8"/>
        </w:numPr>
        <w:rPr>
          <w:rFonts w:ascii="Arial" w:cs="Arial" w:eastAsia="Arial" w:hAnsi="Arial"/>
          <w:sz w:val="19"/>
          <w:szCs w:val="19"/>
          <w:color w:val="auto"/>
        </w:rPr>
      </w:pPr>
      <w:r>
        <w:rPr>
          <w:rFonts w:ascii="Arial" w:cs="Arial" w:eastAsia="Arial" w:hAnsi="Arial"/>
          <w:sz w:val="19"/>
          <w:szCs w:val="19"/>
          <w:color w:val="auto"/>
        </w:rPr>
        <w:t>risks relating to the outbreak and spread of COVID-19 and its variants around the world; (xxiii) failure to retain key personnel, prevent labor shortages, or manage labor costs; (xxiv) harsh weather or natural disasters, including as a result of climate change, that interrupt our business operations or the business operations of our hospital-customers or failure to comply with evolving environmental laws; (xxv) failure of new acquisitions to further our strategic objectives or strengthen our existing businesses; (xxvi) changes in tax laws, including exposure to additional income tax liabilities; (xxvii) changes in our common stock price; and (xxviii) activist investors causing disruptions to the business.</w:t>
      </w:r>
    </w:p>
    <w:p>
      <w:pPr>
        <w:spacing w:after="0" w:line="197" w:lineRule="exact"/>
        <w:rPr>
          <w:sz w:val="20"/>
          <w:szCs w:val="20"/>
          <w:color w:val="auto"/>
        </w:rPr>
      </w:pPr>
    </w:p>
    <w:p>
      <w:pPr>
        <w:jc w:val="both"/>
        <w:spacing w:after="0" w:line="365" w:lineRule="auto"/>
        <w:rPr>
          <w:sz w:val="20"/>
          <w:szCs w:val="20"/>
          <w:color w:val="auto"/>
        </w:rPr>
      </w:pPr>
      <w:r>
        <w:rPr>
          <w:rFonts w:ascii="Arial" w:cs="Arial" w:eastAsia="Arial" w:hAnsi="Arial"/>
          <w:sz w:val="19"/>
          <w:szCs w:val="19"/>
          <w:color w:val="auto"/>
        </w:rPr>
        <w:t>The foregoing list of factors is not exhaustive. You should carefully consider the foregoing factors and the other risks and uncertainties that affect the Company’s business, including those described in the “Risk Factors” section of Annual Reports on Form 10-K, Quarterly Reports on Form 10-Q, Current Reports on Form 8-K and other documents filed from time to time with the United States Securities and Exchange Commission by LivaNova.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p>
    <w:p>
      <w:pPr>
        <w:spacing w:after="0" w:line="361" w:lineRule="exact"/>
        <w:rPr>
          <w:sz w:val="20"/>
          <w:szCs w:val="20"/>
          <w:color w:val="auto"/>
        </w:rPr>
      </w:pPr>
    </w:p>
    <w:p>
      <w:pPr>
        <w:jc w:val="both"/>
        <w:spacing w:after="0" w:line="368" w:lineRule="auto"/>
        <w:rPr>
          <w:sz w:val="20"/>
          <w:szCs w:val="20"/>
          <w:color w:val="auto"/>
        </w:rPr>
      </w:pPr>
      <w:r>
        <w:rPr>
          <w:rFonts w:ascii="Arial" w:cs="Arial" w:eastAsia="Arial" w:hAnsi="Arial"/>
          <w:sz w:val="19"/>
          <w:szCs w:val="19"/>
          <w:color w:val="auto"/>
        </w:rPr>
        <w:t>We caution you not to place undue reliance on any forward-looking statements, which are made only as of the date of this press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1"/>
          <w:szCs w:val="21"/>
          <w:color w:val="auto"/>
        </w:rPr>
        <w:t>Lindsey Little</w:t>
      </w:r>
    </w:p>
    <w:p>
      <w:pPr>
        <w:ind w:left="80"/>
        <w:spacing w:after="0"/>
        <w:rPr>
          <w:sz w:val="20"/>
          <w:szCs w:val="20"/>
          <w:color w:val="auto"/>
        </w:rPr>
      </w:pPr>
      <w:r>
        <w:rPr>
          <w:rFonts w:ascii="Arial" w:cs="Arial" w:eastAsia="Arial" w:hAnsi="Arial"/>
          <w:sz w:val="19"/>
          <w:szCs w:val="19"/>
          <w:color w:val="auto"/>
        </w:rPr>
        <w:t>Senior Director, Investor Relations</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9"/>
          <w:szCs w:val="19"/>
          <w:color w:val="auto"/>
        </w:rPr>
        <w:t>Phone: +1 281 895 2382</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9"/>
          <w:szCs w:val="19"/>
          <w:color w:val="auto"/>
        </w:rPr>
        <w:t>e-mail: InvestorRelations@livanova.com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440" w:right="339" w:bottom="1440" w:gutter="0" w:footer="0" w:header="0"/>
        </w:sectPr>
      </w:pPr>
    </w:p>
    <w:bookmarkStart w:id="11" w:name="page12"/>
    <w:bookmarkEnd w:id="11"/>
    <w:tbl>
      <w:tblPr>
        <w:tblLayout w:type="fixed"/>
        <w:tblInd w:w="4" w:type="dxa"/>
        <w:tblCellMar>
          <w:top w:w="0" w:type="dxa"/>
          <w:left w:w="0" w:type="dxa"/>
          <w:bottom w:w="0" w:type="dxa"/>
          <w:right w:w="0" w:type="dxa"/>
        </w:tblCellMar>
      </w:tblPr>
      <w:tr>
        <w:trPr>
          <w:trHeight w:val="223"/>
        </w:trPr>
        <w:tc>
          <w:tcPr>
            <w:tcW w:w="4480" w:type="dxa"/>
            <w:vAlign w:val="bottom"/>
          </w:tcPr>
          <w:p>
            <w:pPr>
              <w:spacing w:after="0"/>
              <w:rPr>
                <w:sz w:val="20"/>
                <w:szCs w:val="20"/>
                <w:color w:val="auto"/>
              </w:rPr>
            </w:pPr>
            <w:r>
              <w:rPr>
                <w:rFonts w:ascii="Arial" w:cs="Arial" w:eastAsia="Arial" w:hAnsi="Arial"/>
                <w:sz w:val="18"/>
                <w:szCs w:val="18"/>
                <w:b w:val="1"/>
                <w:bCs w:val="1"/>
                <w:color w:val="auto"/>
              </w:rPr>
              <w:t>LIVANOVA PLC</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480" w:type="dxa"/>
            <w:vAlign w:val="bottom"/>
          </w:tcPr>
          <w:p>
            <w:pPr>
              <w:spacing w:after="0"/>
              <w:rPr>
                <w:sz w:val="20"/>
                <w:szCs w:val="20"/>
                <w:color w:val="auto"/>
              </w:rPr>
            </w:pPr>
            <w:r>
              <w:rPr>
                <w:rFonts w:ascii="Arial" w:cs="Arial" w:eastAsia="Arial" w:hAnsi="Arial"/>
                <w:sz w:val="18"/>
                <w:szCs w:val="18"/>
                <w:b w:val="1"/>
                <w:bCs w:val="1"/>
                <w:color w:val="auto"/>
              </w:rPr>
              <w:t>(U.S. dollars in millions)</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gridSpan w:val="5"/>
            <w:vMerge w:val="restart"/>
          </w:tcPr>
          <w:p>
            <w:pPr>
              <w:ind w:left="620"/>
              <w:spacing w:after="0"/>
              <w:rPr>
                <w:sz w:val="20"/>
                <w:szCs w:val="20"/>
                <w:color w:val="auto"/>
              </w:rPr>
            </w:pPr>
            <w:r>
              <w:rPr>
                <w:rFonts w:ascii="Arial" w:cs="Arial" w:eastAsia="Arial" w:hAnsi="Arial"/>
                <w:sz w:val="18"/>
                <w:szCs w:val="18"/>
                <w:b w:val="1"/>
                <w:bCs w:val="1"/>
                <w:color w:val="auto"/>
              </w:rPr>
              <w:t>Three Months Ended March 31,</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5"/>
            <w:vMerge w:val="continue"/>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 Change at Actual</w:t>
            </w:r>
          </w:p>
        </w:tc>
        <w:tc>
          <w:tcPr>
            <w:tcW w:w="1840" w:type="dxa"/>
            <w:vAlign w:val="bottom"/>
          </w:tcPr>
          <w:p>
            <w:pPr>
              <w:jc w:val="center"/>
              <w:spacing w:after="0" w:line="164" w:lineRule="exact"/>
              <w:rPr>
                <w:sz w:val="20"/>
                <w:szCs w:val="20"/>
                <w:color w:val="auto"/>
              </w:rPr>
            </w:pPr>
            <w:r>
              <w:rPr>
                <w:rFonts w:ascii="Arial" w:cs="Arial" w:eastAsia="Arial" w:hAnsi="Arial"/>
                <w:sz w:val="18"/>
                <w:szCs w:val="18"/>
                <w:b w:val="1"/>
                <w:bCs w:val="1"/>
                <w:color w:val="auto"/>
                <w:w w:val="96"/>
              </w:rPr>
              <w:t>% Change at</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320" w:type="dxa"/>
            <w:vAlign w:val="bottom"/>
            <w:vMerge w:val="restart"/>
          </w:tcPr>
          <w:p>
            <w:pPr>
              <w:jc w:val="right"/>
              <w:ind w:right="372"/>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4"/>
                <w:szCs w:val="14"/>
                <w:color w:val="auto"/>
              </w:rPr>
            </w:pPr>
          </w:p>
        </w:tc>
        <w:tc>
          <w:tcPr>
            <w:tcW w:w="1320" w:type="dxa"/>
            <w:vAlign w:val="bottom"/>
            <w:vMerge w:val="restart"/>
          </w:tcPr>
          <w:p>
            <w:pPr>
              <w:jc w:val="right"/>
              <w:ind w:right="39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4"/>
                <w:szCs w:val="14"/>
                <w:color w:val="auto"/>
              </w:rPr>
            </w:pPr>
          </w:p>
        </w:tc>
        <w:tc>
          <w:tcPr>
            <w:tcW w:w="2000" w:type="dxa"/>
            <w:vAlign w:val="bottom"/>
            <w:gridSpan w:val="3"/>
            <w:vMerge w:val="continue"/>
          </w:tcPr>
          <w:p>
            <w:pPr>
              <w:spacing w:after="0"/>
              <w:rPr>
                <w:sz w:val="14"/>
                <w:szCs w:val="14"/>
                <w:color w:val="auto"/>
              </w:rPr>
            </w:pPr>
          </w:p>
        </w:tc>
        <w:tc>
          <w:tcPr>
            <w:tcW w:w="1840" w:type="dxa"/>
            <w:vAlign w:val="bottom"/>
          </w:tcPr>
          <w:p>
            <w:pPr>
              <w:jc w:val="center"/>
              <w:spacing w:after="0" w:line="170" w:lineRule="exact"/>
              <w:rPr>
                <w:sz w:val="20"/>
                <w:szCs w:val="20"/>
                <w:color w:val="auto"/>
              </w:rPr>
            </w:pPr>
            <w:r>
              <w:rPr>
                <w:rFonts w:ascii="Arial" w:cs="Arial" w:eastAsia="Arial" w:hAnsi="Arial"/>
                <w:sz w:val="18"/>
                <w:szCs w:val="18"/>
                <w:b w:val="1"/>
                <w:bCs w:val="1"/>
                <w:color w:val="auto"/>
                <w:w w:val="96"/>
              </w:rPr>
              <w:t>Constant-Currency</w:t>
            </w:r>
          </w:p>
        </w:tc>
        <w:tc>
          <w:tcPr>
            <w:tcW w:w="0" w:type="dxa"/>
            <w:vAlign w:val="bottom"/>
          </w:tcPr>
          <w:p>
            <w:pPr>
              <w:spacing w:after="0"/>
              <w:rPr>
                <w:sz w:val="1"/>
                <w:szCs w:val="1"/>
                <w:color w:val="auto"/>
              </w:rPr>
            </w:pPr>
          </w:p>
        </w:tc>
      </w:tr>
      <w:tr>
        <w:trPr>
          <w:trHeight w:val="223"/>
        </w:trPr>
        <w:tc>
          <w:tcPr>
            <w:tcW w:w="4480" w:type="dxa"/>
            <w:vAlign w:val="bottom"/>
            <w:vMerge w:val="restart"/>
          </w:tcPr>
          <w:p>
            <w:pPr>
              <w:spacing w:after="0"/>
              <w:rPr>
                <w:sz w:val="20"/>
                <w:szCs w:val="20"/>
                <w:color w:val="auto"/>
              </w:rPr>
            </w:pPr>
            <w:r>
              <w:rPr>
                <w:rFonts w:ascii="Arial" w:cs="Arial" w:eastAsia="Arial" w:hAnsi="Arial"/>
                <w:sz w:val="18"/>
                <w:szCs w:val="18"/>
                <w:b w:val="1"/>
                <w:bCs w:val="1"/>
                <w:color w:val="auto"/>
              </w:rPr>
              <w:t>Cardiopulmonary</w:t>
            </w:r>
          </w:p>
        </w:tc>
        <w:tc>
          <w:tcPr>
            <w:tcW w:w="13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Currency Rates</w:t>
            </w:r>
          </w:p>
        </w:tc>
        <w:tc>
          <w:tcPr>
            <w:tcW w:w="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18"/>
                <w:szCs w:val="18"/>
                <w:b w:val="1"/>
                <w:bCs w:val="1"/>
                <w:color w:val="auto"/>
                <w:w w:val="91"/>
              </w:rPr>
              <w:t xml:space="preserve">Rates </w:t>
            </w:r>
            <w:r>
              <w:rPr>
                <w:rFonts w:ascii="Arial" w:cs="Arial" w:eastAsia="Arial" w:hAnsi="Arial"/>
                <w:sz w:val="22"/>
                <w:szCs w:val="22"/>
                <w:b w:val="1"/>
                <w:bCs w:val="1"/>
                <w:color w:val="auto"/>
                <w:w w:val="91"/>
                <w:vertAlign w:val="superscript"/>
              </w:rPr>
              <w:t>(1)</w:t>
            </w:r>
          </w:p>
        </w:tc>
        <w:tc>
          <w:tcPr>
            <w:tcW w:w="0" w:type="dxa"/>
            <w:vAlign w:val="bottom"/>
          </w:tcPr>
          <w:p>
            <w:pPr>
              <w:spacing w:after="0"/>
              <w:rPr>
                <w:sz w:val="1"/>
                <w:szCs w:val="1"/>
                <w:color w:val="auto"/>
              </w:rPr>
            </w:pPr>
          </w:p>
        </w:tc>
      </w:tr>
      <w:tr>
        <w:trPr>
          <w:trHeight w:val="203"/>
        </w:trPr>
        <w:tc>
          <w:tcPr>
            <w:tcW w:w="448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10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$35.8</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23"/>
        </w:trPr>
        <w:tc>
          <w:tcPr>
            <w:tcW w:w="4480" w:type="dxa"/>
            <w:vAlign w:val="bottom"/>
          </w:tcPr>
          <w:p>
            <w:pPr>
              <w:ind w:left="10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30.6</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23"/>
        </w:trPr>
        <w:tc>
          <w:tcPr>
            <w:tcW w:w="448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17.7 %</w:t>
            </w: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12"/>
        </w:trPr>
        <w:tc>
          <w:tcPr>
            <w:tcW w:w="4480" w:type="dxa"/>
            <w:vAlign w:val="bottom"/>
          </w:tcPr>
          <w:p>
            <w:pPr>
              <w:spacing w:after="0"/>
              <w:rPr>
                <w:sz w:val="20"/>
                <w:szCs w:val="20"/>
                <w:color w:val="auto"/>
              </w:rPr>
            </w:pPr>
            <w:r>
              <w:rPr>
                <w:rFonts w:ascii="Arial" w:cs="Arial" w:eastAsia="Arial" w:hAnsi="Arial"/>
                <w:sz w:val="18"/>
                <w:szCs w:val="18"/>
                <w:b w:val="1"/>
                <w:bCs w:val="1"/>
                <w:color w:val="auto"/>
              </w:rPr>
              <w:t>Neuromodulation</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80" w:type="dxa"/>
            <w:vAlign w:val="bottom"/>
          </w:tcPr>
          <w:p>
            <w:pPr>
              <w:ind w:left="10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82.3</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23"/>
        </w:trPr>
        <w:tc>
          <w:tcPr>
            <w:tcW w:w="4480" w:type="dxa"/>
            <w:vAlign w:val="bottom"/>
          </w:tcPr>
          <w:p>
            <w:pPr>
              <w:ind w:left="10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13.2 %</w:t>
            </w:r>
          </w:p>
        </w:tc>
        <w:tc>
          <w:tcPr>
            <w:tcW w:w="0" w:type="dxa"/>
            <w:vAlign w:val="bottom"/>
          </w:tcPr>
          <w:p>
            <w:pPr>
              <w:spacing w:after="0"/>
              <w:rPr>
                <w:sz w:val="1"/>
                <w:szCs w:val="1"/>
                <w:color w:val="auto"/>
              </w:rPr>
            </w:pPr>
          </w:p>
        </w:tc>
      </w:tr>
      <w:tr>
        <w:trPr>
          <w:trHeight w:val="223"/>
        </w:trPr>
        <w:tc>
          <w:tcPr>
            <w:tcW w:w="448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12"/>
        </w:trPr>
        <w:tc>
          <w:tcPr>
            <w:tcW w:w="4480" w:type="dxa"/>
            <w:vAlign w:val="bottom"/>
          </w:tcPr>
          <w:p>
            <w:pPr>
              <w:spacing w:after="0"/>
              <w:rPr>
                <w:sz w:val="20"/>
                <w:szCs w:val="20"/>
                <w:color w:val="auto"/>
              </w:rPr>
            </w:pPr>
            <w:r>
              <w:rPr>
                <w:rFonts w:ascii="Arial" w:cs="Arial" w:eastAsia="Arial" w:hAnsi="Arial"/>
                <w:sz w:val="18"/>
                <w:szCs w:val="18"/>
                <w:b w:val="1"/>
                <w:bCs w:val="1"/>
                <w:color w:val="auto"/>
              </w:rPr>
              <w:t>Advanced Circulatory Support</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80" w:type="dxa"/>
            <w:vAlign w:val="bottom"/>
          </w:tcPr>
          <w:p>
            <w:pPr>
              <w:ind w:left="10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(12.7)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4480" w:type="dxa"/>
            <w:vAlign w:val="bottom"/>
          </w:tcPr>
          <w:p>
            <w:pPr>
              <w:ind w:left="10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164.5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48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(42.6) %</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(10.1)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2"/>
        </w:trPr>
        <w:tc>
          <w:tcPr>
            <w:tcW w:w="448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80" w:type="dxa"/>
            <w:vAlign w:val="bottom"/>
          </w:tcPr>
          <w:p>
            <w:pPr>
              <w:ind w:left="100"/>
              <w:spacing w:after="0"/>
              <w:rPr>
                <w:sz w:val="20"/>
                <w:szCs w:val="20"/>
                <w:color w:val="auto"/>
              </w:rPr>
            </w:pPr>
            <w:r>
              <w:rPr>
                <w:rFonts w:ascii="Arial" w:cs="Arial" w:eastAsia="Arial" w:hAnsi="Arial"/>
                <w:sz w:val="18"/>
                <w:szCs w:val="18"/>
                <w:color w:val="auto"/>
              </w:rPr>
              <w:t>US</w:t>
            </w:r>
          </w:p>
        </w:tc>
        <w:tc>
          <w:tcPr>
            <w:tcW w:w="1440" w:type="dxa"/>
            <w:vAlign w:val="bottom"/>
            <w:gridSpan w:val="2"/>
            <w:vMerge w:val="continue"/>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480" w:type="dxa"/>
            <w:vAlign w:val="bottom"/>
          </w:tcPr>
          <w:p>
            <w:pPr>
              <w:ind w:left="100"/>
              <w:spacing w:after="0"/>
              <w:rPr>
                <w:sz w:val="20"/>
                <w:szCs w:val="20"/>
                <w:color w:val="auto"/>
              </w:rPr>
            </w:pPr>
            <w:r>
              <w:rPr>
                <w:rFonts w:ascii="Arial" w:cs="Arial" w:eastAsia="Arial" w:hAnsi="Arial"/>
                <w:sz w:val="18"/>
                <w:szCs w:val="18"/>
                <w:color w:val="auto"/>
              </w:rPr>
              <w:t>Europe</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8.3</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48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(89.4) %</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(94.6)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2"/>
        </w:trPr>
        <w:tc>
          <w:tcPr>
            <w:tcW w:w="448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80" w:type="dxa"/>
            <w:vAlign w:val="bottom"/>
          </w:tcPr>
          <w:p>
            <w:pPr>
              <w:ind w:left="10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133.3</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23"/>
        </w:trPr>
        <w:tc>
          <w:tcPr>
            <w:tcW w:w="4480" w:type="dxa"/>
            <w:vAlign w:val="bottom"/>
          </w:tcPr>
          <w:p>
            <w:pPr>
              <w:ind w:left="10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50.8</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(11.2) %</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448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7"/>
        </w:trPr>
        <w:tc>
          <w:tcPr>
            <w:tcW w:w="4480" w:type="dxa"/>
            <w:vAlign w:val="bottom"/>
          </w:tcPr>
          <w:p>
            <w:pPr>
              <w:ind w:left="20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04" w:right="20" w:hanging="404"/>
        <w:spacing w:after="0" w:line="225" w:lineRule="auto"/>
        <w:tabs>
          <w:tab w:leader="none" w:pos="404"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Constant-currency growth, a non-GAAP financial measure, measures the change in sales between current and prior-year periods using average exchange rates in effect during the applicable prior-year period.</w:t>
      </w:r>
    </w:p>
    <w:p>
      <w:pPr>
        <w:spacing w:after="0" w:line="23" w:lineRule="exact"/>
        <w:rPr>
          <w:sz w:val="20"/>
          <w:szCs w:val="20"/>
          <w:color w:val="auto"/>
        </w:rPr>
      </w:pPr>
    </w:p>
    <w:p>
      <w:pPr>
        <w:ind w:left="404" w:hanging="404"/>
        <w:spacing w:after="0"/>
        <w:tabs>
          <w:tab w:leader="none" w:pos="404"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sales results presented are unaudited. Numbers may not add precisely due to rounding.</w:t>
      </w:r>
    </w:p>
    <w:p>
      <w:pPr>
        <w:spacing w:after="0" w:line="200" w:lineRule="exact"/>
        <w:rPr>
          <w:sz w:val="20"/>
          <w:szCs w:val="20"/>
          <w:color w:val="auto"/>
        </w:rPr>
      </w:pPr>
    </w:p>
    <w:p>
      <w:pPr>
        <w:spacing w:after="0" w:line="212" w:lineRule="exact"/>
        <w:rPr>
          <w:sz w:val="20"/>
          <w:szCs w:val="20"/>
          <w:color w:val="auto"/>
        </w:rPr>
      </w:pPr>
    </w:p>
    <w:p>
      <w:pPr>
        <w:jc w:val="center"/>
        <w:ind w:right="-3"/>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184"/>
          </w:cols>
          <w:pgMar w:left="356" w:top="1416" w:right="359" w:bottom="1440" w:gutter="0" w:footer="0" w:header="0"/>
        </w:sectPr>
      </w:pPr>
    </w:p>
    <w:bookmarkStart w:id="12" w:name="page13"/>
    <w:bookmarkEnd w:id="12"/>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LIVANOVA PLC AND SUBSIDIARIES</w:t>
      </w:r>
    </w:p>
    <w:p>
      <w:pPr>
        <w:spacing w:after="0" w:line="25" w:lineRule="exact"/>
        <w:rPr>
          <w:sz w:val="20"/>
          <w:szCs w:val="20"/>
          <w:color w:val="auto"/>
        </w:rPr>
      </w:pPr>
    </w:p>
    <w:p>
      <w:pPr>
        <w:ind w:right="5220"/>
        <w:spacing w:after="0" w:line="277" w:lineRule="auto"/>
        <w:rPr>
          <w:sz w:val="20"/>
          <w:szCs w:val="20"/>
          <w:color w:val="auto"/>
        </w:rPr>
      </w:pPr>
      <w:r>
        <w:rPr>
          <w:rFonts w:ascii="Arial" w:cs="Arial" w:eastAsia="Arial" w:hAnsi="Arial"/>
          <w:sz w:val="18"/>
          <w:szCs w:val="18"/>
          <w:b w:val="1"/>
          <w:bCs w:val="1"/>
          <w:color w:val="auto"/>
        </w:rPr>
        <w:t>CONDENSED CONSOLIDATED STATEMENTS OF INCOME - UNAUDITED (U.S. dollars in millions, except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420" w:type="dxa"/>
            <w:vAlign w:val="bottom"/>
          </w:tcPr>
          <w:p>
            <w:pPr>
              <w:spacing w:after="0"/>
              <w:rPr>
                <w:sz w:val="20"/>
                <w:szCs w:val="20"/>
                <w:color w:val="auto"/>
              </w:rPr>
            </w:pPr>
          </w:p>
        </w:tc>
        <w:tc>
          <w:tcPr>
            <w:tcW w:w="3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17"/>
        </w:trPr>
        <w:tc>
          <w:tcPr>
            <w:tcW w:w="54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 Change</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680" w:type="dxa"/>
            <w:vAlign w:val="bottom"/>
          </w:tcPr>
          <w:p>
            <w:pPr>
              <w:jc w:val="right"/>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$247.6</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Cost of sales</w:t>
            </w: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r>
      <w:tr>
        <w:trPr>
          <w:trHeight w:val="216"/>
        </w:trPr>
        <w:tc>
          <w:tcPr>
            <w:tcW w:w="6600" w:type="dxa"/>
            <w:vAlign w:val="bottom"/>
            <w:gridSpan w:val="2"/>
          </w:tcPr>
          <w:p>
            <w:pPr>
              <w:ind w:left="100"/>
              <w:spacing w:after="0"/>
              <w:rPr>
                <w:sz w:val="20"/>
                <w:szCs w:val="20"/>
                <w:color w:val="auto"/>
              </w:rPr>
            </w:pPr>
            <w:r>
              <w:rPr>
                <w:rFonts w:ascii="Arial" w:cs="Arial" w:eastAsia="Arial" w:hAnsi="Arial"/>
                <w:sz w:val="18"/>
                <w:szCs w:val="18"/>
                <w:color w:val="auto"/>
              </w:rPr>
              <w:t>Gross profit</w:t>
            </w:r>
          </w:p>
        </w:tc>
        <w:tc>
          <w:tcPr>
            <w:tcW w:w="680" w:type="dxa"/>
            <w:vAlign w:val="bottom"/>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03"/>
        </w:trPr>
        <w:tc>
          <w:tcPr>
            <w:tcW w:w="542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1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r>
      <w:tr>
        <w:trPr>
          <w:trHeight w:val="223"/>
        </w:trPr>
        <w:tc>
          <w:tcPr>
            <w:tcW w:w="6600" w:type="dxa"/>
            <w:vAlign w:val="bottom"/>
            <w:gridSpan w:val="2"/>
          </w:tcPr>
          <w:p>
            <w:pPr>
              <w:ind w:left="10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3"/>
        </w:trPr>
        <w:tc>
          <w:tcPr>
            <w:tcW w:w="6600" w:type="dxa"/>
            <w:vAlign w:val="bottom"/>
            <w:gridSpan w:val="2"/>
          </w:tcPr>
          <w:p>
            <w:pPr>
              <w:ind w:left="100"/>
              <w:spacing w:after="0"/>
              <w:rPr>
                <w:sz w:val="20"/>
                <w:szCs w:val="20"/>
                <w:color w:val="auto"/>
              </w:rPr>
            </w:pPr>
            <w:r>
              <w:rPr>
                <w:rFonts w:ascii="Arial" w:cs="Arial" w:eastAsia="Arial" w:hAnsi="Arial"/>
                <w:sz w:val="18"/>
                <w:szCs w:val="18"/>
                <w:color w:val="auto"/>
              </w:rPr>
              <w:t>Research and development</w:t>
            </w:r>
          </w:p>
        </w:tc>
        <w:tc>
          <w:tcPr>
            <w:tcW w:w="68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3"/>
        </w:trPr>
        <w:tc>
          <w:tcPr>
            <w:tcW w:w="5420" w:type="dxa"/>
            <w:vAlign w:val="bottom"/>
          </w:tcPr>
          <w:p>
            <w:pPr>
              <w:ind w:left="100"/>
              <w:spacing w:after="0"/>
              <w:rPr>
                <w:sz w:val="20"/>
                <w:szCs w:val="20"/>
                <w:color w:val="auto"/>
              </w:rPr>
            </w:pPr>
            <w:r>
              <w:rPr>
                <w:rFonts w:ascii="Arial" w:cs="Arial" w:eastAsia="Arial" w:hAnsi="Arial"/>
                <w:sz w:val="18"/>
                <w:szCs w:val="18"/>
                <w:color w:val="auto"/>
              </w:rPr>
              <w:t>Other operating expenses</w:t>
            </w: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w:t>
            </w:r>
          </w:p>
        </w:tc>
      </w:tr>
      <w:tr>
        <w:trPr>
          <w:trHeight w:val="216"/>
        </w:trPr>
        <w:tc>
          <w:tcPr>
            <w:tcW w:w="6600" w:type="dxa"/>
            <w:vAlign w:val="bottom"/>
            <w:gridSpan w:val="2"/>
          </w:tcPr>
          <w:p>
            <w:pPr>
              <w:ind w:left="100"/>
              <w:spacing w:after="0"/>
              <w:rPr>
                <w:sz w:val="20"/>
                <w:szCs w:val="20"/>
                <w:color w:val="auto"/>
              </w:rPr>
            </w:pPr>
            <w:r>
              <w:rPr>
                <w:rFonts w:ascii="Arial" w:cs="Arial" w:eastAsia="Arial" w:hAnsi="Arial"/>
                <w:sz w:val="18"/>
                <w:szCs w:val="18"/>
                <w:color w:val="auto"/>
              </w:rPr>
              <w:t>Interest expense</w:t>
            </w:r>
          </w:p>
        </w:tc>
        <w:tc>
          <w:tcPr>
            <w:tcW w:w="6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23"/>
        </w:trPr>
        <w:tc>
          <w:tcPr>
            <w:tcW w:w="5420" w:type="dxa"/>
            <w:vAlign w:val="bottom"/>
          </w:tcPr>
          <w:p>
            <w:pPr>
              <w:ind w:left="100"/>
              <w:spacing w:after="0"/>
              <w:rPr>
                <w:sz w:val="20"/>
                <w:szCs w:val="20"/>
                <w:color w:val="auto"/>
              </w:rPr>
            </w:pPr>
            <w:r>
              <w:rPr>
                <w:rFonts w:ascii="Arial" w:cs="Arial" w:eastAsia="Arial" w:hAnsi="Arial"/>
                <w:sz w:val="18"/>
                <w:szCs w:val="18"/>
                <w:color w:val="auto"/>
              </w:rPr>
              <w:t>Foreign exchange and other gains/(losses)</w:t>
            </w: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Income (loss) before tax</w:t>
            </w:r>
          </w:p>
        </w:tc>
        <w:tc>
          <w:tcPr>
            <w:tcW w:w="1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r>
      <w:tr>
        <w:trPr>
          <w:trHeight w:val="216"/>
        </w:trPr>
        <w:tc>
          <w:tcPr>
            <w:tcW w:w="5420" w:type="dxa"/>
            <w:vAlign w:val="bottom"/>
          </w:tcPr>
          <w:p>
            <w:pPr>
              <w:ind w:left="100"/>
              <w:spacing w:after="0"/>
              <w:rPr>
                <w:sz w:val="20"/>
                <w:szCs w:val="20"/>
                <w:color w:val="auto"/>
              </w:rPr>
            </w:pPr>
            <w:r>
              <w:rPr>
                <w:rFonts w:ascii="Arial" w:cs="Arial" w:eastAsia="Arial" w:hAnsi="Arial"/>
                <w:sz w:val="18"/>
                <w:szCs w:val="18"/>
                <w:color w:val="auto"/>
              </w:rPr>
              <w:t>Income tax expense</w:t>
            </w:r>
          </w:p>
        </w:tc>
        <w:tc>
          <w:tcPr>
            <w:tcW w:w="1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r>
      <w:tr>
        <w:trPr>
          <w:trHeight w:val="217"/>
        </w:trPr>
        <w:tc>
          <w:tcPr>
            <w:tcW w:w="66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(109.7)%</w:t>
            </w:r>
          </w:p>
        </w:tc>
      </w:tr>
      <w:tr>
        <w:trPr>
          <w:trHeight w:val="20"/>
        </w:trPr>
        <w:tc>
          <w:tcPr>
            <w:tcW w:w="5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399"/>
        </w:trPr>
        <w:tc>
          <w:tcPr>
            <w:tcW w:w="6600" w:type="dxa"/>
            <w:vAlign w:val="bottom"/>
            <w:gridSpan w:val="2"/>
          </w:tcPr>
          <w:p>
            <w:pPr>
              <w:spacing w:after="0"/>
              <w:rPr>
                <w:sz w:val="20"/>
                <w:szCs w:val="20"/>
                <w:color w:val="auto"/>
              </w:rPr>
            </w:pPr>
            <w:r>
              <w:rPr>
                <w:rFonts w:ascii="Arial" w:cs="Arial" w:eastAsia="Arial" w:hAnsi="Arial"/>
                <w:sz w:val="18"/>
                <w:szCs w:val="18"/>
                <w:color w:val="auto"/>
              </w:rPr>
              <w:t>Basic income (loss) per share</w:t>
            </w:r>
          </w:p>
        </w:tc>
        <w:tc>
          <w:tcPr>
            <w:tcW w:w="68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Diluted income (loss) per share</w:t>
            </w:r>
          </w:p>
        </w:tc>
        <w:tc>
          <w:tcPr>
            <w:tcW w:w="68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3"/>
        </w:trPr>
        <w:tc>
          <w:tcPr>
            <w:tcW w:w="660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23"/>
        </w:trPr>
        <w:tc>
          <w:tcPr>
            <w:tcW w:w="6600" w:type="dxa"/>
            <w:vAlign w:val="bottom"/>
            <w:gridSpan w:val="2"/>
          </w:tcPr>
          <w:p>
            <w:pPr>
              <w:ind w:left="100"/>
              <w:spacing w:after="0"/>
              <w:rPr>
                <w:sz w:val="20"/>
                <w:szCs w:val="20"/>
                <w:color w:val="auto"/>
              </w:rPr>
            </w:pPr>
            <w:r>
              <w:rPr>
                <w:rFonts w:ascii="Arial" w:cs="Arial" w:eastAsia="Arial" w:hAnsi="Arial"/>
                <w:sz w:val="18"/>
                <w:szCs w:val="18"/>
                <w:color w:val="auto"/>
              </w:rPr>
              <w:t>Basic</w:t>
            </w:r>
          </w:p>
        </w:tc>
        <w:tc>
          <w:tcPr>
            <w:tcW w:w="68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3"/>
        </w:trPr>
        <w:tc>
          <w:tcPr>
            <w:tcW w:w="6600" w:type="dxa"/>
            <w:vAlign w:val="bottom"/>
            <w:gridSpan w:val="2"/>
          </w:tcPr>
          <w:p>
            <w:pPr>
              <w:ind w:left="100"/>
              <w:spacing w:after="0"/>
              <w:rPr>
                <w:sz w:val="20"/>
                <w:szCs w:val="20"/>
                <w:color w:val="auto"/>
              </w:rPr>
            </w:pPr>
            <w:r>
              <w:rPr>
                <w:rFonts w:ascii="Arial" w:cs="Arial" w:eastAsia="Arial" w:hAnsi="Arial"/>
                <w:sz w:val="18"/>
                <w:szCs w:val="18"/>
                <w:color w:val="auto"/>
              </w:rPr>
              <w:t>Diluted</w:t>
            </w:r>
          </w:p>
        </w:tc>
        <w:tc>
          <w:tcPr>
            <w:tcW w:w="68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 Numbers may not add precisely due to rounding.</w:t>
      </w: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20"/>
          </w:cols>
          <w:pgMar w:left="340" w:top="144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2"/>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Adjusted Financial Measures (U.S. dollars in millions, except per share amounts)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3"/>
        </w:trPr>
        <w:tc>
          <w:tcPr>
            <w:tcW w:w="6040" w:type="dxa"/>
            <w:vAlign w:val="bottom"/>
          </w:tcPr>
          <w:p>
            <w:pPr>
              <w:spacing w:after="0"/>
              <w:rPr>
                <w:sz w:val="24"/>
                <w:szCs w:val="24"/>
                <w:color w:val="auto"/>
              </w:rPr>
            </w:pPr>
          </w:p>
        </w:tc>
        <w:tc>
          <w:tcPr>
            <w:tcW w:w="362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 March 31,</w:t>
            </w:r>
          </w:p>
        </w:tc>
        <w:tc>
          <w:tcPr>
            <w:tcW w:w="1560" w:type="dxa"/>
            <w:vAlign w:val="bottom"/>
          </w:tcPr>
          <w:p>
            <w:pPr>
              <w:spacing w:after="0"/>
              <w:rPr>
                <w:sz w:val="24"/>
                <w:szCs w:val="24"/>
                <w:color w:val="auto"/>
              </w:rPr>
            </w:pPr>
          </w:p>
        </w:tc>
      </w:tr>
      <w:tr>
        <w:trPr>
          <w:trHeight w:val="217"/>
        </w:trPr>
        <w:tc>
          <w:tcPr>
            <w:tcW w:w="60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172"/>
              <w:spacing w:after="0" w:line="217" w:lineRule="exact"/>
              <w:rPr>
                <w:sz w:val="20"/>
                <w:szCs w:val="20"/>
                <w:color w:val="auto"/>
              </w:rPr>
            </w:pPr>
            <w:r>
              <w:rPr>
                <w:rFonts w:ascii="Arial" w:cs="Arial" w:eastAsia="Arial" w:hAnsi="Arial"/>
                <w:sz w:val="18"/>
                <w:szCs w:val="18"/>
                <w:b w:val="1"/>
                <w:bCs w:val="1"/>
                <w:color w:val="auto"/>
              </w:rPr>
              <w:t xml:space="preserve">% Change </w:t>
            </w:r>
            <w:r>
              <w:rPr>
                <w:rFonts w:ascii="Arial" w:cs="Arial" w:eastAsia="Arial" w:hAnsi="Arial"/>
                <w:sz w:val="22"/>
                <w:szCs w:val="22"/>
                <w:b w:val="1"/>
                <w:bCs w:val="1"/>
                <w:color w:val="auto"/>
                <w:vertAlign w:val="superscript"/>
              </w:rPr>
              <w:t>(1)</w:t>
            </w:r>
          </w:p>
        </w:tc>
      </w:tr>
      <w:tr>
        <w:trPr>
          <w:trHeight w:val="218"/>
        </w:trPr>
        <w:tc>
          <w:tcPr>
            <w:tcW w:w="7100" w:type="dxa"/>
            <w:vAlign w:val="bottom"/>
            <w:gridSpan w:val="2"/>
          </w:tcPr>
          <w:p>
            <w:pPr>
              <w:spacing w:after="0" w:line="219" w:lineRule="exact"/>
              <w:rPr>
                <w:sz w:val="20"/>
                <w:szCs w:val="20"/>
                <w:color w:val="auto"/>
              </w:rPr>
            </w:pPr>
            <w:r>
              <w:rPr>
                <w:rFonts w:ascii="Arial" w:cs="Arial" w:eastAsia="Arial" w:hAnsi="Arial"/>
                <w:sz w:val="18"/>
                <w:szCs w:val="18"/>
                <w:color w:val="auto"/>
              </w:rPr>
              <w:t xml:space="preserve">Adjusted SG&amp;A </w:t>
            </w:r>
            <w:r>
              <w:rPr>
                <w:rFonts w:ascii="Arial" w:cs="Arial" w:eastAsia="Arial" w:hAnsi="Arial"/>
                <w:sz w:val="22"/>
                <w:szCs w:val="22"/>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$102.0</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23"/>
        </w:trPr>
        <w:tc>
          <w:tcPr>
            <w:tcW w:w="7100" w:type="dxa"/>
            <w:vAlign w:val="bottom"/>
            <w:gridSpan w:val="2"/>
          </w:tcPr>
          <w:p>
            <w:pPr>
              <w:spacing w:after="0" w:line="223" w:lineRule="exact"/>
              <w:rPr>
                <w:sz w:val="20"/>
                <w:szCs w:val="20"/>
                <w:color w:val="auto"/>
              </w:rPr>
            </w:pPr>
            <w:r>
              <w:rPr>
                <w:rFonts w:ascii="Arial" w:cs="Arial" w:eastAsia="Arial" w:hAnsi="Arial"/>
                <w:sz w:val="18"/>
                <w:szCs w:val="18"/>
                <w:color w:val="auto"/>
              </w:rPr>
              <w:t xml:space="preserve">Adjusted R&amp;D </w:t>
            </w:r>
            <w:r>
              <w:rPr>
                <w:rFonts w:ascii="Arial" w:cs="Arial" w:eastAsia="Arial" w:hAnsi="Arial"/>
                <w:sz w:val="22"/>
                <w:szCs w:val="22"/>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7100" w:type="dxa"/>
            <w:vAlign w:val="bottom"/>
            <w:gridSpan w:val="2"/>
          </w:tcPr>
          <w:p>
            <w:pPr>
              <w:spacing w:after="0" w:line="223" w:lineRule="exact"/>
              <w:rPr>
                <w:sz w:val="20"/>
                <w:szCs w:val="20"/>
                <w:color w:val="auto"/>
              </w:rPr>
            </w:pPr>
            <w:r>
              <w:rPr>
                <w:rFonts w:ascii="Arial" w:cs="Arial" w:eastAsia="Arial" w:hAnsi="Arial"/>
                <w:sz w:val="18"/>
                <w:szCs w:val="18"/>
                <w:color w:val="auto"/>
              </w:rPr>
              <w:t xml:space="preserve">Adjusted operating income </w:t>
            </w:r>
            <w:r>
              <w:rPr>
                <w:rFonts w:ascii="Arial" w:cs="Arial" w:eastAsia="Arial" w:hAnsi="Arial"/>
                <w:sz w:val="22"/>
                <w:szCs w:val="22"/>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7100" w:type="dxa"/>
            <w:vAlign w:val="bottom"/>
            <w:gridSpan w:val="2"/>
          </w:tcPr>
          <w:p>
            <w:pPr>
              <w:spacing w:after="0" w:line="223" w:lineRule="exact"/>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22"/>
                <w:szCs w:val="22"/>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56.6 %</w:t>
            </w:r>
          </w:p>
        </w:tc>
      </w:tr>
      <w:tr>
        <w:trPr>
          <w:trHeight w:val="291"/>
        </w:trPr>
        <w:tc>
          <w:tcPr>
            <w:tcW w:w="7100" w:type="dxa"/>
            <w:vAlign w:val="bottom"/>
            <w:gridSpan w:val="2"/>
          </w:tcPr>
          <w:p>
            <w:pPr>
              <w:spacing w:after="0"/>
              <w:rPr>
                <w:sz w:val="20"/>
                <w:szCs w:val="20"/>
                <w:color w:val="auto"/>
              </w:rPr>
            </w:pPr>
            <w:r>
              <w:rPr>
                <w:rFonts w:ascii="Arial" w:cs="Arial" w:eastAsia="Arial" w:hAnsi="Arial"/>
                <w:sz w:val="18"/>
                <w:szCs w:val="18"/>
                <w:color w:val="auto"/>
              </w:rPr>
              <w:t xml:space="preserve">Adjusted diluted earnings per share </w:t>
            </w:r>
            <w:r>
              <w:rPr>
                <w:rFonts w:ascii="Arial" w:cs="Arial" w:eastAsia="Arial" w:hAnsi="Arial"/>
                <w:sz w:val="22"/>
                <w:szCs w:val="22"/>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43.2 %</w:t>
            </w:r>
          </w:p>
        </w:tc>
      </w:tr>
    </w:tbl>
    <w:p>
      <w:pPr>
        <w:spacing w:after="0" w:line="50" w:lineRule="exact"/>
        <w:rPr>
          <w:sz w:val="20"/>
          <w:szCs w:val="20"/>
          <w:color w:val="auto"/>
        </w:rPr>
      </w:pPr>
    </w:p>
    <w:p>
      <w:pPr>
        <w:ind w:left="480" w:right="20" w:hanging="355"/>
        <w:spacing w:after="0" w:line="225" w:lineRule="auto"/>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Adjusted financial measures are non-GAAP measures and exclude specified items as described and reconciled in the “Reconciliation of GAAP to non-GAAP Financial Measures” contained in the press release.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Statistics (as a % of net sales, except for income tax rate)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20" w:type="dxa"/>
            <w:vAlign w:val="bottom"/>
          </w:tcPr>
          <w:p>
            <w:pPr>
              <w:spacing w:after="0"/>
              <w:rPr>
                <w:sz w:val="21"/>
                <w:szCs w:val="21"/>
                <w:color w:val="auto"/>
              </w:rPr>
            </w:pPr>
          </w:p>
        </w:tc>
        <w:tc>
          <w:tcPr>
            <w:tcW w:w="4440" w:type="dxa"/>
            <w:vAlign w:val="bottom"/>
            <w:gridSpan w:val="5"/>
          </w:tcPr>
          <w:p>
            <w:pPr>
              <w:ind w:left="600"/>
              <w:spacing w:after="0"/>
              <w:rPr>
                <w:sz w:val="20"/>
                <w:szCs w:val="20"/>
                <w:color w:val="auto"/>
              </w:rPr>
            </w:pPr>
            <w:r>
              <w:rPr>
                <w:rFonts w:ascii="Arial" w:cs="Arial" w:eastAsia="Arial" w:hAnsi="Arial"/>
                <w:sz w:val="18"/>
                <w:szCs w:val="18"/>
                <w:b w:val="1"/>
                <w:bCs w:val="1"/>
                <w:color w:val="auto"/>
              </w:rPr>
              <w:t>GAAP Three Months Ended March 31,</w:t>
            </w:r>
          </w:p>
        </w:tc>
        <w:tc>
          <w:tcPr>
            <w:tcW w:w="4360" w:type="dxa"/>
            <w:vAlign w:val="bottom"/>
            <w:gridSpan w:val="3"/>
          </w:tcPr>
          <w:p>
            <w:pPr>
              <w:jc w:val="right"/>
              <w:ind w:right="312"/>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22"/>
                <w:szCs w:val="22"/>
                <w:b w:val="1"/>
                <w:bCs w:val="1"/>
                <w:color w:val="auto"/>
                <w:vertAlign w:val="superscript"/>
              </w:rPr>
              <w:t>(1)</w:t>
            </w:r>
            <w:r>
              <w:rPr>
                <w:rFonts w:ascii="Arial" w:cs="Arial" w:eastAsia="Arial" w:hAnsi="Arial"/>
                <w:sz w:val="18"/>
                <w:szCs w:val="18"/>
                <w:b w:val="1"/>
                <w:bCs w:val="1"/>
                <w:color w:val="auto"/>
              </w:rPr>
              <w:t xml:space="preserve"> Three Months Ended March 31,</w:t>
            </w:r>
          </w:p>
        </w:tc>
      </w:tr>
      <w:tr>
        <w:trPr>
          <w:trHeight w:val="216"/>
        </w:trPr>
        <w:tc>
          <w:tcPr>
            <w:tcW w:w="24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120" w:type="dxa"/>
            <w:vAlign w:val="bottom"/>
            <w:tcBorders>
              <w:top w:val="single" w:sz="8" w:color="auto"/>
              <w:bottom w:val="single" w:sz="8" w:color="auto"/>
            </w:tcBorders>
          </w:tcPr>
          <w:p>
            <w:pPr>
              <w:jc w:val="right"/>
              <w:ind w:right="77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140" w:type="dxa"/>
            <w:vAlign w:val="bottom"/>
            <w:tcBorders>
              <w:top w:val="single" w:sz="8" w:color="auto"/>
              <w:bottom w:val="single" w:sz="8" w:color="auto"/>
            </w:tcBorders>
          </w:tcPr>
          <w:p>
            <w:pPr>
              <w:jc w:val="right"/>
              <w:ind w:right="79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2120" w:type="dxa"/>
            <w:vAlign w:val="bottom"/>
            <w:tcBorders>
              <w:top w:val="single" w:sz="8" w:color="auto"/>
              <w:bottom w:val="single" w:sz="8" w:color="auto"/>
            </w:tcBorders>
          </w:tcPr>
          <w:p>
            <w:pPr>
              <w:jc w:val="right"/>
              <w:ind w:right="772"/>
              <w:spacing w:after="0"/>
              <w:rPr>
                <w:sz w:val="20"/>
                <w:szCs w:val="20"/>
                <w:color w:val="auto"/>
              </w:rPr>
            </w:pPr>
            <w:r>
              <w:rPr>
                <w:rFonts w:ascii="Arial" w:cs="Arial" w:eastAsia="Arial" w:hAnsi="Arial"/>
                <w:sz w:val="18"/>
                <w:szCs w:val="18"/>
                <w:b w:val="1"/>
                <w:bCs w:val="1"/>
                <w:color w:val="auto"/>
              </w:rPr>
              <w:t>2021</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720" w:type="dxa"/>
            <w:vAlign w:val="bottom"/>
          </w:tcPr>
          <w:p>
            <w:pPr>
              <w:jc w:val="right"/>
              <w:spacing w:after="0"/>
              <w:rPr>
                <w:sz w:val="20"/>
                <w:szCs w:val="20"/>
                <w:color w:val="auto"/>
              </w:rPr>
            </w:pPr>
            <w:r>
              <w:rPr>
                <w:rFonts w:ascii="Arial" w:cs="Arial" w:eastAsia="Arial" w:hAnsi="Arial"/>
                <w:sz w:val="18"/>
                <w:szCs w:val="18"/>
                <w:color w:val="auto"/>
              </w:rPr>
              <w:t>70.1 %</w:t>
            </w:r>
          </w:p>
        </w:tc>
        <w:tc>
          <w:tcPr>
            <w:tcW w:w="1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66.0 %</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71.0 %</w:t>
            </w:r>
          </w:p>
        </w:tc>
        <w:tc>
          <w:tcPr>
            <w:tcW w:w="1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68.1 %</w:t>
            </w: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color w:val="auto"/>
              </w:rPr>
              <w:t>SG&amp;A</w:t>
            </w:r>
          </w:p>
        </w:tc>
        <w:tc>
          <w:tcPr>
            <w:tcW w:w="720" w:type="dxa"/>
            <w:vAlign w:val="bottom"/>
          </w:tcPr>
          <w:p>
            <w:pPr>
              <w:jc w:val="right"/>
              <w:spacing w:after="0"/>
              <w:rPr>
                <w:sz w:val="20"/>
                <w:szCs w:val="20"/>
                <w:color w:val="auto"/>
              </w:rPr>
            </w:pPr>
            <w:r>
              <w:rPr>
                <w:rFonts w:ascii="Arial" w:cs="Arial" w:eastAsia="Arial" w:hAnsi="Arial"/>
                <w:sz w:val="18"/>
                <w:szCs w:val="18"/>
                <w:color w:val="auto"/>
              </w:rPr>
              <w:t>49.3 %</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46.7 %</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42.5 %</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38.9 %</w:t>
            </w: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color w:val="auto"/>
              </w:rPr>
              <w:t>R&amp;D</w:t>
            </w:r>
          </w:p>
        </w:tc>
        <w:tc>
          <w:tcPr>
            <w:tcW w:w="720" w:type="dxa"/>
            <w:vAlign w:val="bottom"/>
          </w:tcPr>
          <w:p>
            <w:pPr>
              <w:jc w:val="right"/>
              <w:spacing w:after="0"/>
              <w:rPr>
                <w:sz w:val="20"/>
                <w:szCs w:val="20"/>
                <w:color w:val="auto"/>
              </w:rPr>
            </w:pPr>
            <w:r>
              <w:rPr>
                <w:rFonts w:ascii="Arial" w:cs="Arial" w:eastAsia="Arial" w:hAnsi="Arial"/>
                <w:sz w:val="18"/>
                <w:szCs w:val="18"/>
                <w:color w:val="auto"/>
              </w:rPr>
              <w:t>17.0 %</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18.0 %</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16.7 %</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16.9 %</w:t>
            </w: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720" w:type="dxa"/>
            <w:vAlign w:val="bottom"/>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11.8 %</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12.2 %</w:t>
            </w: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72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10.8 %</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6.7 %</w:t>
            </w: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color w:val="auto"/>
              </w:rPr>
              <w:t>Income tax rate</w:t>
            </w:r>
          </w:p>
        </w:tc>
        <w:tc>
          <w:tcPr>
            <w:tcW w:w="720" w:type="dxa"/>
            <w:vAlign w:val="bottom"/>
          </w:tcPr>
          <w:p>
            <w:pPr>
              <w:jc w:val="right"/>
              <w:spacing w:after="0"/>
              <w:rPr>
                <w:sz w:val="20"/>
                <w:szCs w:val="20"/>
                <w:color w:val="auto"/>
              </w:rPr>
            </w:pPr>
            <w:r>
              <w:rPr>
                <w:rFonts w:ascii="Arial" w:cs="Arial" w:eastAsia="Arial" w:hAnsi="Arial"/>
                <w:sz w:val="18"/>
                <w:szCs w:val="18"/>
                <w:color w:val="auto"/>
              </w:rPr>
              <w:t>45.6 %</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9.7 %</w:t>
            </w:r>
          </w:p>
        </w:tc>
      </w:tr>
    </w:tbl>
    <w:p>
      <w:pPr>
        <w:spacing w:after="0" w:line="121" w:lineRule="exact"/>
        <w:rPr>
          <w:sz w:val="20"/>
          <w:szCs w:val="20"/>
          <w:color w:val="auto"/>
        </w:rPr>
      </w:pPr>
    </w:p>
    <w:p>
      <w:pPr>
        <w:ind w:left="440" w:right="20" w:hanging="328"/>
        <w:spacing w:after="0" w:line="225" w:lineRule="auto"/>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financial measures are non-GAAP measures and exclude specified items as described and reconciled in the “Reconciliation of GAAP to non-GAAP Financial Measures” contained in the press release.</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20"/>
          </w:cols>
          <w:pgMar w:left="340" w:top="1416" w:right="339" w:bottom="1440" w:gutter="0" w:footer="0" w:header="0"/>
        </w:sectPr>
      </w:pPr>
    </w:p>
    <w:bookmarkStart w:id="14" w:name="page15"/>
    <w:bookmarkEnd w:id="14"/>
    <w:p>
      <w:pPr>
        <w:ind w:left="20" w:right="4960"/>
        <w:spacing w:after="0" w:line="235" w:lineRule="auto"/>
        <w:rPr>
          <w:sz w:val="20"/>
          <w:szCs w:val="20"/>
          <w:color w:val="auto"/>
        </w:rPr>
      </w:pPr>
      <w:r>
        <w:rPr>
          <w:rFonts w:ascii="Arial" w:cs="Arial" w:eastAsia="Arial" w:hAnsi="Arial"/>
          <w:sz w:val="14"/>
          <w:szCs w:val="14"/>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60191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19165" cy="8255"/>
                    </a:xfrm>
                    <a:prstGeom prst="rect">
                      <a:avLst/>
                    </a:prstGeom>
                    <a:noFill/>
                  </pic:spPr>
                </pic:pic>
              </a:graphicData>
            </a:graphic>
          </wp:anchor>
        </w:drawing>
      </w:r>
    </w:p>
    <w:p>
      <w:pPr>
        <w:jc w:val="center"/>
        <w:ind w:right="420"/>
        <w:spacing w:after="0"/>
        <w:rPr>
          <w:sz w:val="20"/>
          <w:szCs w:val="20"/>
          <w:color w:val="auto"/>
        </w:rPr>
      </w:pPr>
      <w:r>
        <w:rPr>
          <w:rFonts w:ascii="Arial" w:cs="Arial" w:eastAsia="Arial" w:hAnsi="Arial"/>
          <w:sz w:val="14"/>
          <w:szCs w:val="14"/>
          <w:b w:val="1"/>
          <w:bCs w:val="1"/>
          <w:color w:val="auto"/>
        </w:rPr>
        <w:t>Specified Items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1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jc w:val="center"/>
              <w:ind w:right="12"/>
              <w:spacing w:after="0" w:line="111" w:lineRule="exact"/>
              <w:rPr>
                <w:sz w:val="20"/>
                <w:szCs w:val="20"/>
                <w:color w:val="auto"/>
              </w:rPr>
            </w:pPr>
            <w:r>
              <w:rPr>
                <w:rFonts w:ascii="Arial" w:cs="Arial" w:eastAsia="Arial" w:hAnsi="Arial"/>
                <w:sz w:val="12"/>
                <w:szCs w:val="12"/>
                <w:b w:val="1"/>
                <w:bCs w:val="1"/>
                <w:color w:val="auto"/>
              </w:rPr>
              <w:t>Depreciation</w:t>
            </w:r>
          </w:p>
        </w:tc>
        <w:tc>
          <w:tcPr>
            <w:tcW w:w="9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rPr>
              <w:t>Certain Legal,</w:t>
            </w:r>
          </w:p>
        </w:tc>
        <w:tc>
          <w:tcPr>
            <w:tcW w:w="100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Stock-based</w:t>
            </w:r>
          </w:p>
        </w:tc>
        <w:tc>
          <w:tcPr>
            <w:tcW w:w="900" w:type="dxa"/>
            <w:vAlign w:val="bottom"/>
            <w:tcBorders>
              <w:top w:val="single" w:sz="8" w:color="auto"/>
            </w:tcBorders>
          </w:tcPr>
          <w:p>
            <w:pPr>
              <w:spacing w:after="0"/>
              <w:rPr>
                <w:sz w:val="9"/>
                <w:szCs w:val="9"/>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Certain</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48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GAAP</w:t>
            </w:r>
          </w:p>
        </w:tc>
        <w:tc>
          <w:tcPr>
            <w:tcW w:w="10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Restructuring</w:t>
            </w:r>
          </w:p>
        </w:tc>
        <w:tc>
          <w:tcPr>
            <w:tcW w:w="900" w:type="dxa"/>
            <w:vAlign w:val="bottom"/>
          </w:tcPr>
          <w:p>
            <w:pPr>
              <w:jc w:val="center"/>
              <w:ind w:right="12"/>
              <w:spacing w:after="0" w:line="118" w:lineRule="exact"/>
              <w:rPr>
                <w:sz w:val="20"/>
                <w:szCs w:val="20"/>
                <w:color w:val="auto"/>
              </w:rPr>
            </w:pPr>
            <w:r>
              <w:rPr>
                <w:rFonts w:ascii="Arial" w:cs="Arial" w:eastAsia="Arial" w:hAnsi="Arial"/>
                <w:sz w:val="12"/>
                <w:szCs w:val="12"/>
                <w:b w:val="1"/>
                <w:bCs w:val="1"/>
                <w:color w:val="auto"/>
              </w:rPr>
              <w:t>and</w:t>
            </w: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Financing</w:t>
            </w:r>
          </w:p>
        </w:tc>
        <w:tc>
          <w:tcPr>
            <w:tcW w:w="9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Contingent</w:t>
            </w:r>
          </w:p>
        </w:tc>
        <w:tc>
          <w:tcPr>
            <w:tcW w:w="100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Certain Tax</w:t>
            </w:r>
          </w:p>
        </w:tc>
        <w:tc>
          <w:tcPr>
            <w:tcW w:w="880" w:type="dxa"/>
            <w:vAlign w:val="bottom"/>
            <w:vMerge w:val="continue"/>
          </w:tcPr>
          <w:p>
            <w:pPr>
              <w:spacing w:after="0"/>
              <w:rPr>
                <w:sz w:val="10"/>
                <w:szCs w:val="10"/>
                <w:color w:val="auto"/>
              </w:rPr>
            </w:pP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Adjusted</w:t>
            </w:r>
          </w:p>
        </w:tc>
        <w:tc>
          <w:tcPr>
            <w:tcW w:w="0" w:type="dxa"/>
            <w:vAlign w:val="bottom"/>
          </w:tcPr>
          <w:p>
            <w:pPr>
              <w:spacing w:after="0"/>
              <w:rPr>
                <w:sz w:val="1"/>
                <w:szCs w:val="1"/>
                <w:color w:val="auto"/>
              </w:rPr>
            </w:pPr>
          </w:p>
        </w:tc>
      </w:tr>
      <w:tr>
        <w:trPr>
          <w:trHeight w:val="118"/>
        </w:trPr>
        <w:tc>
          <w:tcPr>
            <w:tcW w:w="1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00" w:type="dxa"/>
            <w:vAlign w:val="bottom"/>
          </w:tcPr>
          <w:p>
            <w:pPr>
              <w:jc w:val="center"/>
              <w:ind w:right="12"/>
              <w:spacing w:after="0" w:line="118" w:lineRule="exact"/>
              <w:rPr>
                <w:sz w:val="20"/>
                <w:szCs w:val="20"/>
                <w:color w:val="auto"/>
              </w:rPr>
            </w:pPr>
            <w:r>
              <w:rPr>
                <w:rFonts w:ascii="Arial" w:cs="Arial" w:eastAsia="Arial" w:hAnsi="Arial"/>
                <w:sz w:val="12"/>
                <w:szCs w:val="12"/>
                <w:b w:val="1"/>
                <w:bCs w:val="1"/>
                <w:color w:val="auto"/>
              </w:rPr>
              <w:t>Amortization</w:t>
            </w:r>
          </w:p>
        </w:tc>
        <w:tc>
          <w:tcPr>
            <w:tcW w:w="920" w:type="dxa"/>
            <w:vAlign w:val="bottom"/>
            <w:vMerge w:val="continue"/>
          </w:tcPr>
          <w:p>
            <w:pPr>
              <w:spacing w:after="0"/>
              <w:rPr>
                <w:sz w:val="10"/>
                <w:szCs w:val="10"/>
                <w:color w:val="auto"/>
              </w:rPr>
            </w:pPr>
          </w:p>
        </w:tc>
        <w:tc>
          <w:tcPr>
            <w:tcW w:w="9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Consideration</w:t>
            </w:r>
          </w:p>
        </w:tc>
        <w:tc>
          <w:tcPr>
            <w:tcW w:w="10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Compensation</w:t>
            </w:r>
          </w:p>
        </w:tc>
        <w:tc>
          <w:tcPr>
            <w:tcW w:w="900" w:type="dxa"/>
            <w:vAlign w:val="bottom"/>
            <w:vMerge w:val="continue"/>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Interest</w:t>
            </w: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480" w:type="dxa"/>
            <w:vAlign w:val="bottom"/>
            <w:vMerge w:val="continue"/>
          </w:tcPr>
          <w:p>
            <w:pPr>
              <w:spacing w:after="0"/>
              <w:rPr>
                <w:sz w:val="10"/>
                <w:szCs w:val="10"/>
                <w:color w:val="auto"/>
              </w:rPr>
            </w:pPr>
          </w:p>
        </w:tc>
        <w:tc>
          <w:tcPr>
            <w:tcW w:w="7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9"/>
              </w:rPr>
              <w:t>Financial</w:t>
            </w:r>
          </w:p>
        </w:tc>
        <w:tc>
          <w:tcPr>
            <w:tcW w:w="10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Expenses</w:t>
            </w:r>
          </w:p>
        </w:tc>
        <w:tc>
          <w:tcPr>
            <w:tcW w:w="900" w:type="dxa"/>
            <w:vAlign w:val="bottom"/>
          </w:tcPr>
          <w:p>
            <w:pPr>
              <w:jc w:val="center"/>
              <w:ind w:right="32"/>
              <w:spacing w:after="0" w:line="118" w:lineRule="exact"/>
              <w:rPr>
                <w:sz w:val="20"/>
                <w:szCs w:val="20"/>
                <w:color w:val="auto"/>
              </w:rPr>
            </w:pPr>
            <w:r>
              <w:rPr>
                <w:rFonts w:ascii="Arial" w:cs="Arial" w:eastAsia="Arial" w:hAnsi="Arial"/>
                <w:sz w:val="12"/>
                <w:szCs w:val="12"/>
                <w:b w:val="1"/>
                <w:bCs w:val="1"/>
                <w:color w:val="auto"/>
                <w:w w:val="99"/>
              </w:rPr>
              <w:t>Expenses</w:t>
            </w:r>
          </w:p>
        </w:tc>
        <w:tc>
          <w:tcPr>
            <w:tcW w:w="92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9"/>
              </w:rPr>
              <w:t>Transactions</w:t>
            </w:r>
          </w:p>
        </w:tc>
        <w:tc>
          <w:tcPr>
            <w:tcW w:w="9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8"/>
              </w:rPr>
              <w:t>and Other</w:t>
            </w:r>
          </w:p>
        </w:tc>
        <w:tc>
          <w:tcPr>
            <w:tcW w:w="1000" w:type="dxa"/>
            <w:vAlign w:val="bottom"/>
          </w:tcPr>
          <w:p>
            <w:pPr>
              <w:jc w:val="center"/>
              <w:ind w:right="32"/>
              <w:spacing w:after="0" w:line="118" w:lineRule="exact"/>
              <w:rPr>
                <w:sz w:val="20"/>
                <w:szCs w:val="20"/>
                <w:color w:val="auto"/>
              </w:rPr>
            </w:pPr>
            <w:r>
              <w:rPr>
                <w:rFonts w:ascii="Arial" w:cs="Arial" w:eastAsia="Arial" w:hAnsi="Arial"/>
                <w:sz w:val="12"/>
                <w:szCs w:val="12"/>
                <w:b w:val="1"/>
                <w:bCs w:val="1"/>
                <w:color w:val="auto"/>
              </w:rPr>
              <w:t>Costs</w:t>
            </w:r>
          </w:p>
        </w:tc>
        <w:tc>
          <w:tcPr>
            <w:tcW w:w="900" w:type="dxa"/>
            <w:vAlign w:val="bottom"/>
          </w:tcPr>
          <w:p>
            <w:pPr>
              <w:jc w:val="center"/>
              <w:ind w:right="12"/>
              <w:spacing w:after="0" w:line="118" w:lineRule="exact"/>
              <w:rPr>
                <w:sz w:val="20"/>
                <w:szCs w:val="20"/>
                <w:color w:val="auto"/>
              </w:rPr>
            </w:pPr>
            <w:r>
              <w:rPr>
                <w:rFonts w:ascii="Arial" w:cs="Arial" w:eastAsia="Arial" w:hAnsi="Arial"/>
                <w:sz w:val="12"/>
                <w:szCs w:val="12"/>
                <w:b w:val="1"/>
                <w:bCs w:val="1"/>
                <w:color w:val="auto"/>
              </w:rPr>
              <w:t>Adjustments</w:t>
            </w:r>
          </w:p>
        </w:tc>
        <w:tc>
          <w:tcPr>
            <w:tcW w:w="8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Adjustments</w:t>
            </w:r>
          </w:p>
        </w:tc>
        <w:tc>
          <w:tcPr>
            <w:tcW w:w="720" w:type="dxa"/>
            <w:vAlign w:val="bottom"/>
          </w:tcPr>
          <w:p>
            <w:pPr>
              <w:ind w:left="100"/>
              <w:spacing w:after="0" w:line="118" w:lineRule="exact"/>
              <w:rPr>
                <w:sz w:val="20"/>
                <w:szCs w:val="20"/>
                <w:color w:val="auto"/>
              </w:rPr>
            </w:pPr>
            <w:r>
              <w:rPr>
                <w:rFonts w:ascii="Arial" w:cs="Arial" w:eastAsia="Arial" w:hAnsi="Arial"/>
                <w:sz w:val="12"/>
                <w:szCs w:val="12"/>
                <w:b w:val="1"/>
                <w:bCs w:val="1"/>
                <w:color w:val="auto"/>
              </w:rPr>
              <w:t>Financial</w:t>
            </w:r>
          </w:p>
        </w:tc>
        <w:tc>
          <w:tcPr>
            <w:tcW w:w="0" w:type="dxa"/>
            <w:vAlign w:val="bottom"/>
          </w:tcPr>
          <w:p>
            <w:pPr>
              <w:spacing w:after="0"/>
              <w:rPr>
                <w:sz w:val="1"/>
                <w:szCs w:val="1"/>
                <w:color w:val="auto"/>
              </w:rPr>
            </w:pPr>
          </w:p>
        </w:tc>
      </w:tr>
      <w:tr>
        <w:trPr>
          <w:trHeight w:val="171"/>
        </w:trPr>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March 31, 2022</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Measures</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(B)</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(C)</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(D)</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(F)</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(G)</w:t>
            </w: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Measures</w:t>
            </w:r>
          </w:p>
        </w:tc>
        <w:tc>
          <w:tcPr>
            <w:tcW w:w="0" w:type="dxa"/>
            <w:vAlign w:val="bottom"/>
          </w:tcPr>
          <w:p>
            <w:pPr>
              <w:spacing w:after="0"/>
              <w:rPr>
                <w:sz w:val="1"/>
                <w:szCs w:val="1"/>
                <w:color w:val="auto"/>
              </w:rPr>
            </w:pPr>
          </w:p>
        </w:tc>
      </w:tr>
      <w:tr>
        <w:trPr>
          <w:trHeight w:val="180"/>
        </w:trPr>
        <w:tc>
          <w:tcPr>
            <w:tcW w:w="148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$71.7</w:t>
            </w:r>
          </w:p>
        </w:tc>
        <w:tc>
          <w:tcPr>
            <w:tcW w:w="10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12"/>
              <w:spacing w:after="0"/>
              <w:rPr>
                <w:sz w:val="20"/>
                <w:szCs w:val="20"/>
                <w:color w:val="auto"/>
              </w:rPr>
            </w:pPr>
            <w:r>
              <w:rPr>
                <w:rFonts w:ascii="Arial" w:cs="Arial" w:eastAsia="Arial" w:hAnsi="Arial"/>
                <w:sz w:val="14"/>
                <w:szCs w:val="14"/>
                <w:color w:val="auto"/>
              </w:rPr>
              <w:t>($3.7)</w:t>
            </w:r>
          </w:p>
        </w:tc>
        <w:tc>
          <w:tcPr>
            <w:tcW w:w="920" w:type="dxa"/>
            <w:vAlign w:val="bottom"/>
          </w:tcPr>
          <w:p>
            <w:pPr>
              <w:ind w:left="4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52"/>
              <w:spacing w:after="0"/>
              <w:rPr>
                <w:sz w:val="20"/>
                <w:szCs w:val="20"/>
                <w:color w:val="auto"/>
              </w:rPr>
            </w:pPr>
            <w:r>
              <w:rPr>
                <w:rFonts w:ascii="Arial" w:cs="Arial" w:eastAsia="Arial" w:hAnsi="Arial"/>
                <w:sz w:val="14"/>
                <w:szCs w:val="14"/>
                <w:color w:val="auto"/>
              </w:rPr>
              <w:t>$2.0</w:t>
            </w:r>
          </w:p>
        </w:tc>
        <w:tc>
          <w:tcPr>
            <w:tcW w:w="1000" w:type="dxa"/>
            <w:vAlign w:val="bottom"/>
          </w:tcPr>
          <w:p>
            <w:pPr>
              <w:jc w:val="right"/>
              <w:ind w:right="112"/>
              <w:spacing w:after="0"/>
              <w:rPr>
                <w:sz w:val="20"/>
                <w:szCs w:val="20"/>
                <w:color w:val="auto"/>
              </w:rPr>
            </w:pPr>
            <w:r>
              <w:rPr>
                <w:rFonts w:ascii="Arial" w:cs="Arial" w:eastAsia="Arial" w:hAnsi="Arial"/>
                <w:sz w:val="14"/>
                <w:szCs w:val="14"/>
                <w:color w:val="auto"/>
              </w:rPr>
              <w:t>($0.3)</w:t>
            </w: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rPr>
                <w:sz w:val="20"/>
                <w:szCs w:val="20"/>
                <w:color w:val="auto"/>
              </w:rPr>
            </w:pPr>
            <w:r>
              <w:rPr>
                <w:rFonts w:ascii="Arial" w:cs="Arial" w:eastAsia="Arial" w:hAnsi="Arial"/>
                <w:sz w:val="14"/>
                <w:szCs w:val="14"/>
                <w:color w:val="auto"/>
              </w:rPr>
              <w:t>$69.8</w:t>
            </w:r>
          </w:p>
        </w:tc>
        <w:tc>
          <w:tcPr>
            <w:tcW w:w="0" w:type="dxa"/>
            <w:vAlign w:val="bottom"/>
          </w:tcPr>
          <w:p>
            <w:pPr>
              <w:spacing w:after="0"/>
              <w:rPr>
                <w:sz w:val="1"/>
                <w:szCs w:val="1"/>
                <w:color w:val="auto"/>
              </w:rPr>
            </w:pPr>
          </w:p>
        </w:tc>
      </w:tr>
      <w:tr>
        <w:trPr>
          <w:trHeight w:val="184"/>
        </w:trPr>
        <w:tc>
          <w:tcPr>
            <w:tcW w:w="1480" w:type="dxa"/>
            <w:vAlign w:val="bottom"/>
          </w:tcPr>
          <w:p>
            <w:pPr>
              <w:ind w:left="20"/>
              <w:spacing w:after="0"/>
              <w:rPr>
                <w:sz w:val="20"/>
                <w:szCs w:val="20"/>
                <w:color w:val="auto"/>
              </w:rPr>
            </w:pPr>
            <w:r>
              <w:rPr>
                <w:rFonts w:ascii="Arial" w:cs="Arial" w:eastAsia="Arial" w:hAnsi="Arial"/>
                <w:sz w:val="14"/>
                <w:szCs w:val="14"/>
                <w:color w:val="auto"/>
              </w:rPr>
              <w:t>Gross profit percent</w:t>
            </w:r>
          </w:p>
        </w:tc>
        <w:tc>
          <w:tcPr>
            <w:tcW w:w="700" w:type="dxa"/>
            <w:vAlign w:val="bottom"/>
          </w:tcPr>
          <w:p>
            <w:pPr>
              <w:jc w:val="right"/>
              <w:spacing w:after="0"/>
              <w:rPr>
                <w:sz w:val="20"/>
                <w:szCs w:val="20"/>
                <w:color w:val="auto"/>
              </w:rPr>
            </w:pPr>
            <w:r>
              <w:rPr>
                <w:rFonts w:ascii="Arial" w:cs="Arial" w:eastAsia="Arial" w:hAnsi="Arial"/>
                <w:sz w:val="14"/>
                <w:szCs w:val="14"/>
                <w:color w:val="auto"/>
              </w:rPr>
              <w:t>70.1 %</w:t>
            </w:r>
          </w:p>
        </w:tc>
        <w:tc>
          <w:tcPr>
            <w:tcW w:w="1000" w:type="dxa"/>
            <w:vAlign w:val="bottom"/>
          </w:tcPr>
          <w:p>
            <w:pPr>
              <w:ind w:left="640"/>
              <w:spacing w:after="0"/>
              <w:rPr>
                <w:sz w:val="20"/>
                <w:szCs w:val="20"/>
                <w:color w:val="auto"/>
              </w:rPr>
            </w:pPr>
            <w:r>
              <w:rPr>
                <w:rFonts w:ascii="Arial" w:cs="Arial" w:eastAsia="Arial" w:hAnsi="Arial"/>
                <w:sz w:val="14"/>
                <w:szCs w:val="14"/>
                <w:color w:val="auto"/>
              </w:rPr>
              <w:t>— %</w:t>
            </w:r>
          </w:p>
        </w:tc>
        <w:tc>
          <w:tcPr>
            <w:tcW w:w="900" w:type="dxa"/>
            <w:vAlign w:val="bottom"/>
          </w:tcPr>
          <w:p>
            <w:pPr>
              <w:jc w:val="right"/>
              <w:spacing w:after="0"/>
              <w:rPr>
                <w:sz w:val="20"/>
                <w:szCs w:val="20"/>
                <w:color w:val="auto"/>
              </w:rPr>
            </w:pPr>
            <w:r>
              <w:rPr>
                <w:rFonts w:ascii="Arial" w:cs="Arial" w:eastAsia="Arial" w:hAnsi="Arial"/>
                <w:sz w:val="14"/>
                <w:szCs w:val="14"/>
                <w:color w:val="auto"/>
              </w:rPr>
              <w:t>1.5 %</w:t>
            </w:r>
          </w:p>
        </w:tc>
        <w:tc>
          <w:tcPr>
            <w:tcW w:w="920" w:type="dxa"/>
            <w:vAlign w:val="bottom"/>
          </w:tcPr>
          <w:p>
            <w:pPr>
              <w:ind w:left="560"/>
              <w:spacing w:after="0"/>
              <w:rPr>
                <w:sz w:val="20"/>
                <w:szCs w:val="20"/>
                <w:color w:val="auto"/>
              </w:rPr>
            </w:pPr>
            <w:r>
              <w:rPr>
                <w:rFonts w:ascii="Arial" w:cs="Arial" w:eastAsia="Arial" w:hAnsi="Arial"/>
                <w:sz w:val="14"/>
                <w:szCs w:val="14"/>
                <w:color w:val="auto"/>
              </w:rPr>
              <w:t>— %</w:t>
            </w:r>
          </w:p>
        </w:tc>
        <w:tc>
          <w:tcPr>
            <w:tcW w:w="980" w:type="dxa"/>
            <w:vAlign w:val="bottom"/>
          </w:tcPr>
          <w:p>
            <w:pPr>
              <w:ind w:left="520"/>
              <w:spacing w:after="0"/>
              <w:rPr>
                <w:sz w:val="20"/>
                <w:szCs w:val="20"/>
                <w:color w:val="auto"/>
              </w:rPr>
            </w:pPr>
            <w:r>
              <w:rPr>
                <w:rFonts w:ascii="Arial" w:cs="Arial" w:eastAsia="Arial" w:hAnsi="Arial"/>
                <w:sz w:val="14"/>
                <w:szCs w:val="14"/>
                <w:color w:val="auto"/>
              </w:rPr>
              <w:t>(0.8)%</w:t>
            </w:r>
          </w:p>
        </w:tc>
        <w:tc>
          <w:tcPr>
            <w:tcW w:w="1000" w:type="dxa"/>
            <w:vAlign w:val="bottom"/>
          </w:tcPr>
          <w:p>
            <w:pPr>
              <w:jc w:val="right"/>
              <w:spacing w:after="0"/>
              <w:rPr>
                <w:sz w:val="20"/>
                <w:szCs w:val="20"/>
                <w:color w:val="auto"/>
              </w:rPr>
            </w:pPr>
            <w:r>
              <w:rPr>
                <w:rFonts w:ascii="Arial" w:cs="Arial" w:eastAsia="Arial" w:hAnsi="Arial"/>
                <w:sz w:val="14"/>
                <w:szCs w:val="14"/>
                <w:color w:val="auto"/>
              </w:rPr>
              <w:t>0.1 %</w:t>
            </w:r>
          </w:p>
        </w:tc>
        <w:tc>
          <w:tcPr>
            <w:tcW w:w="900" w:type="dxa"/>
            <w:vAlign w:val="bottom"/>
          </w:tcPr>
          <w:p>
            <w:pPr>
              <w:jc w:val="right"/>
              <w:spacing w:after="0"/>
              <w:rPr>
                <w:sz w:val="20"/>
                <w:szCs w:val="20"/>
                <w:color w:val="auto"/>
              </w:rPr>
            </w:pPr>
            <w:r>
              <w:rPr>
                <w:rFonts w:ascii="Arial" w:cs="Arial" w:eastAsia="Arial" w:hAnsi="Arial"/>
                <w:sz w:val="14"/>
                <w:szCs w:val="14"/>
                <w:color w:val="auto"/>
              </w:rPr>
              <w:t>— %</w:t>
            </w:r>
          </w:p>
        </w:tc>
        <w:tc>
          <w:tcPr>
            <w:tcW w:w="880" w:type="dxa"/>
            <w:vAlign w:val="bottom"/>
          </w:tcPr>
          <w:p>
            <w:pPr>
              <w:ind w:left="560"/>
              <w:spacing w:after="0"/>
              <w:rPr>
                <w:sz w:val="20"/>
                <w:szCs w:val="20"/>
                <w:color w:val="auto"/>
              </w:rPr>
            </w:pPr>
            <w:r>
              <w:rPr>
                <w:rFonts w:ascii="Arial" w:cs="Arial" w:eastAsia="Arial" w:hAnsi="Arial"/>
                <w:sz w:val="14"/>
                <w:szCs w:val="14"/>
                <w:color w:val="auto"/>
                <w:w w:val="98"/>
              </w:rPr>
              <w:t>— %</w:t>
            </w:r>
          </w:p>
        </w:tc>
        <w:tc>
          <w:tcPr>
            <w:tcW w:w="720" w:type="dxa"/>
            <w:vAlign w:val="bottom"/>
          </w:tcPr>
          <w:p>
            <w:pPr>
              <w:jc w:val="right"/>
              <w:spacing w:after="0"/>
              <w:rPr>
                <w:sz w:val="20"/>
                <w:szCs w:val="20"/>
                <w:color w:val="auto"/>
              </w:rPr>
            </w:pPr>
            <w:r>
              <w:rPr>
                <w:rFonts w:ascii="Arial" w:cs="Arial" w:eastAsia="Arial" w:hAnsi="Arial"/>
                <w:sz w:val="14"/>
                <w:szCs w:val="14"/>
                <w:color w:val="auto"/>
              </w:rPr>
              <w:t>71.0 %</w:t>
            </w:r>
          </w:p>
        </w:tc>
        <w:tc>
          <w:tcPr>
            <w:tcW w:w="0" w:type="dxa"/>
            <w:vAlign w:val="bottom"/>
          </w:tcPr>
          <w:p>
            <w:pPr>
              <w:spacing w:after="0"/>
              <w:rPr>
                <w:sz w:val="1"/>
                <w:szCs w:val="1"/>
                <w:color w:val="auto"/>
              </w:rPr>
            </w:pPr>
          </w:p>
        </w:tc>
      </w:tr>
      <w:tr>
        <w:trPr>
          <w:trHeight w:val="146"/>
        </w:trPr>
        <w:tc>
          <w:tcPr>
            <w:tcW w:w="1480" w:type="dxa"/>
            <w:vAlign w:val="bottom"/>
          </w:tcPr>
          <w:p>
            <w:pPr>
              <w:ind w:left="20"/>
              <w:spacing w:after="0" w:line="147" w:lineRule="exact"/>
              <w:rPr>
                <w:sz w:val="20"/>
                <w:szCs w:val="20"/>
                <w:color w:val="auto"/>
              </w:rPr>
            </w:pPr>
            <w:r>
              <w:rPr>
                <w:rFonts w:ascii="Arial" w:cs="Arial" w:eastAsia="Arial" w:hAnsi="Arial"/>
                <w:sz w:val="14"/>
                <w:szCs w:val="14"/>
                <w:color w:val="auto"/>
              </w:rPr>
              <w:t>Selling, general and</w:t>
            </w:r>
          </w:p>
        </w:tc>
        <w:tc>
          <w:tcPr>
            <w:tcW w:w="700" w:type="dxa"/>
            <w:vAlign w:val="bottom"/>
            <w:vMerge w:val="restart"/>
          </w:tcPr>
          <w:p>
            <w:pPr>
              <w:jc w:val="right"/>
              <w:ind w:right="112"/>
              <w:spacing w:after="0"/>
              <w:rPr>
                <w:sz w:val="20"/>
                <w:szCs w:val="20"/>
                <w:color w:val="auto"/>
              </w:rPr>
            </w:pPr>
            <w:r>
              <w:rPr>
                <w:rFonts w:ascii="Arial" w:cs="Arial" w:eastAsia="Arial" w:hAnsi="Arial"/>
                <w:sz w:val="14"/>
                <w:szCs w:val="14"/>
                <w:color w:val="auto"/>
              </w:rPr>
              <w:t>118.5</w:t>
            </w:r>
          </w:p>
        </w:tc>
        <w:tc>
          <w:tcPr>
            <w:tcW w:w="100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12"/>
              <w:spacing w:after="0"/>
              <w:rPr>
                <w:sz w:val="20"/>
                <w:szCs w:val="20"/>
                <w:color w:val="auto"/>
              </w:rPr>
            </w:pPr>
            <w:r>
              <w:rPr>
                <w:rFonts w:ascii="Arial" w:cs="Arial" w:eastAsia="Arial" w:hAnsi="Arial"/>
                <w:sz w:val="14"/>
                <w:szCs w:val="14"/>
                <w:color w:val="auto"/>
              </w:rPr>
              <w:t>(2.9)</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ind w:left="520"/>
              <w:spacing w:after="0"/>
              <w:rPr>
                <w:sz w:val="20"/>
                <w:szCs w:val="20"/>
                <w:color w:val="auto"/>
              </w:rPr>
            </w:pPr>
            <w:r>
              <w:rPr>
                <w:rFonts w:ascii="Arial" w:cs="Arial" w:eastAsia="Arial" w:hAnsi="Arial"/>
                <w:sz w:val="14"/>
                <w:szCs w:val="14"/>
                <w:color w:val="auto"/>
              </w:rPr>
              <w:t>(5.7)</w:t>
            </w:r>
          </w:p>
        </w:tc>
        <w:tc>
          <w:tcPr>
            <w:tcW w:w="1000" w:type="dxa"/>
            <w:vAlign w:val="bottom"/>
            <w:vMerge w:val="restart"/>
          </w:tcPr>
          <w:p>
            <w:pPr>
              <w:jc w:val="right"/>
              <w:ind w:right="112"/>
              <w:spacing w:after="0"/>
              <w:rPr>
                <w:sz w:val="20"/>
                <w:szCs w:val="20"/>
                <w:color w:val="auto"/>
              </w:rPr>
            </w:pPr>
            <w:r>
              <w:rPr>
                <w:rFonts w:ascii="Arial" w:cs="Arial" w:eastAsia="Arial" w:hAnsi="Arial"/>
                <w:sz w:val="14"/>
                <w:szCs w:val="14"/>
                <w:color w:val="auto"/>
              </w:rPr>
              <w:t>(7.9)</w:t>
            </w:r>
          </w:p>
        </w:tc>
        <w:tc>
          <w:tcPr>
            <w:tcW w:w="90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color w:val="auto"/>
              </w:rPr>
              <w:t>102.0</w:t>
            </w:r>
          </w:p>
        </w:tc>
        <w:tc>
          <w:tcPr>
            <w:tcW w:w="0" w:type="dxa"/>
            <w:vAlign w:val="bottom"/>
          </w:tcPr>
          <w:p>
            <w:pPr>
              <w:spacing w:after="0"/>
              <w:rPr>
                <w:sz w:val="1"/>
                <w:szCs w:val="1"/>
                <w:color w:val="auto"/>
              </w:rPr>
            </w:pPr>
          </w:p>
        </w:tc>
      </w:tr>
      <w:tr>
        <w:trPr>
          <w:trHeight w:val="169"/>
        </w:trPr>
        <w:tc>
          <w:tcPr>
            <w:tcW w:w="148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7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480" w:type="dxa"/>
            <w:vAlign w:val="bottom"/>
          </w:tcPr>
          <w:p>
            <w:pPr>
              <w:ind w:left="20"/>
              <w:spacing w:after="0" w:line="147" w:lineRule="exact"/>
              <w:rPr>
                <w:sz w:val="20"/>
                <w:szCs w:val="20"/>
                <w:color w:val="auto"/>
              </w:rPr>
            </w:pPr>
            <w:r>
              <w:rPr>
                <w:rFonts w:ascii="Arial" w:cs="Arial" w:eastAsia="Arial" w:hAnsi="Arial"/>
                <w:sz w:val="14"/>
                <w:szCs w:val="14"/>
                <w:color w:val="auto"/>
              </w:rPr>
              <w:t>Selling, general and</w:t>
            </w: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480" w:type="dxa"/>
            <w:vAlign w:val="bottom"/>
          </w:tcPr>
          <w:p>
            <w:pPr>
              <w:ind w:left="20"/>
              <w:spacing w:after="0" w:line="131" w:lineRule="exact"/>
              <w:rPr>
                <w:sz w:val="20"/>
                <w:szCs w:val="20"/>
                <w:color w:val="auto"/>
              </w:rPr>
            </w:pPr>
            <w:r>
              <w:rPr>
                <w:rFonts w:ascii="Arial" w:cs="Arial" w:eastAsia="Arial" w:hAnsi="Arial"/>
                <w:sz w:val="14"/>
                <w:szCs w:val="14"/>
                <w:color w:val="auto"/>
              </w:rPr>
              <w:t>administrative as a</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49.3 %</w:t>
            </w:r>
          </w:p>
        </w:tc>
        <w:tc>
          <w:tcPr>
            <w:tcW w:w="1000" w:type="dxa"/>
            <w:vAlign w:val="bottom"/>
            <w:vMerge w:val="restart"/>
          </w:tcPr>
          <w:p>
            <w:pPr>
              <w:ind w:left="640"/>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ind w:left="520"/>
              <w:spacing w:after="0"/>
              <w:rPr>
                <w:sz w:val="20"/>
                <w:szCs w:val="20"/>
                <w:color w:val="auto"/>
              </w:rPr>
            </w:pPr>
            <w:r>
              <w:rPr>
                <w:rFonts w:ascii="Arial" w:cs="Arial" w:eastAsia="Arial" w:hAnsi="Arial"/>
                <w:sz w:val="14"/>
                <w:szCs w:val="14"/>
                <w:color w:val="auto"/>
              </w:rPr>
              <w:t>(2.4)%</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w w:val="98"/>
              </w:rPr>
              <w:t>— %</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42.5 %</w:t>
            </w:r>
          </w:p>
        </w:tc>
        <w:tc>
          <w:tcPr>
            <w:tcW w:w="0" w:type="dxa"/>
            <w:vAlign w:val="bottom"/>
          </w:tcPr>
          <w:p>
            <w:pPr>
              <w:spacing w:after="0"/>
              <w:rPr>
                <w:sz w:val="1"/>
                <w:szCs w:val="1"/>
                <w:color w:val="auto"/>
              </w:rPr>
            </w:pPr>
          </w:p>
        </w:tc>
      </w:tr>
      <w:tr>
        <w:trPr>
          <w:trHeight w:val="169"/>
        </w:trPr>
        <w:tc>
          <w:tcPr>
            <w:tcW w:w="1480" w:type="dxa"/>
            <w:vAlign w:val="bottom"/>
          </w:tcPr>
          <w:p>
            <w:pPr>
              <w:ind w:left="20"/>
              <w:spacing w:after="0"/>
              <w:rPr>
                <w:sz w:val="20"/>
                <w:szCs w:val="20"/>
                <w:color w:val="auto"/>
              </w:rPr>
            </w:pPr>
            <w:r>
              <w:rPr>
                <w:rFonts w:ascii="Arial" w:cs="Arial" w:eastAsia="Arial" w:hAnsi="Arial"/>
                <w:sz w:val="14"/>
                <w:szCs w:val="14"/>
                <w:color w:val="auto"/>
              </w:rPr>
              <w:t>percent of net sales</w:t>
            </w:r>
          </w:p>
        </w:tc>
        <w:tc>
          <w:tcPr>
            <w:tcW w:w="7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480" w:type="dxa"/>
            <w:vAlign w:val="bottom"/>
          </w:tcPr>
          <w:p>
            <w:pPr>
              <w:ind w:left="20"/>
              <w:spacing w:after="0" w:line="147" w:lineRule="exact"/>
              <w:rPr>
                <w:sz w:val="20"/>
                <w:szCs w:val="20"/>
                <w:color w:val="auto"/>
              </w:rPr>
            </w:pPr>
            <w:r>
              <w:rPr>
                <w:rFonts w:ascii="Arial" w:cs="Arial" w:eastAsia="Arial" w:hAnsi="Arial"/>
                <w:sz w:val="14"/>
                <w:szCs w:val="14"/>
                <w:color w:val="auto"/>
              </w:rPr>
              <w:t>Research and</w:t>
            </w:r>
          </w:p>
        </w:tc>
        <w:tc>
          <w:tcPr>
            <w:tcW w:w="700" w:type="dxa"/>
            <w:vAlign w:val="bottom"/>
            <w:vMerge w:val="restart"/>
          </w:tcPr>
          <w:p>
            <w:pPr>
              <w:jc w:val="right"/>
              <w:ind w:right="112"/>
              <w:spacing w:after="0"/>
              <w:rPr>
                <w:sz w:val="20"/>
                <w:szCs w:val="20"/>
                <w:color w:val="auto"/>
              </w:rPr>
            </w:pPr>
            <w:r>
              <w:rPr>
                <w:rFonts w:ascii="Arial" w:cs="Arial" w:eastAsia="Arial" w:hAnsi="Arial"/>
                <w:sz w:val="14"/>
                <w:szCs w:val="14"/>
                <w:color w:val="auto"/>
              </w:rPr>
              <w:t>40.9</w:t>
            </w:r>
          </w:p>
        </w:tc>
        <w:tc>
          <w:tcPr>
            <w:tcW w:w="100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color w:val="auto"/>
              </w:rPr>
              <w:t>0.1</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2"/>
              <w:spacing w:after="0"/>
              <w:rPr>
                <w:sz w:val="20"/>
                <w:szCs w:val="20"/>
                <w:color w:val="auto"/>
              </w:rPr>
            </w:pPr>
            <w:r>
              <w:rPr>
                <w:rFonts w:ascii="Arial" w:cs="Arial" w:eastAsia="Arial" w:hAnsi="Arial"/>
                <w:sz w:val="14"/>
                <w:szCs w:val="14"/>
                <w:color w:val="auto"/>
              </w:rPr>
              <w:t>1.2</w:t>
            </w:r>
          </w:p>
        </w:tc>
        <w:tc>
          <w:tcPr>
            <w:tcW w:w="1000" w:type="dxa"/>
            <w:vAlign w:val="bottom"/>
            <w:vMerge w:val="restart"/>
          </w:tcPr>
          <w:p>
            <w:pPr>
              <w:jc w:val="right"/>
              <w:ind w:right="112"/>
              <w:spacing w:after="0"/>
              <w:rPr>
                <w:sz w:val="20"/>
                <w:szCs w:val="20"/>
                <w:color w:val="auto"/>
              </w:rPr>
            </w:pPr>
            <w:r>
              <w:rPr>
                <w:rFonts w:ascii="Arial" w:cs="Arial" w:eastAsia="Arial" w:hAnsi="Arial"/>
                <w:sz w:val="14"/>
                <w:szCs w:val="14"/>
                <w:color w:val="auto"/>
              </w:rPr>
              <w:t>(2.1)</w:t>
            </w:r>
          </w:p>
        </w:tc>
        <w:tc>
          <w:tcPr>
            <w:tcW w:w="90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69"/>
        </w:trPr>
        <w:tc>
          <w:tcPr>
            <w:tcW w:w="148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7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480" w:type="dxa"/>
            <w:vAlign w:val="bottom"/>
          </w:tcPr>
          <w:p>
            <w:pPr>
              <w:ind w:left="20"/>
              <w:spacing w:after="0" w:line="147" w:lineRule="exact"/>
              <w:rPr>
                <w:sz w:val="20"/>
                <w:szCs w:val="20"/>
                <w:color w:val="auto"/>
              </w:rPr>
            </w:pPr>
            <w:r>
              <w:rPr>
                <w:rFonts w:ascii="Arial" w:cs="Arial" w:eastAsia="Arial" w:hAnsi="Arial"/>
                <w:sz w:val="14"/>
                <w:szCs w:val="14"/>
                <w:color w:val="auto"/>
              </w:rPr>
              <w:t>Research and</w:t>
            </w: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480" w:type="dxa"/>
            <w:vAlign w:val="bottom"/>
          </w:tcPr>
          <w:p>
            <w:pPr>
              <w:ind w:left="20"/>
              <w:spacing w:after="0" w:line="131" w:lineRule="exact"/>
              <w:rPr>
                <w:sz w:val="20"/>
                <w:szCs w:val="20"/>
                <w:color w:val="auto"/>
              </w:rPr>
            </w:pPr>
            <w:r>
              <w:rPr>
                <w:rFonts w:ascii="Arial" w:cs="Arial" w:eastAsia="Arial" w:hAnsi="Arial"/>
                <w:sz w:val="14"/>
                <w:szCs w:val="14"/>
                <w:color w:val="auto"/>
              </w:rPr>
              <w:t>development as a</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17.0 %</w:t>
            </w:r>
          </w:p>
        </w:tc>
        <w:tc>
          <w:tcPr>
            <w:tcW w:w="1000" w:type="dxa"/>
            <w:vAlign w:val="bottom"/>
            <w:vMerge w:val="restart"/>
          </w:tcPr>
          <w:p>
            <w:pPr>
              <w:ind w:left="640"/>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0.5 %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w w:val="98"/>
              </w:rPr>
              <w:t>— %</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16.7 %</w:t>
            </w:r>
          </w:p>
        </w:tc>
        <w:tc>
          <w:tcPr>
            <w:tcW w:w="0" w:type="dxa"/>
            <w:vAlign w:val="bottom"/>
          </w:tcPr>
          <w:p>
            <w:pPr>
              <w:spacing w:after="0"/>
              <w:rPr>
                <w:sz w:val="1"/>
                <w:szCs w:val="1"/>
                <w:color w:val="auto"/>
              </w:rPr>
            </w:pPr>
          </w:p>
        </w:tc>
      </w:tr>
      <w:tr>
        <w:trPr>
          <w:trHeight w:val="169"/>
        </w:trPr>
        <w:tc>
          <w:tcPr>
            <w:tcW w:w="1480" w:type="dxa"/>
            <w:vAlign w:val="bottom"/>
          </w:tcPr>
          <w:p>
            <w:pPr>
              <w:ind w:left="20"/>
              <w:spacing w:after="0"/>
              <w:rPr>
                <w:sz w:val="20"/>
                <w:szCs w:val="20"/>
                <w:color w:val="auto"/>
              </w:rPr>
            </w:pPr>
            <w:r>
              <w:rPr>
                <w:rFonts w:ascii="Arial" w:cs="Arial" w:eastAsia="Arial" w:hAnsi="Arial"/>
                <w:sz w:val="14"/>
                <w:szCs w:val="14"/>
                <w:color w:val="auto"/>
              </w:rPr>
              <w:t>percent of net sales</w:t>
            </w:r>
          </w:p>
        </w:tc>
        <w:tc>
          <w:tcPr>
            <w:tcW w:w="7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480" w:type="dxa"/>
            <w:vAlign w:val="bottom"/>
          </w:tcPr>
          <w:p>
            <w:pPr>
              <w:ind w:left="20"/>
              <w:spacing w:after="0" w:line="147" w:lineRule="exact"/>
              <w:rPr>
                <w:sz w:val="20"/>
                <w:szCs w:val="20"/>
                <w:color w:val="auto"/>
              </w:rPr>
            </w:pPr>
            <w:r>
              <w:rPr>
                <w:rFonts w:ascii="Arial" w:cs="Arial" w:eastAsia="Arial" w:hAnsi="Arial"/>
                <w:sz w:val="14"/>
                <w:szCs w:val="14"/>
                <w:color w:val="auto"/>
              </w:rPr>
              <w:t>Other operating</w:t>
            </w:r>
          </w:p>
        </w:tc>
        <w:tc>
          <w:tcPr>
            <w:tcW w:w="700" w:type="dxa"/>
            <w:vAlign w:val="bottom"/>
            <w:vMerge w:val="restart"/>
          </w:tcPr>
          <w:p>
            <w:pPr>
              <w:jc w:val="right"/>
              <w:ind w:right="72"/>
              <w:spacing w:after="0"/>
              <w:rPr>
                <w:sz w:val="20"/>
                <w:szCs w:val="20"/>
                <w:color w:val="auto"/>
              </w:rPr>
            </w:pPr>
            <w:r>
              <w:rPr>
                <w:rFonts w:ascii="Arial" w:cs="Arial" w:eastAsia="Arial" w:hAnsi="Arial"/>
                <w:sz w:val="14"/>
                <w:szCs w:val="14"/>
                <w:color w:val="auto"/>
              </w:rPr>
              <w:t>(0.5)</w:t>
            </w:r>
          </w:p>
        </w:tc>
        <w:tc>
          <w:tcPr>
            <w:tcW w:w="1000" w:type="dxa"/>
            <w:vAlign w:val="bottom"/>
            <w:vMerge w:val="restart"/>
          </w:tcPr>
          <w:p>
            <w:pPr>
              <w:jc w:val="right"/>
              <w:ind w:right="152"/>
              <w:spacing w:after="0"/>
              <w:rPr>
                <w:sz w:val="20"/>
                <w:szCs w:val="20"/>
                <w:color w:val="auto"/>
              </w:rPr>
            </w:pPr>
            <w:r>
              <w:rPr>
                <w:rFonts w:ascii="Arial" w:cs="Arial" w:eastAsia="Arial" w:hAnsi="Arial"/>
                <w:sz w:val="14"/>
                <w:szCs w:val="14"/>
                <w:color w:val="auto"/>
              </w:rPr>
              <w:t>0.1</w:t>
            </w: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2"/>
              <w:spacing w:after="0"/>
              <w:rPr>
                <w:sz w:val="20"/>
                <w:szCs w:val="20"/>
                <w:color w:val="auto"/>
              </w:rPr>
            </w:pPr>
            <w:r>
              <w:rPr>
                <w:rFonts w:ascii="Arial" w:cs="Arial" w:eastAsia="Arial" w:hAnsi="Arial"/>
                <w:sz w:val="14"/>
                <w:szCs w:val="14"/>
                <w:color w:val="auto"/>
              </w:rPr>
              <w:t>0.4</w:t>
            </w:r>
          </w:p>
        </w:tc>
        <w:tc>
          <w:tcPr>
            <w:tcW w:w="100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1480" w:type="dxa"/>
            <w:vAlign w:val="bottom"/>
          </w:tcPr>
          <w:p>
            <w:pPr>
              <w:ind w:left="20"/>
              <w:spacing w:after="0"/>
              <w:rPr>
                <w:sz w:val="20"/>
                <w:szCs w:val="20"/>
                <w:color w:val="auto"/>
              </w:rPr>
            </w:pPr>
            <w:r>
              <w:rPr>
                <w:rFonts w:ascii="Arial" w:cs="Arial" w:eastAsia="Arial" w:hAnsi="Arial"/>
                <w:sz w:val="14"/>
                <w:szCs w:val="14"/>
                <w:color w:val="auto"/>
              </w:rPr>
              <w:t>expenses</w:t>
            </w:r>
          </w:p>
        </w:tc>
        <w:tc>
          <w:tcPr>
            <w:tcW w:w="7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48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9.5</w:t>
            </w:r>
          </w:p>
        </w:tc>
        <w:tc>
          <w:tcPr>
            <w:tcW w:w="1000" w:type="dxa"/>
            <w:vAlign w:val="bottom"/>
          </w:tcPr>
          <w:p>
            <w:pPr>
              <w:ind w:left="540"/>
              <w:spacing w:after="0"/>
              <w:rPr>
                <w:sz w:val="20"/>
                <w:szCs w:val="20"/>
                <w:color w:val="auto"/>
              </w:rPr>
            </w:pPr>
            <w:r>
              <w:rPr>
                <w:rFonts w:ascii="Arial" w:cs="Arial" w:eastAsia="Arial" w:hAnsi="Arial"/>
                <w:sz w:val="14"/>
                <w:szCs w:val="14"/>
                <w:color w:val="auto"/>
              </w:rPr>
              <w:t>(0.1)</w:t>
            </w:r>
          </w:p>
        </w:tc>
        <w:tc>
          <w:tcPr>
            <w:tcW w:w="900" w:type="dxa"/>
            <w:vAlign w:val="bottom"/>
          </w:tcPr>
          <w:p>
            <w:pPr>
              <w:jc w:val="right"/>
              <w:ind w:right="152"/>
              <w:spacing w:after="0"/>
              <w:rPr>
                <w:sz w:val="20"/>
                <w:szCs w:val="20"/>
                <w:color w:val="auto"/>
              </w:rPr>
            </w:pPr>
            <w:r>
              <w:rPr>
                <w:rFonts w:ascii="Arial" w:cs="Arial" w:eastAsia="Arial" w:hAnsi="Arial"/>
                <w:sz w:val="14"/>
                <w:szCs w:val="14"/>
                <w:color w:val="auto"/>
              </w:rPr>
              <w:t>6.5</w:t>
            </w:r>
          </w:p>
        </w:tc>
        <w:tc>
          <w:tcPr>
            <w:tcW w:w="920" w:type="dxa"/>
            <w:vAlign w:val="bottom"/>
          </w:tcPr>
          <w:p>
            <w:pPr>
              <w:ind w:left="5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52"/>
              <w:spacing w:after="0"/>
              <w:rPr>
                <w:sz w:val="20"/>
                <w:szCs w:val="20"/>
                <w:color w:val="auto"/>
              </w:rPr>
            </w:pPr>
            <w:r>
              <w:rPr>
                <w:rFonts w:ascii="Arial" w:cs="Arial" w:eastAsia="Arial" w:hAnsi="Arial"/>
                <w:sz w:val="14"/>
                <w:szCs w:val="14"/>
                <w:color w:val="auto"/>
              </w:rPr>
              <w:t>2.2</w:t>
            </w:r>
          </w:p>
        </w:tc>
        <w:tc>
          <w:tcPr>
            <w:tcW w:w="1000" w:type="dxa"/>
            <w:vAlign w:val="bottom"/>
          </w:tcPr>
          <w:p>
            <w:pPr>
              <w:jc w:val="right"/>
              <w:ind w:right="152"/>
              <w:spacing w:after="0"/>
              <w:rPr>
                <w:sz w:val="20"/>
                <w:szCs w:val="20"/>
                <w:color w:val="auto"/>
              </w:rPr>
            </w:pPr>
            <w:r>
              <w:rPr>
                <w:rFonts w:ascii="Arial" w:cs="Arial" w:eastAsia="Arial" w:hAnsi="Arial"/>
                <w:sz w:val="14"/>
                <w:szCs w:val="14"/>
                <w:color w:val="auto"/>
              </w:rPr>
              <w:t>10.3</w:t>
            </w: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80" w:type="dxa"/>
            <w:vAlign w:val="bottom"/>
          </w:tcPr>
          <w:p>
            <w:pPr>
              <w:ind w:left="5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46"/>
        </w:trPr>
        <w:tc>
          <w:tcPr>
            <w:tcW w:w="1480" w:type="dxa"/>
            <w:vAlign w:val="bottom"/>
          </w:tcPr>
          <w:p>
            <w:pPr>
              <w:ind w:left="20"/>
              <w:spacing w:after="0" w:line="147" w:lineRule="exact"/>
              <w:rPr>
                <w:sz w:val="20"/>
                <w:szCs w:val="20"/>
                <w:color w:val="auto"/>
              </w:rPr>
            </w:pPr>
            <w:r>
              <w:rPr>
                <w:rFonts w:ascii="Arial" w:cs="Arial" w:eastAsia="Arial" w:hAnsi="Arial"/>
                <w:sz w:val="14"/>
                <w:szCs w:val="14"/>
                <w:color w:val="auto"/>
              </w:rPr>
              <w:t>Operating margin</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4.0 %</w:t>
            </w:r>
          </w:p>
        </w:tc>
        <w:tc>
          <w:tcPr>
            <w:tcW w:w="1000" w:type="dxa"/>
            <w:vAlign w:val="bottom"/>
            <w:vMerge w:val="restart"/>
          </w:tcPr>
          <w:p>
            <w:pPr>
              <w:ind w:left="640"/>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2.7 %</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0.9 %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4.3 %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w w:val="98"/>
              </w:rPr>
              <w:t>— %</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11.8 %</w:t>
            </w:r>
          </w:p>
        </w:tc>
        <w:tc>
          <w:tcPr>
            <w:tcW w:w="0" w:type="dxa"/>
            <w:vAlign w:val="bottom"/>
          </w:tcPr>
          <w:p>
            <w:pPr>
              <w:spacing w:after="0"/>
              <w:rPr>
                <w:sz w:val="1"/>
                <w:szCs w:val="1"/>
                <w:color w:val="auto"/>
              </w:rPr>
            </w:pPr>
          </w:p>
        </w:tc>
      </w:tr>
      <w:tr>
        <w:trPr>
          <w:trHeight w:val="169"/>
        </w:trPr>
        <w:tc>
          <w:tcPr>
            <w:tcW w:w="1480" w:type="dxa"/>
            <w:vAlign w:val="bottom"/>
          </w:tcPr>
          <w:p>
            <w:pPr>
              <w:ind w:left="20"/>
              <w:spacing w:after="0"/>
              <w:rPr>
                <w:sz w:val="20"/>
                <w:szCs w:val="20"/>
                <w:color w:val="auto"/>
              </w:rPr>
            </w:pPr>
            <w:r>
              <w:rPr>
                <w:rFonts w:ascii="Arial" w:cs="Arial" w:eastAsia="Arial" w:hAnsi="Arial"/>
                <w:sz w:val="14"/>
                <w:szCs w:val="14"/>
                <w:color w:val="auto"/>
              </w:rPr>
              <w:t>percent</w:t>
            </w:r>
          </w:p>
        </w:tc>
        <w:tc>
          <w:tcPr>
            <w:tcW w:w="7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48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2.5</w:t>
            </w:r>
          </w:p>
        </w:tc>
        <w:tc>
          <w:tcPr>
            <w:tcW w:w="1000" w:type="dxa"/>
            <w:vAlign w:val="bottom"/>
          </w:tcPr>
          <w:p>
            <w:pPr>
              <w:ind w:left="6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52"/>
              <w:spacing w:after="0"/>
              <w:rPr>
                <w:sz w:val="20"/>
                <w:szCs w:val="20"/>
                <w:color w:val="auto"/>
              </w:rPr>
            </w:pPr>
            <w:r>
              <w:rPr>
                <w:rFonts w:ascii="Arial" w:cs="Arial" w:eastAsia="Arial" w:hAnsi="Arial"/>
                <w:sz w:val="14"/>
                <w:szCs w:val="14"/>
                <w:color w:val="auto"/>
              </w:rPr>
              <w:t>0.5</w:t>
            </w:r>
          </w:p>
        </w:tc>
        <w:tc>
          <w:tcPr>
            <w:tcW w:w="920" w:type="dxa"/>
            <w:vAlign w:val="bottom"/>
          </w:tcPr>
          <w:p>
            <w:pPr>
              <w:ind w:left="5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52"/>
              <w:spacing w:after="0"/>
              <w:rPr>
                <w:sz w:val="20"/>
                <w:szCs w:val="20"/>
                <w:color w:val="auto"/>
              </w:rPr>
            </w:pPr>
            <w:r>
              <w:rPr>
                <w:rFonts w:ascii="Arial" w:cs="Arial" w:eastAsia="Arial" w:hAnsi="Arial"/>
                <w:sz w:val="14"/>
                <w:szCs w:val="14"/>
                <w:color w:val="auto"/>
              </w:rPr>
              <w:t>0.3</w:t>
            </w:r>
          </w:p>
        </w:tc>
        <w:tc>
          <w:tcPr>
            <w:tcW w:w="1000" w:type="dxa"/>
            <w:vAlign w:val="bottom"/>
          </w:tcPr>
          <w:p>
            <w:pPr>
              <w:jc w:val="right"/>
              <w:ind w:right="152"/>
              <w:spacing w:after="0"/>
              <w:rPr>
                <w:sz w:val="20"/>
                <w:szCs w:val="20"/>
                <w:color w:val="auto"/>
              </w:rPr>
            </w:pPr>
            <w:r>
              <w:rPr>
                <w:rFonts w:ascii="Arial" w:cs="Arial" w:eastAsia="Arial" w:hAnsi="Arial"/>
                <w:sz w:val="14"/>
                <w:szCs w:val="14"/>
                <w:color w:val="auto"/>
              </w:rPr>
              <w:t>0.1</w:t>
            </w: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(1.4)</w:t>
            </w:r>
          </w:p>
        </w:tc>
        <w:tc>
          <w:tcPr>
            <w:tcW w:w="880" w:type="dxa"/>
            <w:vAlign w:val="bottom"/>
          </w:tcPr>
          <w:p>
            <w:pPr>
              <w:ind w:left="5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4"/>
        </w:trPr>
        <w:tc>
          <w:tcPr>
            <w:tcW w:w="1480" w:type="dxa"/>
            <w:vAlign w:val="bottom"/>
          </w:tcPr>
          <w:p>
            <w:pPr>
              <w:ind w:left="20"/>
              <w:spacing w:after="0"/>
              <w:rPr>
                <w:sz w:val="20"/>
                <w:szCs w:val="20"/>
                <w:color w:val="auto"/>
              </w:rPr>
            </w:pPr>
            <w:r>
              <w:rPr>
                <w:rFonts w:ascii="Arial" w:cs="Arial" w:eastAsia="Arial" w:hAnsi="Arial"/>
                <w:sz w:val="14"/>
                <w:szCs w:val="14"/>
                <w:color w:val="auto"/>
              </w:rPr>
              <w:t>Income tax rate</w:t>
            </w:r>
          </w:p>
        </w:tc>
        <w:tc>
          <w:tcPr>
            <w:tcW w:w="700" w:type="dxa"/>
            <w:vAlign w:val="bottom"/>
          </w:tcPr>
          <w:p>
            <w:pPr>
              <w:jc w:val="right"/>
              <w:spacing w:after="0"/>
              <w:rPr>
                <w:sz w:val="20"/>
                <w:szCs w:val="20"/>
                <w:color w:val="auto"/>
              </w:rPr>
            </w:pPr>
            <w:r>
              <w:rPr>
                <w:rFonts w:ascii="Arial" w:cs="Arial" w:eastAsia="Arial" w:hAnsi="Arial"/>
                <w:sz w:val="14"/>
                <w:szCs w:val="14"/>
                <w:color w:val="auto"/>
              </w:rPr>
              <w:t>45.6 %</w:t>
            </w:r>
          </w:p>
        </w:tc>
        <w:tc>
          <w:tcPr>
            <w:tcW w:w="1000" w:type="dxa"/>
            <w:vAlign w:val="bottom"/>
          </w:tcPr>
          <w:p>
            <w:pPr>
              <w:ind w:left="640"/>
              <w:spacing w:after="0"/>
              <w:rPr>
                <w:sz w:val="20"/>
                <w:szCs w:val="20"/>
                <w:color w:val="auto"/>
              </w:rPr>
            </w:pPr>
            <w:r>
              <w:rPr>
                <w:rFonts w:ascii="Arial" w:cs="Arial" w:eastAsia="Arial" w:hAnsi="Arial"/>
                <w:sz w:val="14"/>
                <w:szCs w:val="14"/>
                <w:color w:val="auto"/>
              </w:rPr>
              <w:t>— %</w:t>
            </w:r>
          </w:p>
        </w:tc>
        <w:tc>
          <w:tcPr>
            <w:tcW w:w="900" w:type="dxa"/>
            <w:vAlign w:val="bottom"/>
          </w:tcPr>
          <w:p>
            <w:pPr>
              <w:jc w:val="right"/>
              <w:spacing w:after="0"/>
              <w:rPr>
                <w:sz w:val="20"/>
                <w:szCs w:val="20"/>
                <w:color w:val="auto"/>
              </w:rPr>
            </w:pPr>
            <w:r>
              <w:rPr>
                <w:rFonts w:ascii="Arial" w:cs="Arial" w:eastAsia="Arial" w:hAnsi="Arial"/>
                <w:sz w:val="14"/>
                <w:szCs w:val="14"/>
                <w:color w:val="auto"/>
              </w:rPr>
              <w:t>6.9 %</w:t>
            </w:r>
          </w:p>
        </w:tc>
        <w:tc>
          <w:tcPr>
            <w:tcW w:w="920" w:type="dxa"/>
            <w:vAlign w:val="bottom"/>
          </w:tcPr>
          <w:p>
            <w:pPr>
              <w:ind w:left="560"/>
              <w:spacing w:after="0"/>
              <w:rPr>
                <w:sz w:val="20"/>
                <w:szCs w:val="20"/>
                <w:color w:val="auto"/>
              </w:rPr>
            </w:pPr>
            <w:r>
              <w:rPr>
                <w:rFonts w:ascii="Arial" w:cs="Arial" w:eastAsia="Arial" w:hAnsi="Arial"/>
                <w:sz w:val="14"/>
                <w:szCs w:val="14"/>
                <w:color w:val="auto"/>
              </w:rPr>
              <w:t>— %</w:t>
            </w:r>
          </w:p>
        </w:tc>
        <w:tc>
          <w:tcPr>
            <w:tcW w:w="980" w:type="dxa"/>
            <w:vAlign w:val="bottom"/>
          </w:tcPr>
          <w:p>
            <w:pPr>
              <w:jc w:val="right"/>
              <w:spacing w:after="0"/>
              <w:rPr>
                <w:sz w:val="20"/>
                <w:szCs w:val="20"/>
                <w:color w:val="auto"/>
              </w:rPr>
            </w:pPr>
            <w:r>
              <w:rPr>
                <w:rFonts w:ascii="Arial" w:cs="Arial" w:eastAsia="Arial" w:hAnsi="Arial"/>
                <w:sz w:val="14"/>
                <w:szCs w:val="14"/>
                <w:color w:val="auto"/>
              </w:rPr>
              <w:t>15.6 %</w:t>
            </w:r>
          </w:p>
        </w:tc>
        <w:tc>
          <w:tcPr>
            <w:tcW w:w="1000" w:type="dxa"/>
            <w:vAlign w:val="bottom"/>
          </w:tcPr>
          <w:p>
            <w:pPr>
              <w:jc w:val="right"/>
              <w:spacing w:after="0"/>
              <w:rPr>
                <w:sz w:val="20"/>
                <w:szCs w:val="20"/>
                <w:color w:val="auto"/>
              </w:rPr>
            </w:pPr>
            <w:r>
              <w:rPr>
                <w:rFonts w:ascii="Arial" w:cs="Arial" w:eastAsia="Arial" w:hAnsi="Arial"/>
                <w:sz w:val="14"/>
                <w:szCs w:val="14"/>
                <w:color w:val="auto"/>
              </w:rPr>
              <w:t>0.7 %</w:t>
            </w:r>
          </w:p>
        </w:tc>
        <w:tc>
          <w:tcPr>
            <w:tcW w:w="900" w:type="dxa"/>
            <w:vAlign w:val="bottom"/>
          </w:tcPr>
          <w:p>
            <w:pPr>
              <w:jc w:val="center"/>
              <w:spacing w:after="0"/>
              <w:rPr>
                <w:sz w:val="20"/>
                <w:szCs w:val="20"/>
                <w:color w:val="auto"/>
              </w:rPr>
            </w:pPr>
            <w:r>
              <w:rPr>
                <w:rFonts w:ascii="Arial" w:cs="Arial" w:eastAsia="Arial" w:hAnsi="Arial"/>
                <w:sz w:val="14"/>
                <w:szCs w:val="14"/>
                <w:color w:val="auto"/>
              </w:rPr>
              <w:t>N/A</w:t>
            </w:r>
          </w:p>
        </w:tc>
        <w:tc>
          <w:tcPr>
            <w:tcW w:w="880" w:type="dxa"/>
            <w:vAlign w:val="bottom"/>
          </w:tcPr>
          <w:p>
            <w:pPr>
              <w:ind w:left="560"/>
              <w:spacing w:after="0"/>
              <w:rPr>
                <w:sz w:val="20"/>
                <w:szCs w:val="20"/>
                <w:color w:val="auto"/>
              </w:rPr>
            </w:pPr>
            <w:r>
              <w:rPr>
                <w:rFonts w:ascii="Arial" w:cs="Arial" w:eastAsia="Arial" w:hAnsi="Arial"/>
                <w:sz w:val="14"/>
                <w:szCs w:val="14"/>
                <w:color w:val="auto"/>
                <w:w w:val="98"/>
              </w:rPr>
              <w:t>— %</w:t>
            </w:r>
          </w:p>
        </w:tc>
        <w:tc>
          <w:tcPr>
            <w:tcW w:w="720" w:type="dxa"/>
            <w:vAlign w:val="bottom"/>
          </w:tcPr>
          <w:p>
            <w:pPr>
              <w:jc w:val="right"/>
              <w:spacing w:after="0"/>
              <w:rPr>
                <w:sz w:val="20"/>
                <w:szCs w:val="20"/>
                <w:color w:val="auto"/>
              </w:rPr>
            </w:pPr>
            <w:r>
              <w:rPr>
                <w:rFonts w:ascii="Arial" w:cs="Arial" w:eastAsia="Arial" w:hAnsi="Arial"/>
                <w:sz w:val="14"/>
                <w:szCs w:val="14"/>
                <w:color w:val="auto"/>
              </w:rPr>
              <w:t>7.2 %</w:t>
            </w:r>
          </w:p>
        </w:tc>
        <w:tc>
          <w:tcPr>
            <w:tcW w:w="0" w:type="dxa"/>
            <w:vAlign w:val="bottom"/>
          </w:tcPr>
          <w:p>
            <w:pPr>
              <w:spacing w:after="0"/>
              <w:rPr>
                <w:sz w:val="1"/>
                <w:szCs w:val="1"/>
                <w:color w:val="auto"/>
              </w:rPr>
            </w:pPr>
          </w:p>
        </w:tc>
      </w:tr>
      <w:tr>
        <w:trPr>
          <w:trHeight w:val="184"/>
        </w:trPr>
        <w:tc>
          <w:tcPr>
            <w:tcW w:w="14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3.0</w:t>
            </w:r>
          </w:p>
        </w:tc>
        <w:tc>
          <w:tcPr>
            <w:tcW w:w="1000" w:type="dxa"/>
            <w:vAlign w:val="bottom"/>
          </w:tcPr>
          <w:p>
            <w:pPr>
              <w:ind w:left="540"/>
              <w:spacing w:after="0"/>
              <w:rPr>
                <w:sz w:val="20"/>
                <w:szCs w:val="20"/>
                <w:color w:val="auto"/>
              </w:rPr>
            </w:pPr>
            <w:r>
              <w:rPr>
                <w:rFonts w:ascii="Arial" w:cs="Arial" w:eastAsia="Arial" w:hAnsi="Arial"/>
                <w:sz w:val="14"/>
                <w:szCs w:val="14"/>
                <w:color w:val="auto"/>
              </w:rPr>
              <w:t>(0.1)</w:t>
            </w:r>
          </w:p>
        </w:tc>
        <w:tc>
          <w:tcPr>
            <w:tcW w:w="900" w:type="dxa"/>
            <w:vAlign w:val="bottom"/>
          </w:tcPr>
          <w:p>
            <w:pPr>
              <w:jc w:val="right"/>
              <w:ind w:right="152"/>
              <w:spacing w:after="0"/>
              <w:rPr>
                <w:sz w:val="20"/>
                <w:szCs w:val="20"/>
                <w:color w:val="auto"/>
              </w:rPr>
            </w:pPr>
            <w:r>
              <w:rPr>
                <w:rFonts w:ascii="Arial" w:cs="Arial" w:eastAsia="Arial" w:hAnsi="Arial"/>
                <w:sz w:val="14"/>
                <w:szCs w:val="14"/>
                <w:color w:val="auto"/>
              </w:rPr>
              <w:t>6.1</w:t>
            </w:r>
          </w:p>
        </w:tc>
        <w:tc>
          <w:tcPr>
            <w:tcW w:w="920" w:type="dxa"/>
            <w:vAlign w:val="bottom"/>
          </w:tcPr>
          <w:p>
            <w:pPr>
              <w:jc w:val="right"/>
              <w:ind w:right="112"/>
              <w:spacing w:after="0"/>
              <w:rPr>
                <w:sz w:val="20"/>
                <w:szCs w:val="20"/>
                <w:color w:val="auto"/>
              </w:rPr>
            </w:pPr>
            <w:r>
              <w:rPr>
                <w:rFonts w:ascii="Arial" w:cs="Arial" w:eastAsia="Arial" w:hAnsi="Arial"/>
                <w:sz w:val="14"/>
                <w:szCs w:val="14"/>
                <w:color w:val="auto"/>
              </w:rPr>
              <w:t>(1.1)</w:t>
            </w:r>
          </w:p>
        </w:tc>
        <w:tc>
          <w:tcPr>
            <w:tcW w:w="980" w:type="dxa"/>
            <w:vAlign w:val="bottom"/>
          </w:tcPr>
          <w:p>
            <w:pPr>
              <w:jc w:val="right"/>
              <w:ind w:right="152"/>
              <w:spacing w:after="0"/>
              <w:rPr>
                <w:sz w:val="20"/>
                <w:szCs w:val="20"/>
                <w:color w:val="auto"/>
              </w:rPr>
            </w:pPr>
            <w:r>
              <w:rPr>
                <w:rFonts w:ascii="Arial" w:cs="Arial" w:eastAsia="Arial" w:hAnsi="Arial"/>
                <w:sz w:val="14"/>
                <w:szCs w:val="14"/>
                <w:color w:val="auto"/>
              </w:rPr>
              <w:t>1.9</w:t>
            </w:r>
          </w:p>
        </w:tc>
        <w:tc>
          <w:tcPr>
            <w:tcW w:w="1000" w:type="dxa"/>
            <w:vAlign w:val="bottom"/>
          </w:tcPr>
          <w:p>
            <w:pPr>
              <w:jc w:val="right"/>
              <w:ind w:right="152"/>
              <w:spacing w:after="0"/>
              <w:rPr>
                <w:sz w:val="20"/>
                <w:szCs w:val="20"/>
                <w:color w:val="auto"/>
              </w:rPr>
            </w:pPr>
            <w:r>
              <w:rPr>
                <w:rFonts w:ascii="Arial" w:cs="Arial" w:eastAsia="Arial" w:hAnsi="Arial"/>
                <w:sz w:val="14"/>
                <w:szCs w:val="14"/>
                <w:color w:val="auto"/>
              </w:rPr>
              <w:t>10.2</w:t>
            </w: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1.4</w:t>
            </w: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4.8</w:t>
            </w:r>
          </w:p>
        </w:tc>
        <w:tc>
          <w:tcPr>
            <w:tcW w:w="720" w:type="dxa"/>
            <w:vAlign w:val="bottom"/>
          </w:tcPr>
          <w:p>
            <w:pPr>
              <w:jc w:val="right"/>
              <w:ind w:right="112"/>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46"/>
        </w:trPr>
        <w:tc>
          <w:tcPr>
            <w:tcW w:w="1480" w:type="dxa"/>
            <w:vAlign w:val="bottom"/>
          </w:tcPr>
          <w:p>
            <w:pPr>
              <w:ind w:left="20"/>
              <w:spacing w:after="0" w:line="147" w:lineRule="exact"/>
              <w:rPr>
                <w:sz w:val="20"/>
                <w:szCs w:val="20"/>
                <w:color w:val="auto"/>
              </w:rPr>
            </w:pPr>
            <w:r>
              <w:rPr>
                <w:rFonts w:ascii="Arial" w:cs="Arial" w:eastAsia="Arial" w:hAnsi="Arial"/>
                <w:sz w:val="14"/>
                <w:szCs w:val="14"/>
                <w:color w:val="auto"/>
              </w:rPr>
              <w:t>Net income as a</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1.2 %</w:t>
            </w:r>
          </w:p>
        </w:tc>
        <w:tc>
          <w:tcPr>
            <w:tcW w:w="1000" w:type="dxa"/>
            <w:vAlign w:val="bottom"/>
            <w:vMerge w:val="restart"/>
          </w:tcPr>
          <w:p>
            <w:pPr>
              <w:ind w:left="640"/>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2.5 %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0.8 %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4.2 %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0.6 %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2.0 %</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10.8 %</w:t>
            </w:r>
          </w:p>
        </w:tc>
        <w:tc>
          <w:tcPr>
            <w:tcW w:w="0" w:type="dxa"/>
            <w:vAlign w:val="bottom"/>
          </w:tcPr>
          <w:p>
            <w:pPr>
              <w:spacing w:after="0"/>
              <w:rPr>
                <w:sz w:val="1"/>
                <w:szCs w:val="1"/>
                <w:color w:val="auto"/>
              </w:rPr>
            </w:pPr>
          </w:p>
        </w:tc>
      </w:tr>
      <w:tr>
        <w:trPr>
          <w:trHeight w:val="169"/>
        </w:trPr>
        <w:tc>
          <w:tcPr>
            <w:tcW w:w="1480" w:type="dxa"/>
            <w:vAlign w:val="bottom"/>
          </w:tcPr>
          <w:p>
            <w:pPr>
              <w:ind w:left="20"/>
              <w:spacing w:after="0"/>
              <w:rPr>
                <w:sz w:val="20"/>
                <w:szCs w:val="20"/>
                <w:color w:val="auto"/>
              </w:rPr>
            </w:pPr>
            <w:r>
              <w:rPr>
                <w:rFonts w:ascii="Arial" w:cs="Arial" w:eastAsia="Arial" w:hAnsi="Arial"/>
                <w:sz w:val="14"/>
                <w:szCs w:val="14"/>
                <w:color w:val="auto"/>
              </w:rPr>
              <w:t>percent of net sales</w:t>
            </w:r>
          </w:p>
        </w:tc>
        <w:tc>
          <w:tcPr>
            <w:tcW w:w="7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480" w:type="dxa"/>
            <w:vAlign w:val="bottom"/>
          </w:tcPr>
          <w:p>
            <w:pPr>
              <w:ind w:left="20"/>
              <w:spacing w:after="0"/>
              <w:rPr>
                <w:sz w:val="20"/>
                <w:szCs w:val="20"/>
                <w:color w:val="auto"/>
              </w:rPr>
            </w:pPr>
            <w:r>
              <w:rPr>
                <w:rFonts w:ascii="Arial" w:cs="Arial" w:eastAsia="Arial" w:hAnsi="Arial"/>
                <w:sz w:val="14"/>
                <w:szCs w:val="14"/>
                <w:color w:val="auto"/>
              </w:rPr>
              <w:t>Diluted EPS</w:t>
            </w: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$0.06</w:t>
            </w:r>
          </w:p>
        </w:tc>
        <w:tc>
          <w:tcPr>
            <w:tcW w:w="10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52"/>
              <w:spacing w:after="0"/>
              <w:rPr>
                <w:sz w:val="20"/>
                <w:szCs w:val="20"/>
                <w:color w:val="auto"/>
              </w:rPr>
            </w:pPr>
            <w:r>
              <w:rPr>
                <w:rFonts w:ascii="Arial" w:cs="Arial" w:eastAsia="Arial" w:hAnsi="Arial"/>
                <w:sz w:val="14"/>
                <w:szCs w:val="14"/>
                <w:color w:val="auto"/>
              </w:rPr>
              <w:t>$0.11</w:t>
            </w:r>
          </w:p>
        </w:tc>
        <w:tc>
          <w:tcPr>
            <w:tcW w:w="920" w:type="dxa"/>
            <w:vAlign w:val="bottom"/>
          </w:tcPr>
          <w:p>
            <w:pPr>
              <w:jc w:val="right"/>
              <w:ind w:right="112"/>
              <w:spacing w:after="0"/>
              <w:rPr>
                <w:sz w:val="20"/>
                <w:szCs w:val="20"/>
                <w:color w:val="auto"/>
              </w:rPr>
            </w:pPr>
            <w:r>
              <w:rPr>
                <w:rFonts w:ascii="Arial" w:cs="Arial" w:eastAsia="Arial" w:hAnsi="Arial"/>
                <w:sz w:val="14"/>
                <w:szCs w:val="14"/>
                <w:color w:val="auto"/>
              </w:rPr>
              <w:t>($0.02)</w:t>
            </w:r>
          </w:p>
        </w:tc>
        <w:tc>
          <w:tcPr>
            <w:tcW w:w="980" w:type="dxa"/>
            <w:vAlign w:val="bottom"/>
          </w:tcPr>
          <w:p>
            <w:pPr>
              <w:jc w:val="right"/>
              <w:ind w:right="152"/>
              <w:spacing w:after="0"/>
              <w:rPr>
                <w:sz w:val="20"/>
                <w:szCs w:val="20"/>
                <w:color w:val="auto"/>
              </w:rPr>
            </w:pPr>
            <w:r>
              <w:rPr>
                <w:rFonts w:ascii="Arial" w:cs="Arial" w:eastAsia="Arial" w:hAnsi="Arial"/>
                <w:sz w:val="14"/>
                <w:szCs w:val="14"/>
                <w:color w:val="auto"/>
              </w:rPr>
              <w:t>$0.03</w:t>
            </w:r>
          </w:p>
        </w:tc>
        <w:tc>
          <w:tcPr>
            <w:tcW w:w="1000" w:type="dxa"/>
            <w:vAlign w:val="bottom"/>
          </w:tcPr>
          <w:p>
            <w:pPr>
              <w:jc w:val="right"/>
              <w:ind w:right="152"/>
              <w:spacing w:after="0"/>
              <w:rPr>
                <w:sz w:val="20"/>
                <w:szCs w:val="20"/>
                <w:color w:val="auto"/>
              </w:rPr>
            </w:pPr>
            <w:r>
              <w:rPr>
                <w:rFonts w:ascii="Arial" w:cs="Arial" w:eastAsia="Arial" w:hAnsi="Arial"/>
                <w:sz w:val="14"/>
                <w:szCs w:val="14"/>
                <w:color w:val="auto"/>
              </w:rPr>
              <w:t>$0.19</w:t>
            </w: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$0.03</w:t>
            </w: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$0.09</w:t>
            </w:r>
          </w:p>
        </w:tc>
        <w:tc>
          <w:tcPr>
            <w:tcW w:w="720" w:type="dxa"/>
            <w:vAlign w:val="bottom"/>
          </w:tcPr>
          <w:p>
            <w:pPr>
              <w:jc w:val="right"/>
              <w:ind w:right="112"/>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three months ended March 31, 2022 include:</w:t>
      </w:r>
    </w:p>
    <w:p>
      <w:pPr>
        <w:spacing w:after="0" w:line="39" w:lineRule="exact"/>
        <w:rPr>
          <w:sz w:val="20"/>
          <w:szCs w:val="20"/>
          <w:color w:val="auto"/>
        </w:rPr>
      </w:pPr>
    </w:p>
    <w:p>
      <w:pPr>
        <w:ind w:left="360" w:hanging="338"/>
        <w:spacing w:after="0"/>
        <w:tabs>
          <w:tab w:leader="none" w:pos="360" w:val="left"/>
        </w:tabs>
        <w:numPr>
          <w:ilvl w:val="0"/>
          <w:numId w:val="13"/>
        </w:numPr>
        <w:rPr>
          <w:rFonts w:ascii="Arial" w:cs="Arial" w:eastAsia="Arial" w:hAnsi="Arial"/>
          <w:sz w:val="14"/>
          <w:szCs w:val="14"/>
          <w:b w:val="1"/>
          <w:bCs w:val="1"/>
          <w:color w:val="auto"/>
        </w:rPr>
      </w:pPr>
      <w:r>
        <w:rPr>
          <w:rFonts w:ascii="Arial" w:cs="Arial" w:eastAsia="Arial" w:hAnsi="Arial"/>
          <w:sz w:val="14"/>
          <w:szCs w:val="14"/>
          <w:color w:val="auto"/>
        </w:rPr>
        <w:t>Restructuring expenses related to organizational changes</w:t>
      </w:r>
    </w:p>
    <w:p>
      <w:pPr>
        <w:spacing w:after="0" w:line="22" w:lineRule="exact"/>
        <w:rPr>
          <w:rFonts w:ascii="Arial" w:cs="Arial" w:eastAsia="Arial" w:hAnsi="Arial"/>
          <w:sz w:val="14"/>
          <w:szCs w:val="14"/>
          <w:b w:val="1"/>
          <w:bCs w:val="1"/>
          <w:color w:val="auto"/>
        </w:rPr>
      </w:pPr>
    </w:p>
    <w:p>
      <w:pPr>
        <w:ind w:left="360" w:hanging="338"/>
        <w:spacing w:after="0"/>
        <w:tabs>
          <w:tab w:leader="none" w:pos="360" w:val="left"/>
        </w:tabs>
        <w:numPr>
          <w:ilvl w:val="0"/>
          <w:numId w:val="13"/>
        </w:numPr>
        <w:rPr>
          <w:rFonts w:ascii="Arial" w:cs="Arial" w:eastAsia="Arial" w:hAnsi="Arial"/>
          <w:sz w:val="14"/>
          <w:szCs w:val="14"/>
          <w:b w:val="1"/>
          <w:bCs w:val="1"/>
          <w:color w:val="auto"/>
        </w:rPr>
      </w:pPr>
      <w:r>
        <w:rPr>
          <w:rFonts w:ascii="Arial" w:cs="Arial" w:eastAsia="Arial" w:hAnsi="Arial"/>
          <w:sz w:val="14"/>
          <w:szCs w:val="14"/>
          <w:color w:val="auto"/>
        </w:rPr>
        <w:t>Includes depreciation and amortization associated with purchase price accounting</w:t>
      </w:r>
    </w:p>
    <w:p>
      <w:pPr>
        <w:spacing w:after="0" w:line="22" w:lineRule="exact"/>
        <w:rPr>
          <w:rFonts w:ascii="Arial" w:cs="Arial" w:eastAsia="Arial" w:hAnsi="Arial"/>
          <w:sz w:val="14"/>
          <w:szCs w:val="14"/>
          <w:b w:val="1"/>
          <w:bCs w:val="1"/>
          <w:color w:val="auto"/>
        </w:rPr>
      </w:pPr>
    </w:p>
    <w:p>
      <w:pPr>
        <w:ind w:left="360" w:hanging="338"/>
        <w:spacing w:after="0"/>
        <w:tabs>
          <w:tab w:leader="none" w:pos="360" w:val="left"/>
        </w:tabs>
        <w:numPr>
          <w:ilvl w:val="0"/>
          <w:numId w:val="13"/>
        </w:numPr>
        <w:rPr>
          <w:rFonts w:ascii="Arial" w:cs="Arial" w:eastAsia="Arial" w:hAnsi="Arial"/>
          <w:sz w:val="14"/>
          <w:szCs w:val="14"/>
          <w:b w:val="1"/>
          <w:bCs w:val="1"/>
          <w:color w:val="auto"/>
        </w:rPr>
      </w:pPr>
      <w:r>
        <w:rPr>
          <w:rFonts w:ascii="Arial" w:cs="Arial" w:eastAsia="Arial" w:hAnsi="Arial"/>
          <w:sz w:val="14"/>
          <w:szCs w:val="14"/>
          <w:color w:val="auto"/>
        </w:rPr>
        <w:t>Primarily relates to the mark-to-market adjustment for the exchangeable option feature and capped call derivatives</w:t>
      </w:r>
    </w:p>
    <w:p>
      <w:pPr>
        <w:spacing w:after="0" w:line="22" w:lineRule="exact"/>
        <w:rPr>
          <w:rFonts w:ascii="Arial" w:cs="Arial" w:eastAsia="Arial" w:hAnsi="Arial"/>
          <w:sz w:val="14"/>
          <w:szCs w:val="14"/>
          <w:b w:val="1"/>
          <w:bCs w:val="1"/>
          <w:color w:val="auto"/>
        </w:rPr>
      </w:pPr>
    </w:p>
    <w:p>
      <w:pPr>
        <w:ind w:left="360" w:hanging="338"/>
        <w:spacing w:after="0" w:line="223" w:lineRule="auto"/>
        <w:tabs>
          <w:tab w:leader="none" w:pos="360" w:val="left"/>
        </w:tabs>
        <w:numPr>
          <w:ilvl w:val="0"/>
          <w:numId w:val="13"/>
        </w:numPr>
        <w:rPr>
          <w:rFonts w:ascii="Arial" w:cs="Arial" w:eastAsia="Arial" w:hAnsi="Arial"/>
          <w:sz w:val="14"/>
          <w:szCs w:val="14"/>
          <w:b w:val="1"/>
          <w:bCs w:val="1"/>
          <w:color w:val="auto"/>
        </w:rPr>
      </w:pPr>
      <w:r>
        <w:rPr>
          <w:rFonts w:ascii="Arial" w:cs="Arial" w:eastAsia="Arial" w:hAnsi="Arial"/>
          <w:sz w:val="14"/>
          <w:szCs w:val="14"/>
          <w:color w:val="auto"/>
        </w:rPr>
        <w:t>3T Heater-Cooler litigation provision, legal expenses primarily related to 3T Heater-Cooler defense, costs related to the SNIA matter, settlements, other matters and remeasurement of contingent consideration related to acquisitions</w:t>
      </w:r>
    </w:p>
    <w:p>
      <w:pPr>
        <w:spacing w:after="0" w:line="15" w:lineRule="exact"/>
        <w:rPr>
          <w:rFonts w:ascii="Arial" w:cs="Arial" w:eastAsia="Arial" w:hAnsi="Arial"/>
          <w:sz w:val="14"/>
          <w:szCs w:val="14"/>
          <w:b w:val="1"/>
          <w:bCs w:val="1"/>
          <w:color w:val="auto"/>
        </w:rPr>
      </w:pPr>
    </w:p>
    <w:p>
      <w:pPr>
        <w:ind w:left="360" w:hanging="338"/>
        <w:spacing w:after="0"/>
        <w:tabs>
          <w:tab w:leader="none" w:pos="360" w:val="left"/>
        </w:tabs>
        <w:numPr>
          <w:ilvl w:val="0"/>
          <w:numId w:val="13"/>
        </w:numPr>
        <w:rPr>
          <w:rFonts w:ascii="Arial" w:cs="Arial" w:eastAsia="Arial" w:hAnsi="Arial"/>
          <w:sz w:val="14"/>
          <w:szCs w:val="14"/>
          <w:b w:val="1"/>
          <w:bCs w:val="1"/>
          <w:color w:val="auto"/>
        </w:rPr>
      </w:pPr>
      <w:r>
        <w:rPr>
          <w:rFonts w:ascii="Arial" w:cs="Arial" w:eastAsia="Arial" w:hAnsi="Arial"/>
          <w:sz w:val="14"/>
          <w:szCs w:val="14"/>
          <w:color w:val="auto"/>
        </w:rPr>
        <w:t>Non-cash expenses associated with stock-based compensation costs</w:t>
      </w:r>
    </w:p>
    <w:p>
      <w:pPr>
        <w:spacing w:after="0" w:line="22" w:lineRule="exact"/>
        <w:rPr>
          <w:rFonts w:ascii="Arial" w:cs="Arial" w:eastAsia="Arial" w:hAnsi="Arial"/>
          <w:sz w:val="14"/>
          <w:szCs w:val="14"/>
          <w:b w:val="1"/>
          <w:bCs w:val="1"/>
          <w:color w:val="auto"/>
        </w:rPr>
      </w:pPr>
    </w:p>
    <w:p>
      <w:pPr>
        <w:ind w:left="360" w:hanging="338"/>
        <w:spacing w:after="0"/>
        <w:tabs>
          <w:tab w:leader="none" w:pos="360" w:val="left"/>
        </w:tabs>
        <w:numPr>
          <w:ilvl w:val="0"/>
          <w:numId w:val="13"/>
        </w:numPr>
        <w:rPr>
          <w:rFonts w:ascii="Arial" w:cs="Arial" w:eastAsia="Arial" w:hAnsi="Arial"/>
          <w:sz w:val="14"/>
          <w:szCs w:val="14"/>
          <w:b w:val="1"/>
          <w:bCs w:val="1"/>
          <w:color w:val="auto"/>
        </w:rPr>
      </w:pPr>
      <w:r>
        <w:rPr>
          <w:rFonts w:ascii="Arial" w:cs="Arial" w:eastAsia="Arial" w:hAnsi="Arial"/>
          <w:sz w:val="14"/>
          <w:szCs w:val="14"/>
          <w:color w:val="auto"/>
        </w:rPr>
        <w:t>Primarily relates to discrete tax items and the tax impact of intercompany transactions</w:t>
      </w:r>
    </w:p>
    <w:p>
      <w:pPr>
        <w:spacing w:after="0" w:line="22" w:lineRule="exact"/>
        <w:rPr>
          <w:rFonts w:ascii="Arial" w:cs="Arial" w:eastAsia="Arial" w:hAnsi="Arial"/>
          <w:sz w:val="14"/>
          <w:szCs w:val="14"/>
          <w:b w:val="1"/>
          <w:bCs w:val="1"/>
          <w:color w:val="auto"/>
        </w:rPr>
      </w:pPr>
    </w:p>
    <w:p>
      <w:pPr>
        <w:ind w:left="360" w:hanging="338"/>
        <w:spacing w:after="0"/>
        <w:tabs>
          <w:tab w:leader="none" w:pos="360" w:val="left"/>
        </w:tabs>
        <w:numPr>
          <w:ilvl w:val="0"/>
          <w:numId w:val="13"/>
        </w:numPr>
        <w:rPr>
          <w:rFonts w:ascii="Arial" w:cs="Arial" w:eastAsia="Arial" w:hAnsi="Arial"/>
          <w:sz w:val="14"/>
          <w:szCs w:val="14"/>
          <w:b w:val="1"/>
          <w:bCs w:val="1"/>
          <w:color w:val="auto"/>
        </w:rPr>
      </w:pPr>
      <w:r>
        <w:rPr>
          <w:rFonts w:ascii="Arial" w:cs="Arial" w:eastAsia="Arial" w:hAnsi="Arial"/>
          <w:sz w:val="14"/>
          <w:szCs w:val="14"/>
          <w:color w:val="auto"/>
        </w:rPr>
        <w:t>Primarily relates to non-cash interest expense on the Cash Exchangeable Senior Notes and interest on the 2022 Bridge Loan</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Numbers may not add precisely due to rounding.</w:t>
      </w:r>
    </w:p>
    <w:p>
      <w:pPr>
        <w:ind w:left="5500"/>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0460"/>
          </w:cols>
          <w:pgMar w:left="320" w:top="798" w:right="1119" w:bottom="1440" w:gutter="0" w:footer="0" w:header="0"/>
        </w:sectPr>
      </w:pPr>
    </w:p>
    <w:bookmarkStart w:id="15" w:name="page16"/>
    <w:bookmarkEnd w:id="15"/>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1977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725" cy="8255"/>
                    </a:xfrm>
                    <a:prstGeom prst="rect">
                      <a:avLst/>
                    </a:prstGeom>
                    <a:noFill/>
                  </pic:spPr>
                </pic:pic>
              </a:graphicData>
            </a:graphic>
          </wp:anchor>
        </w:drawing>
      </w:r>
    </w:p>
    <w:p>
      <w:pPr>
        <w:ind w:left="5560"/>
        <w:spacing w:after="0"/>
        <w:rPr>
          <w:sz w:val="20"/>
          <w:szCs w:val="20"/>
          <w:color w:val="auto"/>
        </w:rPr>
      </w:pPr>
      <w:r>
        <w:rPr>
          <w:rFonts w:ascii="Arial" w:cs="Arial" w:eastAsia="Arial" w:hAnsi="Arial"/>
          <w:sz w:val="14"/>
          <w:szCs w:val="14"/>
          <w:b w:val="1"/>
          <w:bCs w:val="1"/>
          <w:color w:val="auto"/>
        </w:rPr>
        <w:t>Specified Items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Three</w:t>
            </w:r>
          </w:p>
        </w:tc>
        <w:tc>
          <w:tcPr>
            <w:tcW w:w="600" w:type="dxa"/>
            <w:vAlign w:val="bottom"/>
          </w:tcPr>
          <w:p>
            <w:pPr>
              <w:spacing w:after="0"/>
              <w:rPr>
                <w:sz w:val="14"/>
                <w:szCs w:val="14"/>
                <w:color w:val="auto"/>
              </w:rPr>
            </w:pPr>
          </w:p>
        </w:tc>
        <w:tc>
          <w:tcPr>
            <w:tcW w:w="82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Merger and</w:t>
            </w:r>
          </w:p>
        </w:tc>
        <w:tc>
          <w:tcPr>
            <w:tcW w:w="9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Depreciation</w:t>
            </w:r>
          </w:p>
        </w:tc>
        <w:tc>
          <w:tcPr>
            <w:tcW w:w="8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Product</w:t>
            </w:r>
          </w:p>
        </w:tc>
        <w:tc>
          <w:tcPr>
            <w:tcW w:w="9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Certain Legal,</w:t>
            </w:r>
          </w:p>
        </w:tc>
        <w:tc>
          <w:tcPr>
            <w:tcW w:w="100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Stock-based</w:t>
            </w:r>
          </w:p>
        </w:tc>
        <w:tc>
          <w:tcPr>
            <w:tcW w:w="9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Certain</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2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Months</w:t>
            </w:r>
          </w:p>
        </w:tc>
        <w:tc>
          <w:tcPr>
            <w:tcW w:w="6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GAAP</w:t>
            </w:r>
          </w:p>
        </w:tc>
        <w:tc>
          <w:tcPr>
            <w:tcW w:w="820" w:type="dxa"/>
            <w:vAlign w:val="bottom"/>
            <w:vMerge w:val="continue"/>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Restructuring</w:t>
            </w:r>
          </w:p>
        </w:tc>
        <w:tc>
          <w:tcPr>
            <w:tcW w:w="9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and</w:t>
            </w:r>
          </w:p>
        </w:tc>
        <w:tc>
          <w:tcPr>
            <w:tcW w:w="8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Financing</w:t>
            </w:r>
          </w:p>
        </w:tc>
        <w:tc>
          <w:tcPr>
            <w:tcW w:w="9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Contingent</w:t>
            </w:r>
          </w:p>
        </w:tc>
        <w:tc>
          <w:tcPr>
            <w:tcW w:w="10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Certain Tax</w:t>
            </w:r>
          </w:p>
        </w:tc>
        <w:tc>
          <w:tcPr>
            <w:tcW w:w="880" w:type="dxa"/>
            <w:vAlign w:val="bottom"/>
            <w:vMerge w:val="continue"/>
          </w:tcPr>
          <w:p>
            <w:pPr>
              <w:spacing w:after="0"/>
              <w:rPr>
                <w:sz w:val="10"/>
                <w:szCs w:val="10"/>
                <w:color w:val="auto"/>
              </w:rPr>
            </w:pP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Adjusted</w:t>
            </w:r>
          </w:p>
        </w:tc>
        <w:tc>
          <w:tcPr>
            <w:tcW w:w="0" w:type="dxa"/>
            <w:vAlign w:val="bottom"/>
          </w:tcPr>
          <w:p>
            <w:pPr>
              <w:spacing w:after="0"/>
              <w:rPr>
                <w:sz w:val="1"/>
                <w:szCs w:val="1"/>
                <w:color w:val="auto"/>
              </w:rPr>
            </w:pPr>
          </w:p>
        </w:tc>
      </w:tr>
      <w:tr>
        <w:trPr>
          <w:trHeight w:val="118"/>
        </w:trPr>
        <w:tc>
          <w:tcPr>
            <w:tcW w:w="92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Ended</w:t>
            </w:r>
          </w:p>
        </w:tc>
        <w:tc>
          <w:tcPr>
            <w:tcW w:w="600" w:type="dxa"/>
            <w:vAlign w:val="bottom"/>
            <w:vMerge w:val="continue"/>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Integration</w:t>
            </w:r>
          </w:p>
        </w:tc>
        <w:tc>
          <w:tcPr>
            <w:tcW w:w="960" w:type="dxa"/>
            <w:vAlign w:val="bottom"/>
            <w:vMerge w:val="continue"/>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Amortization</w:t>
            </w:r>
          </w:p>
        </w:tc>
        <w:tc>
          <w:tcPr>
            <w:tcW w:w="820" w:type="dxa"/>
            <w:vAlign w:val="bottom"/>
            <w:vMerge w:val="restart"/>
          </w:tcPr>
          <w:p>
            <w:pPr>
              <w:jc w:val="right"/>
              <w:ind w:right="31"/>
              <w:spacing w:after="0"/>
              <w:rPr>
                <w:sz w:val="20"/>
                <w:szCs w:val="20"/>
                <w:color w:val="auto"/>
              </w:rPr>
            </w:pPr>
            <w:r>
              <w:rPr>
                <w:rFonts w:ascii="Arial" w:cs="Arial" w:eastAsia="Arial" w:hAnsi="Arial"/>
                <w:sz w:val="12"/>
                <w:szCs w:val="12"/>
                <w:b w:val="1"/>
                <w:bCs w:val="1"/>
                <w:color w:val="auto"/>
              </w:rPr>
              <w:t>Impairment</w:t>
            </w:r>
          </w:p>
        </w:tc>
        <w:tc>
          <w:tcPr>
            <w:tcW w:w="9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9"/>
              </w:rPr>
              <w:t>Remediation</w:t>
            </w:r>
          </w:p>
        </w:tc>
        <w:tc>
          <w:tcPr>
            <w:tcW w:w="920" w:type="dxa"/>
            <w:vAlign w:val="bottom"/>
            <w:vMerge w:val="continue"/>
          </w:tcPr>
          <w:p>
            <w:pPr>
              <w:spacing w:after="0"/>
              <w:rPr>
                <w:sz w:val="10"/>
                <w:szCs w:val="10"/>
                <w:color w:val="auto"/>
              </w:rPr>
            </w:pPr>
          </w:p>
        </w:tc>
        <w:tc>
          <w:tcPr>
            <w:tcW w:w="980" w:type="dxa"/>
            <w:vAlign w:val="bottom"/>
          </w:tcPr>
          <w:p>
            <w:pPr>
              <w:jc w:val="center"/>
              <w:ind w:right="12"/>
              <w:spacing w:after="0" w:line="118" w:lineRule="exact"/>
              <w:rPr>
                <w:sz w:val="20"/>
                <w:szCs w:val="20"/>
                <w:color w:val="auto"/>
              </w:rPr>
            </w:pPr>
            <w:r>
              <w:rPr>
                <w:rFonts w:ascii="Arial" w:cs="Arial" w:eastAsia="Arial" w:hAnsi="Arial"/>
                <w:sz w:val="12"/>
                <w:szCs w:val="12"/>
                <w:b w:val="1"/>
                <w:bCs w:val="1"/>
                <w:color w:val="auto"/>
              </w:rPr>
              <w:t>Consideration</w:t>
            </w:r>
          </w:p>
        </w:tc>
        <w:tc>
          <w:tcPr>
            <w:tcW w:w="10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Compensation</w:t>
            </w:r>
          </w:p>
        </w:tc>
        <w:tc>
          <w:tcPr>
            <w:tcW w:w="920" w:type="dxa"/>
            <w:vAlign w:val="bottom"/>
            <w:vMerge w:val="continue"/>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Interest</w:t>
            </w: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2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March 31,</w:t>
            </w:r>
          </w:p>
        </w:tc>
        <w:tc>
          <w:tcPr>
            <w:tcW w:w="6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Financial</w:t>
            </w:r>
          </w:p>
        </w:tc>
        <w:tc>
          <w:tcPr>
            <w:tcW w:w="82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Expenses</w:t>
            </w:r>
          </w:p>
        </w:tc>
        <w:tc>
          <w:tcPr>
            <w:tcW w:w="960" w:type="dxa"/>
            <w:vAlign w:val="bottom"/>
          </w:tcPr>
          <w:p>
            <w:pPr>
              <w:jc w:val="center"/>
              <w:ind w:right="12"/>
              <w:spacing w:after="0" w:line="118" w:lineRule="exact"/>
              <w:rPr>
                <w:sz w:val="20"/>
                <w:szCs w:val="20"/>
                <w:color w:val="auto"/>
              </w:rPr>
            </w:pPr>
            <w:r>
              <w:rPr>
                <w:rFonts w:ascii="Arial" w:cs="Arial" w:eastAsia="Arial" w:hAnsi="Arial"/>
                <w:sz w:val="12"/>
                <w:szCs w:val="12"/>
                <w:b w:val="1"/>
                <w:bCs w:val="1"/>
                <w:color w:val="auto"/>
                <w:w w:val="99"/>
              </w:rPr>
              <w:t>Expenses</w:t>
            </w:r>
          </w:p>
        </w:tc>
        <w:tc>
          <w:tcPr>
            <w:tcW w:w="900" w:type="dxa"/>
            <w:vAlign w:val="bottom"/>
          </w:tcPr>
          <w:p>
            <w:pPr>
              <w:jc w:val="center"/>
              <w:ind w:right="12"/>
              <w:spacing w:after="0" w:line="118" w:lineRule="exact"/>
              <w:rPr>
                <w:sz w:val="20"/>
                <w:szCs w:val="20"/>
                <w:color w:val="auto"/>
              </w:rPr>
            </w:pPr>
            <w:r>
              <w:rPr>
                <w:rFonts w:ascii="Arial" w:cs="Arial" w:eastAsia="Arial" w:hAnsi="Arial"/>
                <w:sz w:val="12"/>
                <w:szCs w:val="12"/>
                <w:b w:val="1"/>
                <w:bCs w:val="1"/>
                <w:color w:val="auto"/>
              </w:rPr>
              <w:t>Expenses</w:t>
            </w:r>
          </w:p>
        </w:tc>
        <w:tc>
          <w:tcPr>
            <w:tcW w:w="820" w:type="dxa"/>
            <w:vAlign w:val="bottom"/>
            <w:vMerge w:val="continue"/>
          </w:tcPr>
          <w:p>
            <w:pPr>
              <w:spacing w:after="0"/>
              <w:rPr>
                <w:sz w:val="10"/>
                <w:szCs w:val="10"/>
                <w:color w:val="auto"/>
              </w:rPr>
            </w:pPr>
          </w:p>
        </w:tc>
        <w:tc>
          <w:tcPr>
            <w:tcW w:w="900" w:type="dxa"/>
            <w:vAlign w:val="bottom"/>
          </w:tcPr>
          <w:p>
            <w:pPr>
              <w:jc w:val="center"/>
              <w:ind w:right="32"/>
              <w:spacing w:after="0" w:line="118" w:lineRule="exact"/>
              <w:rPr>
                <w:sz w:val="20"/>
                <w:szCs w:val="20"/>
                <w:color w:val="auto"/>
              </w:rPr>
            </w:pPr>
            <w:r>
              <w:rPr>
                <w:rFonts w:ascii="Arial" w:cs="Arial" w:eastAsia="Arial" w:hAnsi="Arial"/>
                <w:sz w:val="12"/>
                <w:szCs w:val="12"/>
                <w:b w:val="1"/>
                <w:bCs w:val="1"/>
                <w:color w:val="auto"/>
                <w:w w:val="99"/>
              </w:rPr>
              <w:t>Expenses</w:t>
            </w:r>
          </w:p>
        </w:tc>
        <w:tc>
          <w:tcPr>
            <w:tcW w:w="920" w:type="dxa"/>
            <w:vAlign w:val="bottom"/>
          </w:tcPr>
          <w:p>
            <w:pPr>
              <w:jc w:val="center"/>
              <w:ind w:right="12"/>
              <w:spacing w:after="0" w:line="118"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jc w:val="center"/>
              <w:ind w:right="12"/>
              <w:spacing w:after="0" w:line="118" w:lineRule="exact"/>
              <w:rPr>
                <w:sz w:val="20"/>
                <w:szCs w:val="20"/>
                <w:color w:val="auto"/>
              </w:rPr>
            </w:pPr>
            <w:r>
              <w:rPr>
                <w:rFonts w:ascii="Arial" w:cs="Arial" w:eastAsia="Arial" w:hAnsi="Arial"/>
                <w:sz w:val="12"/>
                <w:szCs w:val="12"/>
                <w:b w:val="1"/>
                <w:bCs w:val="1"/>
                <w:color w:val="auto"/>
              </w:rPr>
              <w:t>and Other</w:t>
            </w:r>
          </w:p>
        </w:tc>
        <w:tc>
          <w:tcPr>
            <w:tcW w:w="1000" w:type="dxa"/>
            <w:vAlign w:val="bottom"/>
          </w:tcPr>
          <w:p>
            <w:pPr>
              <w:jc w:val="center"/>
              <w:ind w:right="32"/>
              <w:spacing w:after="0" w:line="118" w:lineRule="exact"/>
              <w:rPr>
                <w:sz w:val="20"/>
                <w:szCs w:val="20"/>
                <w:color w:val="auto"/>
              </w:rPr>
            </w:pPr>
            <w:r>
              <w:rPr>
                <w:rFonts w:ascii="Arial" w:cs="Arial" w:eastAsia="Arial" w:hAnsi="Arial"/>
                <w:sz w:val="12"/>
                <w:szCs w:val="12"/>
                <w:b w:val="1"/>
                <w:bCs w:val="1"/>
                <w:color w:val="auto"/>
              </w:rPr>
              <w:t>Costs</w:t>
            </w:r>
          </w:p>
        </w:tc>
        <w:tc>
          <w:tcPr>
            <w:tcW w:w="920" w:type="dxa"/>
            <w:vAlign w:val="bottom"/>
          </w:tcPr>
          <w:p>
            <w:pPr>
              <w:jc w:val="center"/>
              <w:ind w:right="32"/>
              <w:spacing w:after="0" w:line="118" w:lineRule="exact"/>
              <w:rPr>
                <w:sz w:val="20"/>
                <w:szCs w:val="20"/>
                <w:color w:val="auto"/>
              </w:rPr>
            </w:pPr>
            <w:r>
              <w:rPr>
                <w:rFonts w:ascii="Arial" w:cs="Arial" w:eastAsia="Arial" w:hAnsi="Arial"/>
                <w:sz w:val="12"/>
                <w:szCs w:val="12"/>
                <w:b w:val="1"/>
                <w:bCs w:val="1"/>
                <w:color w:val="auto"/>
              </w:rPr>
              <w:t>Adjustments</w:t>
            </w:r>
          </w:p>
        </w:tc>
        <w:tc>
          <w:tcPr>
            <w:tcW w:w="8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Adjustments</w:t>
            </w:r>
          </w:p>
        </w:tc>
        <w:tc>
          <w:tcPr>
            <w:tcW w:w="720" w:type="dxa"/>
            <w:vAlign w:val="bottom"/>
          </w:tcPr>
          <w:p>
            <w:pPr>
              <w:ind w:left="100"/>
              <w:spacing w:after="0" w:line="118" w:lineRule="exact"/>
              <w:rPr>
                <w:sz w:val="20"/>
                <w:szCs w:val="20"/>
                <w:color w:val="auto"/>
              </w:rPr>
            </w:pPr>
            <w:r>
              <w:rPr>
                <w:rFonts w:ascii="Arial" w:cs="Arial" w:eastAsia="Arial" w:hAnsi="Arial"/>
                <w:sz w:val="12"/>
                <w:szCs w:val="12"/>
                <w:b w:val="1"/>
                <w:bCs w:val="1"/>
                <w:color w:val="auto"/>
              </w:rPr>
              <w:t>Financial</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Measures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(B)</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(C)</w:t>
            </w: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2"/>
                <w:szCs w:val="12"/>
                <w:b w:val="1"/>
                <w:bCs w:val="1"/>
                <w:color w:val="auto"/>
              </w:rPr>
              <w:t>(D)</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(E)</w:t>
            </w:r>
          </w:p>
        </w:tc>
        <w:tc>
          <w:tcPr>
            <w:tcW w:w="920" w:type="dxa"/>
            <w:vAlign w:val="bottom"/>
            <w:tcBorders>
              <w:bottom w:val="single" w:sz="8" w:color="auto"/>
            </w:tcBorders>
          </w:tcPr>
          <w:p>
            <w:pPr>
              <w:jc w:val="center"/>
              <w:ind w:right="12"/>
              <w:spacing w:after="0"/>
              <w:rPr>
                <w:sz w:val="20"/>
                <w:szCs w:val="20"/>
                <w:color w:val="auto"/>
              </w:rPr>
            </w:pPr>
            <w:r>
              <w:rPr>
                <w:rFonts w:ascii="Arial" w:cs="Arial" w:eastAsia="Arial" w:hAnsi="Arial"/>
                <w:sz w:val="12"/>
                <w:szCs w:val="12"/>
                <w:b w:val="1"/>
                <w:bCs w:val="1"/>
                <w:color w:val="auto"/>
              </w:rPr>
              <w:t>(F)</w:t>
            </w:r>
          </w:p>
        </w:tc>
        <w:tc>
          <w:tcPr>
            <w:tcW w:w="980" w:type="dxa"/>
            <w:vAlign w:val="bottom"/>
            <w:tcBorders>
              <w:bottom w:val="single" w:sz="8" w:color="auto"/>
            </w:tcBorders>
          </w:tcPr>
          <w:p>
            <w:pPr>
              <w:jc w:val="center"/>
              <w:ind w:right="12"/>
              <w:spacing w:after="0"/>
              <w:rPr>
                <w:sz w:val="20"/>
                <w:szCs w:val="20"/>
                <w:color w:val="auto"/>
              </w:rPr>
            </w:pPr>
            <w:r>
              <w:rPr>
                <w:rFonts w:ascii="Arial" w:cs="Arial" w:eastAsia="Arial" w:hAnsi="Arial"/>
                <w:sz w:val="12"/>
                <w:szCs w:val="12"/>
                <w:b w:val="1"/>
                <w:bCs w:val="1"/>
                <w:color w:val="auto"/>
              </w:rPr>
              <w:t>(G)</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(H)</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(J)</w:t>
            </w: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Measures</w:t>
            </w:r>
          </w:p>
        </w:tc>
        <w:tc>
          <w:tcPr>
            <w:tcW w:w="0" w:type="dxa"/>
            <w:vAlign w:val="bottom"/>
          </w:tcPr>
          <w:p>
            <w:pPr>
              <w:spacing w:after="0"/>
              <w:rPr>
                <w:sz w:val="1"/>
                <w:szCs w:val="1"/>
                <w:color w:val="auto"/>
              </w:rPr>
            </w:pPr>
          </w:p>
        </w:tc>
      </w:tr>
      <w:tr>
        <w:trPr>
          <w:trHeight w:val="180"/>
        </w:trPr>
        <w:tc>
          <w:tcPr>
            <w:tcW w:w="92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$84.2</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($4.0)</w:t>
            </w:r>
          </w:p>
        </w:tc>
        <w:tc>
          <w:tcPr>
            <w:tcW w:w="82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00" w:type="dxa"/>
            <w:vAlign w:val="bottom"/>
          </w:tcPr>
          <w:p>
            <w:pPr>
              <w:ind w:left="360"/>
              <w:spacing w:after="0"/>
              <w:rPr>
                <w:sz w:val="20"/>
                <w:szCs w:val="20"/>
                <w:color w:val="auto"/>
              </w:rPr>
            </w:pPr>
            <w:r>
              <w:rPr>
                <w:rFonts w:ascii="Arial" w:cs="Arial" w:eastAsia="Arial" w:hAnsi="Arial"/>
                <w:sz w:val="14"/>
                <w:szCs w:val="14"/>
                <w:color w:val="auto"/>
              </w:rPr>
              <w:t>($0.1)</w:t>
            </w:r>
          </w:p>
        </w:tc>
        <w:tc>
          <w:tcPr>
            <w:tcW w:w="9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2"/>
              <w:spacing w:after="0"/>
              <w:rPr>
                <w:sz w:val="20"/>
                <w:szCs w:val="20"/>
                <w:color w:val="auto"/>
              </w:rPr>
            </w:pPr>
            <w:r>
              <w:rPr>
                <w:rFonts w:ascii="Arial" w:cs="Arial" w:eastAsia="Arial" w:hAnsi="Arial"/>
                <w:sz w:val="14"/>
                <w:szCs w:val="14"/>
                <w:color w:val="auto"/>
              </w:rPr>
              <w:t>($0.4)</w:t>
            </w:r>
          </w:p>
        </w:tc>
        <w:tc>
          <w:tcPr>
            <w:tcW w:w="1000" w:type="dxa"/>
            <w:vAlign w:val="bottom"/>
          </w:tcPr>
          <w:p>
            <w:pPr>
              <w:jc w:val="right"/>
              <w:ind w:right="92"/>
              <w:spacing w:after="0"/>
              <w:rPr>
                <w:sz w:val="20"/>
                <w:szCs w:val="20"/>
                <w:color w:val="auto"/>
              </w:rPr>
            </w:pPr>
            <w:r>
              <w:rPr>
                <w:rFonts w:ascii="Arial" w:cs="Arial" w:eastAsia="Arial" w:hAnsi="Arial"/>
                <w:sz w:val="14"/>
                <w:szCs w:val="14"/>
                <w:color w:val="auto"/>
              </w:rPr>
              <w:t>($0.6)</w:t>
            </w:r>
          </w:p>
        </w:tc>
        <w:tc>
          <w:tcPr>
            <w:tcW w:w="9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rPr>
                <w:sz w:val="20"/>
                <w:szCs w:val="20"/>
                <w:color w:val="auto"/>
              </w:rPr>
            </w:pPr>
            <w:r>
              <w:rPr>
                <w:rFonts w:ascii="Arial" w:cs="Arial" w:eastAsia="Arial" w:hAnsi="Arial"/>
                <w:sz w:val="14"/>
                <w:szCs w:val="14"/>
                <w:color w:val="auto"/>
              </w:rPr>
              <w:t>$79.1</w:t>
            </w: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7" w:lineRule="exact"/>
              <w:rPr>
                <w:sz w:val="20"/>
                <w:szCs w:val="20"/>
                <w:color w:val="auto"/>
              </w:rPr>
            </w:pPr>
            <w:r>
              <w:rPr>
                <w:rFonts w:ascii="Arial" w:cs="Arial" w:eastAsia="Arial" w:hAnsi="Arial"/>
                <w:sz w:val="14"/>
                <w:szCs w:val="14"/>
                <w:color w:val="auto"/>
              </w:rPr>
              <w:t>Gross profit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66.0 %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1.6 %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40"/>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0.2 %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0.3 %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 %</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68.1 %</w:t>
            </w:r>
          </w:p>
        </w:tc>
        <w:tc>
          <w:tcPr>
            <w:tcW w:w="0" w:type="dxa"/>
            <w:vAlign w:val="bottom"/>
          </w:tcPr>
          <w:p>
            <w:pPr>
              <w:spacing w:after="0"/>
              <w:rPr>
                <w:sz w:val="1"/>
                <w:szCs w:val="1"/>
                <w:color w:val="auto"/>
              </w:rPr>
            </w:pPr>
          </w:p>
        </w:tc>
      </w:tr>
      <w:tr>
        <w:trPr>
          <w:trHeight w:val="169"/>
        </w:trPr>
        <w:tc>
          <w:tcPr>
            <w:tcW w:w="920" w:type="dxa"/>
            <w:vAlign w:val="bottom"/>
          </w:tcPr>
          <w:p>
            <w:pPr>
              <w:ind w:left="20"/>
              <w:spacing w:after="0"/>
              <w:rPr>
                <w:sz w:val="20"/>
                <w:szCs w:val="20"/>
                <w:color w:val="auto"/>
              </w:rPr>
            </w:pPr>
            <w:r>
              <w:rPr>
                <w:rFonts w:ascii="Arial" w:cs="Arial" w:eastAsia="Arial" w:hAnsi="Arial"/>
                <w:sz w:val="14"/>
                <w:szCs w:val="14"/>
                <w:color w:val="auto"/>
              </w:rPr>
              <w:t>percent</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7" w:lineRule="exact"/>
              <w:rPr>
                <w:sz w:val="20"/>
                <w:szCs w:val="20"/>
                <w:color w:val="auto"/>
              </w:rPr>
            </w:pPr>
            <w:r>
              <w:rPr>
                <w:rFonts w:ascii="Arial" w:cs="Arial" w:eastAsia="Arial" w:hAnsi="Arial"/>
                <w:sz w:val="14"/>
                <w:szCs w:val="14"/>
                <w:color w:val="auto"/>
              </w:rPr>
              <w:t>Selling,</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general and</w:t>
            </w: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color w:val="auto"/>
              </w:rPr>
              <w:t>115.7</w:t>
            </w:r>
          </w:p>
        </w:tc>
        <w:tc>
          <w:tcPr>
            <w:tcW w:w="82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92"/>
              <w:spacing w:after="0"/>
              <w:rPr>
                <w:sz w:val="20"/>
                <w:szCs w:val="20"/>
                <w:color w:val="auto"/>
              </w:rPr>
            </w:pPr>
            <w:r>
              <w:rPr>
                <w:rFonts w:ascii="Arial" w:cs="Arial" w:eastAsia="Arial" w:hAnsi="Arial"/>
                <w:sz w:val="14"/>
                <w:szCs w:val="14"/>
                <w:color w:val="auto"/>
              </w:rPr>
              <w:t>(3.1)</w:t>
            </w:r>
          </w:p>
        </w:tc>
        <w:tc>
          <w:tcPr>
            <w:tcW w:w="82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12"/>
              <w:spacing w:after="0"/>
              <w:rPr>
                <w:sz w:val="20"/>
                <w:szCs w:val="20"/>
                <w:color w:val="auto"/>
              </w:rPr>
            </w:pPr>
            <w:r>
              <w:rPr>
                <w:rFonts w:ascii="Arial" w:cs="Arial" w:eastAsia="Arial" w:hAnsi="Arial"/>
                <w:sz w:val="14"/>
                <w:szCs w:val="14"/>
                <w:color w:val="auto"/>
              </w:rPr>
              <w:t>(8.9)</w:t>
            </w:r>
          </w:p>
        </w:tc>
        <w:tc>
          <w:tcPr>
            <w:tcW w:w="1000" w:type="dxa"/>
            <w:vAlign w:val="bottom"/>
            <w:vMerge w:val="restart"/>
          </w:tcPr>
          <w:p>
            <w:pPr>
              <w:jc w:val="right"/>
              <w:ind w:right="92"/>
              <w:spacing w:after="0"/>
              <w:rPr>
                <w:sz w:val="20"/>
                <w:szCs w:val="20"/>
                <w:color w:val="auto"/>
              </w:rPr>
            </w:pPr>
            <w:r>
              <w:rPr>
                <w:rFonts w:ascii="Arial" w:cs="Arial" w:eastAsia="Arial" w:hAnsi="Arial"/>
                <w:sz w:val="14"/>
                <w:szCs w:val="14"/>
                <w:color w:val="auto"/>
              </w:rPr>
              <w:t>(7.3)</w:t>
            </w:r>
          </w:p>
        </w:tc>
        <w:tc>
          <w:tcPr>
            <w:tcW w:w="92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color w:val="auto"/>
              </w:rPr>
              <w:t>96.4</w:t>
            </w:r>
          </w:p>
        </w:tc>
        <w:tc>
          <w:tcPr>
            <w:tcW w:w="0" w:type="dxa"/>
            <w:vAlign w:val="bottom"/>
          </w:tcPr>
          <w:p>
            <w:pPr>
              <w:spacing w:after="0"/>
              <w:rPr>
                <w:sz w:val="1"/>
                <w:szCs w:val="1"/>
                <w:color w:val="auto"/>
              </w:rPr>
            </w:pPr>
          </w:p>
        </w:tc>
      </w:tr>
      <w:tr>
        <w:trPr>
          <w:trHeight w:val="169"/>
        </w:trPr>
        <w:tc>
          <w:tcPr>
            <w:tcW w:w="92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7" w:lineRule="exact"/>
              <w:rPr>
                <w:sz w:val="20"/>
                <w:szCs w:val="20"/>
                <w:color w:val="auto"/>
              </w:rPr>
            </w:pPr>
            <w:r>
              <w:rPr>
                <w:rFonts w:ascii="Arial" w:cs="Arial" w:eastAsia="Arial" w:hAnsi="Arial"/>
                <w:sz w:val="14"/>
                <w:szCs w:val="14"/>
                <w:color w:val="auto"/>
              </w:rPr>
              <w:t>Selling,</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general and</w:t>
            </w: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administrative</w:t>
            </w: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as a percent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46.7 %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40"/>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 %</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38.9 %</w:t>
            </w:r>
          </w:p>
        </w:tc>
        <w:tc>
          <w:tcPr>
            <w:tcW w:w="0" w:type="dxa"/>
            <w:vAlign w:val="bottom"/>
          </w:tcPr>
          <w:p>
            <w:pPr>
              <w:spacing w:after="0"/>
              <w:rPr>
                <w:sz w:val="1"/>
                <w:szCs w:val="1"/>
                <w:color w:val="auto"/>
              </w:rPr>
            </w:pPr>
          </w:p>
        </w:tc>
      </w:tr>
      <w:tr>
        <w:trPr>
          <w:trHeight w:val="169"/>
        </w:trPr>
        <w:tc>
          <w:tcPr>
            <w:tcW w:w="920" w:type="dxa"/>
            <w:vAlign w:val="bottom"/>
          </w:tcPr>
          <w:p>
            <w:pPr>
              <w:ind w:left="20"/>
              <w:spacing w:after="0"/>
              <w:rPr>
                <w:sz w:val="20"/>
                <w:szCs w:val="20"/>
                <w:color w:val="auto"/>
              </w:rPr>
            </w:pPr>
            <w:r>
              <w:rPr>
                <w:rFonts w:ascii="Arial" w:cs="Arial" w:eastAsia="Arial" w:hAnsi="Arial"/>
                <w:sz w:val="14"/>
                <w:szCs w:val="14"/>
                <w:color w:val="auto"/>
              </w:rPr>
              <w:t>of net sales</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7" w:lineRule="exact"/>
              <w:rPr>
                <w:sz w:val="20"/>
                <w:szCs w:val="20"/>
                <w:color w:val="auto"/>
              </w:rPr>
            </w:pPr>
            <w:r>
              <w:rPr>
                <w:rFonts w:ascii="Arial" w:cs="Arial" w:eastAsia="Arial" w:hAnsi="Arial"/>
                <w:sz w:val="14"/>
                <w:szCs w:val="14"/>
                <w:color w:val="auto"/>
              </w:rPr>
              <w:t>Research and</w:t>
            </w: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color w:val="auto"/>
              </w:rPr>
              <w:t>44.6</w:t>
            </w:r>
          </w:p>
        </w:tc>
        <w:tc>
          <w:tcPr>
            <w:tcW w:w="82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12"/>
              <w:spacing w:after="0"/>
              <w:rPr>
                <w:sz w:val="20"/>
                <w:szCs w:val="20"/>
                <w:color w:val="auto"/>
              </w:rPr>
            </w:pPr>
            <w:r>
              <w:rPr>
                <w:rFonts w:ascii="Arial" w:cs="Arial" w:eastAsia="Arial" w:hAnsi="Arial"/>
                <w:sz w:val="14"/>
                <w:szCs w:val="14"/>
                <w:color w:val="auto"/>
              </w:rPr>
              <w:t>(1.2)</w:t>
            </w:r>
          </w:p>
        </w:tc>
        <w:tc>
          <w:tcPr>
            <w:tcW w:w="1000" w:type="dxa"/>
            <w:vAlign w:val="bottom"/>
            <w:vMerge w:val="restart"/>
          </w:tcPr>
          <w:p>
            <w:pPr>
              <w:jc w:val="right"/>
              <w:ind w:right="92"/>
              <w:spacing w:after="0"/>
              <w:rPr>
                <w:sz w:val="20"/>
                <w:szCs w:val="20"/>
                <w:color w:val="auto"/>
              </w:rPr>
            </w:pPr>
            <w:r>
              <w:rPr>
                <w:rFonts w:ascii="Arial" w:cs="Arial" w:eastAsia="Arial" w:hAnsi="Arial"/>
                <w:sz w:val="14"/>
                <w:szCs w:val="14"/>
                <w:color w:val="auto"/>
              </w:rPr>
              <w:t>(1.6)</w:t>
            </w:r>
          </w:p>
        </w:tc>
        <w:tc>
          <w:tcPr>
            <w:tcW w:w="92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169"/>
        </w:trPr>
        <w:tc>
          <w:tcPr>
            <w:tcW w:w="92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7" w:lineRule="exact"/>
              <w:rPr>
                <w:sz w:val="20"/>
                <w:szCs w:val="20"/>
                <w:color w:val="auto"/>
              </w:rPr>
            </w:pPr>
            <w:r>
              <w:rPr>
                <w:rFonts w:ascii="Arial" w:cs="Arial" w:eastAsia="Arial" w:hAnsi="Arial"/>
                <w:sz w:val="14"/>
                <w:szCs w:val="14"/>
                <w:color w:val="auto"/>
              </w:rPr>
              <w:t>Research and</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development</w:t>
            </w: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as a percent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18.0 %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40"/>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 %</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16.9 %</w:t>
            </w:r>
          </w:p>
        </w:tc>
        <w:tc>
          <w:tcPr>
            <w:tcW w:w="0" w:type="dxa"/>
            <w:vAlign w:val="bottom"/>
          </w:tcPr>
          <w:p>
            <w:pPr>
              <w:spacing w:after="0"/>
              <w:rPr>
                <w:sz w:val="1"/>
                <w:szCs w:val="1"/>
                <w:color w:val="auto"/>
              </w:rPr>
            </w:pPr>
          </w:p>
        </w:tc>
      </w:tr>
      <w:tr>
        <w:trPr>
          <w:trHeight w:val="169"/>
        </w:trPr>
        <w:tc>
          <w:tcPr>
            <w:tcW w:w="920" w:type="dxa"/>
            <w:vAlign w:val="bottom"/>
          </w:tcPr>
          <w:p>
            <w:pPr>
              <w:ind w:left="20"/>
              <w:spacing w:after="0"/>
              <w:rPr>
                <w:sz w:val="20"/>
                <w:szCs w:val="20"/>
                <w:color w:val="auto"/>
              </w:rPr>
            </w:pPr>
            <w:r>
              <w:rPr>
                <w:rFonts w:ascii="Arial" w:cs="Arial" w:eastAsia="Arial" w:hAnsi="Arial"/>
                <w:sz w:val="14"/>
                <w:szCs w:val="14"/>
                <w:color w:val="auto"/>
              </w:rPr>
              <w:t>of net sales</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7" w:lineRule="exact"/>
              <w:rPr>
                <w:sz w:val="20"/>
                <w:szCs w:val="20"/>
                <w:color w:val="auto"/>
              </w:rPr>
            </w:pPr>
            <w:r>
              <w:rPr>
                <w:rFonts w:ascii="Arial" w:cs="Arial" w:eastAsia="Arial" w:hAnsi="Arial"/>
                <w:sz w:val="14"/>
                <w:szCs w:val="14"/>
                <w:color w:val="auto"/>
              </w:rPr>
              <w:t>Other</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operating</w:t>
            </w: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color w:val="auto"/>
              </w:rPr>
              <w:t>8.8</w:t>
            </w:r>
          </w:p>
        </w:tc>
        <w:tc>
          <w:tcPr>
            <w:tcW w:w="820" w:type="dxa"/>
            <w:vAlign w:val="bottom"/>
            <w:vMerge w:val="restart"/>
          </w:tcPr>
          <w:p>
            <w:pPr>
              <w:jc w:val="right"/>
              <w:ind w:right="92"/>
              <w:spacing w:after="0"/>
              <w:rPr>
                <w:sz w:val="20"/>
                <w:szCs w:val="20"/>
                <w:color w:val="auto"/>
              </w:rPr>
            </w:pPr>
            <w:r>
              <w:rPr>
                <w:rFonts w:ascii="Arial" w:cs="Arial" w:eastAsia="Arial" w:hAnsi="Arial"/>
                <w:sz w:val="14"/>
                <w:szCs w:val="14"/>
                <w:color w:val="auto"/>
              </w:rPr>
              <w:t>(0.6)</w:t>
            </w:r>
          </w:p>
        </w:tc>
        <w:tc>
          <w:tcPr>
            <w:tcW w:w="960" w:type="dxa"/>
            <w:vAlign w:val="bottom"/>
            <w:vMerge w:val="restart"/>
          </w:tcPr>
          <w:p>
            <w:pPr>
              <w:jc w:val="right"/>
              <w:ind w:right="112"/>
              <w:spacing w:after="0"/>
              <w:rPr>
                <w:sz w:val="20"/>
                <w:szCs w:val="20"/>
                <w:color w:val="auto"/>
              </w:rPr>
            </w:pPr>
            <w:r>
              <w:rPr>
                <w:rFonts w:ascii="Arial" w:cs="Arial" w:eastAsia="Arial" w:hAnsi="Arial"/>
                <w:sz w:val="14"/>
                <w:szCs w:val="14"/>
                <w:color w:val="auto"/>
              </w:rPr>
              <w:t>(6.1)</w:t>
            </w:r>
          </w:p>
        </w:tc>
        <w:tc>
          <w:tcPr>
            <w:tcW w:w="90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31"/>
              <w:spacing w:after="0"/>
              <w:rPr>
                <w:sz w:val="20"/>
                <w:szCs w:val="20"/>
                <w:color w:val="auto"/>
              </w:rPr>
            </w:pPr>
            <w:r>
              <w:rPr>
                <w:rFonts w:ascii="Arial" w:cs="Arial" w:eastAsia="Arial" w:hAnsi="Arial"/>
                <w:sz w:val="14"/>
                <w:szCs w:val="14"/>
                <w:color w:val="auto"/>
              </w:rPr>
              <w:t>1.0</w:t>
            </w:r>
          </w:p>
        </w:tc>
        <w:tc>
          <w:tcPr>
            <w:tcW w:w="90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12"/>
              <w:spacing w:after="0"/>
              <w:rPr>
                <w:sz w:val="20"/>
                <w:szCs w:val="20"/>
                <w:color w:val="auto"/>
              </w:rPr>
            </w:pPr>
            <w:r>
              <w:rPr>
                <w:rFonts w:ascii="Arial" w:cs="Arial" w:eastAsia="Arial" w:hAnsi="Arial"/>
                <w:sz w:val="14"/>
                <w:szCs w:val="14"/>
                <w:color w:val="auto"/>
              </w:rPr>
              <w:t>(3.0)</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920" w:type="dxa"/>
            <w:vAlign w:val="bottom"/>
          </w:tcPr>
          <w:p>
            <w:pPr>
              <w:ind w:left="20"/>
              <w:spacing w:after="0"/>
              <w:rPr>
                <w:sz w:val="20"/>
                <w:szCs w:val="20"/>
                <w:color w:val="auto"/>
              </w:rPr>
            </w:pPr>
            <w:r>
              <w:rPr>
                <w:rFonts w:ascii="Arial" w:cs="Arial" w:eastAsia="Arial" w:hAnsi="Arial"/>
                <w:sz w:val="14"/>
                <w:szCs w:val="14"/>
                <w:color w:val="auto"/>
              </w:rPr>
              <w:t>expenses</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7" w:lineRule="exact"/>
              <w:rPr>
                <w:sz w:val="20"/>
                <w:szCs w:val="20"/>
                <w:color w:val="auto"/>
              </w:rPr>
            </w:pPr>
            <w:r>
              <w:rPr>
                <w:rFonts w:ascii="Arial" w:cs="Arial" w:eastAsia="Arial" w:hAnsi="Arial"/>
                <w:sz w:val="14"/>
                <w:szCs w:val="14"/>
                <w:color w:val="auto"/>
              </w:rPr>
              <w:t>Operating</w:t>
            </w:r>
          </w:p>
        </w:tc>
        <w:tc>
          <w:tcPr>
            <w:tcW w:w="600" w:type="dxa"/>
            <w:vAlign w:val="bottom"/>
            <w:vMerge w:val="restart"/>
          </w:tcPr>
          <w:p>
            <w:pPr>
              <w:jc w:val="right"/>
              <w:ind w:right="72"/>
              <w:spacing w:after="0"/>
              <w:rPr>
                <w:sz w:val="20"/>
                <w:szCs w:val="20"/>
                <w:color w:val="auto"/>
              </w:rPr>
            </w:pPr>
            <w:r>
              <w:rPr>
                <w:rFonts w:ascii="Arial" w:cs="Arial" w:eastAsia="Arial" w:hAnsi="Arial"/>
                <w:sz w:val="14"/>
                <w:szCs w:val="14"/>
                <w:color w:val="auto"/>
              </w:rPr>
              <w:t>(5.7)</w:t>
            </w:r>
          </w:p>
        </w:tc>
        <w:tc>
          <w:tcPr>
            <w:tcW w:w="820" w:type="dxa"/>
            <w:vAlign w:val="bottom"/>
            <w:vMerge w:val="restart"/>
          </w:tcPr>
          <w:p>
            <w:pPr>
              <w:jc w:val="right"/>
              <w:ind w:right="132"/>
              <w:spacing w:after="0"/>
              <w:rPr>
                <w:sz w:val="20"/>
                <w:szCs w:val="20"/>
                <w:color w:val="auto"/>
              </w:rPr>
            </w:pPr>
            <w:r>
              <w:rPr>
                <w:rFonts w:ascii="Arial" w:cs="Arial" w:eastAsia="Arial" w:hAnsi="Arial"/>
                <w:sz w:val="14"/>
                <w:szCs w:val="14"/>
                <w:color w:val="auto"/>
              </w:rPr>
              <w:t>0.6</w:t>
            </w:r>
          </w:p>
        </w:tc>
        <w:tc>
          <w:tcPr>
            <w:tcW w:w="960" w:type="dxa"/>
            <w:vAlign w:val="bottom"/>
            <w:vMerge w:val="restart"/>
          </w:tcPr>
          <w:p>
            <w:pPr>
              <w:jc w:val="right"/>
              <w:ind w:right="132"/>
              <w:spacing w:after="0"/>
              <w:rPr>
                <w:sz w:val="20"/>
                <w:szCs w:val="20"/>
                <w:color w:val="auto"/>
              </w:rPr>
            </w:pPr>
            <w:r>
              <w:rPr>
                <w:rFonts w:ascii="Arial" w:cs="Arial" w:eastAsia="Arial" w:hAnsi="Arial"/>
                <w:sz w:val="14"/>
                <w:szCs w:val="14"/>
                <w:color w:val="auto"/>
              </w:rPr>
              <w:t>6.1</w:t>
            </w:r>
          </w:p>
        </w:tc>
        <w:tc>
          <w:tcPr>
            <w:tcW w:w="900" w:type="dxa"/>
            <w:vAlign w:val="bottom"/>
            <w:vMerge w:val="restart"/>
          </w:tcPr>
          <w:p>
            <w:pPr>
              <w:jc w:val="right"/>
              <w:ind w:right="132"/>
              <w:spacing w:after="0"/>
              <w:rPr>
                <w:sz w:val="20"/>
                <w:szCs w:val="20"/>
                <w:color w:val="auto"/>
              </w:rPr>
            </w:pPr>
            <w:r>
              <w:rPr>
                <w:rFonts w:ascii="Arial" w:cs="Arial" w:eastAsia="Arial" w:hAnsi="Arial"/>
                <w:sz w:val="14"/>
                <w:szCs w:val="14"/>
                <w:color w:val="auto"/>
              </w:rPr>
              <w:t>7.0</w:t>
            </w:r>
          </w:p>
        </w:tc>
        <w:tc>
          <w:tcPr>
            <w:tcW w:w="820" w:type="dxa"/>
            <w:vAlign w:val="bottom"/>
            <w:vMerge w:val="restart"/>
          </w:tcPr>
          <w:p>
            <w:pPr>
              <w:jc w:val="right"/>
              <w:ind w:right="111"/>
              <w:spacing w:after="0"/>
              <w:rPr>
                <w:sz w:val="20"/>
                <w:szCs w:val="20"/>
                <w:color w:val="auto"/>
              </w:rPr>
            </w:pPr>
            <w:r>
              <w:rPr>
                <w:rFonts w:ascii="Arial" w:cs="Arial" w:eastAsia="Arial" w:hAnsi="Arial"/>
                <w:sz w:val="14"/>
                <w:szCs w:val="14"/>
                <w:color w:val="auto"/>
              </w:rPr>
              <w:t>(1.0)</w:t>
            </w: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color w:val="auto"/>
              </w:rPr>
              <w:t>0.1</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2"/>
              <w:spacing w:after="0"/>
              <w:rPr>
                <w:sz w:val="20"/>
                <w:szCs w:val="20"/>
                <w:color w:val="auto"/>
              </w:rPr>
            </w:pPr>
            <w:r>
              <w:rPr>
                <w:rFonts w:ascii="Arial" w:cs="Arial" w:eastAsia="Arial" w:hAnsi="Arial"/>
                <w:sz w:val="14"/>
                <w:szCs w:val="14"/>
                <w:color w:val="auto"/>
              </w:rPr>
              <w:t>13.6</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9.5</w:t>
            </w:r>
          </w:p>
        </w:tc>
        <w:tc>
          <w:tcPr>
            <w:tcW w:w="92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69"/>
        </w:trPr>
        <w:tc>
          <w:tcPr>
            <w:tcW w:w="920" w:type="dxa"/>
            <w:vAlign w:val="bottom"/>
          </w:tcPr>
          <w:p>
            <w:pPr>
              <w:ind w:left="20"/>
              <w:spacing w:after="0"/>
              <w:rPr>
                <w:sz w:val="20"/>
                <w:szCs w:val="20"/>
                <w:color w:val="auto"/>
              </w:rPr>
            </w:pPr>
            <w:r>
              <w:rPr>
                <w:rFonts w:ascii="Arial" w:cs="Arial" w:eastAsia="Arial" w:hAnsi="Arial"/>
                <w:sz w:val="14"/>
                <w:szCs w:val="14"/>
                <w:color w:val="auto"/>
              </w:rPr>
              <w:t>(loss) income</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7" w:lineRule="exact"/>
              <w:rPr>
                <w:sz w:val="20"/>
                <w:szCs w:val="20"/>
                <w:color w:val="auto"/>
              </w:rPr>
            </w:pPr>
            <w:r>
              <w:rPr>
                <w:rFonts w:ascii="Arial" w:cs="Arial" w:eastAsia="Arial" w:hAnsi="Arial"/>
                <w:sz w:val="14"/>
                <w:szCs w:val="14"/>
                <w:color w:val="auto"/>
              </w:rPr>
              <w:t>Operating</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margin</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0.3 %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2.5 %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2.8 %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900" w:type="dxa"/>
            <w:vAlign w:val="bottom"/>
            <w:vMerge w:val="restart"/>
          </w:tcPr>
          <w:p>
            <w:pPr>
              <w:ind w:left="540"/>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5.5 %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3.9 %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 %</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12.2 %</w:t>
            </w:r>
          </w:p>
        </w:tc>
        <w:tc>
          <w:tcPr>
            <w:tcW w:w="0" w:type="dxa"/>
            <w:vAlign w:val="bottom"/>
          </w:tcPr>
          <w:p>
            <w:pPr>
              <w:spacing w:after="0"/>
              <w:rPr>
                <w:sz w:val="1"/>
                <w:szCs w:val="1"/>
                <w:color w:val="auto"/>
              </w:rPr>
            </w:pPr>
          </w:p>
        </w:tc>
      </w:tr>
      <w:tr>
        <w:trPr>
          <w:trHeight w:val="169"/>
        </w:trPr>
        <w:tc>
          <w:tcPr>
            <w:tcW w:w="920" w:type="dxa"/>
            <w:vAlign w:val="bottom"/>
          </w:tcPr>
          <w:p>
            <w:pPr>
              <w:ind w:left="20"/>
              <w:spacing w:after="0"/>
              <w:rPr>
                <w:sz w:val="20"/>
                <w:szCs w:val="20"/>
                <w:color w:val="auto"/>
              </w:rPr>
            </w:pPr>
            <w:r>
              <w:rPr>
                <w:rFonts w:ascii="Arial" w:cs="Arial" w:eastAsia="Arial" w:hAnsi="Arial"/>
                <w:sz w:val="14"/>
                <w:szCs w:val="14"/>
                <w:color w:val="auto"/>
              </w:rPr>
              <w:t>percent</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7" w:lineRule="exact"/>
              <w:rPr>
                <w:sz w:val="20"/>
                <w:szCs w:val="20"/>
                <w:color w:val="auto"/>
              </w:rPr>
            </w:pPr>
            <w:r>
              <w:rPr>
                <w:rFonts w:ascii="Arial" w:cs="Arial" w:eastAsia="Arial" w:hAnsi="Arial"/>
                <w:sz w:val="14"/>
                <w:szCs w:val="14"/>
                <w:color w:val="auto"/>
              </w:rPr>
              <w:t>Income tax</w:t>
            </w: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color w:val="auto"/>
              </w:rPr>
              <w:t>2.6</w:t>
            </w:r>
          </w:p>
        </w:tc>
        <w:tc>
          <w:tcPr>
            <w:tcW w:w="82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32"/>
              <w:spacing w:after="0"/>
              <w:rPr>
                <w:sz w:val="20"/>
                <w:szCs w:val="20"/>
                <w:color w:val="auto"/>
              </w:rPr>
            </w:pPr>
            <w:r>
              <w:rPr>
                <w:rFonts w:ascii="Arial" w:cs="Arial" w:eastAsia="Arial" w:hAnsi="Arial"/>
                <w:sz w:val="14"/>
                <w:szCs w:val="14"/>
                <w:color w:val="auto"/>
              </w:rPr>
              <w:t>0.1</w:t>
            </w:r>
          </w:p>
        </w:tc>
        <w:tc>
          <w:tcPr>
            <w:tcW w:w="900" w:type="dxa"/>
            <w:vAlign w:val="bottom"/>
            <w:vMerge w:val="restart"/>
          </w:tcPr>
          <w:p>
            <w:pPr>
              <w:jc w:val="right"/>
              <w:ind w:right="132"/>
              <w:spacing w:after="0"/>
              <w:rPr>
                <w:sz w:val="20"/>
                <w:szCs w:val="20"/>
                <w:color w:val="auto"/>
              </w:rPr>
            </w:pPr>
            <w:r>
              <w:rPr>
                <w:rFonts w:ascii="Arial" w:cs="Arial" w:eastAsia="Arial" w:hAnsi="Arial"/>
                <w:sz w:val="14"/>
                <w:szCs w:val="14"/>
                <w:color w:val="auto"/>
              </w:rPr>
              <w:t>0.6</w:t>
            </w:r>
          </w:p>
        </w:tc>
        <w:tc>
          <w:tcPr>
            <w:tcW w:w="820" w:type="dxa"/>
            <w:vAlign w:val="bottom"/>
            <w:vMerge w:val="restart"/>
          </w:tcPr>
          <w:p>
            <w:pPr>
              <w:jc w:val="right"/>
              <w:ind w:right="131"/>
              <w:spacing w:after="0"/>
              <w:rPr>
                <w:sz w:val="20"/>
                <w:szCs w:val="20"/>
                <w:color w:val="auto"/>
              </w:rPr>
            </w:pPr>
            <w:r>
              <w:rPr>
                <w:rFonts w:ascii="Arial" w:cs="Arial" w:eastAsia="Arial" w:hAnsi="Arial"/>
                <w:sz w:val="14"/>
                <w:szCs w:val="14"/>
                <w:color w:val="auto"/>
              </w:rPr>
              <w:t>0.1</w:t>
            </w:r>
          </w:p>
        </w:tc>
        <w:tc>
          <w:tcPr>
            <w:tcW w:w="90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2"/>
              <w:spacing w:after="0"/>
              <w:rPr>
                <w:sz w:val="20"/>
                <w:szCs w:val="20"/>
                <w:color w:val="auto"/>
              </w:rPr>
            </w:pPr>
            <w:r>
              <w:rPr>
                <w:rFonts w:ascii="Arial" w:cs="Arial" w:eastAsia="Arial" w:hAnsi="Arial"/>
                <w:sz w:val="14"/>
                <w:szCs w:val="14"/>
                <w:color w:val="auto"/>
              </w:rPr>
              <w:t>0.6</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0.2</w:t>
            </w:r>
          </w:p>
        </w:tc>
        <w:tc>
          <w:tcPr>
            <w:tcW w:w="920" w:type="dxa"/>
            <w:vAlign w:val="bottom"/>
            <w:vMerge w:val="restart"/>
          </w:tcPr>
          <w:p>
            <w:pPr>
              <w:jc w:val="right"/>
              <w:ind w:right="112"/>
              <w:spacing w:after="0"/>
              <w:rPr>
                <w:sz w:val="20"/>
                <w:szCs w:val="20"/>
                <w:color w:val="auto"/>
              </w:rPr>
            </w:pPr>
            <w:r>
              <w:rPr>
                <w:rFonts w:ascii="Arial" w:cs="Arial" w:eastAsia="Arial" w:hAnsi="Arial"/>
                <w:sz w:val="14"/>
                <w:szCs w:val="14"/>
                <w:color w:val="auto"/>
              </w:rPr>
              <w:t>(2.5)</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9"/>
        </w:trPr>
        <w:tc>
          <w:tcPr>
            <w:tcW w:w="920" w:type="dxa"/>
            <w:vAlign w:val="bottom"/>
          </w:tcPr>
          <w:p>
            <w:pPr>
              <w:ind w:left="20"/>
              <w:spacing w:after="0"/>
              <w:rPr>
                <w:sz w:val="20"/>
                <w:szCs w:val="20"/>
                <w:color w:val="auto"/>
              </w:rPr>
            </w:pPr>
            <w:r>
              <w:rPr>
                <w:rFonts w:ascii="Arial" w:cs="Arial" w:eastAsia="Arial" w:hAnsi="Arial"/>
                <w:sz w:val="14"/>
                <w:szCs w:val="14"/>
                <w:color w:val="auto"/>
              </w:rPr>
              <w:t>expense</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7" w:lineRule="exact"/>
              <w:rPr>
                <w:sz w:val="20"/>
                <w:szCs w:val="20"/>
                <w:color w:val="auto"/>
              </w:rPr>
            </w:pPr>
            <w:r>
              <w:rPr>
                <w:rFonts w:ascii="Arial" w:cs="Arial" w:eastAsia="Arial" w:hAnsi="Arial"/>
                <w:sz w:val="14"/>
                <w:szCs w:val="14"/>
                <w:color w:val="auto"/>
              </w:rPr>
              <w:t>Income tax</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(9.4)%</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0.5 %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8.0 %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(12.9)%</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27.9 %</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6.6 %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2.0 %</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N/A</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 %</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9.7 %</w:t>
            </w:r>
          </w:p>
        </w:tc>
        <w:tc>
          <w:tcPr>
            <w:tcW w:w="0" w:type="dxa"/>
            <w:vAlign w:val="bottom"/>
          </w:tcPr>
          <w:p>
            <w:pPr>
              <w:spacing w:after="0"/>
              <w:rPr>
                <w:sz w:val="1"/>
                <w:szCs w:val="1"/>
                <w:color w:val="auto"/>
              </w:rPr>
            </w:pPr>
          </w:p>
        </w:tc>
      </w:tr>
      <w:tr>
        <w:trPr>
          <w:trHeight w:val="169"/>
        </w:trPr>
        <w:tc>
          <w:tcPr>
            <w:tcW w:w="920" w:type="dxa"/>
            <w:vAlign w:val="bottom"/>
          </w:tcPr>
          <w:p>
            <w:pPr>
              <w:ind w:left="20"/>
              <w:spacing w:after="0"/>
              <w:rPr>
                <w:sz w:val="20"/>
                <w:szCs w:val="20"/>
                <w:color w:val="auto"/>
              </w:rPr>
            </w:pPr>
            <w:r>
              <w:rPr>
                <w:rFonts w:ascii="Arial" w:cs="Arial" w:eastAsia="Arial" w:hAnsi="Arial"/>
                <w:sz w:val="14"/>
                <w:szCs w:val="14"/>
                <w:color w:val="auto"/>
              </w:rPr>
              <w:t>rate</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7" w:lineRule="exact"/>
              <w:rPr>
                <w:sz w:val="20"/>
                <w:szCs w:val="20"/>
                <w:color w:val="auto"/>
              </w:rPr>
            </w:pPr>
            <w:r>
              <w:rPr>
                <w:rFonts w:ascii="Arial" w:cs="Arial" w:eastAsia="Arial" w:hAnsi="Arial"/>
                <w:sz w:val="14"/>
                <w:szCs w:val="14"/>
                <w:color w:val="auto"/>
              </w:rPr>
              <w:t>Net (loss)</w:t>
            </w:r>
          </w:p>
        </w:tc>
        <w:tc>
          <w:tcPr>
            <w:tcW w:w="600" w:type="dxa"/>
            <w:vAlign w:val="bottom"/>
            <w:vMerge w:val="restart"/>
          </w:tcPr>
          <w:p>
            <w:pPr>
              <w:jc w:val="right"/>
              <w:ind w:right="72"/>
              <w:spacing w:after="0"/>
              <w:rPr>
                <w:sz w:val="20"/>
                <w:szCs w:val="20"/>
                <w:color w:val="auto"/>
              </w:rPr>
            </w:pPr>
            <w:r>
              <w:rPr>
                <w:rFonts w:ascii="Arial" w:cs="Arial" w:eastAsia="Arial" w:hAnsi="Arial"/>
                <w:sz w:val="14"/>
                <w:szCs w:val="14"/>
                <w:color w:val="auto"/>
              </w:rPr>
              <w:t>(30.8)</w:t>
            </w:r>
          </w:p>
        </w:tc>
        <w:tc>
          <w:tcPr>
            <w:tcW w:w="820" w:type="dxa"/>
            <w:vAlign w:val="bottom"/>
            <w:vMerge w:val="restart"/>
          </w:tcPr>
          <w:p>
            <w:pPr>
              <w:jc w:val="right"/>
              <w:ind w:right="132"/>
              <w:spacing w:after="0"/>
              <w:rPr>
                <w:sz w:val="20"/>
                <w:szCs w:val="20"/>
                <w:color w:val="auto"/>
              </w:rPr>
            </w:pPr>
            <w:r>
              <w:rPr>
                <w:rFonts w:ascii="Arial" w:cs="Arial" w:eastAsia="Arial" w:hAnsi="Arial"/>
                <w:sz w:val="14"/>
                <w:szCs w:val="14"/>
                <w:color w:val="auto"/>
              </w:rPr>
              <w:t>0.6</w:t>
            </w:r>
          </w:p>
        </w:tc>
        <w:tc>
          <w:tcPr>
            <w:tcW w:w="960" w:type="dxa"/>
            <w:vAlign w:val="bottom"/>
            <w:vMerge w:val="restart"/>
          </w:tcPr>
          <w:p>
            <w:pPr>
              <w:jc w:val="right"/>
              <w:ind w:right="132"/>
              <w:spacing w:after="0"/>
              <w:rPr>
                <w:sz w:val="20"/>
                <w:szCs w:val="20"/>
                <w:color w:val="auto"/>
              </w:rPr>
            </w:pPr>
            <w:r>
              <w:rPr>
                <w:rFonts w:ascii="Arial" w:cs="Arial" w:eastAsia="Arial" w:hAnsi="Arial"/>
                <w:sz w:val="14"/>
                <w:szCs w:val="14"/>
                <w:color w:val="auto"/>
              </w:rPr>
              <w:t>6.0</w:t>
            </w:r>
          </w:p>
        </w:tc>
        <w:tc>
          <w:tcPr>
            <w:tcW w:w="900" w:type="dxa"/>
            <w:vAlign w:val="bottom"/>
            <w:vMerge w:val="restart"/>
          </w:tcPr>
          <w:p>
            <w:pPr>
              <w:jc w:val="right"/>
              <w:ind w:right="132"/>
              <w:spacing w:after="0"/>
              <w:rPr>
                <w:sz w:val="20"/>
                <w:szCs w:val="20"/>
                <w:color w:val="auto"/>
              </w:rPr>
            </w:pPr>
            <w:r>
              <w:rPr>
                <w:rFonts w:ascii="Arial" w:cs="Arial" w:eastAsia="Arial" w:hAnsi="Arial"/>
                <w:sz w:val="14"/>
                <w:szCs w:val="14"/>
                <w:color w:val="auto"/>
              </w:rPr>
              <w:t>6.5</w:t>
            </w:r>
          </w:p>
        </w:tc>
        <w:tc>
          <w:tcPr>
            <w:tcW w:w="820" w:type="dxa"/>
            <w:vAlign w:val="bottom"/>
            <w:vMerge w:val="restart"/>
          </w:tcPr>
          <w:p>
            <w:pPr>
              <w:jc w:val="right"/>
              <w:ind w:right="111"/>
              <w:spacing w:after="0"/>
              <w:rPr>
                <w:sz w:val="20"/>
                <w:szCs w:val="20"/>
                <w:color w:val="auto"/>
              </w:rPr>
            </w:pPr>
            <w:r>
              <w:rPr>
                <w:rFonts w:ascii="Arial" w:cs="Arial" w:eastAsia="Arial" w:hAnsi="Arial"/>
                <w:sz w:val="14"/>
                <w:szCs w:val="14"/>
                <w:color w:val="auto"/>
              </w:rPr>
              <w:t>(1.1)</w:t>
            </w:r>
          </w:p>
        </w:tc>
        <w:tc>
          <w:tcPr>
            <w:tcW w:w="90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52"/>
              <w:spacing w:after="0"/>
              <w:rPr>
                <w:sz w:val="20"/>
                <w:szCs w:val="20"/>
                <w:color w:val="auto"/>
              </w:rPr>
            </w:pPr>
            <w:r>
              <w:rPr>
                <w:rFonts w:ascii="Arial" w:cs="Arial" w:eastAsia="Arial" w:hAnsi="Arial"/>
                <w:sz w:val="14"/>
                <w:szCs w:val="14"/>
                <w:color w:val="auto"/>
              </w:rPr>
              <w:t>10.6</w:t>
            </w:r>
          </w:p>
        </w:tc>
        <w:tc>
          <w:tcPr>
            <w:tcW w:w="980" w:type="dxa"/>
            <w:vAlign w:val="bottom"/>
            <w:vMerge w:val="restart"/>
          </w:tcPr>
          <w:p>
            <w:pPr>
              <w:jc w:val="right"/>
              <w:ind w:right="152"/>
              <w:spacing w:after="0"/>
              <w:rPr>
                <w:sz w:val="20"/>
                <w:szCs w:val="20"/>
                <w:color w:val="auto"/>
              </w:rPr>
            </w:pPr>
            <w:r>
              <w:rPr>
                <w:rFonts w:ascii="Arial" w:cs="Arial" w:eastAsia="Arial" w:hAnsi="Arial"/>
                <w:sz w:val="14"/>
                <w:szCs w:val="14"/>
                <w:color w:val="auto"/>
              </w:rPr>
              <w:t>8.3</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9.3</w:t>
            </w:r>
          </w:p>
        </w:tc>
        <w:tc>
          <w:tcPr>
            <w:tcW w:w="920" w:type="dxa"/>
            <w:vAlign w:val="bottom"/>
            <w:vMerge w:val="restart"/>
          </w:tcPr>
          <w:p>
            <w:pPr>
              <w:jc w:val="right"/>
              <w:ind w:right="152"/>
              <w:spacing w:after="0"/>
              <w:rPr>
                <w:sz w:val="20"/>
                <w:szCs w:val="20"/>
                <w:color w:val="auto"/>
              </w:rPr>
            </w:pPr>
            <w:r>
              <w:rPr>
                <w:rFonts w:ascii="Arial" w:cs="Arial" w:eastAsia="Arial" w:hAnsi="Arial"/>
                <w:sz w:val="14"/>
                <w:szCs w:val="14"/>
                <w:color w:val="auto"/>
              </w:rPr>
              <w:t>2.5</w:t>
            </w:r>
          </w:p>
        </w:tc>
        <w:tc>
          <w:tcPr>
            <w:tcW w:w="880" w:type="dxa"/>
            <w:vAlign w:val="bottom"/>
            <w:vMerge w:val="restart"/>
          </w:tcPr>
          <w:p>
            <w:pPr>
              <w:jc w:val="right"/>
              <w:ind w:right="132"/>
              <w:spacing w:after="0"/>
              <w:rPr>
                <w:sz w:val="20"/>
                <w:szCs w:val="20"/>
                <w:color w:val="auto"/>
              </w:rPr>
            </w:pPr>
            <w:r>
              <w:rPr>
                <w:rFonts w:ascii="Arial" w:cs="Arial" w:eastAsia="Arial" w:hAnsi="Arial"/>
                <w:sz w:val="14"/>
                <w:szCs w:val="14"/>
                <w:color w:val="auto"/>
              </w:rPr>
              <w:t>4.6</w:t>
            </w: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69"/>
        </w:trPr>
        <w:tc>
          <w:tcPr>
            <w:tcW w:w="920" w:type="dxa"/>
            <w:vAlign w:val="bottom"/>
          </w:tcPr>
          <w:p>
            <w:pPr>
              <w:ind w:left="20"/>
              <w:spacing w:after="0"/>
              <w:rPr>
                <w:sz w:val="20"/>
                <w:szCs w:val="20"/>
                <w:color w:val="auto"/>
              </w:rPr>
            </w:pPr>
            <w:r>
              <w:rPr>
                <w:rFonts w:ascii="Arial" w:cs="Arial" w:eastAsia="Arial" w:hAnsi="Arial"/>
                <w:sz w:val="14"/>
                <w:szCs w:val="14"/>
                <w:color w:val="auto"/>
              </w:rPr>
              <w:t>income</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7" w:lineRule="exact"/>
              <w:rPr>
                <w:sz w:val="20"/>
                <w:szCs w:val="20"/>
                <w:color w:val="auto"/>
              </w:rPr>
            </w:pPr>
            <w:r>
              <w:rPr>
                <w:rFonts w:ascii="Arial" w:cs="Arial" w:eastAsia="Arial" w:hAnsi="Arial"/>
                <w:sz w:val="14"/>
                <w:szCs w:val="14"/>
                <w:color w:val="auto"/>
              </w:rPr>
              <w:t>Net (loss)</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income as a</w:t>
            </w: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percent of net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(12.4)%</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0.3 %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2.4 %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2.6 %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900" w:type="dxa"/>
            <w:vAlign w:val="bottom"/>
            <w:vMerge w:val="restart"/>
          </w:tcPr>
          <w:p>
            <w:pPr>
              <w:ind w:left="540"/>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4.3 %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3.4 %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3.8 %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1.0 %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1.8 %</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6.7 %</w:t>
            </w:r>
          </w:p>
        </w:tc>
        <w:tc>
          <w:tcPr>
            <w:tcW w:w="0" w:type="dxa"/>
            <w:vAlign w:val="bottom"/>
          </w:tcPr>
          <w:p>
            <w:pPr>
              <w:spacing w:after="0"/>
              <w:rPr>
                <w:sz w:val="1"/>
                <w:szCs w:val="1"/>
                <w:color w:val="auto"/>
              </w:rPr>
            </w:pPr>
          </w:p>
        </w:tc>
      </w:tr>
      <w:tr>
        <w:trPr>
          <w:trHeight w:val="169"/>
        </w:trPr>
        <w:tc>
          <w:tcPr>
            <w:tcW w:w="920" w:type="dxa"/>
            <w:vAlign w:val="bottom"/>
          </w:tcPr>
          <w:p>
            <w:pPr>
              <w:ind w:left="20"/>
              <w:spacing w:after="0"/>
              <w:rPr>
                <w:sz w:val="20"/>
                <w:szCs w:val="20"/>
                <w:color w:val="auto"/>
              </w:rPr>
            </w:pPr>
            <w:r>
              <w:rPr>
                <w:rFonts w:ascii="Arial" w:cs="Arial" w:eastAsia="Arial" w:hAnsi="Arial"/>
                <w:sz w:val="14"/>
                <w:szCs w:val="14"/>
                <w:color w:val="auto"/>
              </w:rPr>
              <w:t>sales</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920" w:type="dxa"/>
            <w:vAlign w:val="bottom"/>
          </w:tcPr>
          <w:p>
            <w:pPr>
              <w:ind w:left="20"/>
              <w:spacing w:after="0"/>
              <w:rPr>
                <w:sz w:val="20"/>
                <w:szCs w:val="20"/>
                <w:color w:val="auto"/>
              </w:rPr>
            </w:pPr>
            <w:r>
              <w:rPr>
                <w:rFonts w:ascii="Arial" w:cs="Arial" w:eastAsia="Arial" w:hAnsi="Arial"/>
                <w:sz w:val="14"/>
                <w:szCs w:val="14"/>
                <w:color w:val="auto"/>
              </w:rPr>
              <w:t>Diluted EPS</w:t>
            </w:r>
          </w:p>
        </w:tc>
        <w:tc>
          <w:tcPr>
            <w:tcW w:w="600" w:type="dxa"/>
            <w:vAlign w:val="bottom"/>
          </w:tcPr>
          <w:p>
            <w:pPr>
              <w:jc w:val="right"/>
              <w:ind w:right="72"/>
              <w:spacing w:after="0"/>
              <w:rPr>
                <w:sz w:val="20"/>
                <w:szCs w:val="20"/>
                <w:color w:val="auto"/>
              </w:rPr>
            </w:pPr>
            <w:r>
              <w:rPr>
                <w:rFonts w:ascii="Arial" w:cs="Arial" w:eastAsia="Arial" w:hAnsi="Arial"/>
                <w:sz w:val="14"/>
                <w:szCs w:val="14"/>
                <w:color w:val="auto"/>
                <w:w w:val="99"/>
              </w:rPr>
              <w:t>($0.63)</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$0.01</w:t>
            </w:r>
          </w:p>
        </w:tc>
        <w:tc>
          <w:tcPr>
            <w:tcW w:w="960" w:type="dxa"/>
            <w:vAlign w:val="bottom"/>
          </w:tcPr>
          <w:p>
            <w:pPr>
              <w:jc w:val="right"/>
              <w:ind w:right="132"/>
              <w:spacing w:after="0"/>
              <w:rPr>
                <w:sz w:val="20"/>
                <w:szCs w:val="20"/>
                <w:color w:val="auto"/>
              </w:rPr>
            </w:pPr>
            <w:r>
              <w:rPr>
                <w:rFonts w:ascii="Arial" w:cs="Arial" w:eastAsia="Arial" w:hAnsi="Arial"/>
                <w:sz w:val="14"/>
                <w:szCs w:val="14"/>
                <w:color w:val="auto"/>
              </w:rPr>
              <w:t>$0.12</w:t>
            </w: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$0.13</w:t>
            </w:r>
          </w:p>
        </w:tc>
        <w:tc>
          <w:tcPr>
            <w:tcW w:w="820" w:type="dxa"/>
            <w:vAlign w:val="bottom"/>
          </w:tcPr>
          <w:p>
            <w:pPr>
              <w:jc w:val="right"/>
              <w:ind w:right="111"/>
              <w:spacing w:after="0"/>
              <w:rPr>
                <w:sz w:val="20"/>
                <w:szCs w:val="20"/>
                <w:color w:val="auto"/>
              </w:rPr>
            </w:pPr>
            <w:r>
              <w:rPr>
                <w:rFonts w:ascii="Arial" w:cs="Arial" w:eastAsia="Arial" w:hAnsi="Arial"/>
                <w:sz w:val="14"/>
                <w:szCs w:val="14"/>
                <w:color w:val="auto"/>
              </w:rPr>
              <w:t>($0.02)</w:t>
            </w:r>
          </w:p>
        </w:tc>
        <w:tc>
          <w:tcPr>
            <w:tcW w:w="9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52"/>
              <w:spacing w:after="0"/>
              <w:rPr>
                <w:sz w:val="20"/>
                <w:szCs w:val="20"/>
                <w:color w:val="auto"/>
              </w:rPr>
            </w:pPr>
            <w:r>
              <w:rPr>
                <w:rFonts w:ascii="Arial" w:cs="Arial" w:eastAsia="Arial" w:hAnsi="Arial"/>
                <w:sz w:val="14"/>
                <w:szCs w:val="14"/>
                <w:color w:val="auto"/>
              </w:rPr>
              <w:t>$0.21</w:t>
            </w:r>
          </w:p>
        </w:tc>
        <w:tc>
          <w:tcPr>
            <w:tcW w:w="980" w:type="dxa"/>
            <w:vAlign w:val="bottom"/>
          </w:tcPr>
          <w:p>
            <w:pPr>
              <w:jc w:val="right"/>
              <w:ind w:right="152"/>
              <w:spacing w:after="0"/>
              <w:rPr>
                <w:sz w:val="20"/>
                <w:szCs w:val="20"/>
                <w:color w:val="auto"/>
              </w:rPr>
            </w:pPr>
            <w:r>
              <w:rPr>
                <w:rFonts w:ascii="Arial" w:cs="Arial" w:eastAsia="Arial" w:hAnsi="Arial"/>
                <w:sz w:val="14"/>
                <w:szCs w:val="14"/>
                <w:color w:val="auto"/>
              </w:rPr>
              <w:t>$0.17</w:t>
            </w:r>
          </w:p>
        </w:tc>
        <w:tc>
          <w:tcPr>
            <w:tcW w:w="1000" w:type="dxa"/>
            <w:vAlign w:val="bottom"/>
          </w:tcPr>
          <w:p>
            <w:pPr>
              <w:jc w:val="right"/>
              <w:ind w:right="132"/>
              <w:spacing w:after="0"/>
              <w:rPr>
                <w:sz w:val="20"/>
                <w:szCs w:val="20"/>
                <w:color w:val="auto"/>
              </w:rPr>
            </w:pPr>
            <w:r>
              <w:rPr>
                <w:rFonts w:ascii="Arial" w:cs="Arial" w:eastAsia="Arial" w:hAnsi="Arial"/>
                <w:sz w:val="14"/>
                <w:szCs w:val="14"/>
                <w:color w:val="auto"/>
              </w:rPr>
              <w:t>$0.19</w:t>
            </w:r>
          </w:p>
        </w:tc>
        <w:tc>
          <w:tcPr>
            <w:tcW w:w="920" w:type="dxa"/>
            <w:vAlign w:val="bottom"/>
          </w:tcPr>
          <w:p>
            <w:pPr>
              <w:jc w:val="right"/>
              <w:ind w:right="152"/>
              <w:spacing w:after="0"/>
              <w:rPr>
                <w:sz w:val="20"/>
                <w:szCs w:val="20"/>
                <w:color w:val="auto"/>
              </w:rPr>
            </w:pPr>
            <w:r>
              <w:rPr>
                <w:rFonts w:ascii="Arial" w:cs="Arial" w:eastAsia="Arial" w:hAnsi="Arial"/>
                <w:sz w:val="14"/>
                <w:szCs w:val="14"/>
                <w:color w:val="auto"/>
              </w:rPr>
              <w:t>$0.05</w:t>
            </w:r>
          </w:p>
        </w:tc>
        <w:tc>
          <w:tcPr>
            <w:tcW w:w="880" w:type="dxa"/>
            <w:vAlign w:val="bottom"/>
          </w:tcPr>
          <w:p>
            <w:pPr>
              <w:jc w:val="right"/>
              <w:ind w:right="132"/>
              <w:spacing w:after="0"/>
              <w:rPr>
                <w:sz w:val="20"/>
                <w:szCs w:val="20"/>
                <w:color w:val="auto"/>
              </w:rPr>
            </w:pPr>
            <w:r>
              <w:rPr>
                <w:rFonts w:ascii="Arial" w:cs="Arial" w:eastAsia="Arial" w:hAnsi="Arial"/>
                <w:sz w:val="14"/>
                <w:szCs w:val="14"/>
                <w:color w:val="auto"/>
              </w:rPr>
              <w:t>$0.09</w:t>
            </w:r>
          </w:p>
        </w:tc>
        <w:tc>
          <w:tcPr>
            <w:tcW w:w="720" w:type="dxa"/>
            <w:vAlign w:val="bottom"/>
          </w:tcPr>
          <w:p>
            <w:pPr>
              <w:jc w:val="right"/>
              <w:ind w:right="112"/>
              <w:spacing w:after="0"/>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bl>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GAAP results for the three months ended March 31, 2021 include:</w:t>
            </w:r>
          </w:p>
        </w:tc>
        <w:tc>
          <w:tcPr>
            <w:tcW w:w="5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0" w:type="dxa"/>
            <w:vAlign w:val="bottom"/>
          </w:tcPr>
          <w:p>
            <w:pPr>
              <w:spacing w:after="0"/>
              <w:rPr>
                <w:sz w:val="20"/>
                <w:szCs w:val="20"/>
                <w:color w:val="auto"/>
              </w:rPr>
            </w:pPr>
            <w:r>
              <w:rPr>
                <w:rFonts w:ascii="Arial" w:cs="Arial" w:eastAsia="Arial" w:hAnsi="Arial"/>
                <w:sz w:val="14"/>
                <w:szCs w:val="14"/>
                <w:b w:val="1"/>
                <w:bCs w:val="1"/>
                <w:color w:val="auto"/>
              </w:rPr>
              <w:t>(A)</w:t>
            </w:r>
          </w:p>
        </w:tc>
        <w:tc>
          <w:tcPr>
            <w:tcW w:w="10860" w:type="dxa"/>
            <w:vAlign w:val="bottom"/>
            <w:gridSpan w:val="2"/>
          </w:tcPr>
          <w:p>
            <w:pPr>
              <w:ind w:left="80"/>
              <w:spacing w:after="0"/>
              <w:rPr>
                <w:sz w:val="20"/>
                <w:szCs w:val="20"/>
                <w:color w:val="auto"/>
              </w:rPr>
            </w:pPr>
            <w:r>
              <w:rPr>
                <w:rFonts w:ascii="Arial" w:cs="Arial" w:eastAsia="Arial" w:hAnsi="Arial"/>
                <w:sz w:val="14"/>
                <w:szCs w:val="14"/>
                <w:color w:val="auto"/>
              </w:rPr>
              <w:t>Merger and integration expenses related to our legacy companies and recent acquisitions</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20"/>
                <w:szCs w:val="20"/>
                <w:color w:val="auto"/>
              </w:rPr>
            </w:pPr>
            <w:r>
              <w:rPr>
                <w:rFonts w:ascii="Arial" w:cs="Arial" w:eastAsia="Arial" w:hAnsi="Arial"/>
                <w:sz w:val="14"/>
                <w:szCs w:val="14"/>
                <w:b w:val="1"/>
                <w:bCs w:val="1"/>
                <w:color w:val="auto"/>
              </w:rPr>
              <w:t>(B)</w:t>
            </w:r>
          </w:p>
        </w:tc>
        <w:tc>
          <w:tcPr>
            <w:tcW w:w="5180" w:type="dxa"/>
            <w:vAlign w:val="bottom"/>
          </w:tcPr>
          <w:p>
            <w:pPr>
              <w:ind w:left="80"/>
              <w:spacing w:after="0"/>
              <w:rPr>
                <w:sz w:val="20"/>
                <w:szCs w:val="20"/>
                <w:color w:val="auto"/>
              </w:rPr>
            </w:pPr>
            <w:r>
              <w:rPr>
                <w:rFonts w:ascii="Arial" w:cs="Arial" w:eastAsia="Arial" w:hAnsi="Arial"/>
                <w:sz w:val="14"/>
                <w:szCs w:val="14"/>
                <w:color w:val="auto"/>
              </w:rPr>
              <w:t>Restructuring expenses related to organizational changes</w:t>
            </w:r>
          </w:p>
        </w:tc>
        <w:tc>
          <w:tcPr>
            <w:tcW w:w="5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0" w:type="dxa"/>
            <w:vAlign w:val="bottom"/>
          </w:tcPr>
          <w:p>
            <w:pPr>
              <w:spacing w:after="0"/>
              <w:rPr>
                <w:sz w:val="20"/>
                <w:szCs w:val="20"/>
                <w:color w:val="auto"/>
              </w:rPr>
            </w:pPr>
            <w:r>
              <w:rPr>
                <w:rFonts w:ascii="Arial" w:cs="Arial" w:eastAsia="Arial" w:hAnsi="Arial"/>
                <w:sz w:val="14"/>
                <w:szCs w:val="14"/>
                <w:b w:val="1"/>
                <w:bCs w:val="1"/>
                <w:color w:val="auto"/>
              </w:rPr>
              <w:t>(C)</w:t>
            </w:r>
          </w:p>
        </w:tc>
        <w:tc>
          <w:tcPr>
            <w:tcW w:w="5180" w:type="dxa"/>
            <w:vAlign w:val="bottom"/>
          </w:tcPr>
          <w:p>
            <w:pPr>
              <w:ind w:left="80"/>
              <w:spacing w:after="0"/>
              <w:rPr>
                <w:sz w:val="20"/>
                <w:szCs w:val="20"/>
                <w:color w:val="auto"/>
              </w:rPr>
            </w:pPr>
            <w:r>
              <w:rPr>
                <w:rFonts w:ascii="Arial" w:cs="Arial" w:eastAsia="Arial" w:hAnsi="Arial"/>
                <w:sz w:val="14"/>
                <w:szCs w:val="14"/>
                <w:color w:val="auto"/>
              </w:rPr>
              <w:t>Includes depreciation and amortization associated with purchase price accounting</w:t>
            </w:r>
          </w:p>
        </w:tc>
        <w:tc>
          <w:tcPr>
            <w:tcW w:w="5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0" w:type="dxa"/>
            <w:vAlign w:val="bottom"/>
          </w:tcPr>
          <w:p>
            <w:pPr>
              <w:spacing w:after="0"/>
              <w:rPr>
                <w:sz w:val="20"/>
                <w:szCs w:val="20"/>
                <w:color w:val="auto"/>
              </w:rPr>
            </w:pPr>
            <w:r>
              <w:rPr>
                <w:rFonts w:ascii="Arial" w:cs="Arial" w:eastAsia="Arial" w:hAnsi="Arial"/>
                <w:sz w:val="14"/>
                <w:szCs w:val="14"/>
                <w:b w:val="1"/>
                <w:bCs w:val="1"/>
                <w:color w:val="auto"/>
              </w:rPr>
              <w:t>(D)</w:t>
            </w:r>
          </w:p>
        </w:tc>
        <w:tc>
          <w:tcPr>
            <w:tcW w:w="5180" w:type="dxa"/>
            <w:vAlign w:val="bottom"/>
          </w:tcPr>
          <w:p>
            <w:pPr>
              <w:ind w:left="80"/>
              <w:spacing w:after="0"/>
              <w:rPr>
                <w:sz w:val="20"/>
                <w:szCs w:val="20"/>
                <w:color w:val="auto"/>
              </w:rPr>
            </w:pPr>
            <w:r>
              <w:rPr>
                <w:rFonts w:ascii="Arial" w:cs="Arial" w:eastAsia="Arial" w:hAnsi="Arial"/>
                <w:sz w:val="14"/>
                <w:szCs w:val="14"/>
                <w:color w:val="auto"/>
              </w:rPr>
              <w:t>Revaluation associated with the classification of Heart Valves as held for sale</w:t>
            </w:r>
          </w:p>
        </w:tc>
        <w:tc>
          <w:tcPr>
            <w:tcW w:w="5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0" w:type="dxa"/>
            <w:vAlign w:val="bottom"/>
          </w:tcPr>
          <w:p>
            <w:pPr>
              <w:spacing w:after="0"/>
              <w:rPr>
                <w:sz w:val="20"/>
                <w:szCs w:val="20"/>
                <w:color w:val="auto"/>
              </w:rPr>
            </w:pPr>
            <w:r>
              <w:rPr>
                <w:rFonts w:ascii="Arial" w:cs="Arial" w:eastAsia="Arial" w:hAnsi="Arial"/>
                <w:sz w:val="14"/>
                <w:szCs w:val="14"/>
                <w:b w:val="1"/>
                <w:bCs w:val="1"/>
                <w:color w:val="auto"/>
              </w:rPr>
              <w:t>(E)</w:t>
            </w:r>
          </w:p>
        </w:tc>
        <w:tc>
          <w:tcPr>
            <w:tcW w:w="5180" w:type="dxa"/>
            <w:vAlign w:val="bottom"/>
          </w:tcPr>
          <w:p>
            <w:pPr>
              <w:ind w:left="80"/>
              <w:spacing w:after="0"/>
              <w:rPr>
                <w:sz w:val="20"/>
                <w:szCs w:val="20"/>
                <w:color w:val="auto"/>
              </w:rPr>
            </w:pPr>
            <w:r>
              <w:rPr>
                <w:rFonts w:ascii="Arial" w:cs="Arial" w:eastAsia="Arial" w:hAnsi="Arial"/>
                <w:sz w:val="14"/>
                <w:szCs w:val="14"/>
                <w:color w:val="auto"/>
              </w:rPr>
              <w:t>Costs related to the 3T Heater-Cooler remediation plan</w:t>
            </w:r>
          </w:p>
        </w:tc>
        <w:tc>
          <w:tcPr>
            <w:tcW w:w="5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0" w:type="dxa"/>
            <w:vAlign w:val="bottom"/>
          </w:tcPr>
          <w:p>
            <w:pPr>
              <w:spacing w:after="0"/>
              <w:rPr>
                <w:sz w:val="20"/>
                <w:szCs w:val="20"/>
                <w:color w:val="auto"/>
              </w:rPr>
            </w:pPr>
            <w:r>
              <w:rPr>
                <w:rFonts w:ascii="Arial" w:cs="Arial" w:eastAsia="Arial" w:hAnsi="Arial"/>
                <w:sz w:val="14"/>
                <w:szCs w:val="14"/>
                <w:b w:val="1"/>
                <w:bCs w:val="1"/>
                <w:color w:val="auto"/>
              </w:rPr>
              <w:t>(F)</w:t>
            </w:r>
          </w:p>
        </w:tc>
        <w:tc>
          <w:tcPr>
            <w:tcW w:w="10860" w:type="dxa"/>
            <w:vAlign w:val="bottom"/>
            <w:gridSpan w:val="2"/>
          </w:tcPr>
          <w:p>
            <w:pPr>
              <w:ind w:left="80"/>
              <w:spacing w:after="0"/>
              <w:rPr>
                <w:sz w:val="20"/>
                <w:szCs w:val="20"/>
                <w:color w:val="auto"/>
              </w:rPr>
            </w:pPr>
            <w:r>
              <w:rPr>
                <w:rFonts w:ascii="Arial" w:cs="Arial" w:eastAsia="Arial" w:hAnsi="Arial"/>
                <w:sz w:val="14"/>
                <w:szCs w:val="14"/>
                <w:color w:val="auto"/>
              </w:rPr>
              <w:t>Costs associated with our June 2020 financing transactions, including the mark-to-market adjustment for the exchangeable option feature and capped call derivatives</w:t>
            </w:r>
          </w:p>
        </w:tc>
        <w:tc>
          <w:tcPr>
            <w:tcW w:w="0" w:type="dxa"/>
            <w:vAlign w:val="bottom"/>
          </w:tcPr>
          <w:p>
            <w:pPr>
              <w:spacing w:after="0"/>
              <w:rPr>
                <w:sz w:val="1"/>
                <w:szCs w:val="1"/>
                <w:color w:val="auto"/>
              </w:rPr>
            </w:pPr>
          </w:p>
        </w:tc>
      </w:tr>
      <w:tr>
        <w:trPr>
          <w:trHeight w:val="147"/>
        </w:trPr>
        <w:tc>
          <w:tcPr>
            <w:tcW w:w="260" w:type="dxa"/>
            <w:vAlign w:val="bottom"/>
          </w:tcPr>
          <w:p>
            <w:pPr>
              <w:spacing w:after="0" w:line="147" w:lineRule="exact"/>
              <w:rPr>
                <w:sz w:val="20"/>
                <w:szCs w:val="20"/>
                <w:color w:val="auto"/>
              </w:rPr>
            </w:pPr>
            <w:r>
              <w:rPr>
                <w:rFonts w:ascii="Arial" w:cs="Arial" w:eastAsia="Arial" w:hAnsi="Arial"/>
                <w:sz w:val="14"/>
                <w:szCs w:val="14"/>
                <w:b w:val="1"/>
                <w:bCs w:val="1"/>
                <w:color w:val="auto"/>
              </w:rPr>
              <w:t>(G)</w:t>
            </w:r>
          </w:p>
        </w:tc>
        <w:tc>
          <w:tcPr>
            <w:tcW w:w="10860" w:type="dxa"/>
            <w:vAlign w:val="bottom"/>
            <w:gridSpan w:val="2"/>
          </w:tcPr>
          <w:p>
            <w:pPr>
              <w:ind w:left="80"/>
              <w:spacing w:after="0" w:line="147" w:lineRule="exact"/>
              <w:rPr>
                <w:sz w:val="20"/>
                <w:szCs w:val="20"/>
                <w:color w:val="auto"/>
              </w:rPr>
            </w:pPr>
            <w:r>
              <w:rPr>
                <w:rFonts w:ascii="Arial" w:cs="Arial" w:eastAsia="Arial" w:hAnsi="Arial"/>
                <w:sz w:val="14"/>
                <w:szCs w:val="14"/>
                <w:color w:val="auto"/>
                <w:w w:val="99"/>
              </w:rPr>
              <w:t>3T Heater-Cooler litigation provision, legal expenses primarily related to 3T Heater-Cooler defense, settlements, other matters and remeasurement of contingent consideration</w:t>
            </w:r>
          </w:p>
        </w:tc>
        <w:tc>
          <w:tcPr>
            <w:tcW w:w="0" w:type="dxa"/>
            <w:vAlign w:val="bottom"/>
          </w:tcPr>
          <w:p>
            <w:pPr>
              <w:spacing w:after="0"/>
              <w:rPr>
                <w:sz w:val="1"/>
                <w:szCs w:val="1"/>
                <w:color w:val="auto"/>
              </w:rPr>
            </w:pPr>
          </w:p>
        </w:tc>
      </w:tr>
      <w:tr>
        <w:trPr>
          <w:trHeight w:val="169"/>
        </w:trPr>
        <w:tc>
          <w:tcPr>
            <w:tcW w:w="260" w:type="dxa"/>
            <w:vAlign w:val="bottom"/>
            <w:vMerge w:val="restart"/>
          </w:tcPr>
          <w:p>
            <w:pPr>
              <w:spacing w:after="0"/>
              <w:rPr>
                <w:sz w:val="20"/>
                <w:szCs w:val="20"/>
                <w:color w:val="auto"/>
              </w:rPr>
            </w:pPr>
            <w:r>
              <w:rPr>
                <w:rFonts w:ascii="Arial" w:cs="Arial" w:eastAsia="Arial" w:hAnsi="Arial"/>
                <w:sz w:val="14"/>
                <w:szCs w:val="14"/>
                <w:b w:val="1"/>
                <w:bCs w:val="1"/>
                <w:color w:val="auto"/>
              </w:rPr>
              <w:t>(H)</w:t>
            </w:r>
          </w:p>
        </w:tc>
        <w:tc>
          <w:tcPr>
            <w:tcW w:w="5180" w:type="dxa"/>
            <w:vAlign w:val="bottom"/>
          </w:tcPr>
          <w:p>
            <w:pPr>
              <w:ind w:left="80"/>
              <w:spacing w:after="0"/>
              <w:rPr>
                <w:sz w:val="20"/>
                <w:szCs w:val="20"/>
                <w:color w:val="auto"/>
              </w:rPr>
            </w:pPr>
            <w:r>
              <w:rPr>
                <w:rFonts w:ascii="Arial" w:cs="Arial" w:eastAsia="Arial" w:hAnsi="Arial"/>
                <w:sz w:val="14"/>
                <w:szCs w:val="14"/>
                <w:color w:val="auto"/>
              </w:rPr>
              <w:t>related to acquisitions and gain from remeasurement of an investment</w:t>
            </w:r>
          </w:p>
        </w:tc>
        <w:tc>
          <w:tcPr>
            <w:tcW w:w="5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0" w:type="dxa"/>
            <w:vAlign w:val="bottom"/>
            <w:vMerge w:val="continue"/>
          </w:tcPr>
          <w:p>
            <w:pPr>
              <w:spacing w:after="0"/>
              <w:rPr>
                <w:sz w:val="15"/>
                <w:szCs w:val="15"/>
                <w:color w:val="auto"/>
              </w:rPr>
            </w:pPr>
          </w:p>
        </w:tc>
        <w:tc>
          <w:tcPr>
            <w:tcW w:w="5180" w:type="dxa"/>
            <w:vAlign w:val="bottom"/>
          </w:tcPr>
          <w:p>
            <w:pPr>
              <w:ind w:left="80"/>
              <w:spacing w:after="0"/>
              <w:rPr>
                <w:sz w:val="20"/>
                <w:szCs w:val="20"/>
                <w:color w:val="auto"/>
              </w:rPr>
            </w:pPr>
            <w:r>
              <w:rPr>
                <w:rFonts w:ascii="Arial" w:cs="Arial" w:eastAsia="Arial" w:hAnsi="Arial"/>
                <w:sz w:val="14"/>
                <w:szCs w:val="14"/>
                <w:color w:val="auto"/>
              </w:rPr>
              <w:t>Non-cash expenses associated with stock-based compensation costs</w:t>
            </w:r>
          </w:p>
        </w:tc>
        <w:tc>
          <w:tcPr>
            <w:tcW w:w="5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0" w:type="dxa"/>
            <w:vAlign w:val="bottom"/>
          </w:tcPr>
          <w:p>
            <w:pPr>
              <w:spacing w:after="0"/>
              <w:rPr>
                <w:sz w:val="20"/>
                <w:szCs w:val="20"/>
                <w:color w:val="auto"/>
              </w:rPr>
            </w:pPr>
            <w:r>
              <w:rPr>
                <w:rFonts w:ascii="Arial" w:cs="Arial" w:eastAsia="Arial" w:hAnsi="Arial"/>
                <w:sz w:val="14"/>
                <w:szCs w:val="14"/>
                <w:b w:val="1"/>
                <w:bCs w:val="1"/>
                <w:color w:val="auto"/>
              </w:rPr>
              <w:t>(I)</w:t>
            </w:r>
          </w:p>
        </w:tc>
        <w:tc>
          <w:tcPr>
            <w:tcW w:w="10860" w:type="dxa"/>
            <w:vAlign w:val="bottom"/>
            <w:gridSpan w:val="2"/>
          </w:tcPr>
          <w:p>
            <w:pPr>
              <w:ind w:left="80"/>
              <w:spacing w:after="0"/>
              <w:rPr>
                <w:sz w:val="20"/>
                <w:szCs w:val="20"/>
                <w:color w:val="auto"/>
              </w:rPr>
            </w:pPr>
            <w:r>
              <w:rPr>
                <w:rFonts w:ascii="Arial" w:cs="Arial" w:eastAsia="Arial" w:hAnsi="Arial"/>
                <w:sz w:val="14"/>
                <w:szCs w:val="14"/>
                <w:color w:val="auto"/>
              </w:rPr>
              <w:t>Primarily relates to discrete tax items and the tax impact of intercompany transactions</w:t>
            </w:r>
          </w:p>
        </w:tc>
        <w:tc>
          <w:tcPr>
            <w:tcW w:w="0" w:type="dxa"/>
            <w:vAlign w:val="bottom"/>
          </w:tcPr>
          <w:p>
            <w:pPr>
              <w:spacing w:after="0"/>
              <w:rPr>
                <w:sz w:val="1"/>
                <w:szCs w:val="1"/>
                <w:color w:val="auto"/>
              </w:rPr>
            </w:pPr>
          </w:p>
        </w:tc>
      </w:tr>
      <w:tr>
        <w:trPr>
          <w:trHeight w:val="143"/>
        </w:trPr>
        <w:tc>
          <w:tcPr>
            <w:tcW w:w="260" w:type="dxa"/>
            <w:vAlign w:val="bottom"/>
          </w:tcPr>
          <w:p>
            <w:pPr>
              <w:spacing w:after="0" w:line="143" w:lineRule="exact"/>
              <w:rPr>
                <w:sz w:val="20"/>
                <w:szCs w:val="20"/>
                <w:color w:val="auto"/>
              </w:rPr>
            </w:pPr>
            <w:r>
              <w:rPr>
                <w:rFonts w:ascii="Arial" w:cs="Arial" w:eastAsia="Arial" w:hAnsi="Arial"/>
                <w:sz w:val="14"/>
                <w:szCs w:val="14"/>
                <w:b w:val="1"/>
                <w:bCs w:val="1"/>
                <w:color w:val="auto"/>
              </w:rPr>
              <w:t>(J)</w:t>
            </w:r>
          </w:p>
        </w:tc>
        <w:tc>
          <w:tcPr>
            <w:tcW w:w="10860" w:type="dxa"/>
            <w:vAlign w:val="bottom"/>
            <w:gridSpan w:val="2"/>
          </w:tcPr>
          <w:p>
            <w:pPr>
              <w:ind w:left="80"/>
              <w:spacing w:after="0" w:line="143" w:lineRule="exact"/>
              <w:rPr>
                <w:sz w:val="20"/>
                <w:szCs w:val="20"/>
                <w:color w:val="auto"/>
              </w:rPr>
            </w:pPr>
            <w:r>
              <w:rPr>
                <w:rFonts w:ascii="Arial" w:cs="Arial" w:eastAsia="Arial" w:hAnsi="Arial"/>
                <w:sz w:val="14"/>
                <w:szCs w:val="14"/>
                <w:color w:val="auto"/>
              </w:rPr>
              <w:t>Primarily relates to non-cash interest expense on our Senior Secured Term Loan and Cash Exchangeable Senior Notes</w:t>
            </w:r>
          </w:p>
        </w:tc>
        <w:tc>
          <w:tcPr>
            <w:tcW w:w="0" w:type="dxa"/>
            <w:vAlign w:val="bottom"/>
          </w:tcPr>
          <w:p>
            <w:pPr>
              <w:spacing w:after="0"/>
              <w:rPr>
                <w:sz w:val="1"/>
                <w:szCs w:val="1"/>
                <w:color w:val="auto"/>
              </w:rPr>
            </w:pPr>
          </w:p>
        </w:tc>
      </w:tr>
      <w:tr>
        <w:trPr>
          <w:trHeight w:val="252"/>
        </w:trPr>
        <w:tc>
          <w:tcPr>
            <w:tcW w:w="5440" w:type="dxa"/>
            <w:vAlign w:val="bottom"/>
            <w:gridSpan w:val="2"/>
          </w:tcPr>
          <w:p>
            <w:pPr>
              <w:spacing w:after="0"/>
              <w:rPr>
                <w:sz w:val="20"/>
                <w:szCs w:val="20"/>
                <w:color w:val="auto"/>
              </w:rPr>
            </w:pPr>
            <w:r>
              <w:rPr>
                <w:rFonts w:ascii="Arial" w:cs="Arial" w:eastAsia="Arial" w:hAnsi="Arial"/>
                <w:sz w:val="14"/>
                <w:szCs w:val="14"/>
                <w:color w:val="auto"/>
              </w:rPr>
              <w:t>* Numbers may not add precisely due to rounding.</w:t>
            </w:r>
          </w:p>
        </w:tc>
        <w:tc>
          <w:tcPr>
            <w:tcW w:w="5680" w:type="dxa"/>
            <w:vAlign w:val="bottom"/>
          </w:tcPr>
          <w:p>
            <w:pPr>
              <w:jc w:val="right"/>
              <w:ind w:right="5295"/>
              <w:spacing w:after="0"/>
              <w:rPr>
                <w:sz w:val="20"/>
                <w:szCs w:val="20"/>
                <w:color w:val="auto"/>
              </w:rPr>
            </w:pPr>
            <w:r>
              <w:rPr>
                <w:rFonts w:ascii="Arial" w:cs="Arial" w:eastAsia="Arial" w:hAnsi="Arial"/>
                <w:sz w:val="21"/>
                <w:szCs w:val="21"/>
                <w:color w:val="auto"/>
              </w:rPr>
              <w:t>13</w:t>
            </w:r>
          </w:p>
        </w:tc>
        <w:tc>
          <w:tcPr>
            <w:tcW w:w="0" w:type="dxa"/>
            <w:vAlign w:val="bottom"/>
          </w:tcPr>
          <w:p>
            <w:pPr>
              <w:spacing w:after="0"/>
              <w:rPr>
                <w:sz w:val="1"/>
                <w:szCs w:val="1"/>
                <w:color w:val="auto"/>
              </w:rPr>
            </w:pPr>
          </w:p>
        </w:tc>
      </w:tr>
    </w:tbl>
    <w:p>
      <w:pPr>
        <w:sectPr>
          <w:pgSz w:w="11900" w:h="16838" w:orient="portrait"/>
          <w:cols w:equalWidth="0" w:num="1">
            <w:col w:w="11340"/>
          </w:cols>
          <w:pgMar w:left="320" w:top="7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LIVANOVA PLC AND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millions)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800" w:type="dxa"/>
            <w:vAlign w:val="bottom"/>
            <w:vMerge w:val="restart"/>
          </w:tcPr>
          <w:p>
            <w:pPr>
              <w:spacing w:after="0"/>
              <w:rPr>
                <w:sz w:val="20"/>
                <w:szCs w:val="20"/>
                <w:color w:val="auto"/>
              </w:rPr>
            </w:pPr>
            <w:r>
              <w:rPr>
                <w:rFonts w:ascii="Arial" w:cs="Arial" w:eastAsia="Arial" w:hAnsi="Arial"/>
                <w:sz w:val="17"/>
                <w:szCs w:val="17"/>
                <w:b w:val="1"/>
                <w:bCs w:val="1"/>
                <w:color w:val="auto"/>
              </w:rPr>
              <w:t>ASSETS</w:t>
            </w:r>
          </w:p>
        </w:tc>
        <w:tc>
          <w:tcPr>
            <w:tcW w:w="2240" w:type="dxa"/>
            <w:vAlign w:val="bottom"/>
            <w:gridSpan w:val="2"/>
          </w:tcPr>
          <w:p>
            <w:pPr>
              <w:ind w:left="480"/>
              <w:spacing w:after="0"/>
              <w:rPr>
                <w:sz w:val="20"/>
                <w:szCs w:val="20"/>
                <w:color w:val="auto"/>
              </w:rPr>
            </w:pPr>
            <w:r>
              <w:rPr>
                <w:rFonts w:ascii="Arial" w:cs="Arial" w:eastAsia="Arial" w:hAnsi="Arial"/>
                <w:sz w:val="17"/>
                <w:szCs w:val="17"/>
                <w:b w:val="1"/>
                <w:bCs w:val="1"/>
                <w:color w:val="auto"/>
              </w:rPr>
              <w:t>March 31, 2022</w:t>
            </w:r>
          </w:p>
        </w:tc>
        <w:tc>
          <w:tcPr>
            <w:tcW w:w="2140" w:type="dxa"/>
            <w:vAlign w:val="bottom"/>
          </w:tcPr>
          <w:p>
            <w:pPr>
              <w:jc w:val="right"/>
              <w:ind w:right="237"/>
              <w:spacing w:after="0"/>
              <w:rPr>
                <w:sz w:val="20"/>
                <w:szCs w:val="20"/>
                <w:color w:val="auto"/>
              </w:rPr>
            </w:pPr>
            <w:r>
              <w:rPr>
                <w:rFonts w:ascii="Arial" w:cs="Arial" w:eastAsia="Arial" w:hAnsi="Arial"/>
                <w:sz w:val="17"/>
                <w:szCs w:val="17"/>
                <w:b w:val="1"/>
                <w:bCs w:val="1"/>
                <w:color w:val="auto"/>
              </w:rPr>
              <w:t>December 31, 2021</w:t>
            </w:r>
          </w:p>
        </w:tc>
        <w:tc>
          <w:tcPr>
            <w:tcW w:w="0" w:type="dxa"/>
            <w:vAlign w:val="bottom"/>
          </w:tcPr>
          <w:p>
            <w:pPr>
              <w:spacing w:after="0"/>
              <w:rPr>
                <w:sz w:val="1"/>
                <w:szCs w:val="1"/>
                <w:color w:val="auto"/>
              </w:rPr>
            </w:pPr>
          </w:p>
        </w:tc>
      </w:tr>
      <w:tr>
        <w:trPr>
          <w:trHeight w:val="179"/>
        </w:trPr>
        <w:tc>
          <w:tcPr>
            <w:tcW w:w="6800" w:type="dxa"/>
            <w:vAlign w:val="bottom"/>
            <w:vMerge w:val="continue"/>
          </w:tcPr>
          <w:p>
            <w:pPr>
              <w:spacing w:after="0"/>
              <w:rPr>
                <w:sz w:val="15"/>
                <w:szCs w:val="15"/>
                <w:color w:val="auto"/>
              </w:rPr>
            </w:pPr>
          </w:p>
        </w:tc>
        <w:tc>
          <w:tcPr>
            <w:tcW w:w="2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6800" w:type="dxa"/>
            <w:vAlign w:val="bottom"/>
          </w:tcPr>
          <w:p>
            <w:pPr>
              <w:spacing w:after="0"/>
              <w:rPr>
                <w:sz w:val="20"/>
                <w:szCs w:val="20"/>
                <w:color w:val="auto"/>
              </w:rPr>
            </w:pPr>
            <w:r>
              <w:rPr>
                <w:rFonts w:ascii="Arial" w:cs="Arial" w:eastAsia="Arial" w:hAnsi="Arial"/>
                <w:sz w:val="17"/>
                <w:szCs w:val="17"/>
                <w:i w:val="1"/>
                <w:iCs w:val="1"/>
                <w:color w:val="auto"/>
              </w:rPr>
              <w:t>Current Assets: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tcPr>
          <w:p>
            <w:pPr>
              <w:ind w:left="200"/>
              <w:spacing w:after="0"/>
              <w:rPr>
                <w:sz w:val="20"/>
                <w:szCs w:val="20"/>
                <w:color w:val="auto"/>
              </w:rPr>
            </w:pPr>
            <w:r>
              <w:rPr>
                <w:rFonts w:ascii="Arial" w:cs="Arial" w:eastAsia="Arial" w:hAnsi="Arial"/>
                <w:sz w:val="17"/>
                <w:szCs w:val="17"/>
                <w:color w:val="auto"/>
              </w:rPr>
              <w:t>Cash and cash equivalents</w:t>
            </w:r>
          </w:p>
        </w:tc>
        <w:tc>
          <w:tcPr>
            <w:tcW w:w="2140" w:type="dxa"/>
            <w:vAlign w:val="bottom"/>
          </w:tcPr>
          <w:p>
            <w:pPr>
              <w:jc w:val="right"/>
              <w:spacing w:after="0"/>
              <w:rPr>
                <w:sz w:val="20"/>
                <w:szCs w:val="20"/>
                <w:color w:val="auto"/>
              </w:rPr>
            </w:pPr>
            <w:r>
              <w:rPr>
                <w:rFonts w:ascii="Arial" w:cs="Arial" w:eastAsia="Arial" w:hAnsi="Arial"/>
                <w:sz w:val="17"/>
                <w:szCs w:val="17"/>
                <w:color w:val="auto"/>
              </w:rPr>
              <w:t>$128.7</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$208.0</w:t>
            </w:r>
          </w:p>
        </w:tc>
        <w:tc>
          <w:tcPr>
            <w:tcW w:w="0" w:type="dxa"/>
            <w:vAlign w:val="bottom"/>
          </w:tcPr>
          <w:p>
            <w:pPr>
              <w:spacing w:after="0"/>
              <w:rPr>
                <w:sz w:val="1"/>
                <w:szCs w:val="1"/>
                <w:color w:val="auto"/>
              </w:rPr>
            </w:pPr>
          </w:p>
        </w:tc>
      </w:tr>
      <w:tr>
        <w:trPr>
          <w:trHeight w:val="210"/>
        </w:trPr>
        <w:tc>
          <w:tcPr>
            <w:tcW w:w="6800" w:type="dxa"/>
            <w:vAlign w:val="bottom"/>
          </w:tcPr>
          <w:p>
            <w:pPr>
              <w:ind w:left="200"/>
              <w:spacing w:after="0"/>
              <w:rPr>
                <w:sz w:val="20"/>
                <w:szCs w:val="20"/>
                <w:color w:val="auto"/>
              </w:rPr>
            </w:pPr>
            <w:r>
              <w:rPr>
                <w:rFonts w:ascii="Arial" w:cs="Arial" w:eastAsia="Arial" w:hAnsi="Arial"/>
                <w:sz w:val="17"/>
                <w:szCs w:val="17"/>
                <w:color w:val="auto"/>
              </w:rPr>
              <w:t>Restricted cash</w:t>
            </w:r>
          </w:p>
        </w:tc>
        <w:tc>
          <w:tcPr>
            <w:tcW w:w="2140" w:type="dxa"/>
            <w:vAlign w:val="bottom"/>
          </w:tcPr>
          <w:p>
            <w:pPr>
              <w:jc w:val="right"/>
              <w:spacing w:after="0"/>
              <w:rPr>
                <w:sz w:val="20"/>
                <w:szCs w:val="20"/>
                <w:color w:val="auto"/>
              </w:rPr>
            </w:pPr>
            <w:r>
              <w:rPr>
                <w:rFonts w:ascii="Arial" w:cs="Arial" w:eastAsia="Arial" w:hAnsi="Arial"/>
                <w:sz w:val="17"/>
                <w:szCs w:val="17"/>
                <w:color w:val="auto"/>
              </w:rPr>
              <w:t>313.6</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800" w:type="dxa"/>
            <w:vAlign w:val="bottom"/>
          </w:tcPr>
          <w:p>
            <w:pPr>
              <w:ind w:left="200"/>
              <w:spacing w:after="0"/>
              <w:rPr>
                <w:sz w:val="20"/>
                <w:szCs w:val="20"/>
                <w:color w:val="auto"/>
              </w:rPr>
            </w:pPr>
            <w:r>
              <w:rPr>
                <w:rFonts w:ascii="Arial" w:cs="Arial" w:eastAsia="Arial" w:hAnsi="Arial"/>
                <w:sz w:val="17"/>
                <w:szCs w:val="17"/>
                <w:color w:val="auto"/>
              </w:rPr>
              <w:t>Accounts receivable, net of allowance</w:t>
            </w:r>
          </w:p>
        </w:tc>
        <w:tc>
          <w:tcPr>
            <w:tcW w:w="2140" w:type="dxa"/>
            <w:vAlign w:val="bottom"/>
          </w:tcPr>
          <w:p>
            <w:pPr>
              <w:jc w:val="right"/>
              <w:spacing w:after="0"/>
              <w:rPr>
                <w:sz w:val="20"/>
                <w:szCs w:val="20"/>
                <w:color w:val="auto"/>
              </w:rPr>
            </w:pPr>
            <w:r>
              <w:rPr>
                <w:rFonts w:ascii="Arial" w:cs="Arial" w:eastAsia="Arial" w:hAnsi="Arial"/>
                <w:sz w:val="17"/>
                <w:szCs w:val="17"/>
                <w:color w:val="auto"/>
              </w:rPr>
              <w:t>182.1</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185.4</w:t>
            </w:r>
          </w:p>
        </w:tc>
        <w:tc>
          <w:tcPr>
            <w:tcW w:w="0" w:type="dxa"/>
            <w:vAlign w:val="bottom"/>
          </w:tcPr>
          <w:p>
            <w:pPr>
              <w:spacing w:after="0"/>
              <w:rPr>
                <w:sz w:val="1"/>
                <w:szCs w:val="1"/>
                <w:color w:val="auto"/>
              </w:rPr>
            </w:pPr>
          </w:p>
        </w:tc>
      </w:tr>
      <w:tr>
        <w:trPr>
          <w:trHeight w:val="210"/>
        </w:trPr>
        <w:tc>
          <w:tcPr>
            <w:tcW w:w="6800" w:type="dxa"/>
            <w:vAlign w:val="bottom"/>
          </w:tcPr>
          <w:p>
            <w:pPr>
              <w:ind w:left="200"/>
              <w:spacing w:after="0"/>
              <w:rPr>
                <w:sz w:val="20"/>
                <w:szCs w:val="20"/>
                <w:color w:val="auto"/>
              </w:rPr>
            </w:pPr>
            <w:r>
              <w:rPr>
                <w:rFonts w:ascii="Arial" w:cs="Arial" w:eastAsia="Arial" w:hAnsi="Arial"/>
                <w:sz w:val="17"/>
                <w:szCs w:val="17"/>
                <w:color w:val="auto"/>
              </w:rPr>
              <w:t>Inventories</w:t>
            </w:r>
          </w:p>
        </w:tc>
        <w:tc>
          <w:tcPr>
            <w:tcW w:w="2140" w:type="dxa"/>
            <w:vAlign w:val="bottom"/>
          </w:tcPr>
          <w:p>
            <w:pPr>
              <w:jc w:val="right"/>
              <w:spacing w:after="0"/>
              <w:rPr>
                <w:sz w:val="20"/>
                <w:szCs w:val="20"/>
                <w:color w:val="auto"/>
              </w:rPr>
            </w:pPr>
            <w:r>
              <w:rPr>
                <w:rFonts w:ascii="Arial" w:cs="Arial" w:eastAsia="Arial" w:hAnsi="Arial"/>
                <w:sz w:val="17"/>
                <w:szCs w:val="17"/>
                <w:color w:val="auto"/>
              </w:rPr>
              <w:t>114.8</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105.8</w:t>
            </w:r>
          </w:p>
        </w:tc>
        <w:tc>
          <w:tcPr>
            <w:tcW w:w="0" w:type="dxa"/>
            <w:vAlign w:val="bottom"/>
          </w:tcPr>
          <w:p>
            <w:pPr>
              <w:spacing w:after="0"/>
              <w:rPr>
                <w:sz w:val="1"/>
                <w:szCs w:val="1"/>
                <w:color w:val="auto"/>
              </w:rPr>
            </w:pPr>
          </w:p>
        </w:tc>
      </w:tr>
      <w:tr>
        <w:trPr>
          <w:trHeight w:val="210"/>
        </w:trPr>
        <w:tc>
          <w:tcPr>
            <w:tcW w:w="6800" w:type="dxa"/>
            <w:vAlign w:val="bottom"/>
          </w:tcPr>
          <w:p>
            <w:pPr>
              <w:ind w:left="200"/>
              <w:spacing w:after="0"/>
              <w:rPr>
                <w:sz w:val="20"/>
                <w:szCs w:val="20"/>
                <w:color w:val="auto"/>
              </w:rPr>
            </w:pPr>
            <w:r>
              <w:rPr>
                <w:rFonts w:ascii="Arial" w:cs="Arial" w:eastAsia="Arial" w:hAnsi="Arial"/>
                <w:sz w:val="17"/>
                <w:szCs w:val="17"/>
                <w:color w:val="auto"/>
              </w:rPr>
              <w:t>Prepaid and refundable taxes</w:t>
            </w:r>
          </w:p>
        </w:tc>
        <w:tc>
          <w:tcPr>
            <w:tcW w:w="2140" w:type="dxa"/>
            <w:vAlign w:val="bottom"/>
          </w:tcPr>
          <w:p>
            <w:pPr>
              <w:jc w:val="right"/>
              <w:spacing w:after="0"/>
              <w:rPr>
                <w:sz w:val="20"/>
                <w:szCs w:val="20"/>
                <w:color w:val="auto"/>
              </w:rPr>
            </w:pPr>
            <w:r>
              <w:rPr>
                <w:rFonts w:ascii="Arial" w:cs="Arial" w:eastAsia="Arial" w:hAnsi="Arial"/>
                <w:sz w:val="17"/>
                <w:szCs w:val="17"/>
                <w:color w:val="auto"/>
              </w:rPr>
              <w:t>29.2</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37.6</w:t>
            </w:r>
          </w:p>
        </w:tc>
        <w:tc>
          <w:tcPr>
            <w:tcW w:w="0" w:type="dxa"/>
            <w:vAlign w:val="bottom"/>
          </w:tcPr>
          <w:p>
            <w:pPr>
              <w:spacing w:after="0"/>
              <w:rPr>
                <w:sz w:val="1"/>
                <w:szCs w:val="1"/>
                <w:color w:val="auto"/>
              </w:rPr>
            </w:pPr>
          </w:p>
        </w:tc>
      </w:tr>
      <w:tr>
        <w:trPr>
          <w:trHeight w:val="210"/>
        </w:trPr>
        <w:tc>
          <w:tcPr>
            <w:tcW w:w="6800" w:type="dxa"/>
            <w:vAlign w:val="bottom"/>
          </w:tcPr>
          <w:p>
            <w:pPr>
              <w:ind w:left="200"/>
              <w:spacing w:after="0"/>
              <w:rPr>
                <w:sz w:val="20"/>
                <w:szCs w:val="20"/>
                <w:color w:val="auto"/>
              </w:rPr>
            </w:pPr>
            <w:r>
              <w:rPr>
                <w:rFonts w:ascii="Arial" w:cs="Arial" w:eastAsia="Arial" w:hAnsi="Arial"/>
                <w:sz w:val="17"/>
                <w:szCs w:val="17"/>
                <w:color w:val="auto"/>
              </w:rPr>
              <w:t>Current derivative assets</w:t>
            </w:r>
          </w:p>
        </w:tc>
        <w:tc>
          <w:tcPr>
            <w:tcW w:w="214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106.6</w:t>
            </w:r>
          </w:p>
        </w:tc>
        <w:tc>
          <w:tcPr>
            <w:tcW w:w="0" w:type="dxa"/>
            <w:vAlign w:val="bottom"/>
          </w:tcPr>
          <w:p>
            <w:pPr>
              <w:spacing w:after="0"/>
              <w:rPr>
                <w:sz w:val="1"/>
                <w:szCs w:val="1"/>
                <w:color w:val="auto"/>
              </w:rPr>
            </w:pPr>
          </w:p>
        </w:tc>
      </w:tr>
      <w:tr>
        <w:trPr>
          <w:trHeight w:val="210"/>
        </w:trPr>
        <w:tc>
          <w:tcPr>
            <w:tcW w:w="6800" w:type="dxa"/>
            <w:vAlign w:val="bottom"/>
          </w:tcPr>
          <w:p>
            <w:pPr>
              <w:ind w:left="200"/>
              <w:spacing w:after="0"/>
              <w:rPr>
                <w:sz w:val="20"/>
                <w:szCs w:val="20"/>
                <w:color w:val="auto"/>
              </w:rPr>
            </w:pPr>
            <w:r>
              <w:rPr>
                <w:rFonts w:ascii="Arial" w:cs="Arial" w:eastAsia="Arial" w:hAnsi="Arial"/>
                <w:sz w:val="17"/>
                <w:szCs w:val="17"/>
                <w:color w:val="auto"/>
              </w:rPr>
              <w:t>Prepaid expenses and other current assets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w:t>
            </w:r>
          </w:p>
        </w:tc>
        <w:tc>
          <w:tcPr>
            <w:tcW w:w="10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w:t>
            </w:r>
          </w:p>
        </w:tc>
        <w:tc>
          <w:tcPr>
            <w:tcW w:w="0" w:type="dxa"/>
            <w:vAlign w:val="bottom"/>
          </w:tcPr>
          <w:p>
            <w:pPr>
              <w:spacing w:after="0"/>
              <w:rPr>
                <w:sz w:val="1"/>
                <w:szCs w:val="1"/>
                <w:color w:val="auto"/>
              </w:rPr>
            </w:pPr>
          </w:p>
        </w:tc>
      </w:tr>
      <w:tr>
        <w:trPr>
          <w:trHeight w:val="206"/>
        </w:trPr>
        <w:tc>
          <w:tcPr>
            <w:tcW w:w="6800" w:type="dxa"/>
            <w:vAlign w:val="bottom"/>
          </w:tcPr>
          <w:p>
            <w:pPr>
              <w:spacing w:after="0"/>
              <w:rPr>
                <w:sz w:val="20"/>
                <w:szCs w:val="20"/>
                <w:color w:val="auto"/>
              </w:rPr>
            </w:pPr>
            <w:r>
              <w:rPr>
                <w:rFonts w:ascii="Arial" w:cs="Arial" w:eastAsia="Arial" w:hAnsi="Arial"/>
                <w:sz w:val="17"/>
                <w:szCs w:val="17"/>
                <w:color w:val="auto"/>
              </w:rPr>
              <w:t>Total Current Assets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809.6</w:t>
            </w:r>
          </w:p>
        </w:tc>
        <w:tc>
          <w:tcPr>
            <w:tcW w:w="100" w:type="dxa"/>
            <w:vAlign w:val="bottom"/>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679.2</w:t>
            </w:r>
          </w:p>
        </w:tc>
        <w:tc>
          <w:tcPr>
            <w:tcW w:w="0" w:type="dxa"/>
            <w:vAlign w:val="bottom"/>
          </w:tcPr>
          <w:p>
            <w:pPr>
              <w:spacing w:after="0"/>
              <w:rPr>
                <w:sz w:val="1"/>
                <w:szCs w:val="1"/>
                <w:color w:val="auto"/>
              </w:rPr>
            </w:pPr>
          </w:p>
        </w:tc>
      </w:tr>
      <w:tr>
        <w:trPr>
          <w:trHeight w:val="201"/>
        </w:trPr>
        <w:tc>
          <w:tcPr>
            <w:tcW w:w="6800" w:type="dxa"/>
            <w:vAlign w:val="bottom"/>
          </w:tcPr>
          <w:p>
            <w:pPr>
              <w:ind w:left="200"/>
              <w:spacing w:after="0"/>
              <w:rPr>
                <w:sz w:val="20"/>
                <w:szCs w:val="20"/>
                <w:color w:val="auto"/>
              </w:rPr>
            </w:pPr>
            <w:r>
              <w:rPr>
                <w:rFonts w:ascii="Arial" w:cs="Arial" w:eastAsia="Arial" w:hAnsi="Arial"/>
                <w:sz w:val="17"/>
                <w:szCs w:val="17"/>
                <w:color w:val="auto"/>
              </w:rPr>
              <w:t>Property, plant and equipment, net</w:t>
            </w:r>
          </w:p>
        </w:tc>
        <w:tc>
          <w:tcPr>
            <w:tcW w:w="2140" w:type="dxa"/>
            <w:vAlign w:val="bottom"/>
          </w:tcPr>
          <w:p>
            <w:pPr>
              <w:jc w:val="right"/>
              <w:spacing w:after="0"/>
              <w:rPr>
                <w:sz w:val="20"/>
                <w:szCs w:val="20"/>
                <w:color w:val="auto"/>
              </w:rPr>
            </w:pPr>
            <w:r>
              <w:rPr>
                <w:rFonts w:ascii="Arial" w:cs="Arial" w:eastAsia="Arial" w:hAnsi="Arial"/>
                <w:sz w:val="17"/>
                <w:szCs w:val="17"/>
                <w:color w:val="auto"/>
              </w:rPr>
              <w:t>148.0</w:t>
            </w:r>
          </w:p>
        </w:tc>
        <w:tc>
          <w:tcPr>
            <w:tcW w:w="10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150.1</w:t>
            </w:r>
          </w:p>
        </w:tc>
        <w:tc>
          <w:tcPr>
            <w:tcW w:w="0" w:type="dxa"/>
            <w:vAlign w:val="bottom"/>
          </w:tcPr>
          <w:p>
            <w:pPr>
              <w:spacing w:after="0"/>
              <w:rPr>
                <w:sz w:val="1"/>
                <w:szCs w:val="1"/>
                <w:color w:val="auto"/>
              </w:rPr>
            </w:pPr>
          </w:p>
        </w:tc>
      </w:tr>
      <w:tr>
        <w:trPr>
          <w:trHeight w:val="210"/>
        </w:trPr>
        <w:tc>
          <w:tcPr>
            <w:tcW w:w="6800" w:type="dxa"/>
            <w:vAlign w:val="bottom"/>
          </w:tcPr>
          <w:p>
            <w:pPr>
              <w:ind w:left="200"/>
              <w:spacing w:after="0"/>
              <w:rPr>
                <w:sz w:val="20"/>
                <w:szCs w:val="20"/>
                <w:color w:val="auto"/>
              </w:rPr>
            </w:pPr>
            <w:r>
              <w:rPr>
                <w:rFonts w:ascii="Arial" w:cs="Arial" w:eastAsia="Arial" w:hAnsi="Arial"/>
                <w:sz w:val="17"/>
                <w:szCs w:val="17"/>
                <w:color w:val="auto"/>
              </w:rPr>
              <w:t>Goodwill</w:t>
            </w:r>
          </w:p>
        </w:tc>
        <w:tc>
          <w:tcPr>
            <w:tcW w:w="2140" w:type="dxa"/>
            <w:vAlign w:val="bottom"/>
          </w:tcPr>
          <w:p>
            <w:pPr>
              <w:jc w:val="right"/>
              <w:spacing w:after="0"/>
              <w:rPr>
                <w:sz w:val="20"/>
                <w:szCs w:val="20"/>
                <w:color w:val="auto"/>
              </w:rPr>
            </w:pPr>
            <w:r>
              <w:rPr>
                <w:rFonts w:ascii="Arial" w:cs="Arial" w:eastAsia="Arial" w:hAnsi="Arial"/>
                <w:sz w:val="17"/>
                <w:szCs w:val="17"/>
                <w:color w:val="auto"/>
              </w:rPr>
              <w:t>896.6</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899.5</w:t>
            </w:r>
          </w:p>
        </w:tc>
        <w:tc>
          <w:tcPr>
            <w:tcW w:w="0" w:type="dxa"/>
            <w:vAlign w:val="bottom"/>
          </w:tcPr>
          <w:p>
            <w:pPr>
              <w:spacing w:after="0"/>
              <w:rPr>
                <w:sz w:val="1"/>
                <w:szCs w:val="1"/>
                <w:color w:val="auto"/>
              </w:rPr>
            </w:pPr>
          </w:p>
        </w:tc>
      </w:tr>
      <w:tr>
        <w:trPr>
          <w:trHeight w:val="210"/>
        </w:trPr>
        <w:tc>
          <w:tcPr>
            <w:tcW w:w="6800" w:type="dxa"/>
            <w:vAlign w:val="bottom"/>
          </w:tcPr>
          <w:p>
            <w:pPr>
              <w:ind w:left="200"/>
              <w:spacing w:after="0"/>
              <w:rPr>
                <w:sz w:val="20"/>
                <w:szCs w:val="20"/>
                <w:color w:val="auto"/>
              </w:rPr>
            </w:pPr>
            <w:r>
              <w:rPr>
                <w:rFonts w:ascii="Arial" w:cs="Arial" w:eastAsia="Arial" w:hAnsi="Arial"/>
                <w:sz w:val="17"/>
                <w:szCs w:val="17"/>
                <w:color w:val="auto"/>
              </w:rPr>
              <w:t>Intangible assets, net</w:t>
            </w:r>
          </w:p>
        </w:tc>
        <w:tc>
          <w:tcPr>
            <w:tcW w:w="2140" w:type="dxa"/>
            <w:vAlign w:val="bottom"/>
          </w:tcPr>
          <w:p>
            <w:pPr>
              <w:jc w:val="right"/>
              <w:spacing w:after="0"/>
              <w:rPr>
                <w:sz w:val="20"/>
                <w:szCs w:val="20"/>
                <w:color w:val="auto"/>
              </w:rPr>
            </w:pPr>
            <w:r>
              <w:rPr>
                <w:rFonts w:ascii="Arial" w:cs="Arial" w:eastAsia="Arial" w:hAnsi="Arial"/>
                <w:sz w:val="17"/>
                <w:szCs w:val="17"/>
                <w:color w:val="auto"/>
              </w:rPr>
              <w:t>390.5</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399.7</w:t>
            </w:r>
          </w:p>
        </w:tc>
        <w:tc>
          <w:tcPr>
            <w:tcW w:w="0" w:type="dxa"/>
            <w:vAlign w:val="bottom"/>
          </w:tcPr>
          <w:p>
            <w:pPr>
              <w:spacing w:after="0"/>
              <w:rPr>
                <w:sz w:val="1"/>
                <w:szCs w:val="1"/>
                <w:color w:val="auto"/>
              </w:rPr>
            </w:pPr>
          </w:p>
        </w:tc>
      </w:tr>
      <w:tr>
        <w:trPr>
          <w:trHeight w:val="210"/>
        </w:trPr>
        <w:tc>
          <w:tcPr>
            <w:tcW w:w="6800" w:type="dxa"/>
            <w:vAlign w:val="bottom"/>
          </w:tcPr>
          <w:p>
            <w:pPr>
              <w:ind w:left="200"/>
              <w:spacing w:after="0"/>
              <w:rPr>
                <w:sz w:val="20"/>
                <w:szCs w:val="20"/>
                <w:color w:val="auto"/>
              </w:rPr>
            </w:pPr>
            <w:r>
              <w:rPr>
                <w:rFonts w:ascii="Arial" w:cs="Arial" w:eastAsia="Arial" w:hAnsi="Arial"/>
                <w:sz w:val="17"/>
                <w:szCs w:val="17"/>
                <w:color w:val="auto"/>
              </w:rPr>
              <w:t>Operating lease assets</w:t>
            </w:r>
          </w:p>
        </w:tc>
        <w:tc>
          <w:tcPr>
            <w:tcW w:w="2140" w:type="dxa"/>
            <w:vAlign w:val="bottom"/>
          </w:tcPr>
          <w:p>
            <w:pPr>
              <w:jc w:val="right"/>
              <w:spacing w:after="0"/>
              <w:rPr>
                <w:sz w:val="20"/>
                <w:szCs w:val="20"/>
                <w:color w:val="auto"/>
              </w:rPr>
            </w:pPr>
            <w:r>
              <w:rPr>
                <w:rFonts w:ascii="Arial" w:cs="Arial" w:eastAsia="Arial" w:hAnsi="Arial"/>
                <w:sz w:val="17"/>
                <w:szCs w:val="17"/>
                <w:color w:val="auto"/>
              </w:rPr>
              <w:t>38.2</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40.6</w:t>
            </w:r>
          </w:p>
        </w:tc>
        <w:tc>
          <w:tcPr>
            <w:tcW w:w="0" w:type="dxa"/>
            <w:vAlign w:val="bottom"/>
          </w:tcPr>
          <w:p>
            <w:pPr>
              <w:spacing w:after="0"/>
              <w:rPr>
                <w:sz w:val="1"/>
                <w:szCs w:val="1"/>
                <w:color w:val="auto"/>
              </w:rPr>
            </w:pPr>
          </w:p>
        </w:tc>
      </w:tr>
      <w:tr>
        <w:trPr>
          <w:trHeight w:val="210"/>
        </w:trPr>
        <w:tc>
          <w:tcPr>
            <w:tcW w:w="6800" w:type="dxa"/>
            <w:vAlign w:val="bottom"/>
          </w:tcPr>
          <w:p>
            <w:pPr>
              <w:ind w:left="200"/>
              <w:spacing w:after="0"/>
              <w:rPr>
                <w:sz w:val="20"/>
                <w:szCs w:val="20"/>
                <w:color w:val="auto"/>
              </w:rPr>
            </w:pPr>
            <w:r>
              <w:rPr>
                <w:rFonts w:ascii="Arial" w:cs="Arial" w:eastAsia="Arial" w:hAnsi="Arial"/>
                <w:sz w:val="17"/>
                <w:szCs w:val="17"/>
                <w:color w:val="auto"/>
              </w:rPr>
              <w:t>Investments</w:t>
            </w:r>
          </w:p>
        </w:tc>
        <w:tc>
          <w:tcPr>
            <w:tcW w:w="2140" w:type="dxa"/>
            <w:vAlign w:val="bottom"/>
          </w:tcPr>
          <w:p>
            <w:pPr>
              <w:jc w:val="right"/>
              <w:spacing w:after="0"/>
              <w:rPr>
                <w:sz w:val="20"/>
                <w:szCs w:val="20"/>
                <w:color w:val="auto"/>
              </w:rPr>
            </w:pPr>
            <w:r>
              <w:rPr>
                <w:rFonts w:ascii="Arial" w:cs="Arial" w:eastAsia="Arial" w:hAnsi="Arial"/>
                <w:sz w:val="17"/>
                <w:szCs w:val="17"/>
                <w:color w:val="auto"/>
              </w:rPr>
              <w:t>16.7</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10"/>
        </w:trPr>
        <w:tc>
          <w:tcPr>
            <w:tcW w:w="6800" w:type="dxa"/>
            <w:vAlign w:val="bottom"/>
          </w:tcPr>
          <w:p>
            <w:pPr>
              <w:ind w:left="200"/>
              <w:spacing w:after="0"/>
              <w:rPr>
                <w:sz w:val="20"/>
                <w:szCs w:val="20"/>
                <w:color w:val="auto"/>
              </w:rPr>
            </w:pPr>
            <w:r>
              <w:rPr>
                <w:rFonts w:ascii="Arial" w:cs="Arial" w:eastAsia="Arial" w:hAnsi="Arial"/>
                <w:sz w:val="17"/>
                <w:szCs w:val="17"/>
                <w:color w:val="auto"/>
              </w:rPr>
              <w:t>Deferred tax assets</w:t>
            </w:r>
          </w:p>
        </w:tc>
        <w:tc>
          <w:tcPr>
            <w:tcW w:w="214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0"/>
        </w:trPr>
        <w:tc>
          <w:tcPr>
            <w:tcW w:w="6800" w:type="dxa"/>
            <w:vAlign w:val="bottom"/>
          </w:tcPr>
          <w:p>
            <w:pPr>
              <w:ind w:left="200"/>
              <w:spacing w:after="0"/>
              <w:rPr>
                <w:sz w:val="20"/>
                <w:szCs w:val="20"/>
                <w:color w:val="auto"/>
              </w:rPr>
            </w:pPr>
            <w:r>
              <w:rPr>
                <w:rFonts w:ascii="Arial" w:cs="Arial" w:eastAsia="Arial" w:hAnsi="Arial"/>
                <w:sz w:val="17"/>
                <w:szCs w:val="17"/>
                <w:color w:val="auto"/>
              </w:rPr>
              <w:t>Long-term derivative assets</w:t>
            </w:r>
          </w:p>
        </w:tc>
        <w:tc>
          <w:tcPr>
            <w:tcW w:w="2140" w:type="dxa"/>
            <w:vAlign w:val="bottom"/>
          </w:tcPr>
          <w:p>
            <w:pPr>
              <w:jc w:val="right"/>
              <w:spacing w:after="0"/>
              <w:rPr>
                <w:sz w:val="20"/>
                <w:szCs w:val="20"/>
                <w:color w:val="auto"/>
              </w:rPr>
            </w:pPr>
            <w:r>
              <w:rPr>
                <w:rFonts w:ascii="Arial" w:cs="Arial" w:eastAsia="Arial" w:hAnsi="Arial"/>
                <w:sz w:val="17"/>
                <w:szCs w:val="17"/>
                <w:color w:val="auto"/>
              </w:rPr>
              <w:t>96.7</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6800" w:type="dxa"/>
            <w:vAlign w:val="bottom"/>
          </w:tcPr>
          <w:p>
            <w:pPr>
              <w:ind w:left="200"/>
              <w:spacing w:after="0"/>
              <w:rPr>
                <w:sz w:val="20"/>
                <w:szCs w:val="20"/>
                <w:color w:val="auto"/>
              </w:rPr>
            </w:pPr>
            <w:r>
              <w:rPr>
                <w:rFonts w:ascii="Arial" w:cs="Arial" w:eastAsia="Arial" w:hAnsi="Arial"/>
                <w:sz w:val="17"/>
                <w:szCs w:val="17"/>
                <w:color w:val="auto"/>
              </w:rPr>
              <w:t>Other assets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w:t>
            </w:r>
          </w:p>
        </w:tc>
        <w:tc>
          <w:tcPr>
            <w:tcW w:w="10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04"/>
        </w:trPr>
        <w:tc>
          <w:tcPr>
            <w:tcW w:w="6800" w:type="dxa"/>
            <w:vAlign w:val="bottom"/>
          </w:tcPr>
          <w:p>
            <w:pPr>
              <w:spacing w:after="0"/>
              <w:rPr>
                <w:sz w:val="20"/>
                <w:szCs w:val="20"/>
                <w:color w:val="auto"/>
              </w:rPr>
            </w:pPr>
            <w:r>
              <w:rPr>
                <w:rFonts w:ascii="Arial" w:cs="Arial" w:eastAsia="Arial" w:hAnsi="Arial"/>
                <w:sz w:val="17"/>
                <w:szCs w:val="17"/>
                <w:color w:val="auto"/>
              </w:rPr>
              <w:t>Total Assets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$2,416.9</w:t>
            </w:r>
          </w:p>
        </w:tc>
        <w:tc>
          <w:tcPr>
            <w:tcW w:w="100" w:type="dxa"/>
            <w:vAlign w:val="bottom"/>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$2,201.0</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800" w:type="dxa"/>
            <w:vAlign w:val="bottom"/>
            <w:vMerge w:val="continue"/>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800" w:type="dxa"/>
            <w:vAlign w:val="bottom"/>
          </w:tcPr>
          <w:p>
            <w:pPr>
              <w:spacing w:after="0"/>
              <w:rPr>
                <w:sz w:val="20"/>
                <w:szCs w:val="20"/>
                <w:color w:val="auto"/>
              </w:rPr>
            </w:pPr>
            <w:r>
              <w:rPr>
                <w:rFonts w:ascii="Arial" w:cs="Arial" w:eastAsia="Arial" w:hAnsi="Arial"/>
                <w:sz w:val="17"/>
                <w:szCs w:val="17"/>
                <w:i w:val="1"/>
                <w:iCs w:val="1"/>
                <w:color w:val="auto"/>
              </w:rPr>
              <w:t>Current Liabilities: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tcPr>
          <w:p>
            <w:pPr>
              <w:ind w:left="200"/>
              <w:spacing w:after="0"/>
              <w:rPr>
                <w:sz w:val="20"/>
                <w:szCs w:val="20"/>
                <w:color w:val="auto"/>
              </w:rPr>
            </w:pPr>
            <w:r>
              <w:rPr>
                <w:rFonts w:ascii="Arial" w:cs="Arial" w:eastAsia="Arial" w:hAnsi="Arial"/>
                <w:sz w:val="17"/>
                <w:szCs w:val="17"/>
                <w:color w:val="auto"/>
              </w:rPr>
              <w:t>Current debt obligations</w:t>
            </w:r>
          </w:p>
        </w:tc>
        <w:tc>
          <w:tcPr>
            <w:tcW w:w="214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$229.7</w:t>
            </w:r>
          </w:p>
        </w:tc>
        <w:tc>
          <w:tcPr>
            <w:tcW w:w="0" w:type="dxa"/>
            <w:vAlign w:val="bottom"/>
          </w:tcPr>
          <w:p>
            <w:pPr>
              <w:spacing w:after="0"/>
              <w:rPr>
                <w:sz w:val="1"/>
                <w:szCs w:val="1"/>
                <w:color w:val="auto"/>
              </w:rPr>
            </w:pPr>
          </w:p>
        </w:tc>
      </w:tr>
      <w:tr>
        <w:trPr>
          <w:trHeight w:val="210"/>
        </w:trPr>
        <w:tc>
          <w:tcPr>
            <w:tcW w:w="6800" w:type="dxa"/>
            <w:vAlign w:val="bottom"/>
          </w:tcPr>
          <w:p>
            <w:pPr>
              <w:ind w:left="200"/>
              <w:spacing w:after="0"/>
              <w:rPr>
                <w:sz w:val="20"/>
                <w:szCs w:val="20"/>
                <w:color w:val="auto"/>
              </w:rPr>
            </w:pPr>
            <w:r>
              <w:rPr>
                <w:rFonts w:ascii="Arial" w:cs="Arial" w:eastAsia="Arial" w:hAnsi="Arial"/>
                <w:sz w:val="17"/>
                <w:szCs w:val="17"/>
                <w:color w:val="auto"/>
              </w:rPr>
              <w:t>Accounts payable</w:t>
            </w:r>
          </w:p>
        </w:tc>
        <w:tc>
          <w:tcPr>
            <w:tcW w:w="2140" w:type="dxa"/>
            <w:vAlign w:val="bottom"/>
          </w:tcPr>
          <w:p>
            <w:pPr>
              <w:jc w:val="right"/>
              <w:spacing w:after="0"/>
              <w:rPr>
                <w:sz w:val="20"/>
                <w:szCs w:val="20"/>
                <w:color w:val="auto"/>
              </w:rPr>
            </w:pPr>
            <w:r>
              <w:rPr>
                <w:rFonts w:ascii="Arial" w:cs="Arial" w:eastAsia="Arial" w:hAnsi="Arial"/>
                <w:sz w:val="17"/>
                <w:szCs w:val="17"/>
                <w:color w:val="auto"/>
              </w:rPr>
              <w:t>73.9</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68.0</w:t>
            </w:r>
          </w:p>
        </w:tc>
        <w:tc>
          <w:tcPr>
            <w:tcW w:w="0" w:type="dxa"/>
            <w:vAlign w:val="bottom"/>
          </w:tcPr>
          <w:p>
            <w:pPr>
              <w:spacing w:after="0"/>
              <w:rPr>
                <w:sz w:val="1"/>
                <w:szCs w:val="1"/>
                <w:color w:val="auto"/>
              </w:rPr>
            </w:pPr>
          </w:p>
        </w:tc>
      </w:tr>
      <w:tr>
        <w:trPr>
          <w:trHeight w:val="210"/>
        </w:trPr>
        <w:tc>
          <w:tcPr>
            <w:tcW w:w="6800" w:type="dxa"/>
            <w:vAlign w:val="bottom"/>
          </w:tcPr>
          <w:p>
            <w:pPr>
              <w:ind w:left="200"/>
              <w:spacing w:after="0"/>
              <w:rPr>
                <w:sz w:val="20"/>
                <w:szCs w:val="20"/>
                <w:color w:val="auto"/>
              </w:rPr>
            </w:pPr>
            <w:r>
              <w:rPr>
                <w:rFonts w:ascii="Arial" w:cs="Arial" w:eastAsia="Arial" w:hAnsi="Arial"/>
                <w:sz w:val="17"/>
                <w:szCs w:val="17"/>
                <w:color w:val="auto"/>
              </w:rPr>
              <w:t>Accrued liabilities and other</w:t>
            </w:r>
          </w:p>
        </w:tc>
        <w:tc>
          <w:tcPr>
            <w:tcW w:w="2140" w:type="dxa"/>
            <w:vAlign w:val="bottom"/>
          </w:tcPr>
          <w:p>
            <w:pPr>
              <w:jc w:val="right"/>
              <w:spacing w:after="0"/>
              <w:rPr>
                <w:sz w:val="20"/>
                <w:szCs w:val="20"/>
                <w:color w:val="auto"/>
              </w:rPr>
            </w:pPr>
            <w:r>
              <w:rPr>
                <w:rFonts w:ascii="Arial" w:cs="Arial" w:eastAsia="Arial" w:hAnsi="Arial"/>
                <w:sz w:val="17"/>
                <w:szCs w:val="17"/>
                <w:color w:val="auto"/>
              </w:rPr>
              <w:t>92.0</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88.9</w:t>
            </w:r>
          </w:p>
        </w:tc>
        <w:tc>
          <w:tcPr>
            <w:tcW w:w="0" w:type="dxa"/>
            <w:vAlign w:val="bottom"/>
          </w:tcPr>
          <w:p>
            <w:pPr>
              <w:spacing w:after="0"/>
              <w:rPr>
                <w:sz w:val="1"/>
                <w:szCs w:val="1"/>
                <w:color w:val="auto"/>
              </w:rPr>
            </w:pPr>
          </w:p>
        </w:tc>
      </w:tr>
      <w:tr>
        <w:trPr>
          <w:trHeight w:val="210"/>
        </w:trPr>
        <w:tc>
          <w:tcPr>
            <w:tcW w:w="6800" w:type="dxa"/>
            <w:vAlign w:val="bottom"/>
          </w:tcPr>
          <w:p>
            <w:pPr>
              <w:ind w:left="200"/>
              <w:spacing w:after="0"/>
              <w:rPr>
                <w:sz w:val="20"/>
                <w:szCs w:val="20"/>
                <w:color w:val="auto"/>
              </w:rPr>
            </w:pPr>
            <w:r>
              <w:rPr>
                <w:rFonts w:ascii="Arial" w:cs="Arial" w:eastAsia="Arial" w:hAnsi="Arial"/>
                <w:sz w:val="17"/>
                <w:szCs w:val="17"/>
                <w:color w:val="auto"/>
              </w:rPr>
              <w:t>Current derivative liabilities</w:t>
            </w:r>
          </w:p>
        </w:tc>
        <w:tc>
          <w:tcPr>
            <w:tcW w:w="214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183.1</w:t>
            </w:r>
          </w:p>
        </w:tc>
        <w:tc>
          <w:tcPr>
            <w:tcW w:w="0" w:type="dxa"/>
            <w:vAlign w:val="bottom"/>
          </w:tcPr>
          <w:p>
            <w:pPr>
              <w:spacing w:after="0"/>
              <w:rPr>
                <w:sz w:val="1"/>
                <w:szCs w:val="1"/>
                <w:color w:val="auto"/>
              </w:rPr>
            </w:pPr>
          </w:p>
        </w:tc>
      </w:tr>
      <w:tr>
        <w:trPr>
          <w:trHeight w:val="210"/>
        </w:trPr>
        <w:tc>
          <w:tcPr>
            <w:tcW w:w="6800" w:type="dxa"/>
            <w:vAlign w:val="bottom"/>
          </w:tcPr>
          <w:p>
            <w:pPr>
              <w:ind w:left="200"/>
              <w:spacing w:after="0"/>
              <w:rPr>
                <w:sz w:val="20"/>
                <w:szCs w:val="20"/>
                <w:color w:val="auto"/>
              </w:rPr>
            </w:pPr>
            <w:r>
              <w:rPr>
                <w:rFonts w:ascii="Arial" w:cs="Arial" w:eastAsia="Arial" w:hAnsi="Arial"/>
                <w:sz w:val="17"/>
                <w:szCs w:val="17"/>
                <w:color w:val="auto"/>
              </w:rPr>
              <w:t>Current litigation provision liability</w:t>
            </w:r>
          </w:p>
        </w:tc>
        <w:tc>
          <w:tcPr>
            <w:tcW w:w="2140" w:type="dxa"/>
            <w:vAlign w:val="bottom"/>
          </w:tcPr>
          <w:p>
            <w:pPr>
              <w:jc w:val="right"/>
              <w:spacing w:after="0"/>
              <w:rPr>
                <w:sz w:val="20"/>
                <w:szCs w:val="20"/>
                <w:color w:val="auto"/>
              </w:rPr>
            </w:pPr>
            <w:r>
              <w:rPr>
                <w:rFonts w:ascii="Arial" w:cs="Arial" w:eastAsia="Arial" w:hAnsi="Arial"/>
                <w:sz w:val="17"/>
                <w:szCs w:val="17"/>
                <w:color w:val="auto"/>
              </w:rPr>
              <w:t>30.1</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32.8</w:t>
            </w:r>
          </w:p>
        </w:tc>
        <w:tc>
          <w:tcPr>
            <w:tcW w:w="0" w:type="dxa"/>
            <w:vAlign w:val="bottom"/>
          </w:tcPr>
          <w:p>
            <w:pPr>
              <w:spacing w:after="0"/>
              <w:rPr>
                <w:sz w:val="1"/>
                <w:szCs w:val="1"/>
                <w:color w:val="auto"/>
              </w:rPr>
            </w:pPr>
          </w:p>
        </w:tc>
      </w:tr>
      <w:tr>
        <w:trPr>
          <w:trHeight w:val="210"/>
        </w:trPr>
        <w:tc>
          <w:tcPr>
            <w:tcW w:w="6800" w:type="dxa"/>
            <w:vAlign w:val="bottom"/>
          </w:tcPr>
          <w:p>
            <w:pPr>
              <w:ind w:left="200"/>
              <w:spacing w:after="0"/>
              <w:rPr>
                <w:sz w:val="20"/>
                <w:szCs w:val="20"/>
                <w:color w:val="auto"/>
              </w:rPr>
            </w:pPr>
            <w:r>
              <w:rPr>
                <w:rFonts w:ascii="Arial" w:cs="Arial" w:eastAsia="Arial" w:hAnsi="Arial"/>
                <w:sz w:val="17"/>
                <w:szCs w:val="17"/>
                <w:color w:val="auto"/>
              </w:rPr>
              <w:t>Taxes payable</w:t>
            </w:r>
          </w:p>
        </w:tc>
        <w:tc>
          <w:tcPr>
            <w:tcW w:w="2140" w:type="dxa"/>
            <w:vAlign w:val="bottom"/>
          </w:tcPr>
          <w:p>
            <w:pPr>
              <w:jc w:val="right"/>
              <w:spacing w:after="0"/>
              <w:rPr>
                <w:sz w:val="20"/>
                <w:szCs w:val="20"/>
                <w:color w:val="auto"/>
              </w:rPr>
            </w:pPr>
            <w:r>
              <w:rPr>
                <w:rFonts w:ascii="Arial" w:cs="Arial" w:eastAsia="Arial" w:hAnsi="Arial"/>
                <w:sz w:val="17"/>
                <w:szCs w:val="17"/>
                <w:color w:val="auto"/>
              </w:rPr>
              <w:t>22.6</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210"/>
        </w:trPr>
        <w:tc>
          <w:tcPr>
            <w:tcW w:w="6800" w:type="dxa"/>
            <w:vAlign w:val="bottom"/>
          </w:tcPr>
          <w:p>
            <w:pPr>
              <w:ind w:left="200"/>
              <w:spacing w:after="0"/>
              <w:rPr>
                <w:sz w:val="20"/>
                <w:szCs w:val="20"/>
                <w:color w:val="auto"/>
              </w:rPr>
            </w:pPr>
            <w:r>
              <w:rPr>
                <w:rFonts w:ascii="Arial" w:cs="Arial" w:eastAsia="Arial" w:hAnsi="Arial"/>
                <w:sz w:val="17"/>
                <w:szCs w:val="17"/>
                <w:color w:val="auto"/>
              </w:rPr>
              <w:t>Accrued employee compensation and related benefits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82.6</w:t>
            </w:r>
          </w:p>
        </w:tc>
        <w:tc>
          <w:tcPr>
            <w:tcW w:w="10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79.3</w:t>
            </w:r>
          </w:p>
        </w:tc>
        <w:tc>
          <w:tcPr>
            <w:tcW w:w="0" w:type="dxa"/>
            <w:vAlign w:val="bottom"/>
          </w:tcPr>
          <w:p>
            <w:pPr>
              <w:spacing w:after="0"/>
              <w:rPr>
                <w:sz w:val="1"/>
                <w:szCs w:val="1"/>
                <w:color w:val="auto"/>
              </w:rPr>
            </w:pPr>
          </w:p>
        </w:tc>
      </w:tr>
      <w:tr>
        <w:trPr>
          <w:trHeight w:val="206"/>
        </w:trPr>
        <w:tc>
          <w:tcPr>
            <w:tcW w:w="680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307.9</w:t>
            </w:r>
          </w:p>
        </w:tc>
        <w:tc>
          <w:tcPr>
            <w:tcW w:w="100" w:type="dxa"/>
            <w:vAlign w:val="bottom"/>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697.0</w:t>
            </w:r>
          </w:p>
        </w:tc>
        <w:tc>
          <w:tcPr>
            <w:tcW w:w="0" w:type="dxa"/>
            <w:vAlign w:val="bottom"/>
          </w:tcPr>
          <w:p>
            <w:pPr>
              <w:spacing w:after="0"/>
              <w:rPr>
                <w:sz w:val="1"/>
                <w:szCs w:val="1"/>
                <w:color w:val="auto"/>
              </w:rPr>
            </w:pPr>
          </w:p>
        </w:tc>
      </w:tr>
      <w:tr>
        <w:trPr>
          <w:trHeight w:val="201"/>
        </w:trPr>
        <w:tc>
          <w:tcPr>
            <w:tcW w:w="6800" w:type="dxa"/>
            <w:vAlign w:val="bottom"/>
          </w:tcPr>
          <w:p>
            <w:pPr>
              <w:ind w:left="200"/>
              <w:spacing w:after="0"/>
              <w:rPr>
                <w:sz w:val="20"/>
                <w:szCs w:val="20"/>
                <w:color w:val="auto"/>
              </w:rPr>
            </w:pPr>
            <w:r>
              <w:rPr>
                <w:rFonts w:ascii="Arial" w:cs="Arial" w:eastAsia="Arial" w:hAnsi="Arial"/>
                <w:sz w:val="17"/>
                <w:szCs w:val="17"/>
                <w:color w:val="auto"/>
              </w:rPr>
              <w:t>Long-term debt obligations</w:t>
            </w:r>
          </w:p>
        </w:tc>
        <w:tc>
          <w:tcPr>
            <w:tcW w:w="2140" w:type="dxa"/>
            <w:vAlign w:val="bottom"/>
          </w:tcPr>
          <w:p>
            <w:pPr>
              <w:jc w:val="right"/>
              <w:spacing w:after="0"/>
              <w:rPr>
                <w:sz w:val="20"/>
                <w:szCs w:val="20"/>
                <w:color w:val="auto"/>
              </w:rPr>
            </w:pPr>
            <w:r>
              <w:rPr>
                <w:rFonts w:ascii="Arial" w:cs="Arial" w:eastAsia="Arial" w:hAnsi="Arial"/>
                <w:sz w:val="17"/>
                <w:szCs w:val="17"/>
                <w:color w:val="auto"/>
              </w:rPr>
              <w:t>455.8</w:t>
            </w:r>
          </w:p>
        </w:tc>
        <w:tc>
          <w:tcPr>
            <w:tcW w:w="10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10"/>
        </w:trPr>
        <w:tc>
          <w:tcPr>
            <w:tcW w:w="6800" w:type="dxa"/>
            <w:vAlign w:val="bottom"/>
          </w:tcPr>
          <w:p>
            <w:pPr>
              <w:ind w:left="200"/>
              <w:spacing w:after="0"/>
              <w:rPr>
                <w:sz w:val="20"/>
                <w:szCs w:val="20"/>
                <w:color w:val="auto"/>
              </w:rPr>
            </w:pPr>
            <w:r>
              <w:rPr>
                <w:rFonts w:ascii="Arial" w:cs="Arial" w:eastAsia="Arial" w:hAnsi="Arial"/>
                <w:sz w:val="17"/>
                <w:szCs w:val="17"/>
                <w:color w:val="auto"/>
              </w:rPr>
              <w:t>Contingent consideration</w:t>
            </w:r>
          </w:p>
        </w:tc>
        <w:tc>
          <w:tcPr>
            <w:tcW w:w="2140" w:type="dxa"/>
            <w:vAlign w:val="bottom"/>
          </w:tcPr>
          <w:p>
            <w:pPr>
              <w:jc w:val="right"/>
              <w:spacing w:after="0"/>
              <w:rPr>
                <w:sz w:val="20"/>
                <w:szCs w:val="20"/>
                <w:color w:val="auto"/>
              </w:rPr>
            </w:pPr>
            <w:r>
              <w:rPr>
                <w:rFonts w:ascii="Arial" w:cs="Arial" w:eastAsia="Arial" w:hAnsi="Arial"/>
                <w:sz w:val="17"/>
                <w:szCs w:val="17"/>
                <w:color w:val="auto"/>
              </w:rPr>
              <w:t>83.3</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86.8</w:t>
            </w:r>
          </w:p>
        </w:tc>
        <w:tc>
          <w:tcPr>
            <w:tcW w:w="0" w:type="dxa"/>
            <w:vAlign w:val="bottom"/>
          </w:tcPr>
          <w:p>
            <w:pPr>
              <w:spacing w:after="0"/>
              <w:rPr>
                <w:sz w:val="1"/>
                <w:szCs w:val="1"/>
                <w:color w:val="auto"/>
              </w:rPr>
            </w:pPr>
          </w:p>
        </w:tc>
      </w:tr>
      <w:tr>
        <w:trPr>
          <w:trHeight w:val="210"/>
        </w:trPr>
        <w:tc>
          <w:tcPr>
            <w:tcW w:w="6800" w:type="dxa"/>
            <w:vAlign w:val="bottom"/>
          </w:tcPr>
          <w:p>
            <w:pPr>
              <w:ind w:left="200"/>
              <w:spacing w:after="0"/>
              <w:rPr>
                <w:sz w:val="20"/>
                <w:szCs w:val="20"/>
                <w:color w:val="auto"/>
              </w:rPr>
            </w:pPr>
            <w:r>
              <w:rPr>
                <w:rFonts w:ascii="Arial" w:cs="Arial" w:eastAsia="Arial" w:hAnsi="Arial"/>
                <w:sz w:val="17"/>
                <w:szCs w:val="17"/>
                <w:color w:val="auto"/>
              </w:rPr>
              <w:t>Deferred tax liabilities</w:t>
            </w:r>
          </w:p>
        </w:tc>
        <w:tc>
          <w:tcPr>
            <w:tcW w:w="2140" w:type="dxa"/>
            <w:vAlign w:val="bottom"/>
          </w:tcPr>
          <w:p>
            <w:pPr>
              <w:jc w:val="right"/>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10"/>
        </w:trPr>
        <w:tc>
          <w:tcPr>
            <w:tcW w:w="6800" w:type="dxa"/>
            <w:vAlign w:val="bottom"/>
          </w:tcPr>
          <w:p>
            <w:pPr>
              <w:ind w:left="200"/>
              <w:spacing w:after="0"/>
              <w:rPr>
                <w:sz w:val="20"/>
                <w:szCs w:val="20"/>
                <w:color w:val="auto"/>
              </w:rPr>
            </w:pPr>
            <w:r>
              <w:rPr>
                <w:rFonts w:ascii="Arial" w:cs="Arial" w:eastAsia="Arial" w:hAnsi="Arial"/>
                <w:sz w:val="17"/>
                <w:szCs w:val="17"/>
                <w:color w:val="auto"/>
              </w:rPr>
              <w:t>Long-term operating lease liabilities</w:t>
            </w:r>
          </w:p>
        </w:tc>
        <w:tc>
          <w:tcPr>
            <w:tcW w:w="2140" w:type="dxa"/>
            <w:vAlign w:val="bottom"/>
          </w:tcPr>
          <w:p>
            <w:pPr>
              <w:jc w:val="right"/>
              <w:spacing w:after="0"/>
              <w:rPr>
                <w:sz w:val="20"/>
                <w:szCs w:val="20"/>
                <w:color w:val="auto"/>
              </w:rPr>
            </w:pPr>
            <w:r>
              <w:rPr>
                <w:rFonts w:ascii="Arial" w:cs="Arial" w:eastAsia="Arial" w:hAnsi="Arial"/>
                <w:sz w:val="17"/>
                <w:szCs w:val="17"/>
                <w:color w:val="auto"/>
              </w:rPr>
              <w:t>30.9</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35.9</w:t>
            </w:r>
          </w:p>
        </w:tc>
        <w:tc>
          <w:tcPr>
            <w:tcW w:w="0" w:type="dxa"/>
            <w:vAlign w:val="bottom"/>
          </w:tcPr>
          <w:p>
            <w:pPr>
              <w:spacing w:after="0"/>
              <w:rPr>
                <w:sz w:val="1"/>
                <w:szCs w:val="1"/>
                <w:color w:val="auto"/>
              </w:rPr>
            </w:pPr>
          </w:p>
        </w:tc>
      </w:tr>
      <w:tr>
        <w:trPr>
          <w:trHeight w:val="210"/>
        </w:trPr>
        <w:tc>
          <w:tcPr>
            <w:tcW w:w="6800" w:type="dxa"/>
            <w:vAlign w:val="bottom"/>
          </w:tcPr>
          <w:p>
            <w:pPr>
              <w:ind w:left="200"/>
              <w:spacing w:after="0"/>
              <w:rPr>
                <w:sz w:val="20"/>
                <w:szCs w:val="20"/>
                <w:color w:val="auto"/>
              </w:rPr>
            </w:pPr>
            <w:r>
              <w:rPr>
                <w:rFonts w:ascii="Arial" w:cs="Arial" w:eastAsia="Arial" w:hAnsi="Arial"/>
                <w:sz w:val="17"/>
                <w:szCs w:val="17"/>
                <w:color w:val="auto"/>
              </w:rPr>
              <w:t>Long-term employee compensation and related benefits</w:t>
            </w:r>
          </w:p>
        </w:tc>
        <w:tc>
          <w:tcPr>
            <w:tcW w:w="2140" w:type="dxa"/>
            <w:vAlign w:val="bottom"/>
          </w:tcPr>
          <w:p>
            <w:pPr>
              <w:jc w:val="right"/>
              <w:spacing w:after="0"/>
              <w:rPr>
                <w:sz w:val="20"/>
                <w:szCs w:val="20"/>
                <w:color w:val="auto"/>
              </w:rPr>
            </w:pPr>
            <w:r>
              <w:rPr>
                <w:rFonts w:ascii="Arial" w:cs="Arial" w:eastAsia="Arial" w:hAnsi="Arial"/>
                <w:sz w:val="17"/>
                <w:szCs w:val="17"/>
                <w:color w:val="auto"/>
              </w:rPr>
              <w:t>18.8</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10"/>
        </w:trPr>
        <w:tc>
          <w:tcPr>
            <w:tcW w:w="6800" w:type="dxa"/>
            <w:vAlign w:val="bottom"/>
          </w:tcPr>
          <w:p>
            <w:pPr>
              <w:ind w:left="200"/>
              <w:spacing w:after="0"/>
              <w:rPr>
                <w:sz w:val="20"/>
                <w:szCs w:val="20"/>
                <w:color w:val="auto"/>
              </w:rPr>
            </w:pPr>
            <w:r>
              <w:rPr>
                <w:rFonts w:ascii="Arial" w:cs="Arial" w:eastAsia="Arial" w:hAnsi="Arial"/>
                <w:sz w:val="17"/>
                <w:szCs w:val="17"/>
                <w:color w:val="auto"/>
              </w:rPr>
              <w:t>Long-term derivative liabilities</w:t>
            </w:r>
          </w:p>
        </w:tc>
        <w:tc>
          <w:tcPr>
            <w:tcW w:w="2140" w:type="dxa"/>
            <w:vAlign w:val="bottom"/>
          </w:tcPr>
          <w:p>
            <w:pPr>
              <w:jc w:val="right"/>
              <w:spacing w:after="0"/>
              <w:rPr>
                <w:sz w:val="20"/>
                <w:szCs w:val="20"/>
                <w:color w:val="auto"/>
              </w:rPr>
            </w:pPr>
            <w:r>
              <w:rPr>
                <w:rFonts w:ascii="Arial" w:cs="Arial" w:eastAsia="Arial" w:hAnsi="Arial"/>
                <w:sz w:val="17"/>
                <w:szCs w:val="17"/>
                <w:color w:val="auto"/>
              </w:rPr>
              <w:t>170.7</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800" w:type="dxa"/>
            <w:vAlign w:val="bottom"/>
          </w:tcPr>
          <w:p>
            <w:pPr>
              <w:ind w:left="200"/>
              <w:spacing w:after="0"/>
              <w:rPr>
                <w:sz w:val="20"/>
                <w:szCs w:val="20"/>
                <w:color w:val="auto"/>
              </w:rPr>
            </w:pPr>
            <w:r>
              <w:rPr>
                <w:rFonts w:ascii="Arial" w:cs="Arial" w:eastAsia="Arial" w:hAnsi="Arial"/>
                <w:sz w:val="17"/>
                <w:szCs w:val="17"/>
                <w:color w:val="auto"/>
              </w:rPr>
              <w:t>Other long-term liabilities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w:t>
            </w:r>
          </w:p>
        </w:tc>
        <w:tc>
          <w:tcPr>
            <w:tcW w:w="10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49.9</w:t>
            </w:r>
          </w:p>
        </w:tc>
        <w:tc>
          <w:tcPr>
            <w:tcW w:w="0" w:type="dxa"/>
            <w:vAlign w:val="bottom"/>
          </w:tcPr>
          <w:p>
            <w:pPr>
              <w:spacing w:after="0"/>
              <w:rPr>
                <w:sz w:val="1"/>
                <w:szCs w:val="1"/>
                <w:color w:val="auto"/>
              </w:rPr>
            </w:pPr>
          </w:p>
        </w:tc>
      </w:tr>
      <w:tr>
        <w:trPr>
          <w:trHeight w:val="203"/>
        </w:trPr>
        <w:tc>
          <w:tcPr>
            <w:tcW w:w="6800" w:type="dxa"/>
            <w:vAlign w:val="bottom"/>
          </w:tcPr>
          <w:p>
            <w:pPr>
              <w:spacing w:after="0"/>
              <w:rPr>
                <w:sz w:val="20"/>
                <w:szCs w:val="20"/>
                <w:color w:val="auto"/>
              </w:rPr>
            </w:pPr>
            <w:r>
              <w:rPr>
                <w:rFonts w:ascii="Arial" w:cs="Arial" w:eastAsia="Arial" w:hAnsi="Arial"/>
                <w:sz w:val="17"/>
                <w:szCs w:val="17"/>
                <w:color w:val="auto"/>
              </w:rPr>
              <w:t>Total Liabilities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1,125.0</w:t>
            </w:r>
          </w:p>
        </w:tc>
        <w:tc>
          <w:tcPr>
            <w:tcW w:w="100" w:type="dxa"/>
            <w:vAlign w:val="bottom"/>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906.3</w:t>
            </w:r>
          </w:p>
        </w:tc>
        <w:tc>
          <w:tcPr>
            <w:tcW w:w="0" w:type="dxa"/>
            <w:vAlign w:val="bottom"/>
          </w:tcPr>
          <w:p>
            <w:pPr>
              <w:spacing w:after="0"/>
              <w:rPr>
                <w:sz w:val="1"/>
                <w:szCs w:val="1"/>
                <w:color w:val="auto"/>
              </w:rPr>
            </w:pPr>
          </w:p>
        </w:tc>
      </w:tr>
      <w:tr>
        <w:trPr>
          <w:trHeight w:val="204"/>
        </w:trPr>
        <w:tc>
          <w:tcPr>
            <w:tcW w:w="6800" w:type="dxa"/>
            <w:vAlign w:val="bottom"/>
          </w:tcPr>
          <w:p>
            <w:pPr>
              <w:spacing w:after="0"/>
              <w:rPr>
                <w:sz w:val="20"/>
                <w:szCs w:val="20"/>
                <w:color w:val="auto"/>
              </w:rPr>
            </w:pPr>
            <w:r>
              <w:rPr>
                <w:rFonts w:ascii="Arial" w:cs="Arial" w:eastAsia="Arial" w:hAnsi="Arial"/>
                <w:sz w:val="17"/>
                <w:szCs w:val="17"/>
                <w:color w:val="auto"/>
              </w:rPr>
              <w:t>Total Stockholders’ Equity</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1,291.9</w:t>
            </w:r>
          </w:p>
        </w:tc>
        <w:tc>
          <w:tcPr>
            <w:tcW w:w="100" w:type="dxa"/>
            <w:vAlign w:val="bottom"/>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1,294.6</w:t>
            </w:r>
          </w:p>
        </w:tc>
        <w:tc>
          <w:tcPr>
            <w:tcW w:w="0" w:type="dxa"/>
            <w:vAlign w:val="bottom"/>
          </w:tcPr>
          <w:p>
            <w:pPr>
              <w:spacing w:after="0"/>
              <w:rPr>
                <w:sz w:val="1"/>
                <w:szCs w:val="1"/>
                <w:color w:val="auto"/>
              </w:rPr>
            </w:pPr>
          </w:p>
        </w:tc>
      </w:tr>
      <w:tr>
        <w:trPr>
          <w:trHeight w:val="204"/>
        </w:trPr>
        <w:tc>
          <w:tcPr>
            <w:tcW w:w="6800" w:type="dxa"/>
            <w:vAlign w:val="bottom"/>
          </w:tcPr>
          <w:p>
            <w:pPr>
              <w:spacing w:after="0"/>
              <w:rPr>
                <w:sz w:val="20"/>
                <w:szCs w:val="20"/>
                <w:color w:val="auto"/>
              </w:rPr>
            </w:pPr>
            <w:r>
              <w:rPr>
                <w:rFonts w:ascii="Arial" w:cs="Arial" w:eastAsia="Arial" w:hAnsi="Arial"/>
                <w:sz w:val="17"/>
                <w:szCs w:val="17"/>
                <w:color w:val="auto"/>
              </w:rPr>
              <w:t>Total Liabilities and Stockholders’ Equity</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$2,416.9</w:t>
            </w:r>
          </w:p>
        </w:tc>
        <w:tc>
          <w:tcPr>
            <w:tcW w:w="100" w:type="dxa"/>
            <w:vAlign w:val="bottom"/>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$2,201.0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 Numbers may not add precisely due to rounding.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180"/>
          </w:cols>
          <w:pgMar w:left="360" w:top="1416" w:right="3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20"/>
                <w:szCs w:val="20"/>
                <w:color w:val="auto"/>
              </w:rPr>
            </w:pPr>
            <w:r>
              <w:rPr>
                <w:rFonts w:ascii="Arial" w:cs="Arial" w:eastAsia="Arial" w:hAnsi="Arial"/>
                <w:sz w:val="14"/>
                <w:szCs w:val="14"/>
                <w:b w:val="1"/>
                <w:bCs w:val="1"/>
                <w:color w:val="auto"/>
              </w:rPr>
              <w:t>LIVANOVA PLC AND SUBSIDIARIES</w:t>
            </w:r>
          </w:p>
        </w:tc>
        <w:tc>
          <w:tcPr>
            <w:tcW w:w="2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20" w:type="dxa"/>
            <w:vAlign w:val="bottom"/>
          </w:tcPr>
          <w:p>
            <w:pPr>
              <w:spacing w:after="0"/>
              <w:rPr>
                <w:sz w:val="20"/>
                <w:szCs w:val="20"/>
                <w:color w:val="auto"/>
              </w:rPr>
            </w:pPr>
            <w:r>
              <w:rPr>
                <w:rFonts w:ascii="Arial" w:cs="Arial" w:eastAsia="Arial" w:hAnsi="Arial"/>
                <w:sz w:val="14"/>
                <w:szCs w:val="14"/>
                <w:b w:val="1"/>
                <w:bCs w:val="1"/>
                <w:color w:val="auto"/>
              </w:rPr>
              <w:t>CONDENSED CONSOLIDATED STATEMENTS OF CASH FLOWS - UNAUDITED</w:t>
            </w:r>
          </w:p>
        </w:tc>
        <w:tc>
          <w:tcPr>
            <w:tcW w:w="2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20" w:type="dxa"/>
            <w:vAlign w:val="bottom"/>
          </w:tcPr>
          <w:p>
            <w:pPr>
              <w:spacing w:after="0"/>
              <w:rPr>
                <w:sz w:val="20"/>
                <w:szCs w:val="20"/>
                <w:color w:val="auto"/>
              </w:rPr>
            </w:pPr>
            <w:r>
              <w:rPr>
                <w:rFonts w:ascii="Arial" w:cs="Arial" w:eastAsia="Arial" w:hAnsi="Arial"/>
                <w:sz w:val="14"/>
                <w:szCs w:val="14"/>
                <w:b w:val="1"/>
                <w:bCs w:val="1"/>
                <w:color w:val="auto"/>
              </w:rPr>
              <w:t>(U.S. dollars in millions)</w:t>
            </w:r>
          </w:p>
        </w:tc>
        <w:tc>
          <w:tcPr>
            <w:tcW w:w="2200" w:type="dxa"/>
            <w:vAlign w:val="bottom"/>
          </w:tcPr>
          <w:p>
            <w:pPr>
              <w:spacing w:after="0"/>
              <w:rPr>
                <w:sz w:val="15"/>
                <w:szCs w:val="15"/>
                <w:color w:val="auto"/>
              </w:rPr>
            </w:pPr>
          </w:p>
        </w:tc>
        <w:tc>
          <w:tcPr>
            <w:tcW w:w="370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7"/>
        </w:trPr>
        <w:tc>
          <w:tcPr>
            <w:tcW w:w="5320" w:type="dxa"/>
            <w:vAlign w:val="bottom"/>
            <w:vMerge w:val="restart"/>
          </w:tcPr>
          <w:p>
            <w:pPr>
              <w:spacing w:after="0"/>
              <w:rPr>
                <w:sz w:val="20"/>
                <w:szCs w:val="20"/>
                <w:color w:val="auto"/>
              </w:rPr>
            </w:pPr>
            <w:r>
              <w:rPr>
                <w:rFonts w:ascii="Arial" w:cs="Arial" w:eastAsia="Arial" w:hAnsi="Arial"/>
                <w:sz w:val="14"/>
                <w:szCs w:val="14"/>
                <w:b w:val="1"/>
                <w:bCs w:val="1"/>
                <w:color w:val="auto"/>
              </w:rPr>
              <w:t>Operating Activities:</w:t>
            </w:r>
          </w:p>
        </w:tc>
        <w:tc>
          <w:tcPr>
            <w:tcW w:w="4000" w:type="dxa"/>
            <w:vAlign w:val="bottom"/>
            <w:gridSpan w:val="2"/>
          </w:tcPr>
          <w:p>
            <w:pPr>
              <w:jc w:val="right"/>
              <w:ind w:right="67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800" w:type="dxa"/>
            <w:vAlign w:val="bottom"/>
          </w:tcPr>
          <w:p>
            <w:pPr>
              <w:jc w:val="right"/>
              <w:ind w:right="67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6"/>
        </w:trPr>
        <w:tc>
          <w:tcPr>
            <w:tcW w:w="5320" w:type="dxa"/>
            <w:vAlign w:val="bottom"/>
            <w:vMerge w:val="continue"/>
          </w:tcPr>
          <w:p>
            <w:pPr>
              <w:spacing w:after="0"/>
              <w:rPr>
                <w:sz w:val="14"/>
                <w:szCs w:val="14"/>
                <w:color w:val="auto"/>
              </w:rPr>
            </w:pPr>
          </w:p>
        </w:tc>
        <w:tc>
          <w:tcPr>
            <w:tcW w:w="2200" w:type="dxa"/>
            <w:vAlign w:val="bottom"/>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32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4000" w:type="dxa"/>
            <w:vAlign w:val="bottom"/>
            <w:gridSpan w:val="2"/>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84"/>
        </w:trPr>
        <w:tc>
          <w:tcPr>
            <w:tcW w:w="5320" w:type="dxa"/>
            <w:vAlign w:val="bottom"/>
          </w:tcPr>
          <w:p>
            <w:pPr>
              <w:ind w:left="120"/>
              <w:spacing w:after="0"/>
              <w:rPr>
                <w:sz w:val="20"/>
                <w:szCs w:val="20"/>
                <w:color w:val="auto"/>
              </w:rPr>
            </w:pPr>
            <w:r>
              <w:rPr>
                <w:rFonts w:ascii="Arial" w:cs="Arial" w:eastAsia="Arial" w:hAnsi="Arial"/>
                <w:sz w:val="14"/>
                <w:szCs w:val="14"/>
                <w:color w:val="auto"/>
              </w:rPr>
              <w:t>Non-cash items included in net income (loss):</w:t>
            </w:r>
          </w:p>
        </w:tc>
        <w:tc>
          <w:tcPr>
            <w:tcW w:w="2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2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4000" w:type="dxa"/>
            <w:vAlign w:val="bottom"/>
            <w:gridSpan w:val="2"/>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84"/>
        </w:trPr>
        <w:tc>
          <w:tcPr>
            <w:tcW w:w="5320" w:type="dxa"/>
            <w:vAlign w:val="bottom"/>
          </w:tcPr>
          <w:p>
            <w:pPr>
              <w:ind w:left="220"/>
              <w:spacing w:after="0"/>
              <w:rPr>
                <w:sz w:val="20"/>
                <w:szCs w:val="20"/>
                <w:color w:val="auto"/>
              </w:rPr>
            </w:pPr>
            <w:r>
              <w:rPr>
                <w:rFonts w:ascii="Arial" w:cs="Arial" w:eastAsia="Arial" w:hAnsi="Arial"/>
                <w:sz w:val="14"/>
                <w:szCs w:val="14"/>
                <w:color w:val="auto"/>
              </w:rPr>
              <w:t>Amortization</w:t>
            </w:r>
          </w:p>
        </w:tc>
        <w:tc>
          <w:tcPr>
            <w:tcW w:w="4000" w:type="dxa"/>
            <w:vAlign w:val="bottom"/>
            <w:gridSpan w:val="2"/>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4"/>
        </w:trPr>
        <w:tc>
          <w:tcPr>
            <w:tcW w:w="532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4000" w:type="dxa"/>
            <w:vAlign w:val="bottom"/>
            <w:gridSpan w:val="2"/>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4"/>
        </w:trPr>
        <w:tc>
          <w:tcPr>
            <w:tcW w:w="5320" w:type="dxa"/>
            <w:vAlign w:val="bottom"/>
          </w:tcPr>
          <w:p>
            <w:pPr>
              <w:ind w:left="220"/>
              <w:spacing w:after="0"/>
              <w:rPr>
                <w:sz w:val="20"/>
                <w:szCs w:val="20"/>
                <w:color w:val="auto"/>
              </w:rPr>
            </w:pPr>
            <w:r>
              <w:rPr>
                <w:rFonts w:ascii="Arial" w:cs="Arial" w:eastAsia="Arial" w:hAnsi="Arial"/>
                <w:sz w:val="14"/>
                <w:szCs w:val="14"/>
                <w:color w:val="auto"/>
              </w:rPr>
              <w:t>Amortization of debt issuance costs</w:t>
            </w:r>
          </w:p>
        </w:tc>
        <w:tc>
          <w:tcPr>
            <w:tcW w:w="4000" w:type="dxa"/>
            <w:vAlign w:val="bottom"/>
            <w:gridSpan w:val="2"/>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4"/>
        </w:trPr>
        <w:tc>
          <w:tcPr>
            <w:tcW w:w="5320" w:type="dxa"/>
            <w:vAlign w:val="bottom"/>
          </w:tcPr>
          <w:p>
            <w:pPr>
              <w:ind w:left="220"/>
              <w:spacing w:after="0"/>
              <w:rPr>
                <w:sz w:val="20"/>
                <w:szCs w:val="20"/>
                <w:color w:val="auto"/>
              </w:rPr>
            </w:pPr>
            <w:r>
              <w:rPr>
                <w:rFonts w:ascii="Arial" w:cs="Arial" w:eastAsia="Arial" w:hAnsi="Arial"/>
                <w:sz w:val="14"/>
                <w:szCs w:val="14"/>
                <w:color w:val="auto"/>
              </w:rPr>
              <w:t>Remeasurement of contingent consideration to fair value</w:t>
            </w:r>
          </w:p>
        </w:tc>
        <w:tc>
          <w:tcPr>
            <w:tcW w:w="4000" w:type="dxa"/>
            <w:vAlign w:val="bottom"/>
            <w:gridSpan w:val="2"/>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4"/>
        </w:trPr>
        <w:tc>
          <w:tcPr>
            <w:tcW w:w="5320" w:type="dxa"/>
            <w:vAlign w:val="bottom"/>
          </w:tcPr>
          <w:p>
            <w:pPr>
              <w:ind w:left="220"/>
              <w:spacing w:after="0"/>
              <w:rPr>
                <w:sz w:val="20"/>
                <w:szCs w:val="20"/>
                <w:color w:val="auto"/>
              </w:rPr>
            </w:pPr>
            <w:r>
              <w:rPr>
                <w:rFonts w:ascii="Arial" w:cs="Arial" w:eastAsia="Arial" w:hAnsi="Arial"/>
                <w:sz w:val="14"/>
                <w:szCs w:val="14"/>
                <w:color w:val="auto"/>
              </w:rPr>
              <w:t>Amortization of operating lease assets</w:t>
            </w:r>
          </w:p>
        </w:tc>
        <w:tc>
          <w:tcPr>
            <w:tcW w:w="4000" w:type="dxa"/>
            <w:vAlign w:val="bottom"/>
            <w:gridSpan w:val="2"/>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4"/>
        </w:trPr>
        <w:tc>
          <w:tcPr>
            <w:tcW w:w="5320" w:type="dxa"/>
            <w:vAlign w:val="bottom"/>
          </w:tcPr>
          <w:p>
            <w:pPr>
              <w:ind w:left="220"/>
              <w:spacing w:after="0"/>
              <w:rPr>
                <w:sz w:val="20"/>
                <w:szCs w:val="20"/>
                <w:color w:val="auto"/>
              </w:rPr>
            </w:pPr>
            <w:r>
              <w:rPr>
                <w:rFonts w:ascii="Arial" w:cs="Arial" w:eastAsia="Arial" w:hAnsi="Arial"/>
                <w:sz w:val="14"/>
                <w:szCs w:val="14"/>
                <w:color w:val="auto"/>
              </w:rPr>
              <w:t>Remeasurement of Respicardia investment and loan</w:t>
            </w:r>
          </w:p>
        </w:tc>
        <w:tc>
          <w:tcPr>
            <w:tcW w:w="2200" w:type="dxa"/>
            <w:vAlign w:val="bottom"/>
          </w:tcPr>
          <w:p>
            <w:pPr>
              <w:spacing w:after="0"/>
              <w:rPr>
                <w:sz w:val="15"/>
                <w:szCs w:val="15"/>
                <w:color w:val="auto"/>
              </w:rPr>
            </w:pPr>
          </w:p>
        </w:tc>
        <w:tc>
          <w:tcPr>
            <w:tcW w:w="1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4"/>
        </w:trPr>
        <w:tc>
          <w:tcPr>
            <w:tcW w:w="5320" w:type="dxa"/>
            <w:vAlign w:val="bottom"/>
          </w:tcPr>
          <w:p>
            <w:pPr>
              <w:ind w:left="220"/>
              <w:spacing w:after="0"/>
              <w:rPr>
                <w:sz w:val="20"/>
                <w:szCs w:val="20"/>
                <w:color w:val="auto"/>
              </w:rPr>
            </w:pPr>
            <w:r>
              <w:rPr>
                <w:rFonts w:ascii="Arial" w:cs="Arial" w:eastAsia="Arial" w:hAnsi="Arial"/>
                <w:sz w:val="14"/>
                <w:szCs w:val="14"/>
                <w:color w:val="auto"/>
              </w:rPr>
              <w:t>Remeasurement of derivative instruments</w:t>
            </w:r>
          </w:p>
        </w:tc>
        <w:tc>
          <w:tcPr>
            <w:tcW w:w="400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3"/>
        </w:trPr>
        <w:tc>
          <w:tcPr>
            <w:tcW w:w="5320" w:type="dxa"/>
            <w:vAlign w:val="bottom"/>
          </w:tcPr>
          <w:p>
            <w:pPr>
              <w:ind w:left="220"/>
              <w:spacing w:after="0"/>
              <w:rPr>
                <w:sz w:val="20"/>
                <w:szCs w:val="20"/>
                <w:color w:val="auto"/>
              </w:rPr>
            </w:pPr>
            <w:r>
              <w:rPr>
                <w:rFonts w:ascii="Arial" w:cs="Arial" w:eastAsia="Arial" w:hAnsi="Arial"/>
                <w:sz w:val="14"/>
                <w:szCs w:val="14"/>
                <w:color w:val="auto"/>
              </w:rPr>
              <w:t>Other</w:t>
            </w:r>
          </w:p>
        </w:tc>
        <w:tc>
          <w:tcPr>
            <w:tcW w:w="400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5"/>
        </w:trPr>
        <w:tc>
          <w:tcPr>
            <w:tcW w:w="5320" w:type="dxa"/>
            <w:vAlign w:val="bottom"/>
          </w:tcPr>
          <w:p>
            <w:pPr>
              <w:spacing w:after="0"/>
              <w:rPr>
                <w:sz w:val="20"/>
                <w:szCs w:val="20"/>
                <w:color w:val="auto"/>
              </w:rPr>
            </w:pPr>
            <w:r>
              <w:rPr>
                <w:rFonts w:ascii="Arial" w:cs="Arial" w:eastAsia="Arial" w:hAnsi="Arial"/>
                <w:sz w:val="14"/>
                <w:szCs w:val="14"/>
                <w:b w:val="1"/>
                <w:bCs w:val="1"/>
                <w:color w:val="auto"/>
              </w:rPr>
              <w:t>Changes in operating assets and liabilities:</w:t>
            </w:r>
          </w:p>
        </w:tc>
        <w:tc>
          <w:tcPr>
            <w:tcW w:w="2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320" w:type="dxa"/>
            <w:vAlign w:val="bottom"/>
          </w:tcPr>
          <w:p>
            <w:pPr>
              <w:ind w:left="100"/>
              <w:spacing w:after="0"/>
              <w:rPr>
                <w:sz w:val="20"/>
                <w:szCs w:val="20"/>
                <w:color w:val="auto"/>
              </w:rPr>
            </w:pPr>
            <w:r>
              <w:rPr>
                <w:rFonts w:ascii="Arial" w:cs="Arial" w:eastAsia="Arial" w:hAnsi="Arial"/>
                <w:sz w:val="14"/>
                <w:szCs w:val="14"/>
                <w:color w:val="auto"/>
              </w:rPr>
              <w:t>Accounts receivable, net</w:t>
            </w:r>
          </w:p>
        </w:tc>
        <w:tc>
          <w:tcPr>
            <w:tcW w:w="400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4"/>
        </w:trPr>
        <w:tc>
          <w:tcPr>
            <w:tcW w:w="5320" w:type="dxa"/>
            <w:vAlign w:val="bottom"/>
          </w:tcPr>
          <w:p>
            <w:pPr>
              <w:ind w:left="100"/>
              <w:spacing w:after="0"/>
              <w:rPr>
                <w:sz w:val="20"/>
                <w:szCs w:val="20"/>
                <w:color w:val="auto"/>
              </w:rPr>
            </w:pPr>
            <w:r>
              <w:rPr>
                <w:rFonts w:ascii="Arial" w:cs="Arial" w:eastAsia="Arial" w:hAnsi="Arial"/>
                <w:sz w:val="14"/>
                <w:szCs w:val="14"/>
                <w:color w:val="auto"/>
              </w:rPr>
              <w:t>Inventories</w:t>
            </w:r>
          </w:p>
        </w:tc>
        <w:tc>
          <w:tcPr>
            <w:tcW w:w="4000" w:type="dxa"/>
            <w:vAlign w:val="bottom"/>
            <w:gridSpan w:val="2"/>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4"/>
        </w:trPr>
        <w:tc>
          <w:tcPr>
            <w:tcW w:w="5320" w:type="dxa"/>
            <w:vAlign w:val="bottom"/>
          </w:tcPr>
          <w:p>
            <w:pPr>
              <w:ind w:left="100"/>
              <w:spacing w:after="0"/>
              <w:rPr>
                <w:sz w:val="20"/>
                <w:szCs w:val="20"/>
                <w:color w:val="auto"/>
              </w:rPr>
            </w:pPr>
            <w:r>
              <w:rPr>
                <w:rFonts w:ascii="Arial" w:cs="Arial" w:eastAsia="Arial" w:hAnsi="Arial"/>
                <w:sz w:val="14"/>
                <w:szCs w:val="14"/>
                <w:color w:val="auto"/>
              </w:rPr>
              <w:t>Other current and non-current assets</w:t>
            </w:r>
          </w:p>
        </w:tc>
        <w:tc>
          <w:tcPr>
            <w:tcW w:w="400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84"/>
        </w:trPr>
        <w:tc>
          <w:tcPr>
            <w:tcW w:w="5320" w:type="dxa"/>
            <w:vAlign w:val="bottom"/>
          </w:tcPr>
          <w:p>
            <w:pPr>
              <w:ind w:left="100"/>
              <w:spacing w:after="0"/>
              <w:rPr>
                <w:sz w:val="20"/>
                <w:szCs w:val="20"/>
                <w:color w:val="auto"/>
              </w:rPr>
            </w:pPr>
            <w:r>
              <w:rPr>
                <w:rFonts w:ascii="Arial" w:cs="Arial" w:eastAsia="Arial" w:hAnsi="Arial"/>
                <w:sz w:val="14"/>
                <w:szCs w:val="14"/>
                <w:color w:val="auto"/>
              </w:rPr>
              <w:t>Accounts payable and accrued current and non-current liabilities</w:t>
            </w:r>
          </w:p>
        </w:tc>
        <w:tc>
          <w:tcPr>
            <w:tcW w:w="400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4"/>
        </w:trPr>
        <w:tc>
          <w:tcPr>
            <w:tcW w:w="5320" w:type="dxa"/>
            <w:vAlign w:val="bottom"/>
          </w:tcPr>
          <w:p>
            <w:pPr>
              <w:ind w:left="100"/>
              <w:spacing w:after="0"/>
              <w:rPr>
                <w:sz w:val="20"/>
                <w:szCs w:val="20"/>
                <w:color w:val="auto"/>
              </w:rPr>
            </w:pPr>
            <w:r>
              <w:rPr>
                <w:rFonts w:ascii="Arial" w:cs="Arial" w:eastAsia="Arial" w:hAnsi="Arial"/>
                <w:sz w:val="14"/>
                <w:szCs w:val="14"/>
                <w:color w:val="auto"/>
              </w:rPr>
              <w:t>Taxes payable</w:t>
            </w:r>
          </w:p>
        </w:tc>
        <w:tc>
          <w:tcPr>
            <w:tcW w:w="400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1"/>
        </w:trPr>
        <w:tc>
          <w:tcPr>
            <w:tcW w:w="5320" w:type="dxa"/>
            <w:vAlign w:val="bottom"/>
          </w:tcPr>
          <w:p>
            <w:pPr>
              <w:ind w:left="100"/>
              <w:spacing w:after="0"/>
              <w:rPr>
                <w:sz w:val="20"/>
                <w:szCs w:val="20"/>
                <w:color w:val="auto"/>
              </w:rPr>
            </w:pPr>
            <w:r>
              <w:rPr>
                <w:rFonts w:ascii="Arial" w:cs="Arial" w:eastAsia="Arial" w:hAnsi="Arial"/>
                <w:sz w:val="14"/>
                <w:szCs w:val="14"/>
                <w:color w:val="auto"/>
              </w:rPr>
              <w:t>Litigation provision liability</w:t>
            </w:r>
          </w:p>
        </w:tc>
        <w:tc>
          <w:tcPr>
            <w:tcW w:w="22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77"/>
        </w:trPr>
        <w:tc>
          <w:tcPr>
            <w:tcW w:w="5320" w:type="dxa"/>
            <w:vAlign w:val="bottom"/>
          </w:tcPr>
          <w:p>
            <w:pPr>
              <w:ind w:left="220"/>
              <w:spacing w:after="0"/>
              <w:rPr>
                <w:sz w:val="20"/>
                <w:szCs w:val="20"/>
                <w:color w:val="auto"/>
              </w:rPr>
            </w:pPr>
            <w:r>
              <w:rPr>
                <w:rFonts w:ascii="Arial" w:cs="Arial" w:eastAsia="Arial" w:hAnsi="Arial"/>
                <w:sz w:val="14"/>
                <w:szCs w:val="14"/>
                <w:b w:val="1"/>
                <w:bCs w:val="1"/>
                <w:color w:val="auto"/>
              </w:rPr>
              <w:t>Net cash provided by operating activities</w:t>
            </w:r>
          </w:p>
        </w:tc>
        <w:tc>
          <w:tcPr>
            <w:tcW w:w="4000" w:type="dxa"/>
            <w:vAlign w:val="bottom"/>
            <w:gridSpan w:val="2"/>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66"/>
        </w:trPr>
        <w:tc>
          <w:tcPr>
            <w:tcW w:w="532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200" w:type="dxa"/>
            <w:vAlign w:val="bottom"/>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320" w:type="dxa"/>
            <w:vAlign w:val="bottom"/>
          </w:tcPr>
          <w:p>
            <w:pPr>
              <w:ind w:left="100"/>
              <w:spacing w:after="0"/>
              <w:rPr>
                <w:sz w:val="20"/>
                <w:szCs w:val="20"/>
                <w:color w:val="auto"/>
              </w:rPr>
            </w:pPr>
            <w:r>
              <w:rPr>
                <w:rFonts w:ascii="Arial" w:cs="Arial" w:eastAsia="Arial" w:hAnsi="Arial"/>
                <w:sz w:val="14"/>
                <w:szCs w:val="14"/>
                <w:color w:val="auto"/>
              </w:rPr>
              <w:t>Purchases of property, plant and equipment</w:t>
            </w:r>
          </w:p>
        </w:tc>
        <w:tc>
          <w:tcPr>
            <w:tcW w:w="4000" w:type="dxa"/>
            <w:vAlign w:val="bottom"/>
            <w:gridSpan w:val="2"/>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4"/>
        </w:trPr>
        <w:tc>
          <w:tcPr>
            <w:tcW w:w="5320" w:type="dxa"/>
            <w:vAlign w:val="bottom"/>
          </w:tcPr>
          <w:p>
            <w:pPr>
              <w:ind w:left="100"/>
              <w:spacing w:after="0"/>
              <w:rPr>
                <w:sz w:val="20"/>
                <w:szCs w:val="20"/>
                <w:color w:val="auto"/>
              </w:rPr>
            </w:pPr>
            <w:r>
              <w:rPr>
                <w:rFonts w:ascii="Arial" w:cs="Arial" w:eastAsia="Arial" w:hAnsi="Arial"/>
                <w:sz w:val="14"/>
                <w:szCs w:val="14"/>
                <w:color w:val="auto"/>
              </w:rPr>
              <w:t>Purchase of investments</w:t>
            </w:r>
          </w:p>
        </w:tc>
        <w:tc>
          <w:tcPr>
            <w:tcW w:w="400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1"/>
        </w:trPr>
        <w:tc>
          <w:tcPr>
            <w:tcW w:w="5320" w:type="dxa"/>
            <w:vAlign w:val="bottom"/>
          </w:tcPr>
          <w:p>
            <w:pPr>
              <w:ind w:left="100"/>
              <w:spacing w:after="0"/>
              <w:rPr>
                <w:sz w:val="20"/>
                <w:szCs w:val="20"/>
                <w:color w:val="auto"/>
              </w:rPr>
            </w:pPr>
            <w:r>
              <w:rPr>
                <w:rFonts w:ascii="Arial" w:cs="Arial" w:eastAsia="Arial" w:hAnsi="Arial"/>
                <w:sz w:val="14"/>
                <w:szCs w:val="14"/>
                <w:color w:val="auto"/>
              </w:rPr>
              <w:t>Proceeds from asset sales</w:t>
            </w:r>
          </w:p>
        </w:tc>
        <w:tc>
          <w:tcPr>
            <w:tcW w:w="22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77"/>
        </w:trPr>
        <w:tc>
          <w:tcPr>
            <w:tcW w:w="5320" w:type="dxa"/>
            <w:vAlign w:val="bottom"/>
          </w:tcPr>
          <w:p>
            <w:pPr>
              <w:ind w:left="220"/>
              <w:spacing w:after="0"/>
              <w:rPr>
                <w:sz w:val="20"/>
                <w:szCs w:val="20"/>
                <w:color w:val="auto"/>
              </w:rPr>
            </w:pPr>
            <w:r>
              <w:rPr>
                <w:rFonts w:ascii="Arial" w:cs="Arial" w:eastAsia="Arial" w:hAnsi="Arial"/>
                <w:sz w:val="14"/>
                <w:szCs w:val="14"/>
                <w:b w:val="1"/>
                <w:bCs w:val="1"/>
                <w:color w:val="auto"/>
              </w:rPr>
              <w:t>Net cash used in investing activities</w:t>
            </w:r>
          </w:p>
        </w:tc>
        <w:tc>
          <w:tcPr>
            <w:tcW w:w="4000" w:type="dxa"/>
            <w:vAlign w:val="bottom"/>
            <w:gridSpan w:val="2"/>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66"/>
        </w:trPr>
        <w:tc>
          <w:tcPr>
            <w:tcW w:w="532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200" w:type="dxa"/>
            <w:vAlign w:val="bottom"/>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320" w:type="dxa"/>
            <w:vAlign w:val="bottom"/>
          </w:tcPr>
          <w:p>
            <w:pPr>
              <w:ind w:left="120"/>
              <w:spacing w:after="0"/>
              <w:rPr>
                <w:sz w:val="20"/>
                <w:szCs w:val="20"/>
                <w:color w:val="auto"/>
              </w:rPr>
            </w:pPr>
            <w:r>
              <w:rPr>
                <w:rFonts w:ascii="Arial" w:cs="Arial" w:eastAsia="Arial" w:hAnsi="Arial"/>
                <w:sz w:val="14"/>
                <w:szCs w:val="14"/>
                <w:color w:val="auto"/>
              </w:rPr>
              <w:t>Proceeds from long-term debt obligations</w:t>
            </w:r>
          </w:p>
        </w:tc>
        <w:tc>
          <w:tcPr>
            <w:tcW w:w="4000" w:type="dxa"/>
            <w:vAlign w:val="bottom"/>
            <w:gridSpan w:val="2"/>
          </w:tcPr>
          <w:p>
            <w:pPr>
              <w:jc w:val="right"/>
              <w:spacing w:after="0"/>
              <w:rPr>
                <w:sz w:val="20"/>
                <w:szCs w:val="20"/>
                <w:color w:val="auto"/>
              </w:rPr>
            </w:pPr>
            <w:r>
              <w:rPr>
                <w:rFonts w:ascii="Arial" w:cs="Arial" w:eastAsia="Arial" w:hAnsi="Arial"/>
                <w:sz w:val="14"/>
                <w:szCs w:val="14"/>
                <w:color w:val="auto"/>
              </w:rPr>
              <w:t>218.3</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5320" w:type="dxa"/>
            <w:vAlign w:val="bottom"/>
          </w:tcPr>
          <w:p>
            <w:pPr>
              <w:ind w:left="120"/>
              <w:spacing w:after="0"/>
              <w:rPr>
                <w:sz w:val="20"/>
                <w:szCs w:val="20"/>
                <w:color w:val="auto"/>
              </w:rPr>
            </w:pPr>
            <w:r>
              <w:rPr>
                <w:rFonts w:ascii="Arial" w:cs="Arial" w:eastAsia="Arial" w:hAnsi="Arial"/>
                <w:sz w:val="14"/>
                <w:szCs w:val="14"/>
                <w:color w:val="auto"/>
              </w:rPr>
              <w:t>Payment of debt issuance costs</w:t>
            </w:r>
          </w:p>
        </w:tc>
        <w:tc>
          <w:tcPr>
            <w:tcW w:w="4000" w:type="dxa"/>
            <w:vAlign w:val="bottom"/>
            <w:gridSpan w:val="2"/>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5320" w:type="dxa"/>
            <w:vAlign w:val="bottom"/>
          </w:tcPr>
          <w:p>
            <w:pPr>
              <w:ind w:left="100"/>
              <w:spacing w:after="0"/>
              <w:rPr>
                <w:sz w:val="20"/>
                <w:szCs w:val="20"/>
                <w:color w:val="auto"/>
              </w:rPr>
            </w:pPr>
            <w:r>
              <w:rPr>
                <w:rFonts w:ascii="Arial" w:cs="Arial" w:eastAsia="Arial" w:hAnsi="Arial"/>
                <w:sz w:val="14"/>
                <w:szCs w:val="14"/>
                <w:color w:val="auto"/>
              </w:rPr>
              <w:t>Shares repurchased from employees for minimum tax withholding</w:t>
            </w:r>
          </w:p>
        </w:tc>
        <w:tc>
          <w:tcPr>
            <w:tcW w:w="400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4"/>
        </w:trPr>
        <w:tc>
          <w:tcPr>
            <w:tcW w:w="5320" w:type="dxa"/>
            <w:vAlign w:val="bottom"/>
          </w:tcPr>
          <w:p>
            <w:pPr>
              <w:ind w:left="100"/>
              <w:spacing w:after="0"/>
              <w:rPr>
                <w:sz w:val="20"/>
                <w:szCs w:val="20"/>
                <w:color w:val="auto"/>
              </w:rPr>
            </w:pPr>
            <w:r>
              <w:rPr>
                <w:rFonts w:ascii="Arial" w:cs="Arial" w:eastAsia="Arial" w:hAnsi="Arial"/>
                <w:sz w:val="14"/>
                <w:szCs w:val="14"/>
                <w:color w:val="auto"/>
              </w:rPr>
              <w:t>Payment of contingent consideration</w:t>
            </w:r>
          </w:p>
        </w:tc>
        <w:tc>
          <w:tcPr>
            <w:tcW w:w="2200" w:type="dxa"/>
            <w:vAlign w:val="bottom"/>
          </w:tcPr>
          <w:p>
            <w:pPr>
              <w:spacing w:after="0"/>
              <w:rPr>
                <w:sz w:val="15"/>
                <w:szCs w:val="15"/>
                <w:color w:val="auto"/>
              </w:rPr>
            </w:pPr>
          </w:p>
        </w:tc>
        <w:tc>
          <w:tcPr>
            <w:tcW w:w="1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1"/>
        </w:trPr>
        <w:tc>
          <w:tcPr>
            <w:tcW w:w="5320" w:type="dxa"/>
            <w:vAlign w:val="bottom"/>
          </w:tcPr>
          <w:p>
            <w:pPr>
              <w:ind w:left="100"/>
              <w:spacing w:after="0"/>
              <w:rPr>
                <w:sz w:val="20"/>
                <w:szCs w:val="20"/>
                <w:color w:val="auto"/>
              </w:rPr>
            </w:pPr>
            <w:r>
              <w:rPr>
                <w:rFonts w:ascii="Arial" w:cs="Arial" w:eastAsia="Arial" w:hAnsi="Arial"/>
                <w:sz w:val="14"/>
                <w:szCs w:val="14"/>
                <w:color w:val="auto"/>
              </w:rPr>
              <w:t>Other</w:t>
            </w:r>
          </w:p>
        </w:tc>
        <w:tc>
          <w:tcPr>
            <w:tcW w:w="22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77"/>
        </w:trPr>
        <w:tc>
          <w:tcPr>
            <w:tcW w:w="5320" w:type="dxa"/>
            <w:vAlign w:val="bottom"/>
          </w:tcPr>
          <w:p>
            <w:pPr>
              <w:ind w:left="2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22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214.9</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77"/>
        </w:trPr>
        <w:tc>
          <w:tcPr>
            <w:tcW w:w="5320" w:type="dxa"/>
            <w:vAlign w:val="bottom"/>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22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0"/>
        </w:trPr>
        <w:tc>
          <w:tcPr>
            <w:tcW w:w="5320" w:type="dxa"/>
            <w:vAlign w:val="bottom"/>
          </w:tcPr>
          <w:p>
            <w:pPr>
              <w:ind w:left="320"/>
              <w:spacing w:after="0"/>
              <w:rPr>
                <w:sz w:val="20"/>
                <w:szCs w:val="20"/>
                <w:color w:val="auto"/>
              </w:rPr>
            </w:pPr>
            <w:r>
              <w:rPr>
                <w:rFonts w:ascii="Arial" w:cs="Arial" w:eastAsia="Arial" w:hAnsi="Arial"/>
                <w:sz w:val="14"/>
                <w:szCs w:val="14"/>
                <w:b w:val="1"/>
                <w:bCs w:val="1"/>
                <w:color w:val="auto"/>
              </w:rPr>
              <w:t>Net increase (decrease) in cash, cash equivalents and restricted cash</w:t>
            </w:r>
          </w:p>
        </w:tc>
        <w:tc>
          <w:tcPr>
            <w:tcW w:w="4000" w:type="dxa"/>
            <w:vAlign w:val="bottom"/>
            <w:gridSpan w:val="2"/>
          </w:tcPr>
          <w:p>
            <w:pPr>
              <w:jc w:val="right"/>
              <w:spacing w:after="0"/>
              <w:rPr>
                <w:sz w:val="20"/>
                <w:szCs w:val="20"/>
                <w:color w:val="auto"/>
              </w:rPr>
            </w:pPr>
            <w:r>
              <w:rPr>
                <w:rFonts w:ascii="Arial" w:cs="Arial" w:eastAsia="Arial" w:hAnsi="Arial"/>
                <w:sz w:val="14"/>
                <w:szCs w:val="14"/>
                <w:color w:val="auto"/>
              </w:rPr>
              <w:t>234.4</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1"/>
        </w:trPr>
        <w:tc>
          <w:tcPr>
            <w:tcW w:w="5320" w:type="dxa"/>
            <w:vAlign w:val="bottom"/>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22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208.0</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252.8</w:t>
            </w:r>
          </w:p>
        </w:tc>
        <w:tc>
          <w:tcPr>
            <w:tcW w:w="0" w:type="dxa"/>
            <w:vAlign w:val="bottom"/>
          </w:tcPr>
          <w:p>
            <w:pPr>
              <w:spacing w:after="0"/>
              <w:rPr>
                <w:sz w:val="1"/>
                <w:szCs w:val="1"/>
                <w:color w:val="auto"/>
              </w:rPr>
            </w:pPr>
          </w:p>
        </w:tc>
      </w:tr>
      <w:tr>
        <w:trPr>
          <w:trHeight w:val="177"/>
        </w:trPr>
        <w:tc>
          <w:tcPr>
            <w:tcW w:w="5320" w:type="dxa"/>
            <w:vAlign w:val="bottom"/>
          </w:tcPr>
          <w:p>
            <w:pPr>
              <w:spacing w:after="0"/>
              <w:rPr>
                <w:sz w:val="20"/>
                <w:szCs w:val="20"/>
                <w:color w:val="auto"/>
              </w:rPr>
            </w:pPr>
            <w:r>
              <w:rPr>
                <w:rFonts w:ascii="Arial" w:cs="Arial" w:eastAsia="Arial" w:hAnsi="Arial"/>
                <w:sz w:val="14"/>
                <w:szCs w:val="14"/>
                <w:color w:val="auto"/>
              </w:rPr>
              <w:t>Cash, cash equivalents and restricted cash at end of period</w:t>
            </w:r>
          </w:p>
        </w:tc>
        <w:tc>
          <w:tcPr>
            <w:tcW w:w="4000" w:type="dxa"/>
            <w:vAlign w:val="bottom"/>
            <w:gridSpan w:val="2"/>
          </w:tcPr>
          <w:p>
            <w:pPr>
              <w:jc w:val="right"/>
              <w:spacing w:after="0"/>
              <w:rPr>
                <w:sz w:val="20"/>
                <w:szCs w:val="20"/>
                <w:color w:val="auto"/>
              </w:rPr>
            </w:pPr>
            <w:r>
              <w:rPr>
                <w:rFonts w:ascii="Arial" w:cs="Arial" w:eastAsia="Arial" w:hAnsi="Arial"/>
                <w:sz w:val="14"/>
                <w:szCs w:val="14"/>
                <w:color w:val="auto"/>
              </w:rPr>
              <w:t>$442.4</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$252.5</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4"/>
                <w:szCs w:val="14"/>
                <w:color w:val="auto"/>
              </w:rPr>
              <w:t>* Numbers may not add precisely due to rounding.</w:t>
            </w:r>
          </w:p>
        </w:tc>
        <w:tc>
          <w:tcPr>
            <w:tcW w:w="2200" w:type="dxa"/>
            <w:vAlign w:val="bottom"/>
            <w:vMerge w:val="restart"/>
          </w:tcPr>
          <w:p>
            <w:pPr>
              <w:jc w:val="right"/>
              <w:ind w:right="1729"/>
              <w:spacing w:after="0"/>
              <w:rPr>
                <w:sz w:val="20"/>
                <w:szCs w:val="20"/>
                <w:color w:val="auto"/>
              </w:rPr>
            </w:pPr>
            <w:r>
              <w:rPr>
                <w:rFonts w:ascii="Arial" w:cs="Arial" w:eastAsia="Arial" w:hAnsi="Arial"/>
                <w:sz w:val="21"/>
                <w:szCs w:val="21"/>
                <w:color w:val="auto"/>
              </w:rPr>
              <w:t>15</w:t>
            </w: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320" w:type="dxa"/>
            <w:vAlign w:val="bottom"/>
            <w:vMerge w:val="continue"/>
          </w:tcPr>
          <w:p>
            <w:pPr>
              <w:spacing w:after="0"/>
              <w:rPr>
                <w:sz w:val="19"/>
                <w:szCs w:val="19"/>
                <w:color w:val="auto"/>
              </w:rPr>
            </w:pPr>
          </w:p>
        </w:tc>
        <w:tc>
          <w:tcPr>
            <w:tcW w:w="2200" w:type="dxa"/>
            <w:vAlign w:val="bottom"/>
            <w:vMerge w:val="continue"/>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5320" w:type="dxa"/>
            <w:vAlign w:val="bottom"/>
            <w:vMerge w:val="continue"/>
          </w:tcPr>
          <w:p>
            <w:pPr>
              <w:spacing w:after="0"/>
              <w:rPr>
                <w:sz w:val="11"/>
                <w:szCs w:val="11"/>
                <w:color w:val="auto"/>
              </w:rPr>
            </w:pPr>
          </w:p>
        </w:tc>
        <w:tc>
          <w:tcPr>
            <w:tcW w:w="22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640"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(U.S.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1361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2960" w:type="dxa"/>
            <w:vAlign w:val="bottom"/>
            <w:gridSpan w:val="3"/>
            <w:vMerge w:val="restart"/>
          </w:tcPr>
          <w:p>
            <w:pPr>
              <w:jc w:val="right"/>
              <w:ind w:right="92"/>
              <w:spacing w:after="0"/>
              <w:rPr>
                <w:sz w:val="20"/>
                <w:szCs w:val="20"/>
                <w:color w:val="auto"/>
              </w:rPr>
            </w:pPr>
            <w:r>
              <w:rPr>
                <w:rFonts w:ascii="Arial" w:cs="Arial" w:eastAsia="Arial" w:hAnsi="Arial"/>
                <w:sz w:val="18"/>
                <w:szCs w:val="18"/>
                <w:b w:val="1"/>
                <w:bCs w:val="1"/>
                <w:color w:val="auto"/>
              </w:rPr>
              <w:t>Three Months Ended March 31,</w:t>
            </w:r>
          </w:p>
        </w:tc>
        <w:tc>
          <w:tcPr>
            <w:tcW w:w="100" w:type="dxa"/>
            <w:vAlign w:val="bottom"/>
          </w:tcPr>
          <w:p>
            <w:pPr>
              <w:spacing w:after="0"/>
              <w:rPr>
                <w:sz w:val="17"/>
                <w:szCs w:val="17"/>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8"/>
              </w:rPr>
              <w:t>% Change at</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6"/>
              </w:rPr>
              <w:t>% Change at</w:t>
            </w: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2960" w:type="dxa"/>
            <w:vAlign w:val="bottom"/>
            <w:tcBorders>
              <w:bottom w:val="single" w:sz="8" w:color="auto"/>
            </w:tcBorders>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80"/>
              <w:spacing w:after="0" w:line="145" w:lineRule="exact"/>
              <w:rPr>
                <w:sz w:val="20"/>
                <w:szCs w:val="20"/>
                <w:color w:val="auto"/>
              </w:rPr>
            </w:pPr>
            <w:r>
              <w:rPr>
                <w:rFonts w:ascii="Arial" w:cs="Arial" w:eastAsia="Arial" w:hAnsi="Arial"/>
                <w:sz w:val="16"/>
                <w:szCs w:val="16"/>
                <w:b w:val="1"/>
                <w:bCs w:val="1"/>
                <w:color w:val="auto"/>
              </w:rPr>
              <w:t>Actual Currency</w:t>
            </w:r>
          </w:p>
        </w:tc>
        <w:tc>
          <w:tcPr>
            <w:tcW w:w="1620" w:type="dxa"/>
            <w:vAlign w:val="bottom"/>
          </w:tcPr>
          <w:p>
            <w:pPr>
              <w:jc w:val="center"/>
              <w:spacing w:after="0" w:line="145" w:lineRule="exact"/>
              <w:rPr>
                <w:sz w:val="20"/>
                <w:szCs w:val="20"/>
                <w:color w:val="auto"/>
              </w:rPr>
            </w:pPr>
            <w:r>
              <w:rPr>
                <w:rFonts w:ascii="Arial" w:cs="Arial" w:eastAsia="Arial" w:hAnsi="Arial"/>
                <w:sz w:val="16"/>
                <w:szCs w:val="16"/>
                <w:b w:val="1"/>
                <w:bCs w:val="1"/>
                <w:color w:val="auto"/>
              </w:rPr>
              <w:t>Constant-</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19"/>
                <w:szCs w:val="19"/>
                <w:color w:val="auto"/>
              </w:rPr>
            </w:pPr>
          </w:p>
        </w:tc>
        <w:tc>
          <w:tcPr>
            <w:tcW w:w="14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Rates</w:t>
            </w:r>
          </w:p>
        </w:tc>
        <w:tc>
          <w:tcPr>
            <w:tcW w:w="80" w:type="dxa"/>
            <w:vAlign w:val="bottom"/>
          </w:tcPr>
          <w:p>
            <w:pPr>
              <w:spacing w:after="0"/>
              <w:rPr>
                <w:sz w:val="19"/>
                <w:szCs w:val="19"/>
                <w:color w:val="auto"/>
              </w:rPr>
            </w:pPr>
          </w:p>
        </w:tc>
        <w:tc>
          <w:tcPr>
            <w:tcW w:w="162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18"/>
                <w:szCs w:val="18"/>
                <w:b w:val="1"/>
                <w:bCs w:val="1"/>
                <w:color w:val="auto"/>
                <w:w w:val="94"/>
              </w:rPr>
              <w:t xml:space="preserve">Currency Rates </w:t>
            </w:r>
            <w:r>
              <w:rPr>
                <w:rFonts w:ascii="Arial" w:cs="Arial" w:eastAsia="Arial" w:hAnsi="Arial"/>
                <w:sz w:val="22"/>
                <w:szCs w:val="22"/>
                <w:b w:val="1"/>
                <w:bCs w:val="1"/>
                <w:color w:val="auto"/>
                <w:w w:val="94"/>
                <w:vertAlign w:val="superscript"/>
              </w:rPr>
              <w:t>(1)</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Total GAAP net sales</w:t>
            </w:r>
          </w:p>
        </w:tc>
        <w:tc>
          <w:tcPr>
            <w:tcW w:w="1440" w:type="dxa"/>
            <w:vAlign w:val="bottom"/>
          </w:tcPr>
          <w:p>
            <w:pPr>
              <w:jc w:val="right"/>
              <w:spacing w:after="0"/>
              <w:rPr>
                <w:sz w:val="20"/>
                <w:szCs w:val="20"/>
                <w:color w:val="auto"/>
              </w:rPr>
            </w:pPr>
            <w:r>
              <w:rPr>
                <w:rFonts w:ascii="Arial" w:cs="Arial" w:eastAsia="Arial" w:hAnsi="Arial"/>
                <w:sz w:val="18"/>
                <w:szCs w:val="18"/>
                <w:color w:val="auto"/>
              </w:rPr>
              <w:t>$240.2</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$247.6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Less Heart Valves net sales</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1700" w:type="dxa"/>
            <w:vAlign w:val="bottom"/>
            <w:gridSpan w:val="2"/>
          </w:tcPr>
          <w:p>
            <w:pPr>
              <w:ind w:left="1300"/>
              <w:spacing w:after="0"/>
              <w:rPr>
                <w:sz w:val="20"/>
                <w:szCs w:val="20"/>
                <w:color w:val="auto"/>
              </w:rPr>
            </w:pPr>
            <w:r>
              <w:rPr>
                <w:rFonts w:ascii="Arial" w:cs="Arial" w:eastAsia="Arial" w:hAnsi="Arial"/>
                <w:sz w:val="18"/>
                <w:szCs w:val="18"/>
                <w:color w:val="auto"/>
              </w:rPr>
              <w:t>N/A</w:t>
            </w:r>
          </w:p>
        </w:tc>
        <w:tc>
          <w:tcPr>
            <w:tcW w:w="16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7"/>
        </w:trPr>
        <w:tc>
          <w:tcPr>
            <w:tcW w:w="4840" w:type="dxa"/>
            <w:vAlign w:val="bottom"/>
          </w:tcPr>
          <w:p>
            <w:pPr>
              <w:spacing w:after="0"/>
              <w:rPr>
                <w:sz w:val="20"/>
                <w:szCs w:val="20"/>
                <w:color w:val="auto"/>
              </w:rPr>
            </w:pPr>
            <w:r>
              <w:rPr>
                <w:rFonts w:ascii="Arial" w:cs="Arial" w:eastAsia="Arial" w:hAnsi="Arial"/>
                <w:sz w:val="18"/>
                <w:szCs w:val="18"/>
                <w:color w:val="auto"/>
              </w:rPr>
              <w:t>Total net sales, excluding Heart Valves</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$240.2</w:t>
            </w:r>
          </w:p>
        </w:tc>
        <w:tc>
          <w:tcPr>
            <w:tcW w:w="8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6.2 %</w:t>
            </w:r>
          </w:p>
        </w:tc>
        <w:tc>
          <w:tcPr>
            <w:tcW w:w="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420" w:right="20" w:hanging="398"/>
        <w:spacing w:after="0" w:line="225"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Constant-currency growth, a non-GAAP financial measure, measures the change in sales between current and prior-year periods using average exchange rates in effect during the applicable prior-year period.</w:t>
      </w:r>
    </w:p>
    <w:p>
      <w:pPr>
        <w:spacing w:after="0" w:line="23" w:lineRule="exact"/>
        <w:rPr>
          <w:sz w:val="20"/>
          <w:szCs w:val="20"/>
          <w:color w:val="auto"/>
        </w:rPr>
      </w:pPr>
    </w:p>
    <w:p>
      <w:pPr>
        <w:ind w:left="420" w:hanging="398"/>
        <w:spacing w:after="0"/>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Numbers may not add precisely due to rounding.</w:t>
      </w:r>
    </w:p>
    <w:p>
      <w:pPr>
        <w:spacing w:after="0" w:line="200" w:lineRule="exact"/>
        <w:rPr>
          <w:sz w:val="20"/>
          <w:szCs w:val="20"/>
          <w:color w:val="auto"/>
        </w:rPr>
      </w:pPr>
    </w:p>
    <w:p>
      <w:pPr>
        <w:spacing w:after="0" w:line="201" w:lineRule="exact"/>
        <w:rPr>
          <w:sz w:val="20"/>
          <w:szCs w:val="20"/>
          <w:color w:val="auto"/>
        </w:rPr>
      </w:pPr>
    </w:p>
    <w:p>
      <w:pPr>
        <w:ind w:right="300"/>
        <w:spacing w:after="0" w:line="362" w:lineRule="auto"/>
        <w:rPr>
          <w:sz w:val="20"/>
          <w:szCs w:val="20"/>
          <w:color w:val="auto"/>
        </w:rPr>
      </w:pPr>
      <w:r>
        <w:rPr>
          <w:rFonts w:ascii="Arial" w:cs="Arial" w:eastAsia="Arial" w:hAnsi="Arial"/>
          <w:sz w:val="19"/>
          <w:szCs w:val="19"/>
          <w:color w:val="auto"/>
        </w:rPr>
        <w:t>The following table presents the reconciliation of GAAP diluted weighted average shares outstanding, used in the computation of GAAP diluted net loss per common share, to adjusted diluted weighted average shares outstanding, used in the computation of adjusted diluted earnings per common share (in millions of shares):</w:t>
      </w:r>
    </w:p>
    <w:p>
      <w:pPr>
        <w:ind w:left="20"/>
        <w:spacing w:after="0" w:line="221" w:lineRule="auto"/>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(shares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1361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jc w:val="center"/>
        <w:ind w:left="8680"/>
        <w:spacing w:after="0" w:line="233" w:lineRule="auto"/>
        <w:rPr>
          <w:sz w:val="20"/>
          <w:szCs w:val="20"/>
          <w:color w:val="auto"/>
        </w:rPr>
      </w:pPr>
      <w:r>
        <w:rPr>
          <w:rFonts w:ascii="Arial" w:cs="Arial" w:eastAsia="Arial" w:hAnsi="Arial"/>
          <w:sz w:val="18"/>
          <w:szCs w:val="18"/>
          <w:b w:val="1"/>
          <w:bCs w:val="1"/>
          <w:color w:val="auto"/>
        </w:rPr>
        <w:t>Three Months Ended March</w:t>
      </w:r>
    </w:p>
    <w:p>
      <w:pPr>
        <w:jc w:val="center"/>
        <w:ind w:left="8680"/>
        <w:spacing w:after="0"/>
        <w:rPr>
          <w:sz w:val="20"/>
          <w:szCs w:val="20"/>
          <w:color w:val="auto"/>
        </w:rPr>
      </w:pPr>
      <w:r>
        <w:rPr>
          <w:rFonts w:ascii="Arial" w:cs="Arial" w:eastAsia="Arial" w:hAnsi="Arial"/>
          <w:sz w:val="18"/>
          <w:szCs w:val="18"/>
          <w:b w:val="1"/>
          <w:bCs w:val="1"/>
          <w:color w:val="auto"/>
        </w:rPr>
        <w:t>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5521960</wp:posOffset>
            </wp:positionH>
            <wp:positionV relativeFrom="paragraph">
              <wp:posOffset>2540</wp:posOffset>
            </wp:positionV>
            <wp:extent cx="16173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17345" cy="825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GAAP diluted weighted average shares outstanding</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 effects of stock-based compensation instruments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Adjusted diluted weighted average shares outstanding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48.7</w:t>
      </w:r>
    </w:p>
    <w:p>
      <w:pPr>
        <w:spacing w:after="0" w:line="3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-1348105</wp:posOffset>
            </wp:positionH>
            <wp:positionV relativeFrom="paragraph">
              <wp:posOffset>2540</wp:posOffset>
            </wp:positionV>
            <wp:extent cx="16173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1734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-1348105</wp:posOffset>
            </wp:positionH>
            <wp:positionV relativeFrom="paragraph">
              <wp:posOffset>17145</wp:posOffset>
            </wp:positionV>
            <wp:extent cx="16173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17345" cy="8255"/>
                    </a:xfrm>
                    <a:prstGeom prst="rect">
                      <a:avLst/>
                    </a:prstGeom>
                    <a:noFill/>
                  </pic:spPr>
                </pic:pic>
              </a:graphicData>
            </a:graphic>
          </wp:anchor>
        </w:drawing>
        <w:drawing>
          <wp:anchor simplePos="0" relativeHeight="251657728" behindDoc="1" locked="0" layoutInCell="0" allowOverlap="1">
            <wp:simplePos x="0" y="0"/>
            <wp:positionH relativeFrom="column">
              <wp:posOffset>-1348105</wp:posOffset>
            </wp:positionH>
            <wp:positionV relativeFrom="paragraph">
              <wp:posOffset>41910</wp:posOffset>
            </wp:positionV>
            <wp:extent cx="16173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17345" cy="8255"/>
                    </a:xfrm>
                    <a:prstGeom prst="rect">
                      <a:avLst/>
                    </a:prstGeom>
                    <a:noFill/>
                  </pic:spPr>
                </pic:pic>
              </a:graphicData>
            </a:graphic>
          </wp:anchor>
        </w:drawing>
      </w:r>
    </w:p>
    <w:p>
      <w:pPr>
        <w:spacing w:after="0" w:line="159" w:lineRule="exact"/>
        <w:rPr>
          <w:sz w:val="20"/>
          <w:szCs w:val="20"/>
          <w:color w:val="auto"/>
        </w:rPr>
      </w:pPr>
    </w:p>
    <w:p>
      <w:pPr>
        <w:sectPr>
          <w:pgSz w:w="11900" w:h="16838" w:orient="portrait"/>
          <w:cols w:equalWidth="0" w:num="2">
            <w:col w:w="10100" w:space="720"/>
            <w:col w:w="420"/>
          </w:cols>
          <w:pgMar w:left="320" w:top="1414" w:right="339" w:bottom="1440" w:gutter="0" w:footer="0" w:header="0"/>
          <w:type w:val="continuous"/>
        </w:sectPr>
      </w:pPr>
    </w:p>
    <w:p>
      <w:pPr>
        <w:ind w:left="440" w:right="380" w:hanging="418"/>
        <w:spacing w:after="0" w:line="225" w:lineRule="auto"/>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diluted weighted average shares outstanding is a non-GAAP measure and includes the effects of stock-based compensation instruments, as reconciled in the above table.</w:t>
      </w:r>
    </w:p>
    <w:p>
      <w:pPr>
        <w:spacing w:after="0" w:line="23" w:lineRule="exact"/>
        <w:rPr>
          <w:sz w:val="20"/>
          <w:szCs w:val="20"/>
          <w:color w:val="auto"/>
        </w:rPr>
      </w:pPr>
    </w:p>
    <w:p>
      <w:pPr>
        <w:ind w:left="440" w:hanging="418"/>
        <w:spacing w:after="0"/>
        <w:tabs>
          <w:tab w:leader="none" w:pos="4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sectPr>
      <w:pgSz w:w="11900" w:h="16838" w:orient="portrait"/>
      <w:cols w:equalWidth="0" w:num="1">
        <w:col w:w="11240"/>
      </w:cols>
      <w:pgMar w:left="320" w:top="141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04"/>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2"/>
      <w:numFmt w:val="bullet"/>
      <w:start w:val="1"/>
    </w:lvl>
  </w:abstractNum>
  <w:abstractNum w:abstractNumId="7">
    <w:nsid w:val="140E0F76"/>
    <w:multiLevelType w:val="hybridMultilevel"/>
    <w:lvl w:ilvl="0">
      <w:lvlJc w:val="left"/>
      <w:lvlText w:val="(%1)"/>
      <w:numFmt w:val="lowerRoman"/>
      <w:start w:val="22"/>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upperLetter"/>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2022-05-04T05:25:42Z</dcterms:created>
  <dcterms:modified xsi:type="dcterms:W3CDTF">2022-05-04T05:25:42Z</dcterms:modified>
</cp:coreProperties>
</file>