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7, 2025</w:t>
      </w:r>
    </w:p>
    <w:p>
      <w:pPr>
        <w:spacing w:after="0" w:line="287" w:lineRule="exact"/>
        <w:rPr>
          <w:sz w:val="24"/>
          <w:szCs w:val="24"/>
          <w:color w:val="auto"/>
        </w:rPr>
      </w:pPr>
    </w:p>
    <w:p>
      <w:pPr>
        <w:ind w:right="2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March 31, 2025, which was filed with the Securities and Exchange Commission on May 7, 2025.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VLADIMIR MAKATSARIA</w:t>
            </w:r>
          </w:p>
        </w:tc>
      </w:tr>
      <w:tr>
        <w:trPr>
          <w:trHeight w:val="295"/>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Vladimir Makatsaria</w:t>
            </w:r>
          </w:p>
        </w:tc>
      </w:tr>
      <w:tr>
        <w:trPr>
          <w:trHeight w:val="310"/>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2025-05-07T13:48:44Z</dcterms:created>
  <dcterms:modified xsi:type="dcterms:W3CDTF">2025-05-07T13:48:44Z</dcterms:modified>
</cp:coreProperties>
</file>