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SCHEDULE 13G</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LivaNova PLC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G5509L101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660" w:hanging="21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660" w:hanging="21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660" w:hanging="212"/>
        <w:spacing w:after="0"/>
        <w:tabs>
          <w:tab w:leader="none" w:pos="6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ind w:left="340" w:hanging="324"/>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1" w:name="page2"/>
    <w:bookmarkEnd w:id="1"/>
    <w:p>
      <w:pPr>
        <w:ind w:left="72"/>
        <w:spacing w:after="0"/>
        <w:tabs>
          <w:tab w:leader="none" w:pos="10512" w:val="left"/>
        </w:tabs>
        <w:rPr>
          <w:sz w:val="20"/>
          <w:szCs w:val="20"/>
          <w:color w:val="auto"/>
        </w:rPr>
      </w:pPr>
      <w:r>
        <w:rPr>
          <w:rFonts w:ascii="Arial" w:cs="Arial" w:eastAsia="Arial" w:hAnsi="Arial"/>
          <w:sz w:val="18"/>
          <w:szCs w:val="18"/>
          <w:color w:val="auto"/>
        </w:rPr>
        <w:t>CUSIP No. G5509L101</w:t>
      </w:r>
      <w:r>
        <w:rPr>
          <w:sz w:val="20"/>
          <w:szCs w:val="20"/>
          <w:color w:val="auto"/>
        </w:rPr>
        <w:tab/>
      </w:r>
      <w:r>
        <w:rPr>
          <w:rFonts w:ascii="Arial" w:cs="Arial" w:eastAsia="Arial" w:hAnsi="Arial"/>
          <w:sz w:val="16"/>
          <w:szCs w:val="16"/>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246620" cy="6191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191885"/>
                    </a:xfrm>
                    <a:prstGeom prst="rect">
                      <a:avLst/>
                    </a:prstGeom>
                    <a:noFill/>
                  </pic:spPr>
                </pic:pic>
              </a:graphicData>
            </a:graphic>
          </wp:anchor>
        </w:drawing>
      </w:r>
    </w:p>
    <w:p>
      <w:pPr>
        <w:spacing w:after="0" w:line="367" w:lineRule="exact"/>
        <w:rPr>
          <w:sz w:val="20"/>
          <w:szCs w:val="20"/>
          <w:color w:val="auto"/>
        </w:rPr>
      </w:pPr>
    </w:p>
    <w:p>
      <w:pPr>
        <w:ind w:left="1212" w:right="7360" w:hanging="743"/>
        <w:spacing w:after="0" w:line="469" w:lineRule="auto"/>
        <w:tabs>
          <w:tab w:leader="none" w:pos="1212"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Mittel S.p.A.</w:t>
      </w:r>
    </w:p>
    <w:p>
      <w:pPr>
        <w:spacing w:after="0" w:line="1" w:lineRule="exact"/>
        <w:rPr>
          <w:rFonts w:ascii="Arial" w:cs="Arial" w:eastAsia="Arial" w:hAnsi="Arial"/>
          <w:sz w:val="18"/>
          <w:szCs w:val="18"/>
          <w:color w:val="auto"/>
        </w:rPr>
      </w:pPr>
    </w:p>
    <w:p>
      <w:pPr>
        <w:ind w:left="1212" w:hanging="743"/>
        <w:spacing w:after="0"/>
        <w:tabs>
          <w:tab w:leader="none" w:pos="1212"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1212"/>
        <w:spacing w:after="0" w:line="207" w:lineRule="exact"/>
        <w:tabs>
          <w:tab w:leader="none" w:pos="2012"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78" w:lineRule="exact"/>
        <w:rPr>
          <w:sz w:val="20"/>
          <w:szCs w:val="20"/>
          <w:color w:val="auto"/>
        </w:rPr>
      </w:pPr>
    </w:p>
    <w:p>
      <w:pPr>
        <w:ind w:left="1212" w:hanging="743"/>
        <w:spacing w:after="0"/>
        <w:tabs>
          <w:tab w:leader="none" w:pos="1212"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212" w:right="6520" w:hanging="743"/>
        <w:spacing w:after="0" w:line="469" w:lineRule="auto"/>
        <w:tabs>
          <w:tab w:leader="none" w:pos="1212"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Italy</w:t>
      </w:r>
    </w:p>
    <w:p>
      <w:pPr>
        <w:spacing w:after="0" w:line="1" w:lineRule="exact"/>
        <w:rPr>
          <w:rFonts w:ascii="Arial" w:cs="Arial" w:eastAsia="Arial" w:hAnsi="Arial"/>
          <w:sz w:val="18"/>
          <w:szCs w:val="18"/>
          <w:color w:val="auto"/>
        </w:rPr>
      </w:pPr>
    </w:p>
    <w:p>
      <w:pPr>
        <w:ind w:left="3712" w:hanging="873"/>
        <w:spacing w:after="0"/>
        <w:tabs>
          <w:tab w:leader="none" w:pos="3712"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492"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6"/>
              </w:rPr>
              <w:t>NUMBER OF</w:t>
            </w:r>
          </w:p>
        </w:tc>
        <w:tc>
          <w:tcPr>
            <w:tcW w:w="1140" w:type="dxa"/>
            <w:vAlign w:val="bottom"/>
            <w:tcBorders>
              <w:bottom w:val="single" w:sz="8" w:color="auto"/>
            </w:tcBorders>
          </w:tcPr>
          <w:p>
            <w:pPr>
              <w:spacing w:after="0"/>
              <w:rPr>
                <w:sz w:val="6"/>
                <w:szCs w:val="6"/>
                <w:color w:val="auto"/>
              </w:rPr>
            </w:pPr>
          </w:p>
        </w:tc>
        <w:tc>
          <w:tcPr>
            <w:tcW w:w="8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740" w:type="dxa"/>
            <w:vAlign w:val="bottom"/>
            <w:vMerge w:val="continue"/>
          </w:tcPr>
          <w:p>
            <w:pPr>
              <w:spacing w:after="0"/>
              <w:rPr>
                <w:sz w:val="11"/>
                <w:szCs w:val="11"/>
                <w:color w:val="auto"/>
              </w:rPr>
            </w:pPr>
          </w:p>
        </w:tc>
        <w:tc>
          <w:tcPr>
            <w:tcW w:w="114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1"/>
              </w:rPr>
              <w:t>SHARES</w:t>
            </w:r>
          </w:p>
        </w:tc>
        <w:tc>
          <w:tcPr>
            <w:tcW w:w="1140" w:type="dxa"/>
            <w:vAlign w:val="bottom"/>
            <w:vMerge w:val="continue"/>
          </w:tcPr>
          <w:p>
            <w:pPr>
              <w:spacing w:after="0"/>
              <w:rPr>
                <w:sz w:val="12"/>
                <w:szCs w:val="12"/>
                <w:color w:val="auto"/>
              </w:rPr>
            </w:pPr>
          </w:p>
        </w:tc>
        <w:tc>
          <w:tcPr>
            <w:tcW w:w="8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7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70"/>
              <w:spacing w:after="0"/>
              <w:rPr>
                <w:sz w:val="20"/>
                <w:szCs w:val="20"/>
                <w:color w:val="auto"/>
              </w:rPr>
            </w:pPr>
            <w:r>
              <w:rPr>
                <w:rFonts w:ascii="Arial" w:cs="Arial" w:eastAsia="Arial" w:hAnsi="Arial"/>
                <w:sz w:val="18"/>
                <w:szCs w:val="18"/>
                <w:color w:val="auto"/>
              </w:rPr>
              <w:t>BENEFICIALLY</w:t>
            </w:r>
          </w:p>
        </w:tc>
        <w:tc>
          <w:tcPr>
            <w:tcW w:w="1140" w:type="dxa"/>
            <w:vAlign w:val="bottom"/>
          </w:tcPr>
          <w:p>
            <w:pPr>
              <w:spacing w:after="0"/>
              <w:rPr>
                <w:sz w:val="18"/>
                <w:szCs w:val="18"/>
                <w:color w:val="auto"/>
              </w:rPr>
            </w:pP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3,562,285</w:t>
            </w:r>
          </w:p>
        </w:tc>
        <w:tc>
          <w:tcPr>
            <w:tcW w:w="0" w:type="dxa"/>
            <w:vAlign w:val="bottom"/>
          </w:tcPr>
          <w:p>
            <w:pPr>
              <w:spacing w:after="0"/>
              <w:rPr>
                <w:sz w:val="1"/>
                <w:szCs w:val="1"/>
                <w:color w:val="auto"/>
              </w:rPr>
            </w:pPr>
          </w:p>
        </w:tc>
      </w:tr>
      <w:tr>
        <w:trPr>
          <w:trHeight w:val="149"/>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7"/>
              </w:rPr>
              <w:t>OWNED BY</w:t>
            </w:r>
          </w:p>
        </w:tc>
        <w:tc>
          <w:tcPr>
            <w:tcW w:w="1140" w:type="dxa"/>
            <w:vAlign w:val="bottom"/>
          </w:tcPr>
          <w:p>
            <w:pPr>
              <w:spacing w:after="0"/>
              <w:rPr>
                <w:sz w:val="12"/>
                <w:szCs w:val="12"/>
                <w:color w:val="auto"/>
              </w:rPr>
            </w:pPr>
          </w:p>
        </w:tc>
        <w:tc>
          <w:tcPr>
            <w:tcW w:w="8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740" w:type="dxa"/>
            <w:vAlign w:val="bottom"/>
            <w:vMerge w:val="continue"/>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740" w:type="dxa"/>
            <w:vAlign w:val="bottom"/>
          </w:tcPr>
          <w:p>
            <w:pPr>
              <w:jc w:val="center"/>
              <w:ind w:right="370"/>
              <w:spacing w:after="0" w:line="189" w:lineRule="exact"/>
              <w:rPr>
                <w:sz w:val="20"/>
                <w:szCs w:val="20"/>
                <w:color w:val="auto"/>
              </w:rPr>
            </w:pPr>
            <w:r>
              <w:rPr>
                <w:rFonts w:ascii="Arial" w:cs="Arial" w:eastAsia="Arial" w:hAnsi="Arial"/>
                <w:sz w:val="18"/>
                <w:szCs w:val="18"/>
                <w:color w:val="auto"/>
                <w:w w:val="95"/>
              </w:rPr>
              <w:t>EACH</w:t>
            </w:r>
          </w:p>
        </w:tc>
        <w:tc>
          <w:tcPr>
            <w:tcW w:w="1140" w:type="dxa"/>
            <w:vAlign w:val="bottom"/>
            <w:vMerge w:val="restart"/>
          </w:tcPr>
          <w:p>
            <w:pPr>
              <w:jc w:val="right"/>
              <w:ind w:right="230"/>
              <w:spacing w:after="0"/>
              <w:rPr>
                <w:sz w:val="20"/>
                <w:szCs w:val="20"/>
                <w:color w:val="auto"/>
              </w:rPr>
            </w:pPr>
            <w:r>
              <w:rPr>
                <w:rFonts w:ascii="Arial" w:cs="Arial" w:eastAsia="Arial" w:hAnsi="Arial"/>
                <w:sz w:val="18"/>
                <w:szCs w:val="18"/>
                <w:color w:val="auto"/>
              </w:rPr>
              <w:t>(7)</w:t>
            </w: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3"/>
              </w:rPr>
              <w:t>REPORTING</w:t>
            </w:r>
          </w:p>
        </w:tc>
        <w:tc>
          <w:tcPr>
            <w:tcW w:w="1140" w:type="dxa"/>
            <w:vAlign w:val="bottom"/>
            <w:vMerge w:val="continue"/>
          </w:tcPr>
          <w:p>
            <w:pPr>
              <w:spacing w:after="0"/>
              <w:rPr>
                <w:sz w:val="8"/>
                <w:szCs w:val="8"/>
                <w:color w:val="auto"/>
              </w:rPr>
            </w:pPr>
          </w:p>
        </w:tc>
        <w:tc>
          <w:tcPr>
            <w:tcW w:w="8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70"/>
              <w:spacing w:after="0"/>
              <w:rPr>
                <w:sz w:val="20"/>
                <w:szCs w:val="20"/>
                <w:color w:val="auto"/>
              </w:rPr>
            </w:pPr>
            <w:r>
              <w:rPr>
                <w:rFonts w:ascii="Arial" w:cs="Arial" w:eastAsia="Arial" w:hAnsi="Arial"/>
                <w:sz w:val="18"/>
                <w:szCs w:val="18"/>
                <w:color w:val="auto"/>
                <w:w w:val="89"/>
              </w:rPr>
              <w:t>PERSON</w:t>
            </w:r>
          </w:p>
        </w:tc>
        <w:tc>
          <w:tcPr>
            <w:tcW w:w="1140" w:type="dxa"/>
            <w:vAlign w:val="bottom"/>
          </w:tcPr>
          <w:p>
            <w:pPr>
              <w:spacing w:after="0"/>
              <w:rPr>
                <w:sz w:val="18"/>
                <w:szCs w:val="18"/>
                <w:color w:val="auto"/>
              </w:rPr>
            </w:pP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740" w:type="dxa"/>
            <w:vAlign w:val="bottom"/>
            <w:vMerge w:val="restart"/>
          </w:tcPr>
          <w:p>
            <w:pPr>
              <w:jc w:val="center"/>
              <w:ind w:right="370"/>
              <w:spacing w:after="0" w:line="170" w:lineRule="exact"/>
              <w:rPr>
                <w:sz w:val="20"/>
                <w:szCs w:val="20"/>
                <w:color w:val="auto"/>
              </w:rPr>
            </w:pPr>
            <w:r>
              <w:rPr>
                <w:rFonts w:ascii="Arial" w:cs="Arial" w:eastAsia="Arial" w:hAnsi="Arial"/>
                <w:sz w:val="18"/>
                <w:szCs w:val="18"/>
                <w:color w:val="auto"/>
              </w:rPr>
              <w:t>WITH</w:t>
            </w:r>
          </w:p>
        </w:tc>
        <w:tc>
          <w:tcPr>
            <w:tcW w:w="1140" w:type="dxa"/>
            <w:vAlign w:val="bottom"/>
          </w:tcPr>
          <w:p>
            <w:pPr>
              <w:spacing w:after="0"/>
              <w:rPr>
                <w:sz w:val="8"/>
                <w:szCs w:val="8"/>
                <w:color w:val="auto"/>
              </w:rPr>
            </w:pPr>
          </w:p>
        </w:tc>
        <w:tc>
          <w:tcPr>
            <w:tcW w:w="8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740" w:type="dxa"/>
            <w:vAlign w:val="bottom"/>
            <w:vMerge w:val="continue"/>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712" w:right="5160" w:hanging="873"/>
        <w:spacing w:after="0" w:line="469" w:lineRule="auto"/>
        <w:tabs>
          <w:tab w:leader="none" w:pos="3712"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 3,562,285</w:t>
      </w:r>
    </w:p>
    <w:p>
      <w:pPr>
        <w:spacing w:after="0" w:line="1" w:lineRule="exact"/>
        <w:rPr>
          <w:rFonts w:ascii="Arial" w:cs="Arial" w:eastAsia="Arial" w:hAnsi="Arial"/>
          <w:sz w:val="18"/>
          <w:szCs w:val="18"/>
          <w:color w:val="auto"/>
        </w:rPr>
      </w:pPr>
    </w:p>
    <w:p>
      <w:pPr>
        <w:ind w:left="1212" w:right="3640" w:hanging="743"/>
        <w:spacing w:after="0" w:line="469" w:lineRule="auto"/>
        <w:tabs>
          <w:tab w:leader="none" w:pos="1212"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3,562,285</w:t>
      </w:r>
    </w:p>
    <w:p>
      <w:pPr>
        <w:spacing w:after="0" w:line="1" w:lineRule="exact"/>
        <w:rPr>
          <w:sz w:val="20"/>
          <w:szCs w:val="20"/>
          <w:color w:val="auto"/>
        </w:rPr>
      </w:pPr>
    </w:p>
    <w:p>
      <w:pPr>
        <w:ind w:left="1212" w:hanging="788"/>
        <w:spacing w:after="0"/>
        <w:tabs>
          <w:tab w:leader="none" w:pos="1212"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92" w:lineRule="exact"/>
        <w:rPr>
          <w:rFonts w:ascii="Arial" w:cs="Arial" w:eastAsia="Arial" w:hAnsi="Arial"/>
          <w:sz w:val="18"/>
          <w:szCs w:val="18"/>
          <w:color w:val="auto"/>
        </w:rPr>
      </w:pPr>
    </w:p>
    <w:p>
      <w:pPr>
        <w:ind w:left="1212"/>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0" w:lineRule="exact"/>
        <w:rPr>
          <w:rFonts w:ascii="Arial" w:cs="Arial" w:eastAsia="Arial" w:hAnsi="Arial"/>
          <w:sz w:val="18"/>
          <w:szCs w:val="18"/>
          <w:color w:val="auto"/>
        </w:rPr>
      </w:pPr>
    </w:p>
    <w:p>
      <w:pPr>
        <w:ind w:left="1212" w:right="5140" w:hanging="785"/>
        <w:spacing w:after="0" w:line="353" w:lineRule="auto"/>
        <w:tabs>
          <w:tab w:leader="none" w:pos="1212"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7.40%</w:t>
      </w:r>
      <w:r>
        <w:rPr>
          <w:rFonts w:ascii="Arial" w:cs="Arial" w:eastAsia="Arial" w:hAnsi="Arial"/>
          <w:sz w:val="30"/>
          <w:szCs w:val="30"/>
          <w:color w:val="auto"/>
          <w:vertAlign w:val="superscript"/>
        </w:rPr>
        <w:t>1</w:t>
      </w:r>
    </w:p>
    <w:p>
      <w:pPr>
        <w:ind w:left="1212" w:right="5860" w:hanging="788"/>
        <w:spacing w:after="0" w:line="525" w:lineRule="auto"/>
        <w:tabs>
          <w:tab w:leader="none" w:pos="1212"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7" w:lineRule="exact"/>
        <w:rPr>
          <w:sz w:val="20"/>
          <w:szCs w:val="20"/>
          <w:color w:val="auto"/>
        </w:rPr>
      </w:pPr>
    </w:p>
    <w:p>
      <w:pPr>
        <w:ind w:left="172" w:hanging="172"/>
        <w:spacing w:after="0"/>
        <w:tabs>
          <w:tab w:leader="none" w:pos="172"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Based on 48,156,690 of the Issuer’s Ordinary Shares outstanding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787" w:right="239" w:bottom="1440" w:gutter="0" w:footer="0" w:header="0"/>
        </w:sectPr>
      </w:pPr>
    </w:p>
    <w:bookmarkStart w:id="2" w:name="page3"/>
    <w:bookmarkEnd w:id="2"/>
    <w:p>
      <w:pPr>
        <w:ind w:left="72"/>
        <w:spacing w:after="0"/>
        <w:tabs>
          <w:tab w:leader="none" w:pos="10512" w:val="left"/>
        </w:tabs>
        <w:rPr>
          <w:sz w:val="20"/>
          <w:szCs w:val="20"/>
          <w:color w:val="auto"/>
        </w:rPr>
      </w:pPr>
      <w:r>
        <w:rPr>
          <w:rFonts w:ascii="Arial" w:cs="Arial" w:eastAsia="Arial" w:hAnsi="Arial"/>
          <w:sz w:val="18"/>
          <w:szCs w:val="18"/>
          <w:color w:val="auto"/>
        </w:rPr>
        <w:t>CUSIP No. G5509L101</w:t>
      </w:r>
      <w:r>
        <w:rPr>
          <w:sz w:val="20"/>
          <w:szCs w:val="20"/>
          <w:color w:val="auto"/>
        </w:rPr>
        <w:tab/>
      </w:r>
      <w:r>
        <w:rPr>
          <w:rFonts w:ascii="Arial" w:cs="Arial" w:eastAsia="Arial" w:hAnsi="Arial"/>
          <w:sz w:val="16"/>
          <w:szCs w:val="16"/>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246620" cy="6191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6191885"/>
                    </a:xfrm>
                    <a:prstGeom prst="rect">
                      <a:avLst/>
                    </a:prstGeom>
                    <a:noFill/>
                  </pic:spPr>
                </pic:pic>
              </a:graphicData>
            </a:graphic>
          </wp:anchor>
        </w:drawing>
      </w:r>
    </w:p>
    <w:p>
      <w:pPr>
        <w:spacing w:after="0" w:line="367" w:lineRule="exact"/>
        <w:rPr>
          <w:sz w:val="20"/>
          <w:szCs w:val="20"/>
          <w:color w:val="auto"/>
        </w:rPr>
      </w:pPr>
    </w:p>
    <w:p>
      <w:pPr>
        <w:ind w:left="1212" w:right="7360" w:hanging="743"/>
        <w:spacing w:after="0" w:line="469" w:lineRule="auto"/>
        <w:tabs>
          <w:tab w:leader="none" w:pos="1212"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 Equinox Two S.c.a.</w:t>
      </w:r>
    </w:p>
    <w:p>
      <w:pPr>
        <w:spacing w:after="0" w:line="1" w:lineRule="exact"/>
        <w:rPr>
          <w:rFonts w:ascii="Arial" w:cs="Arial" w:eastAsia="Arial" w:hAnsi="Arial"/>
          <w:sz w:val="18"/>
          <w:szCs w:val="18"/>
          <w:color w:val="auto"/>
        </w:rPr>
      </w:pPr>
    </w:p>
    <w:p>
      <w:pPr>
        <w:ind w:left="1212" w:hanging="720"/>
        <w:spacing w:after="0"/>
        <w:tabs>
          <w:tab w:leader="none" w:pos="1212"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1212"/>
        <w:spacing w:after="0" w:line="207" w:lineRule="exact"/>
        <w:tabs>
          <w:tab w:leader="none" w:pos="2012"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78" w:lineRule="exact"/>
        <w:rPr>
          <w:sz w:val="20"/>
          <w:szCs w:val="20"/>
          <w:color w:val="auto"/>
        </w:rPr>
      </w:pPr>
    </w:p>
    <w:p>
      <w:pPr>
        <w:ind w:left="1212" w:hanging="743"/>
        <w:spacing w:after="0"/>
        <w:tabs>
          <w:tab w:leader="none" w:pos="12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212" w:right="6520" w:hanging="743"/>
        <w:spacing w:after="0" w:line="469" w:lineRule="auto"/>
        <w:tabs>
          <w:tab w:leader="none" w:pos="12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Luxembourg</w:t>
      </w:r>
    </w:p>
    <w:p>
      <w:pPr>
        <w:spacing w:after="0" w:line="1" w:lineRule="exact"/>
        <w:rPr>
          <w:rFonts w:ascii="Arial" w:cs="Arial" w:eastAsia="Arial" w:hAnsi="Arial"/>
          <w:sz w:val="18"/>
          <w:szCs w:val="18"/>
          <w:color w:val="auto"/>
        </w:rPr>
      </w:pPr>
    </w:p>
    <w:p>
      <w:pPr>
        <w:ind w:left="3712" w:hanging="895"/>
        <w:spacing w:after="0"/>
        <w:tabs>
          <w:tab w:leader="none" w:pos="37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492"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6"/>
              </w:rPr>
              <w:t>NUMBER OF</w:t>
            </w:r>
          </w:p>
        </w:tc>
        <w:tc>
          <w:tcPr>
            <w:tcW w:w="1140" w:type="dxa"/>
            <w:vAlign w:val="bottom"/>
            <w:tcBorders>
              <w:bottom w:val="single" w:sz="8" w:color="auto"/>
            </w:tcBorders>
          </w:tcPr>
          <w:p>
            <w:pPr>
              <w:spacing w:after="0"/>
              <w:rPr>
                <w:sz w:val="6"/>
                <w:szCs w:val="6"/>
                <w:color w:val="auto"/>
              </w:rPr>
            </w:pPr>
          </w:p>
        </w:tc>
        <w:tc>
          <w:tcPr>
            <w:tcW w:w="8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740" w:type="dxa"/>
            <w:vAlign w:val="bottom"/>
            <w:vMerge w:val="continue"/>
          </w:tcPr>
          <w:p>
            <w:pPr>
              <w:spacing w:after="0"/>
              <w:rPr>
                <w:sz w:val="11"/>
                <w:szCs w:val="11"/>
                <w:color w:val="auto"/>
              </w:rPr>
            </w:pPr>
          </w:p>
        </w:tc>
        <w:tc>
          <w:tcPr>
            <w:tcW w:w="114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1"/>
              </w:rPr>
              <w:t>SHARES</w:t>
            </w:r>
          </w:p>
        </w:tc>
        <w:tc>
          <w:tcPr>
            <w:tcW w:w="1140" w:type="dxa"/>
            <w:vAlign w:val="bottom"/>
            <w:vMerge w:val="continue"/>
          </w:tcPr>
          <w:p>
            <w:pPr>
              <w:spacing w:after="0"/>
              <w:rPr>
                <w:sz w:val="12"/>
                <w:szCs w:val="12"/>
                <w:color w:val="auto"/>
              </w:rPr>
            </w:pPr>
          </w:p>
        </w:tc>
        <w:tc>
          <w:tcPr>
            <w:tcW w:w="8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7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70"/>
              <w:spacing w:after="0"/>
              <w:rPr>
                <w:sz w:val="20"/>
                <w:szCs w:val="20"/>
                <w:color w:val="auto"/>
              </w:rPr>
            </w:pPr>
            <w:r>
              <w:rPr>
                <w:rFonts w:ascii="Arial" w:cs="Arial" w:eastAsia="Arial" w:hAnsi="Arial"/>
                <w:sz w:val="18"/>
                <w:szCs w:val="18"/>
                <w:color w:val="auto"/>
              </w:rPr>
              <w:t>BENEFICIALLY</w:t>
            </w:r>
          </w:p>
        </w:tc>
        <w:tc>
          <w:tcPr>
            <w:tcW w:w="1140" w:type="dxa"/>
            <w:vAlign w:val="bottom"/>
          </w:tcPr>
          <w:p>
            <w:pPr>
              <w:spacing w:after="0"/>
              <w:rPr>
                <w:sz w:val="18"/>
                <w:szCs w:val="18"/>
                <w:color w:val="auto"/>
              </w:rPr>
            </w:pP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4,318,388</w:t>
            </w:r>
          </w:p>
        </w:tc>
        <w:tc>
          <w:tcPr>
            <w:tcW w:w="0" w:type="dxa"/>
            <w:vAlign w:val="bottom"/>
          </w:tcPr>
          <w:p>
            <w:pPr>
              <w:spacing w:after="0"/>
              <w:rPr>
                <w:sz w:val="1"/>
                <w:szCs w:val="1"/>
                <w:color w:val="auto"/>
              </w:rPr>
            </w:pPr>
          </w:p>
        </w:tc>
      </w:tr>
      <w:tr>
        <w:trPr>
          <w:trHeight w:val="149"/>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7"/>
              </w:rPr>
              <w:t>OWNED BY</w:t>
            </w:r>
          </w:p>
        </w:tc>
        <w:tc>
          <w:tcPr>
            <w:tcW w:w="1140" w:type="dxa"/>
            <w:vAlign w:val="bottom"/>
          </w:tcPr>
          <w:p>
            <w:pPr>
              <w:spacing w:after="0"/>
              <w:rPr>
                <w:sz w:val="12"/>
                <w:szCs w:val="12"/>
                <w:color w:val="auto"/>
              </w:rPr>
            </w:pPr>
          </w:p>
        </w:tc>
        <w:tc>
          <w:tcPr>
            <w:tcW w:w="8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740" w:type="dxa"/>
            <w:vAlign w:val="bottom"/>
            <w:vMerge w:val="continue"/>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740" w:type="dxa"/>
            <w:vAlign w:val="bottom"/>
          </w:tcPr>
          <w:p>
            <w:pPr>
              <w:jc w:val="center"/>
              <w:ind w:right="370"/>
              <w:spacing w:after="0" w:line="189" w:lineRule="exact"/>
              <w:rPr>
                <w:sz w:val="20"/>
                <w:szCs w:val="20"/>
                <w:color w:val="auto"/>
              </w:rPr>
            </w:pPr>
            <w:r>
              <w:rPr>
                <w:rFonts w:ascii="Arial" w:cs="Arial" w:eastAsia="Arial" w:hAnsi="Arial"/>
                <w:sz w:val="18"/>
                <w:szCs w:val="18"/>
                <w:color w:val="auto"/>
                <w:w w:val="95"/>
              </w:rPr>
              <w:t>EACH</w:t>
            </w:r>
          </w:p>
        </w:tc>
        <w:tc>
          <w:tcPr>
            <w:tcW w:w="1140" w:type="dxa"/>
            <w:vAlign w:val="bottom"/>
            <w:vMerge w:val="restart"/>
          </w:tcPr>
          <w:p>
            <w:pPr>
              <w:jc w:val="right"/>
              <w:ind w:right="230"/>
              <w:spacing w:after="0"/>
              <w:rPr>
                <w:sz w:val="20"/>
                <w:szCs w:val="20"/>
                <w:color w:val="auto"/>
              </w:rPr>
            </w:pPr>
            <w:r>
              <w:rPr>
                <w:rFonts w:ascii="Arial" w:cs="Arial" w:eastAsia="Arial" w:hAnsi="Arial"/>
                <w:sz w:val="18"/>
                <w:szCs w:val="18"/>
                <w:color w:val="auto"/>
              </w:rPr>
              <w:t>(7)</w:t>
            </w: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3"/>
              </w:rPr>
              <w:t>REPORTING</w:t>
            </w:r>
          </w:p>
        </w:tc>
        <w:tc>
          <w:tcPr>
            <w:tcW w:w="1140" w:type="dxa"/>
            <w:vAlign w:val="bottom"/>
            <w:vMerge w:val="continue"/>
          </w:tcPr>
          <w:p>
            <w:pPr>
              <w:spacing w:after="0"/>
              <w:rPr>
                <w:sz w:val="8"/>
                <w:szCs w:val="8"/>
                <w:color w:val="auto"/>
              </w:rPr>
            </w:pPr>
          </w:p>
        </w:tc>
        <w:tc>
          <w:tcPr>
            <w:tcW w:w="8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70"/>
              <w:spacing w:after="0"/>
              <w:rPr>
                <w:sz w:val="20"/>
                <w:szCs w:val="20"/>
                <w:color w:val="auto"/>
              </w:rPr>
            </w:pPr>
            <w:r>
              <w:rPr>
                <w:rFonts w:ascii="Arial" w:cs="Arial" w:eastAsia="Arial" w:hAnsi="Arial"/>
                <w:sz w:val="18"/>
                <w:szCs w:val="18"/>
                <w:color w:val="auto"/>
                <w:w w:val="89"/>
              </w:rPr>
              <w:t>PERSON</w:t>
            </w:r>
          </w:p>
        </w:tc>
        <w:tc>
          <w:tcPr>
            <w:tcW w:w="1140" w:type="dxa"/>
            <w:vAlign w:val="bottom"/>
          </w:tcPr>
          <w:p>
            <w:pPr>
              <w:spacing w:after="0"/>
              <w:rPr>
                <w:sz w:val="18"/>
                <w:szCs w:val="18"/>
                <w:color w:val="auto"/>
              </w:rPr>
            </w:pP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740" w:type="dxa"/>
            <w:vAlign w:val="bottom"/>
            <w:vMerge w:val="restart"/>
          </w:tcPr>
          <w:p>
            <w:pPr>
              <w:jc w:val="center"/>
              <w:ind w:right="370"/>
              <w:spacing w:after="0" w:line="170" w:lineRule="exact"/>
              <w:rPr>
                <w:sz w:val="20"/>
                <w:szCs w:val="20"/>
                <w:color w:val="auto"/>
              </w:rPr>
            </w:pPr>
            <w:r>
              <w:rPr>
                <w:rFonts w:ascii="Arial" w:cs="Arial" w:eastAsia="Arial" w:hAnsi="Arial"/>
                <w:sz w:val="18"/>
                <w:szCs w:val="18"/>
                <w:color w:val="auto"/>
              </w:rPr>
              <w:t>WITH</w:t>
            </w:r>
          </w:p>
        </w:tc>
        <w:tc>
          <w:tcPr>
            <w:tcW w:w="1140" w:type="dxa"/>
            <w:vAlign w:val="bottom"/>
          </w:tcPr>
          <w:p>
            <w:pPr>
              <w:spacing w:after="0"/>
              <w:rPr>
                <w:sz w:val="8"/>
                <w:szCs w:val="8"/>
                <w:color w:val="auto"/>
              </w:rPr>
            </w:pPr>
          </w:p>
        </w:tc>
        <w:tc>
          <w:tcPr>
            <w:tcW w:w="8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740" w:type="dxa"/>
            <w:vAlign w:val="bottom"/>
            <w:vMerge w:val="continue"/>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712" w:right="5160" w:hanging="873"/>
        <w:spacing w:after="0" w:line="469" w:lineRule="auto"/>
        <w:tabs>
          <w:tab w:leader="none" w:pos="37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DISPOSITIVE POWER 4,318,388</w:t>
      </w:r>
    </w:p>
    <w:p>
      <w:pPr>
        <w:spacing w:after="0" w:line="1" w:lineRule="exact"/>
        <w:rPr>
          <w:rFonts w:ascii="Arial" w:cs="Arial" w:eastAsia="Arial" w:hAnsi="Arial"/>
          <w:sz w:val="18"/>
          <w:szCs w:val="18"/>
          <w:color w:val="auto"/>
        </w:rPr>
      </w:pPr>
    </w:p>
    <w:p>
      <w:pPr>
        <w:ind w:left="1212" w:right="3640" w:hanging="743"/>
        <w:spacing w:after="0" w:line="469" w:lineRule="auto"/>
        <w:tabs>
          <w:tab w:leader="none" w:pos="12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4,318,388</w:t>
      </w:r>
    </w:p>
    <w:p>
      <w:pPr>
        <w:spacing w:after="0" w:line="1" w:lineRule="exact"/>
        <w:rPr>
          <w:sz w:val="20"/>
          <w:szCs w:val="20"/>
          <w:color w:val="auto"/>
        </w:rPr>
      </w:pPr>
    </w:p>
    <w:p>
      <w:pPr>
        <w:ind w:left="1212" w:hanging="788"/>
        <w:spacing w:after="0"/>
        <w:tabs>
          <w:tab w:leader="none" w:pos="12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92" w:lineRule="exact"/>
        <w:rPr>
          <w:rFonts w:ascii="Arial" w:cs="Arial" w:eastAsia="Arial" w:hAnsi="Arial"/>
          <w:sz w:val="18"/>
          <w:szCs w:val="18"/>
          <w:color w:val="auto"/>
        </w:rPr>
      </w:pPr>
    </w:p>
    <w:p>
      <w:pPr>
        <w:ind w:left="1212"/>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0" w:lineRule="exact"/>
        <w:rPr>
          <w:rFonts w:ascii="Arial" w:cs="Arial" w:eastAsia="Arial" w:hAnsi="Arial"/>
          <w:sz w:val="18"/>
          <w:szCs w:val="18"/>
          <w:color w:val="auto"/>
        </w:rPr>
      </w:pPr>
    </w:p>
    <w:p>
      <w:pPr>
        <w:ind w:left="1212" w:right="5140" w:hanging="785"/>
        <w:spacing w:after="0" w:line="353" w:lineRule="auto"/>
        <w:tabs>
          <w:tab w:leader="none" w:pos="12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8.97%</w:t>
      </w:r>
      <w:r>
        <w:rPr>
          <w:rFonts w:ascii="Arial" w:cs="Arial" w:eastAsia="Arial" w:hAnsi="Arial"/>
          <w:sz w:val="30"/>
          <w:szCs w:val="30"/>
          <w:color w:val="auto"/>
          <w:vertAlign w:val="superscript"/>
        </w:rPr>
        <w:t>2</w:t>
      </w:r>
    </w:p>
    <w:p>
      <w:pPr>
        <w:ind w:left="1212" w:right="5860" w:hanging="788"/>
        <w:spacing w:after="0" w:line="525" w:lineRule="auto"/>
        <w:tabs>
          <w:tab w:leader="none" w:pos="12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 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0" w:lineRule="exact"/>
        <w:rPr>
          <w:sz w:val="20"/>
          <w:szCs w:val="20"/>
          <w:color w:val="auto"/>
        </w:rPr>
      </w:pPr>
    </w:p>
    <w:p>
      <w:pPr>
        <w:ind w:left="172" w:hanging="172"/>
        <w:spacing w:after="0"/>
        <w:tabs>
          <w:tab w:leader="none" w:pos="172"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Based on 48,156,690 of the Issuer’s Ordinary Shares outstanding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787" w:right="239" w:bottom="1440" w:gutter="0" w:footer="0" w:header="0"/>
        </w:sectPr>
      </w:pPr>
    </w:p>
    <w:bookmarkStart w:id="3" w:name="page4"/>
    <w:bookmarkEnd w:id="3"/>
    <w:p>
      <w:pPr>
        <w:ind w:left="72"/>
        <w:spacing w:after="0"/>
        <w:tabs>
          <w:tab w:leader="none" w:pos="10512" w:val="left"/>
        </w:tabs>
        <w:rPr>
          <w:sz w:val="20"/>
          <w:szCs w:val="20"/>
          <w:color w:val="auto"/>
        </w:rPr>
      </w:pPr>
      <w:r>
        <w:rPr>
          <w:rFonts w:ascii="Arial" w:cs="Arial" w:eastAsia="Arial" w:hAnsi="Arial"/>
          <w:sz w:val="18"/>
          <w:szCs w:val="18"/>
          <w:color w:val="auto"/>
        </w:rPr>
        <w:t>CUSIP No. G5509L101</w:t>
      </w:r>
      <w:r>
        <w:rPr>
          <w:sz w:val="20"/>
          <w:szCs w:val="20"/>
          <w:color w:val="auto"/>
        </w:rPr>
        <w:tab/>
      </w:r>
      <w:r>
        <w:rPr>
          <w:rFonts w:ascii="Arial" w:cs="Arial" w:eastAsia="Arial" w:hAnsi="Arial"/>
          <w:sz w:val="16"/>
          <w:szCs w:val="16"/>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246620" cy="6191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6191885"/>
                    </a:xfrm>
                    <a:prstGeom prst="rect">
                      <a:avLst/>
                    </a:prstGeom>
                    <a:noFill/>
                  </pic:spPr>
                </pic:pic>
              </a:graphicData>
            </a:graphic>
          </wp:anchor>
        </w:drawing>
      </w:r>
    </w:p>
    <w:p>
      <w:pPr>
        <w:spacing w:after="0" w:line="367" w:lineRule="exact"/>
        <w:rPr>
          <w:sz w:val="20"/>
          <w:szCs w:val="20"/>
          <w:color w:val="auto"/>
        </w:rPr>
      </w:pPr>
    </w:p>
    <w:p>
      <w:pPr>
        <w:ind w:left="1212" w:right="7360" w:hanging="743"/>
        <w:spacing w:after="0" w:line="469" w:lineRule="auto"/>
        <w:tabs>
          <w:tab w:leader="none" w:pos="12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 Tower 6 S. à r.l.</w:t>
      </w:r>
    </w:p>
    <w:p>
      <w:pPr>
        <w:spacing w:after="0" w:line="1" w:lineRule="exact"/>
        <w:rPr>
          <w:rFonts w:ascii="Arial" w:cs="Arial" w:eastAsia="Arial" w:hAnsi="Arial"/>
          <w:sz w:val="18"/>
          <w:szCs w:val="18"/>
          <w:color w:val="auto"/>
        </w:rPr>
      </w:pPr>
    </w:p>
    <w:p>
      <w:pPr>
        <w:ind w:left="1212" w:hanging="743"/>
        <w:spacing w:after="0"/>
        <w:tabs>
          <w:tab w:leader="none" w:pos="12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1212"/>
        <w:spacing w:after="0" w:line="207" w:lineRule="exact"/>
        <w:tabs>
          <w:tab w:leader="none" w:pos="2012"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78" w:lineRule="exact"/>
        <w:rPr>
          <w:sz w:val="20"/>
          <w:szCs w:val="20"/>
          <w:color w:val="auto"/>
        </w:rPr>
      </w:pPr>
    </w:p>
    <w:p>
      <w:pPr>
        <w:ind w:left="1212" w:hanging="743"/>
        <w:spacing w:after="0"/>
        <w:tabs>
          <w:tab w:leader="none" w:pos="12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212" w:right="6520" w:hanging="743"/>
        <w:spacing w:after="0" w:line="469" w:lineRule="auto"/>
        <w:tabs>
          <w:tab w:leader="none" w:pos="12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Luxembourg</w:t>
      </w:r>
    </w:p>
    <w:p>
      <w:pPr>
        <w:spacing w:after="0" w:line="1" w:lineRule="exact"/>
        <w:rPr>
          <w:rFonts w:ascii="Arial" w:cs="Arial" w:eastAsia="Arial" w:hAnsi="Arial"/>
          <w:sz w:val="18"/>
          <w:szCs w:val="18"/>
          <w:color w:val="auto"/>
        </w:rPr>
      </w:pPr>
    </w:p>
    <w:p>
      <w:pPr>
        <w:ind w:left="3712" w:hanging="895"/>
        <w:spacing w:after="0"/>
        <w:tabs>
          <w:tab w:leader="none" w:pos="3712"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492"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6"/>
              </w:rPr>
              <w:t>NUMBER OF</w:t>
            </w:r>
          </w:p>
        </w:tc>
        <w:tc>
          <w:tcPr>
            <w:tcW w:w="1140" w:type="dxa"/>
            <w:vAlign w:val="bottom"/>
            <w:tcBorders>
              <w:bottom w:val="single" w:sz="8" w:color="auto"/>
            </w:tcBorders>
          </w:tcPr>
          <w:p>
            <w:pPr>
              <w:spacing w:after="0"/>
              <w:rPr>
                <w:sz w:val="6"/>
                <w:szCs w:val="6"/>
                <w:color w:val="auto"/>
              </w:rPr>
            </w:pPr>
          </w:p>
        </w:tc>
        <w:tc>
          <w:tcPr>
            <w:tcW w:w="8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740" w:type="dxa"/>
            <w:vAlign w:val="bottom"/>
            <w:vMerge w:val="continue"/>
          </w:tcPr>
          <w:p>
            <w:pPr>
              <w:spacing w:after="0"/>
              <w:rPr>
                <w:sz w:val="11"/>
                <w:szCs w:val="11"/>
                <w:color w:val="auto"/>
              </w:rPr>
            </w:pPr>
          </w:p>
        </w:tc>
        <w:tc>
          <w:tcPr>
            <w:tcW w:w="114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1"/>
              </w:rPr>
              <w:t>SHARES</w:t>
            </w:r>
          </w:p>
        </w:tc>
        <w:tc>
          <w:tcPr>
            <w:tcW w:w="1140" w:type="dxa"/>
            <w:vAlign w:val="bottom"/>
            <w:vMerge w:val="continue"/>
          </w:tcPr>
          <w:p>
            <w:pPr>
              <w:spacing w:after="0"/>
              <w:rPr>
                <w:sz w:val="12"/>
                <w:szCs w:val="12"/>
                <w:color w:val="auto"/>
              </w:rPr>
            </w:pPr>
          </w:p>
        </w:tc>
        <w:tc>
          <w:tcPr>
            <w:tcW w:w="8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7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70"/>
              <w:spacing w:after="0"/>
              <w:rPr>
                <w:sz w:val="20"/>
                <w:szCs w:val="20"/>
                <w:color w:val="auto"/>
              </w:rPr>
            </w:pPr>
            <w:r>
              <w:rPr>
                <w:rFonts w:ascii="Arial" w:cs="Arial" w:eastAsia="Arial" w:hAnsi="Arial"/>
                <w:sz w:val="18"/>
                <w:szCs w:val="18"/>
                <w:color w:val="auto"/>
              </w:rPr>
              <w:t>BENEFICIALLY</w:t>
            </w:r>
          </w:p>
        </w:tc>
        <w:tc>
          <w:tcPr>
            <w:tcW w:w="1140" w:type="dxa"/>
            <w:vAlign w:val="bottom"/>
          </w:tcPr>
          <w:p>
            <w:pPr>
              <w:spacing w:after="0"/>
              <w:rPr>
                <w:sz w:val="18"/>
                <w:szCs w:val="18"/>
                <w:color w:val="auto"/>
              </w:rPr>
            </w:pP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4,318,388</w:t>
            </w:r>
          </w:p>
        </w:tc>
        <w:tc>
          <w:tcPr>
            <w:tcW w:w="0" w:type="dxa"/>
            <w:vAlign w:val="bottom"/>
          </w:tcPr>
          <w:p>
            <w:pPr>
              <w:spacing w:after="0"/>
              <w:rPr>
                <w:sz w:val="1"/>
                <w:szCs w:val="1"/>
                <w:color w:val="auto"/>
              </w:rPr>
            </w:pPr>
          </w:p>
        </w:tc>
      </w:tr>
      <w:tr>
        <w:trPr>
          <w:trHeight w:val="149"/>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7"/>
              </w:rPr>
              <w:t>OWNED BY</w:t>
            </w:r>
          </w:p>
        </w:tc>
        <w:tc>
          <w:tcPr>
            <w:tcW w:w="1140" w:type="dxa"/>
            <w:vAlign w:val="bottom"/>
          </w:tcPr>
          <w:p>
            <w:pPr>
              <w:spacing w:after="0"/>
              <w:rPr>
                <w:sz w:val="12"/>
                <w:szCs w:val="12"/>
                <w:color w:val="auto"/>
              </w:rPr>
            </w:pPr>
          </w:p>
        </w:tc>
        <w:tc>
          <w:tcPr>
            <w:tcW w:w="8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740" w:type="dxa"/>
            <w:vAlign w:val="bottom"/>
            <w:vMerge w:val="continue"/>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740" w:type="dxa"/>
            <w:vAlign w:val="bottom"/>
          </w:tcPr>
          <w:p>
            <w:pPr>
              <w:jc w:val="center"/>
              <w:ind w:right="370"/>
              <w:spacing w:after="0" w:line="189" w:lineRule="exact"/>
              <w:rPr>
                <w:sz w:val="20"/>
                <w:szCs w:val="20"/>
                <w:color w:val="auto"/>
              </w:rPr>
            </w:pPr>
            <w:r>
              <w:rPr>
                <w:rFonts w:ascii="Arial" w:cs="Arial" w:eastAsia="Arial" w:hAnsi="Arial"/>
                <w:sz w:val="18"/>
                <w:szCs w:val="18"/>
                <w:color w:val="auto"/>
                <w:w w:val="95"/>
              </w:rPr>
              <w:t>EACH</w:t>
            </w:r>
          </w:p>
        </w:tc>
        <w:tc>
          <w:tcPr>
            <w:tcW w:w="1140" w:type="dxa"/>
            <w:vAlign w:val="bottom"/>
            <w:vMerge w:val="restart"/>
          </w:tcPr>
          <w:p>
            <w:pPr>
              <w:jc w:val="right"/>
              <w:ind w:right="230"/>
              <w:spacing w:after="0"/>
              <w:rPr>
                <w:sz w:val="20"/>
                <w:szCs w:val="20"/>
                <w:color w:val="auto"/>
              </w:rPr>
            </w:pPr>
            <w:r>
              <w:rPr>
                <w:rFonts w:ascii="Arial" w:cs="Arial" w:eastAsia="Arial" w:hAnsi="Arial"/>
                <w:sz w:val="18"/>
                <w:szCs w:val="18"/>
                <w:color w:val="auto"/>
              </w:rPr>
              <w:t>(7)</w:t>
            </w: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3"/>
              </w:rPr>
              <w:t>REPORTING</w:t>
            </w:r>
          </w:p>
        </w:tc>
        <w:tc>
          <w:tcPr>
            <w:tcW w:w="1140" w:type="dxa"/>
            <w:vAlign w:val="bottom"/>
            <w:vMerge w:val="continue"/>
          </w:tcPr>
          <w:p>
            <w:pPr>
              <w:spacing w:after="0"/>
              <w:rPr>
                <w:sz w:val="8"/>
                <w:szCs w:val="8"/>
                <w:color w:val="auto"/>
              </w:rPr>
            </w:pPr>
          </w:p>
        </w:tc>
        <w:tc>
          <w:tcPr>
            <w:tcW w:w="8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70"/>
              <w:spacing w:after="0"/>
              <w:rPr>
                <w:sz w:val="20"/>
                <w:szCs w:val="20"/>
                <w:color w:val="auto"/>
              </w:rPr>
            </w:pPr>
            <w:r>
              <w:rPr>
                <w:rFonts w:ascii="Arial" w:cs="Arial" w:eastAsia="Arial" w:hAnsi="Arial"/>
                <w:sz w:val="18"/>
                <w:szCs w:val="18"/>
                <w:color w:val="auto"/>
                <w:w w:val="89"/>
              </w:rPr>
              <w:t>PERSON</w:t>
            </w:r>
          </w:p>
        </w:tc>
        <w:tc>
          <w:tcPr>
            <w:tcW w:w="1140" w:type="dxa"/>
            <w:vAlign w:val="bottom"/>
          </w:tcPr>
          <w:p>
            <w:pPr>
              <w:spacing w:after="0"/>
              <w:rPr>
                <w:sz w:val="18"/>
                <w:szCs w:val="18"/>
                <w:color w:val="auto"/>
              </w:rPr>
            </w:pP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740" w:type="dxa"/>
            <w:vAlign w:val="bottom"/>
            <w:vMerge w:val="restart"/>
          </w:tcPr>
          <w:p>
            <w:pPr>
              <w:jc w:val="center"/>
              <w:ind w:right="370"/>
              <w:spacing w:after="0" w:line="170" w:lineRule="exact"/>
              <w:rPr>
                <w:sz w:val="20"/>
                <w:szCs w:val="20"/>
                <w:color w:val="auto"/>
              </w:rPr>
            </w:pPr>
            <w:r>
              <w:rPr>
                <w:rFonts w:ascii="Arial" w:cs="Arial" w:eastAsia="Arial" w:hAnsi="Arial"/>
                <w:sz w:val="18"/>
                <w:szCs w:val="18"/>
                <w:color w:val="auto"/>
              </w:rPr>
              <w:t>WITH</w:t>
            </w:r>
          </w:p>
        </w:tc>
        <w:tc>
          <w:tcPr>
            <w:tcW w:w="1140" w:type="dxa"/>
            <w:vAlign w:val="bottom"/>
          </w:tcPr>
          <w:p>
            <w:pPr>
              <w:spacing w:after="0"/>
              <w:rPr>
                <w:sz w:val="8"/>
                <w:szCs w:val="8"/>
                <w:color w:val="auto"/>
              </w:rPr>
            </w:pPr>
          </w:p>
        </w:tc>
        <w:tc>
          <w:tcPr>
            <w:tcW w:w="8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740" w:type="dxa"/>
            <w:vAlign w:val="bottom"/>
            <w:vMerge w:val="continue"/>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712" w:right="5160" w:hanging="873"/>
        <w:spacing w:after="0" w:line="469" w:lineRule="auto"/>
        <w:tabs>
          <w:tab w:leader="none" w:pos="37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DISPOSITIVE POWER 4,318,388</w:t>
      </w:r>
    </w:p>
    <w:p>
      <w:pPr>
        <w:spacing w:after="0" w:line="1" w:lineRule="exact"/>
        <w:rPr>
          <w:rFonts w:ascii="Arial" w:cs="Arial" w:eastAsia="Arial" w:hAnsi="Arial"/>
          <w:sz w:val="18"/>
          <w:szCs w:val="18"/>
          <w:color w:val="auto"/>
        </w:rPr>
      </w:pPr>
    </w:p>
    <w:p>
      <w:pPr>
        <w:ind w:left="1212" w:right="3640" w:hanging="743"/>
        <w:spacing w:after="0" w:line="469" w:lineRule="auto"/>
        <w:tabs>
          <w:tab w:leader="none" w:pos="12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4,318,388</w:t>
      </w:r>
    </w:p>
    <w:p>
      <w:pPr>
        <w:spacing w:after="0" w:line="1" w:lineRule="exact"/>
        <w:rPr>
          <w:sz w:val="20"/>
          <w:szCs w:val="20"/>
          <w:color w:val="auto"/>
        </w:rPr>
      </w:pPr>
    </w:p>
    <w:p>
      <w:pPr>
        <w:ind w:left="1212" w:hanging="788"/>
        <w:spacing w:after="0"/>
        <w:tabs>
          <w:tab w:leader="none" w:pos="12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92" w:lineRule="exact"/>
        <w:rPr>
          <w:rFonts w:ascii="Arial" w:cs="Arial" w:eastAsia="Arial" w:hAnsi="Arial"/>
          <w:sz w:val="18"/>
          <w:szCs w:val="18"/>
          <w:color w:val="auto"/>
        </w:rPr>
      </w:pPr>
    </w:p>
    <w:p>
      <w:pPr>
        <w:ind w:left="1212"/>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0" w:lineRule="exact"/>
        <w:rPr>
          <w:rFonts w:ascii="Arial" w:cs="Arial" w:eastAsia="Arial" w:hAnsi="Arial"/>
          <w:sz w:val="18"/>
          <w:szCs w:val="18"/>
          <w:color w:val="auto"/>
        </w:rPr>
      </w:pPr>
    </w:p>
    <w:p>
      <w:pPr>
        <w:ind w:left="1212" w:right="5140" w:hanging="785"/>
        <w:spacing w:after="0" w:line="353" w:lineRule="auto"/>
        <w:tabs>
          <w:tab w:leader="none" w:pos="12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(9) 8.97%</w:t>
      </w:r>
      <w:r>
        <w:rPr>
          <w:rFonts w:ascii="Arial" w:cs="Arial" w:eastAsia="Arial" w:hAnsi="Arial"/>
          <w:sz w:val="30"/>
          <w:szCs w:val="30"/>
          <w:color w:val="auto"/>
          <w:vertAlign w:val="superscript"/>
        </w:rPr>
        <w:t>3</w:t>
      </w:r>
    </w:p>
    <w:p>
      <w:pPr>
        <w:ind w:left="1212" w:right="5860" w:hanging="788"/>
        <w:spacing w:after="0" w:line="525" w:lineRule="auto"/>
        <w:tabs>
          <w:tab w:leader="none" w:pos="12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 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0" w:lineRule="exact"/>
        <w:rPr>
          <w:sz w:val="20"/>
          <w:szCs w:val="20"/>
          <w:color w:val="auto"/>
        </w:rPr>
      </w:pPr>
    </w:p>
    <w:p>
      <w:pPr>
        <w:ind w:left="172" w:hanging="172"/>
        <w:spacing w:after="0"/>
        <w:tabs>
          <w:tab w:leader="none" w:pos="172"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Based on 48,156,690 of the Issuer’s Ordinary Shares outstanding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787" w:right="239" w:bottom="1440" w:gutter="0" w:footer="0" w:header="0"/>
        </w:sectPr>
      </w:pPr>
    </w:p>
    <w:bookmarkStart w:id="4" w:name="page5"/>
    <w:bookmarkEnd w:id="4"/>
    <w:p>
      <w:pPr>
        <w:ind w:left="72"/>
        <w:spacing w:after="0"/>
        <w:tabs>
          <w:tab w:leader="none" w:pos="10512" w:val="left"/>
        </w:tabs>
        <w:rPr>
          <w:sz w:val="20"/>
          <w:szCs w:val="20"/>
          <w:color w:val="auto"/>
        </w:rPr>
      </w:pPr>
      <w:r>
        <w:rPr>
          <w:rFonts w:ascii="Arial" w:cs="Arial" w:eastAsia="Arial" w:hAnsi="Arial"/>
          <w:sz w:val="18"/>
          <w:szCs w:val="18"/>
          <w:color w:val="auto"/>
        </w:rPr>
        <w:t>CUSIP No. G5509L101</w:t>
      </w:r>
      <w:r>
        <w:rPr>
          <w:sz w:val="20"/>
          <w:szCs w:val="20"/>
          <w:color w:val="auto"/>
        </w:rPr>
        <w:tab/>
      </w:r>
      <w:r>
        <w:rPr>
          <w:rFonts w:ascii="Arial" w:cs="Arial" w:eastAsia="Arial" w:hAnsi="Arial"/>
          <w:sz w:val="16"/>
          <w:szCs w:val="16"/>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246620" cy="6191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6191885"/>
                    </a:xfrm>
                    <a:prstGeom prst="rect">
                      <a:avLst/>
                    </a:prstGeom>
                    <a:noFill/>
                  </pic:spPr>
                </pic:pic>
              </a:graphicData>
            </a:graphic>
          </wp:anchor>
        </w:drawing>
      </w:r>
    </w:p>
    <w:p>
      <w:pPr>
        <w:spacing w:after="0" w:line="367" w:lineRule="exact"/>
        <w:rPr>
          <w:sz w:val="20"/>
          <w:szCs w:val="20"/>
          <w:color w:val="auto"/>
        </w:rPr>
      </w:pPr>
    </w:p>
    <w:p>
      <w:pPr>
        <w:ind w:left="1212" w:right="7360" w:hanging="765"/>
        <w:spacing w:after="0" w:line="469" w:lineRule="auto"/>
        <w:tabs>
          <w:tab w:leader="none" w:pos="12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 Tower 6 Bis S. à r.l.</w:t>
      </w:r>
    </w:p>
    <w:p>
      <w:pPr>
        <w:spacing w:after="0" w:line="1" w:lineRule="exact"/>
        <w:rPr>
          <w:rFonts w:ascii="Arial" w:cs="Arial" w:eastAsia="Arial" w:hAnsi="Arial"/>
          <w:sz w:val="18"/>
          <w:szCs w:val="18"/>
          <w:color w:val="auto"/>
        </w:rPr>
      </w:pPr>
    </w:p>
    <w:p>
      <w:pPr>
        <w:ind w:left="1212" w:hanging="743"/>
        <w:spacing w:after="0"/>
        <w:tabs>
          <w:tab w:leader="none" w:pos="1212"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1212"/>
        <w:spacing w:after="0" w:line="207" w:lineRule="exact"/>
        <w:tabs>
          <w:tab w:leader="none" w:pos="2012"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78" w:lineRule="exact"/>
        <w:rPr>
          <w:sz w:val="20"/>
          <w:szCs w:val="20"/>
          <w:color w:val="auto"/>
        </w:rPr>
      </w:pPr>
    </w:p>
    <w:p>
      <w:pPr>
        <w:ind w:left="1212" w:hanging="743"/>
        <w:spacing w:after="0"/>
        <w:tabs>
          <w:tab w:leader="none" w:pos="12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212" w:right="6520" w:hanging="743"/>
        <w:spacing w:after="0" w:line="469" w:lineRule="auto"/>
        <w:tabs>
          <w:tab w:leader="none" w:pos="12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 Luxembourg</w:t>
      </w:r>
    </w:p>
    <w:p>
      <w:pPr>
        <w:spacing w:after="0" w:line="1" w:lineRule="exact"/>
        <w:rPr>
          <w:rFonts w:ascii="Arial" w:cs="Arial" w:eastAsia="Arial" w:hAnsi="Arial"/>
          <w:sz w:val="18"/>
          <w:szCs w:val="18"/>
          <w:color w:val="auto"/>
        </w:rPr>
      </w:pPr>
    </w:p>
    <w:p>
      <w:pPr>
        <w:ind w:left="3712" w:hanging="895"/>
        <w:spacing w:after="0"/>
        <w:tabs>
          <w:tab w:leader="none" w:pos="3712"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492"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6"/>
              </w:rPr>
              <w:t>NUMBER OF</w:t>
            </w:r>
          </w:p>
        </w:tc>
        <w:tc>
          <w:tcPr>
            <w:tcW w:w="1140" w:type="dxa"/>
            <w:vAlign w:val="bottom"/>
            <w:tcBorders>
              <w:bottom w:val="single" w:sz="8" w:color="auto"/>
            </w:tcBorders>
          </w:tcPr>
          <w:p>
            <w:pPr>
              <w:spacing w:after="0"/>
              <w:rPr>
                <w:sz w:val="6"/>
                <w:szCs w:val="6"/>
                <w:color w:val="auto"/>
              </w:rPr>
            </w:pPr>
          </w:p>
        </w:tc>
        <w:tc>
          <w:tcPr>
            <w:tcW w:w="8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740" w:type="dxa"/>
            <w:vAlign w:val="bottom"/>
            <w:vMerge w:val="continue"/>
          </w:tcPr>
          <w:p>
            <w:pPr>
              <w:spacing w:after="0"/>
              <w:rPr>
                <w:sz w:val="11"/>
                <w:szCs w:val="11"/>
                <w:color w:val="auto"/>
              </w:rPr>
            </w:pPr>
          </w:p>
        </w:tc>
        <w:tc>
          <w:tcPr>
            <w:tcW w:w="114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1"/>
              </w:rPr>
              <w:t>SHARES</w:t>
            </w:r>
          </w:p>
        </w:tc>
        <w:tc>
          <w:tcPr>
            <w:tcW w:w="1140" w:type="dxa"/>
            <w:vAlign w:val="bottom"/>
            <w:vMerge w:val="continue"/>
          </w:tcPr>
          <w:p>
            <w:pPr>
              <w:spacing w:after="0"/>
              <w:rPr>
                <w:sz w:val="12"/>
                <w:szCs w:val="12"/>
                <w:color w:val="auto"/>
              </w:rPr>
            </w:pPr>
          </w:p>
        </w:tc>
        <w:tc>
          <w:tcPr>
            <w:tcW w:w="8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7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70"/>
              <w:spacing w:after="0"/>
              <w:rPr>
                <w:sz w:val="20"/>
                <w:szCs w:val="20"/>
                <w:color w:val="auto"/>
              </w:rPr>
            </w:pPr>
            <w:r>
              <w:rPr>
                <w:rFonts w:ascii="Arial" w:cs="Arial" w:eastAsia="Arial" w:hAnsi="Arial"/>
                <w:sz w:val="18"/>
                <w:szCs w:val="18"/>
                <w:color w:val="auto"/>
              </w:rPr>
              <w:t>BENEFICIALLY</w:t>
            </w:r>
          </w:p>
        </w:tc>
        <w:tc>
          <w:tcPr>
            <w:tcW w:w="1140" w:type="dxa"/>
            <w:vAlign w:val="bottom"/>
          </w:tcPr>
          <w:p>
            <w:pPr>
              <w:spacing w:after="0"/>
              <w:rPr>
                <w:sz w:val="18"/>
                <w:szCs w:val="18"/>
                <w:color w:val="auto"/>
              </w:rPr>
            </w:pP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756,103</w:t>
            </w:r>
          </w:p>
        </w:tc>
        <w:tc>
          <w:tcPr>
            <w:tcW w:w="0" w:type="dxa"/>
            <w:vAlign w:val="bottom"/>
          </w:tcPr>
          <w:p>
            <w:pPr>
              <w:spacing w:after="0"/>
              <w:rPr>
                <w:sz w:val="1"/>
                <w:szCs w:val="1"/>
                <w:color w:val="auto"/>
              </w:rPr>
            </w:pPr>
          </w:p>
        </w:tc>
      </w:tr>
      <w:tr>
        <w:trPr>
          <w:trHeight w:val="149"/>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7"/>
              </w:rPr>
              <w:t>OWNED BY</w:t>
            </w:r>
          </w:p>
        </w:tc>
        <w:tc>
          <w:tcPr>
            <w:tcW w:w="1140" w:type="dxa"/>
            <w:vAlign w:val="bottom"/>
          </w:tcPr>
          <w:p>
            <w:pPr>
              <w:spacing w:after="0"/>
              <w:rPr>
                <w:sz w:val="12"/>
                <w:szCs w:val="12"/>
                <w:color w:val="auto"/>
              </w:rPr>
            </w:pPr>
          </w:p>
        </w:tc>
        <w:tc>
          <w:tcPr>
            <w:tcW w:w="8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740" w:type="dxa"/>
            <w:vAlign w:val="bottom"/>
            <w:vMerge w:val="continue"/>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740" w:type="dxa"/>
            <w:vAlign w:val="bottom"/>
          </w:tcPr>
          <w:p>
            <w:pPr>
              <w:jc w:val="center"/>
              <w:ind w:right="370"/>
              <w:spacing w:after="0" w:line="189" w:lineRule="exact"/>
              <w:rPr>
                <w:sz w:val="20"/>
                <w:szCs w:val="20"/>
                <w:color w:val="auto"/>
              </w:rPr>
            </w:pPr>
            <w:r>
              <w:rPr>
                <w:rFonts w:ascii="Arial" w:cs="Arial" w:eastAsia="Arial" w:hAnsi="Arial"/>
                <w:sz w:val="18"/>
                <w:szCs w:val="18"/>
                <w:color w:val="auto"/>
                <w:w w:val="95"/>
              </w:rPr>
              <w:t>EACH</w:t>
            </w:r>
          </w:p>
        </w:tc>
        <w:tc>
          <w:tcPr>
            <w:tcW w:w="1140" w:type="dxa"/>
            <w:vAlign w:val="bottom"/>
            <w:vMerge w:val="restart"/>
          </w:tcPr>
          <w:p>
            <w:pPr>
              <w:jc w:val="right"/>
              <w:ind w:right="230"/>
              <w:spacing w:after="0"/>
              <w:rPr>
                <w:sz w:val="20"/>
                <w:szCs w:val="20"/>
                <w:color w:val="auto"/>
              </w:rPr>
            </w:pPr>
            <w:r>
              <w:rPr>
                <w:rFonts w:ascii="Arial" w:cs="Arial" w:eastAsia="Arial" w:hAnsi="Arial"/>
                <w:sz w:val="18"/>
                <w:szCs w:val="18"/>
                <w:color w:val="auto"/>
              </w:rPr>
              <w:t>(7)</w:t>
            </w: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3"/>
              </w:rPr>
              <w:t>REPORTING</w:t>
            </w:r>
          </w:p>
        </w:tc>
        <w:tc>
          <w:tcPr>
            <w:tcW w:w="1140" w:type="dxa"/>
            <w:vAlign w:val="bottom"/>
            <w:vMerge w:val="continue"/>
          </w:tcPr>
          <w:p>
            <w:pPr>
              <w:spacing w:after="0"/>
              <w:rPr>
                <w:sz w:val="8"/>
                <w:szCs w:val="8"/>
                <w:color w:val="auto"/>
              </w:rPr>
            </w:pPr>
          </w:p>
        </w:tc>
        <w:tc>
          <w:tcPr>
            <w:tcW w:w="8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70"/>
              <w:spacing w:after="0"/>
              <w:rPr>
                <w:sz w:val="20"/>
                <w:szCs w:val="20"/>
                <w:color w:val="auto"/>
              </w:rPr>
            </w:pPr>
            <w:r>
              <w:rPr>
                <w:rFonts w:ascii="Arial" w:cs="Arial" w:eastAsia="Arial" w:hAnsi="Arial"/>
                <w:sz w:val="18"/>
                <w:szCs w:val="18"/>
                <w:color w:val="auto"/>
                <w:w w:val="89"/>
              </w:rPr>
              <w:t>PERSON</w:t>
            </w:r>
          </w:p>
        </w:tc>
        <w:tc>
          <w:tcPr>
            <w:tcW w:w="1140" w:type="dxa"/>
            <w:vAlign w:val="bottom"/>
          </w:tcPr>
          <w:p>
            <w:pPr>
              <w:spacing w:after="0"/>
              <w:rPr>
                <w:sz w:val="18"/>
                <w:szCs w:val="18"/>
                <w:color w:val="auto"/>
              </w:rPr>
            </w:pP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740" w:type="dxa"/>
            <w:vAlign w:val="bottom"/>
            <w:vMerge w:val="restart"/>
          </w:tcPr>
          <w:p>
            <w:pPr>
              <w:jc w:val="center"/>
              <w:ind w:right="370"/>
              <w:spacing w:after="0" w:line="170" w:lineRule="exact"/>
              <w:rPr>
                <w:sz w:val="20"/>
                <w:szCs w:val="20"/>
                <w:color w:val="auto"/>
              </w:rPr>
            </w:pPr>
            <w:r>
              <w:rPr>
                <w:rFonts w:ascii="Arial" w:cs="Arial" w:eastAsia="Arial" w:hAnsi="Arial"/>
                <w:sz w:val="18"/>
                <w:szCs w:val="18"/>
                <w:color w:val="auto"/>
              </w:rPr>
              <w:t>WITH</w:t>
            </w:r>
          </w:p>
        </w:tc>
        <w:tc>
          <w:tcPr>
            <w:tcW w:w="1140" w:type="dxa"/>
            <w:vAlign w:val="bottom"/>
          </w:tcPr>
          <w:p>
            <w:pPr>
              <w:spacing w:after="0"/>
              <w:rPr>
                <w:sz w:val="8"/>
                <w:szCs w:val="8"/>
                <w:color w:val="auto"/>
              </w:rPr>
            </w:pPr>
          </w:p>
        </w:tc>
        <w:tc>
          <w:tcPr>
            <w:tcW w:w="8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740" w:type="dxa"/>
            <w:vAlign w:val="bottom"/>
            <w:vMerge w:val="continue"/>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712" w:right="5160" w:hanging="873"/>
        <w:spacing w:after="0" w:line="469" w:lineRule="auto"/>
        <w:tabs>
          <w:tab w:leader="none" w:pos="3712"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SHARED DISPOSITIVE POWER 756,103</w:t>
      </w:r>
    </w:p>
    <w:p>
      <w:pPr>
        <w:spacing w:after="0" w:line="1" w:lineRule="exact"/>
        <w:rPr>
          <w:rFonts w:ascii="Arial" w:cs="Arial" w:eastAsia="Arial" w:hAnsi="Arial"/>
          <w:sz w:val="18"/>
          <w:szCs w:val="18"/>
          <w:color w:val="auto"/>
        </w:rPr>
      </w:pPr>
    </w:p>
    <w:p>
      <w:pPr>
        <w:ind w:left="1212" w:right="3640" w:hanging="743"/>
        <w:spacing w:after="0" w:line="469" w:lineRule="auto"/>
        <w:tabs>
          <w:tab w:leader="none" w:pos="12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756,103</w:t>
      </w:r>
    </w:p>
    <w:p>
      <w:pPr>
        <w:spacing w:after="0" w:line="1" w:lineRule="exact"/>
        <w:rPr>
          <w:sz w:val="20"/>
          <w:szCs w:val="20"/>
          <w:color w:val="auto"/>
        </w:rPr>
      </w:pPr>
    </w:p>
    <w:p>
      <w:pPr>
        <w:ind w:left="1212" w:hanging="788"/>
        <w:spacing w:after="0"/>
        <w:tabs>
          <w:tab w:leader="none" w:pos="12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92" w:lineRule="exact"/>
        <w:rPr>
          <w:rFonts w:ascii="Arial" w:cs="Arial" w:eastAsia="Arial" w:hAnsi="Arial"/>
          <w:sz w:val="18"/>
          <w:szCs w:val="18"/>
          <w:color w:val="auto"/>
        </w:rPr>
      </w:pPr>
    </w:p>
    <w:p>
      <w:pPr>
        <w:ind w:left="1212"/>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0" w:lineRule="exact"/>
        <w:rPr>
          <w:rFonts w:ascii="Arial" w:cs="Arial" w:eastAsia="Arial" w:hAnsi="Arial"/>
          <w:sz w:val="18"/>
          <w:szCs w:val="18"/>
          <w:color w:val="auto"/>
        </w:rPr>
      </w:pPr>
    </w:p>
    <w:p>
      <w:pPr>
        <w:ind w:left="1212" w:right="5140" w:hanging="785"/>
        <w:spacing w:after="0" w:line="353" w:lineRule="auto"/>
        <w:tabs>
          <w:tab w:leader="none" w:pos="12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(9) 1.57%</w:t>
      </w:r>
      <w:r>
        <w:rPr>
          <w:rFonts w:ascii="Arial" w:cs="Arial" w:eastAsia="Arial" w:hAnsi="Arial"/>
          <w:sz w:val="30"/>
          <w:szCs w:val="30"/>
          <w:color w:val="auto"/>
          <w:vertAlign w:val="superscript"/>
        </w:rPr>
        <w:t>4</w:t>
      </w:r>
    </w:p>
    <w:p>
      <w:pPr>
        <w:ind w:left="1212" w:right="5860" w:hanging="788"/>
        <w:spacing w:after="0" w:line="525" w:lineRule="auto"/>
        <w:tabs>
          <w:tab w:leader="none" w:pos="12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 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9" w:lineRule="exact"/>
        <w:rPr>
          <w:sz w:val="20"/>
          <w:szCs w:val="20"/>
          <w:color w:val="auto"/>
        </w:rPr>
      </w:pPr>
    </w:p>
    <w:p>
      <w:pPr>
        <w:ind w:left="172" w:hanging="172"/>
        <w:spacing w:after="0"/>
        <w:tabs>
          <w:tab w:leader="none" w:pos="172"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Based on 48,156,690 of the Issuer’s Ordinary Shares outstanding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787" w:right="239" w:bottom="1440" w:gutter="0" w:footer="0" w:header="0"/>
        </w:sectPr>
      </w:pPr>
    </w:p>
    <w:bookmarkStart w:id="5" w:name="page6"/>
    <w:bookmarkEnd w:id="5"/>
    <w:p>
      <w:pPr>
        <w:ind w:left="72"/>
        <w:spacing w:after="0"/>
        <w:tabs>
          <w:tab w:leader="none" w:pos="10512" w:val="left"/>
        </w:tabs>
        <w:rPr>
          <w:sz w:val="20"/>
          <w:szCs w:val="20"/>
          <w:color w:val="auto"/>
        </w:rPr>
      </w:pPr>
      <w:r>
        <w:rPr>
          <w:rFonts w:ascii="Arial" w:cs="Arial" w:eastAsia="Arial" w:hAnsi="Arial"/>
          <w:sz w:val="18"/>
          <w:szCs w:val="18"/>
          <w:color w:val="auto"/>
        </w:rPr>
        <w:t>CUSIP No. G5509L101</w:t>
      </w:r>
      <w:r>
        <w:rPr>
          <w:sz w:val="20"/>
          <w:szCs w:val="20"/>
          <w:color w:val="auto"/>
        </w:rPr>
        <w:tab/>
      </w:r>
      <w:r>
        <w:rPr>
          <w:rFonts w:ascii="Arial" w:cs="Arial" w:eastAsia="Arial" w:hAnsi="Arial"/>
          <w:sz w:val="16"/>
          <w:szCs w:val="16"/>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246620" cy="6191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6191885"/>
                    </a:xfrm>
                    <a:prstGeom prst="rect">
                      <a:avLst/>
                    </a:prstGeom>
                    <a:noFill/>
                  </pic:spPr>
                </pic:pic>
              </a:graphicData>
            </a:graphic>
          </wp:anchor>
        </w:drawing>
      </w:r>
    </w:p>
    <w:p>
      <w:pPr>
        <w:spacing w:after="0" w:line="367" w:lineRule="exact"/>
        <w:rPr>
          <w:sz w:val="20"/>
          <w:szCs w:val="20"/>
          <w:color w:val="auto"/>
        </w:rPr>
      </w:pPr>
    </w:p>
    <w:p>
      <w:pPr>
        <w:ind w:left="1212" w:right="7360" w:hanging="743"/>
        <w:spacing w:after="0" w:line="469" w:lineRule="auto"/>
        <w:tabs>
          <w:tab w:leader="none" w:pos="12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NAMES OF REPORTING PERSONS. Bios S.p.A.</w:t>
      </w:r>
    </w:p>
    <w:p>
      <w:pPr>
        <w:spacing w:after="0" w:line="1" w:lineRule="exact"/>
        <w:rPr>
          <w:rFonts w:ascii="Arial" w:cs="Arial" w:eastAsia="Arial" w:hAnsi="Arial"/>
          <w:sz w:val="18"/>
          <w:szCs w:val="18"/>
          <w:color w:val="auto"/>
        </w:rPr>
      </w:pPr>
    </w:p>
    <w:p>
      <w:pPr>
        <w:ind w:left="1212" w:hanging="743"/>
        <w:spacing w:after="0"/>
        <w:tabs>
          <w:tab w:leader="none" w:pos="12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1212"/>
        <w:spacing w:after="0" w:line="207" w:lineRule="exact"/>
        <w:tabs>
          <w:tab w:leader="none" w:pos="2012"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78" w:lineRule="exact"/>
        <w:rPr>
          <w:sz w:val="20"/>
          <w:szCs w:val="20"/>
          <w:color w:val="auto"/>
        </w:rPr>
      </w:pPr>
    </w:p>
    <w:p>
      <w:pPr>
        <w:ind w:left="1212" w:hanging="743"/>
        <w:spacing w:after="0"/>
        <w:tabs>
          <w:tab w:leader="none" w:pos="12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212" w:right="6520" w:hanging="743"/>
        <w:spacing w:after="0" w:line="469" w:lineRule="auto"/>
        <w:tabs>
          <w:tab w:leader="none" w:pos="12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 Italy</w:t>
      </w:r>
    </w:p>
    <w:p>
      <w:pPr>
        <w:spacing w:after="0" w:line="1" w:lineRule="exact"/>
        <w:rPr>
          <w:rFonts w:ascii="Arial" w:cs="Arial" w:eastAsia="Arial" w:hAnsi="Arial"/>
          <w:sz w:val="18"/>
          <w:szCs w:val="18"/>
          <w:color w:val="auto"/>
        </w:rPr>
      </w:pPr>
    </w:p>
    <w:p>
      <w:pPr>
        <w:ind w:left="3712" w:hanging="895"/>
        <w:spacing w:after="0"/>
        <w:tabs>
          <w:tab w:leader="none" w:pos="3712"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492"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6"/>
              </w:rPr>
              <w:t>NUMBER OF</w:t>
            </w:r>
          </w:p>
        </w:tc>
        <w:tc>
          <w:tcPr>
            <w:tcW w:w="1140" w:type="dxa"/>
            <w:vAlign w:val="bottom"/>
            <w:tcBorders>
              <w:bottom w:val="single" w:sz="8" w:color="auto"/>
            </w:tcBorders>
          </w:tcPr>
          <w:p>
            <w:pPr>
              <w:spacing w:after="0"/>
              <w:rPr>
                <w:sz w:val="6"/>
                <w:szCs w:val="6"/>
                <w:color w:val="auto"/>
              </w:rPr>
            </w:pPr>
          </w:p>
        </w:tc>
        <w:tc>
          <w:tcPr>
            <w:tcW w:w="8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740" w:type="dxa"/>
            <w:vAlign w:val="bottom"/>
            <w:vMerge w:val="continue"/>
          </w:tcPr>
          <w:p>
            <w:pPr>
              <w:spacing w:after="0"/>
              <w:rPr>
                <w:sz w:val="11"/>
                <w:szCs w:val="11"/>
                <w:color w:val="auto"/>
              </w:rPr>
            </w:pPr>
          </w:p>
        </w:tc>
        <w:tc>
          <w:tcPr>
            <w:tcW w:w="114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1"/>
              </w:rPr>
              <w:t>SHARES</w:t>
            </w:r>
          </w:p>
        </w:tc>
        <w:tc>
          <w:tcPr>
            <w:tcW w:w="1140" w:type="dxa"/>
            <w:vAlign w:val="bottom"/>
            <w:vMerge w:val="continue"/>
          </w:tcPr>
          <w:p>
            <w:pPr>
              <w:spacing w:after="0"/>
              <w:rPr>
                <w:sz w:val="12"/>
                <w:szCs w:val="12"/>
                <w:color w:val="auto"/>
              </w:rPr>
            </w:pPr>
          </w:p>
        </w:tc>
        <w:tc>
          <w:tcPr>
            <w:tcW w:w="8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7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70"/>
              <w:spacing w:after="0"/>
              <w:rPr>
                <w:sz w:val="20"/>
                <w:szCs w:val="20"/>
                <w:color w:val="auto"/>
              </w:rPr>
            </w:pPr>
            <w:r>
              <w:rPr>
                <w:rFonts w:ascii="Arial" w:cs="Arial" w:eastAsia="Arial" w:hAnsi="Arial"/>
                <w:sz w:val="18"/>
                <w:szCs w:val="18"/>
                <w:color w:val="auto"/>
              </w:rPr>
              <w:t>BENEFICIALLY</w:t>
            </w:r>
          </w:p>
        </w:tc>
        <w:tc>
          <w:tcPr>
            <w:tcW w:w="1140" w:type="dxa"/>
            <w:vAlign w:val="bottom"/>
          </w:tcPr>
          <w:p>
            <w:pPr>
              <w:spacing w:after="0"/>
              <w:rPr>
                <w:sz w:val="18"/>
                <w:szCs w:val="18"/>
                <w:color w:val="auto"/>
              </w:rPr>
            </w:pP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3,562,285</w:t>
            </w:r>
          </w:p>
        </w:tc>
        <w:tc>
          <w:tcPr>
            <w:tcW w:w="0" w:type="dxa"/>
            <w:vAlign w:val="bottom"/>
          </w:tcPr>
          <w:p>
            <w:pPr>
              <w:spacing w:after="0"/>
              <w:rPr>
                <w:sz w:val="1"/>
                <w:szCs w:val="1"/>
                <w:color w:val="auto"/>
              </w:rPr>
            </w:pPr>
          </w:p>
        </w:tc>
      </w:tr>
      <w:tr>
        <w:trPr>
          <w:trHeight w:val="149"/>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7"/>
              </w:rPr>
              <w:t>OWNED BY</w:t>
            </w:r>
          </w:p>
        </w:tc>
        <w:tc>
          <w:tcPr>
            <w:tcW w:w="1140" w:type="dxa"/>
            <w:vAlign w:val="bottom"/>
          </w:tcPr>
          <w:p>
            <w:pPr>
              <w:spacing w:after="0"/>
              <w:rPr>
                <w:sz w:val="12"/>
                <w:szCs w:val="12"/>
                <w:color w:val="auto"/>
              </w:rPr>
            </w:pPr>
          </w:p>
        </w:tc>
        <w:tc>
          <w:tcPr>
            <w:tcW w:w="8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740" w:type="dxa"/>
            <w:vAlign w:val="bottom"/>
            <w:vMerge w:val="continue"/>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740" w:type="dxa"/>
            <w:vAlign w:val="bottom"/>
          </w:tcPr>
          <w:p>
            <w:pPr>
              <w:jc w:val="center"/>
              <w:ind w:right="370"/>
              <w:spacing w:after="0" w:line="189" w:lineRule="exact"/>
              <w:rPr>
                <w:sz w:val="20"/>
                <w:szCs w:val="20"/>
                <w:color w:val="auto"/>
              </w:rPr>
            </w:pPr>
            <w:r>
              <w:rPr>
                <w:rFonts w:ascii="Arial" w:cs="Arial" w:eastAsia="Arial" w:hAnsi="Arial"/>
                <w:sz w:val="18"/>
                <w:szCs w:val="18"/>
                <w:color w:val="auto"/>
                <w:w w:val="95"/>
              </w:rPr>
              <w:t>EACH</w:t>
            </w:r>
          </w:p>
        </w:tc>
        <w:tc>
          <w:tcPr>
            <w:tcW w:w="1140" w:type="dxa"/>
            <w:vAlign w:val="bottom"/>
            <w:vMerge w:val="restart"/>
          </w:tcPr>
          <w:p>
            <w:pPr>
              <w:jc w:val="right"/>
              <w:ind w:right="230"/>
              <w:spacing w:after="0"/>
              <w:rPr>
                <w:sz w:val="20"/>
                <w:szCs w:val="20"/>
                <w:color w:val="auto"/>
              </w:rPr>
            </w:pPr>
            <w:r>
              <w:rPr>
                <w:rFonts w:ascii="Arial" w:cs="Arial" w:eastAsia="Arial" w:hAnsi="Arial"/>
                <w:sz w:val="18"/>
                <w:szCs w:val="18"/>
                <w:color w:val="auto"/>
              </w:rPr>
              <w:t>(7)</w:t>
            </w: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740" w:type="dxa"/>
            <w:vAlign w:val="bottom"/>
            <w:vMerge w:val="restart"/>
          </w:tcPr>
          <w:p>
            <w:pPr>
              <w:jc w:val="center"/>
              <w:ind w:right="370"/>
              <w:spacing w:after="0"/>
              <w:rPr>
                <w:sz w:val="20"/>
                <w:szCs w:val="20"/>
                <w:color w:val="auto"/>
              </w:rPr>
            </w:pPr>
            <w:r>
              <w:rPr>
                <w:rFonts w:ascii="Arial" w:cs="Arial" w:eastAsia="Arial" w:hAnsi="Arial"/>
                <w:sz w:val="18"/>
                <w:szCs w:val="18"/>
                <w:color w:val="auto"/>
                <w:w w:val="93"/>
              </w:rPr>
              <w:t>REPORTING</w:t>
            </w:r>
          </w:p>
        </w:tc>
        <w:tc>
          <w:tcPr>
            <w:tcW w:w="1140" w:type="dxa"/>
            <w:vAlign w:val="bottom"/>
            <w:vMerge w:val="continue"/>
          </w:tcPr>
          <w:p>
            <w:pPr>
              <w:spacing w:after="0"/>
              <w:rPr>
                <w:sz w:val="8"/>
                <w:szCs w:val="8"/>
                <w:color w:val="auto"/>
              </w:rPr>
            </w:pPr>
          </w:p>
        </w:tc>
        <w:tc>
          <w:tcPr>
            <w:tcW w:w="8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70"/>
              <w:spacing w:after="0"/>
              <w:rPr>
                <w:sz w:val="20"/>
                <w:szCs w:val="20"/>
                <w:color w:val="auto"/>
              </w:rPr>
            </w:pPr>
            <w:r>
              <w:rPr>
                <w:rFonts w:ascii="Arial" w:cs="Arial" w:eastAsia="Arial" w:hAnsi="Arial"/>
                <w:sz w:val="18"/>
                <w:szCs w:val="18"/>
                <w:color w:val="auto"/>
                <w:w w:val="89"/>
              </w:rPr>
              <w:t>PERSON</w:t>
            </w:r>
          </w:p>
        </w:tc>
        <w:tc>
          <w:tcPr>
            <w:tcW w:w="1140" w:type="dxa"/>
            <w:vAlign w:val="bottom"/>
          </w:tcPr>
          <w:p>
            <w:pPr>
              <w:spacing w:after="0"/>
              <w:rPr>
                <w:sz w:val="18"/>
                <w:szCs w:val="18"/>
                <w:color w:val="auto"/>
              </w:rPr>
            </w:pPr>
          </w:p>
        </w:tc>
        <w:tc>
          <w:tcPr>
            <w:tcW w:w="8040" w:type="dxa"/>
            <w:vAlign w:val="bottom"/>
            <w:vMerge w:val="restart"/>
          </w:tcPr>
          <w:p>
            <w:pPr>
              <w:ind w:lef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740" w:type="dxa"/>
            <w:vAlign w:val="bottom"/>
            <w:vMerge w:val="restart"/>
          </w:tcPr>
          <w:p>
            <w:pPr>
              <w:jc w:val="center"/>
              <w:ind w:right="370"/>
              <w:spacing w:after="0" w:line="170" w:lineRule="exact"/>
              <w:rPr>
                <w:sz w:val="20"/>
                <w:szCs w:val="20"/>
                <w:color w:val="auto"/>
              </w:rPr>
            </w:pPr>
            <w:r>
              <w:rPr>
                <w:rFonts w:ascii="Arial" w:cs="Arial" w:eastAsia="Arial" w:hAnsi="Arial"/>
                <w:sz w:val="18"/>
                <w:szCs w:val="18"/>
                <w:color w:val="auto"/>
              </w:rPr>
              <w:t>WITH</w:t>
            </w:r>
          </w:p>
        </w:tc>
        <w:tc>
          <w:tcPr>
            <w:tcW w:w="1140" w:type="dxa"/>
            <w:vAlign w:val="bottom"/>
          </w:tcPr>
          <w:p>
            <w:pPr>
              <w:spacing w:after="0"/>
              <w:rPr>
                <w:sz w:val="8"/>
                <w:szCs w:val="8"/>
                <w:color w:val="auto"/>
              </w:rPr>
            </w:pPr>
          </w:p>
        </w:tc>
        <w:tc>
          <w:tcPr>
            <w:tcW w:w="8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740" w:type="dxa"/>
            <w:vAlign w:val="bottom"/>
            <w:vMerge w:val="continue"/>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712" w:right="5160" w:hanging="873"/>
        <w:spacing w:after="0" w:line="469" w:lineRule="auto"/>
        <w:tabs>
          <w:tab w:leader="none" w:pos="3712"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SHARED DISPOSITIVE POWER 3,562,285</w:t>
      </w:r>
    </w:p>
    <w:p>
      <w:pPr>
        <w:spacing w:after="0" w:line="1" w:lineRule="exact"/>
        <w:rPr>
          <w:rFonts w:ascii="Arial" w:cs="Arial" w:eastAsia="Arial" w:hAnsi="Arial"/>
          <w:sz w:val="18"/>
          <w:szCs w:val="18"/>
          <w:color w:val="auto"/>
        </w:rPr>
      </w:pPr>
    </w:p>
    <w:p>
      <w:pPr>
        <w:ind w:left="1212" w:right="3640" w:hanging="743"/>
        <w:spacing w:after="0" w:line="469" w:lineRule="auto"/>
        <w:tabs>
          <w:tab w:leader="none" w:pos="12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3,562,285</w:t>
      </w:r>
    </w:p>
    <w:p>
      <w:pPr>
        <w:spacing w:after="0" w:line="1" w:lineRule="exact"/>
        <w:rPr>
          <w:sz w:val="20"/>
          <w:szCs w:val="20"/>
          <w:color w:val="auto"/>
        </w:rPr>
      </w:pPr>
    </w:p>
    <w:p>
      <w:pPr>
        <w:ind w:left="1212" w:hanging="788"/>
        <w:spacing w:after="0"/>
        <w:tabs>
          <w:tab w:leader="none" w:pos="12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92" w:lineRule="exact"/>
        <w:rPr>
          <w:rFonts w:ascii="Arial" w:cs="Arial" w:eastAsia="Arial" w:hAnsi="Arial"/>
          <w:sz w:val="18"/>
          <w:szCs w:val="18"/>
          <w:color w:val="auto"/>
        </w:rPr>
      </w:pPr>
    </w:p>
    <w:p>
      <w:pPr>
        <w:ind w:left="1212"/>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0" w:lineRule="exact"/>
        <w:rPr>
          <w:rFonts w:ascii="Arial" w:cs="Arial" w:eastAsia="Arial" w:hAnsi="Arial"/>
          <w:sz w:val="18"/>
          <w:szCs w:val="18"/>
          <w:color w:val="auto"/>
        </w:rPr>
      </w:pPr>
    </w:p>
    <w:p>
      <w:pPr>
        <w:ind w:left="1212" w:right="5140" w:hanging="785"/>
        <w:spacing w:after="0" w:line="353" w:lineRule="auto"/>
        <w:tabs>
          <w:tab w:leader="none" w:pos="12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(9) 7.40%</w:t>
      </w:r>
      <w:r>
        <w:rPr>
          <w:rFonts w:ascii="Arial" w:cs="Arial" w:eastAsia="Arial" w:hAnsi="Arial"/>
          <w:sz w:val="30"/>
          <w:szCs w:val="30"/>
          <w:color w:val="auto"/>
          <w:vertAlign w:val="superscript"/>
        </w:rPr>
        <w:t>5</w:t>
      </w:r>
    </w:p>
    <w:p>
      <w:pPr>
        <w:ind w:left="1212" w:right="5860" w:hanging="788"/>
        <w:spacing w:after="0" w:line="525" w:lineRule="auto"/>
        <w:tabs>
          <w:tab w:leader="none" w:pos="12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 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2" w:lineRule="exact"/>
        <w:rPr>
          <w:sz w:val="20"/>
          <w:szCs w:val="20"/>
          <w:color w:val="auto"/>
        </w:rPr>
      </w:pPr>
    </w:p>
    <w:p>
      <w:pPr>
        <w:ind w:left="172" w:hanging="172"/>
        <w:spacing w:after="0"/>
        <w:tabs>
          <w:tab w:leader="none" w:pos="172"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Based on 48,156,690 of the Issuer’s Ordinary Shares outstanding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787" w:right="239" w:bottom="1440" w:gutter="0" w:footer="0" w:header="0"/>
        </w:sectPr>
      </w:pPr>
    </w:p>
    <w:bookmarkStart w:id="6" w:name="page7"/>
    <w:bookmarkEnd w:id="6"/>
    <w:p>
      <w:pPr>
        <w:spacing w:after="0"/>
        <w:tabs>
          <w:tab w:leader="none" w:pos="10500" w:val="left"/>
        </w:tabs>
        <w:rPr>
          <w:sz w:val="20"/>
          <w:szCs w:val="20"/>
          <w:color w:val="auto"/>
        </w:rPr>
      </w:pPr>
      <w:r>
        <w:rPr>
          <w:rFonts w:ascii="Arial" w:cs="Arial" w:eastAsia="Arial" w:hAnsi="Arial"/>
          <w:sz w:val="18"/>
          <w:szCs w:val="18"/>
          <w:color w:val="auto"/>
        </w:rPr>
        <w:t>CUSIP No. G5509L101</w:t>
      </w:r>
      <w:r>
        <w:rPr>
          <w:sz w:val="20"/>
          <w:szCs w:val="20"/>
          <w:color w:val="auto"/>
        </w:rPr>
        <w:tab/>
      </w:r>
      <w:r>
        <w:rPr>
          <w:rFonts w:ascii="Arial" w:cs="Arial" w:eastAsia="Arial" w:hAnsi="Arial"/>
          <w:sz w:val="17"/>
          <w:szCs w:val="17"/>
          <w:color w:val="auto"/>
        </w:rPr>
        <w:t>Page 7 of 9</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LivaNova PLC</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5 Merchant Square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 Wharf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W2 1AY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Mittel S.p.A.</w:t>
      </w:r>
    </w:p>
    <w:p>
      <w:pPr>
        <w:spacing w:after="0" w:line="225" w:lineRule="exact"/>
        <w:rPr>
          <w:rFonts w:ascii="Arial" w:cs="Arial" w:eastAsia="Arial" w:hAnsi="Arial"/>
          <w:sz w:val="18"/>
          <w:szCs w:val="18"/>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Equinox S.c.a.</w:t>
      </w:r>
    </w:p>
    <w:p>
      <w:pPr>
        <w:spacing w:after="0" w:line="225" w:lineRule="exact"/>
        <w:rPr>
          <w:rFonts w:ascii="Arial" w:cs="Arial" w:eastAsia="Arial" w:hAnsi="Arial"/>
          <w:sz w:val="18"/>
          <w:szCs w:val="18"/>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Tower 6 S. à r.l.</w:t>
      </w:r>
    </w:p>
    <w:p>
      <w:pPr>
        <w:spacing w:after="0" w:line="225" w:lineRule="exact"/>
        <w:rPr>
          <w:rFonts w:ascii="Arial" w:cs="Arial" w:eastAsia="Arial" w:hAnsi="Arial"/>
          <w:sz w:val="18"/>
          <w:szCs w:val="18"/>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Tower 6 Bis S. à r.l.</w:t>
      </w:r>
    </w:p>
    <w:p>
      <w:pPr>
        <w:spacing w:after="0" w:line="225" w:lineRule="exact"/>
        <w:rPr>
          <w:rFonts w:ascii="Arial" w:cs="Arial" w:eastAsia="Arial" w:hAnsi="Arial"/>
          <w:sz w:val="18"/>
          <w:szCs w:val="18"/>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Bios S.p.A.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Mittel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Piazza Armando Diaz, n.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20123 – Milan (Italy)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Equinox Two S.c.a.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Riva Albertoni,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6900 Lugano (CH)</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Tower 6 S. 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Place du Théâtre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L-2613 Luxembourg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Tower 6 Bis S. 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Place du Théâtre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L-2613 Luxembourg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Bios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Piazza Armando Diaz, n.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20123 – Milan (Italy)</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Mittel S.p.A. and Bios S.p.A.: Italy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Equinox Two S.c.a., Tower 6 S. à r.l. and Tower 6 Bis S. à r.l.: Luxembourg</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spacing w:after="0"/>
        <w:tabs>
          <w:tab w:leader="none" w:pos="10500" w:val="left"/>
        </w:tabs>
        <w:rPr>
          <w:sz w:val="20"/>
          <w:szCs w:val="20"/>
          <w:color w:val="auto"/>
        </w:rPr>
      </w:pPr>
      <w:r>
        <w:rPr>
          <w:rFonts w:ascii="Arial" w:cs="Arial" w:eastAsia="Arial" w:hAnsi="Arial"/>
          <w:sz w:val="18"/>
          <w:szCs w:val="18"/>
          <w:color w:val="auto"/>
        </w:rPr>
        <w:t>CUSIP No. G5509L101</w:t>
      </w:r>
      <w:r>
        <w:rPr>
          <w:sz w:val="20"/>
          <w:szCs w:val="20"/>
          <w:color w:val="auto"/>
        </w:rPr>
        <w:tab/>
      </w:r>
      <w:r>
        <w:rPr>
          <w:rFonts w:ascii="Arial" w:cs="Arial" w:eastAsia="Arial" w:hAnsi="Arial"/>
          <w:sz w:val="17"/>
          <w:szCs w:val="17"/>
          <w:color w:val="auto"/>
        </w:rPr>
        <w:t>Page 8 of 9</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items 1 and 5 through 11 on the cover pages (pp. 2-5) of this Schedule 13G is hereby incorporated by reference.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Bios S.p.A. and Tower 6 Bis S. à r.l. are the record holders of 3,562,285 and 756,103 Ordinary Shares, respectively.</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Mittel S.p.A. and Equinox Two S.c.a. are the 50:50 beneficial owners of the special purpose vehicle Bios S.p.A, in which each Mittel S.p.A. and Equinox Two S.c.a. own 50% of the outstanding voting shares and holds two board director seats of Bios S.p.A. Equinox Two S.c.a. is the owner of 100% of the membership interest in Tower 6 S. à r.l. Tower 6 S. à r.l. (and Equinox Two S.c.a. indirectly through Tower 6 S. à r.l.) owns 51% of the membership interest in Tower 6 Bis S. à r.l. and Mittel S.p.A. owns 49% of the membership interest in Tower 6 Bis S. à r.l.</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840" w:right="240" w:hanging="836"/>
        <w:spacing w:after="0" w:line="282" w:lineRule="auto"/>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each of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2017</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Mittel S.p.A.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Rosario Bifulco</w:t>
            </w:r>
          </w:p>
        </w:tc>
        <w:tc>
          <w:tcPr>
            <w:tcW w:w="1140" w:type="dxa"/>
            <w:vAlign w:val="bottom"/>
          </w:tcPr>
          <w:p>
            <w:pPr>
              <w:spacing w:after="0"/>
              <w:rPr>
                <w:sz w:val="20"/>
                <w:szCs w:val="20"/>
                <w:color w:val="auto"/>
              </w:rPr>
            </w:pPr>
          </w:p>
        </w:tc>
      </w:tr>
      <w:tr>
        <w:trPr>
          <w:trHeight w:val="202"/>
        </w:trPr>
        <w:tc>
          <w:tcPr>
            <w:tcW w:w="630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Rosario Bifulco</w:t>
            </w:r>
          </w:p>
        </w:tc>
        <w:tc>
          <w:tcPr>
            <w:tcW w:w="1140" w:type="dxa"/>
            <w:vAlign w:val="bottom"/>
          </w:tcPr>
          <w:p>
            <w:pPr>
              <w:spacing w:after="0"/>
              <w:rPr>
                <w:sz w:val="17"/>
                <w:szCs w:val="17"/>
                <w:color w:val="auto"/>
              </w:rPr>
            </w:pPr>
          </w:p>
        </w:tc>
      </w:t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140" w:type="dxa"/>
            <w:vAlign w:val="bottom"/>
          </w:tcPr>
          <w:p>
            <w:pPr>
              <w:spacing w:after="0"/>
              <w:rPr>
                <w:sz w:val="20"/>
                <w:szCs w:val="20"/>
                <w:color w:val="auto"/>
              </w:rPr>
            </w:pPr>
          </w:p>
        </w:tc>
      </w:tr>
      <w:tr>
        <w:trPr>
          <w:trHeight w:val="432"/>
        </w:trPr>
        <w:tc>
          <w:tcPr>
            <w:tcW w:w="10280" w:type="dxa"/>
            <w:vAlign w:val="bottom"/>
            <w:gridSpan w:val="2"/>
          </w:tcPr>
          <w:p>
            <w:pPr>
              <w:ind w:left="5720"/>
              <w:spacing w:after="0"/>
              <w:rPr>
                <w:sz w:val="20"/>
                <w:szCs w:val="20"/>
                <w:color w:val="auto"/>
              </w:rPr>
            </w:pPr>
            <w:r>
              <w:rPr>
                <w:rFonts w:ascii="Arial" w:cs="Arial" w:eastAsia="Arial" w:hAnsi="Arial"/>
                <w:sz w:val="18"/>
                <w:szCs w:val="18"/>
                <w:b w:val="1"/>
                <w:bCs w:val="1"/>
                <w:color w:val="auto"/>
              </w:rPr>
              <w:t>Equinox Two S.c.a.</w:t>
            </w:r>
          </w:p>
        </w:tc>
        <w:tc>
          <w:tcPr>
            <w:tcW w:w="1140" w:type="dxa"/>
            <w:vAlign w:val="bottom"/>
          </w:tcPr>
          <w:p>
            <w:pPr>
              <w:spacing w:after="0"/>
              <w:rPr>
                <w:sz w:val="24"/>
                <w:szCs w:val="24"/>
                <w:color w:val="auto"/>
              </w:rPr>
            </w:pPr>
          </w:p>
        </w:tc>
      </w:tr>
      <w:tr>
        <w:trPr>
          <w:trHeight w:val="439"/>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Giorgio Mancuso</w:t>
            </w:r>
          </w:p>
        </w:tc>
        <w:tc>
          <w:tcPr>
            <w:tcW w:w="1140" w:type="dxa"/>
            <w:vAlign w:val="bottom"/>
          </w:tcPr>
          <w:p>
            <w:pPr>
              <w:spacing w:after="0"/>
              <w:rPr>
                <w:sz w:val="24"/>
                <w:szCs w:val="24"/>
                <w:color w:val="auto"/>
              </w:rPr>
            </w:pPr>
          </w:p>
        </w:tc>
      </w:tr>
      <w:tr>
        <w:trPr>
          <w:trHeight w:val="202"/>
        </w:trPr>
        <w:tc>
          <w:tcPr>
            <w:tcW w:w="630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Giorgio Mancuso</w:t>
            </w:r>
          </w:p>
        </w:tc>
        <w:tc>
          <w:tcPr>
            <w:tcW w:w="1140" w:type="dxa"/>
            <w:vAlign w:val="bottom"/>
          </w:tcPr>
          <w:p>
            <w:pPr>
              <w:spacing w:after="0"/>
              <w:rPr>
                <w:sz w:val="17"/>
                <w:szCs w:val="17"/>
                <w:color w:val="auto"/>
              </w:rPr>
            </w:pPr>
          </w:p>
        </w:tc>
      </w:t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c>
          <w:tcPr>
            <w:tcW w:w="1140" w:type="dxa"/>
            <w:vAlign w:val="bottom"/>
          </w:tcPr>
          <w:p>
            <w:pPr>
              <w:spacing w:after="0"/>
              <w:rPr>
                <w:sz w:val="20"/>
                <w:szCs w:val="20"/>
                <w:color w:val="auto"/>
              </w:rPr>
            </w:pPr>
          </w:p>
        </w:tc>
      </w:tr>
      <w:tr>
        <w:trPr>
          <w:trHeight w:val="439"/>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Federico Franzina</w:t>
            </w:r>
          </w:p>
        </w:tc>
        <w:tc>
          <w:tcPr>
            <w:tcW w:w="1140" w:type="dxa"/>
            <w:vAlign w:val="bottom"/>
          </w:tcPr>
          <w:p>
            <w:pPr>
              <w:spacing w:after="0"/>
              <w:rPr>
                <w:sz w:val="24"/>
                <w:szCs w:val="24"/>
                <w:color w:val="auto"/>
              </w:rPr>
            </w:pPr>
          </w:p>
        </w:tc>
      </w:tr>
      <w:tr>
        <w:trPr>
          <w:trHeight w:val="202"/>
        </w:trPr>
        <w:tc>
          <w:tcPr>
            <w:tcW w:w="630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Federico Franzina</w:t>
            </w:r>
          </w:p>
        </w:tc>
        <w:tc>
          <w:tcPr>
            <w:tcW w:w="1140" w:type="dxa"/>
            <w:vAlign w:val="bottom"/>
          </w:tcPr>
          <w:p>
            <w:pPr>
              <w:spacing w:after="0"/>
              <w:rPr>
                <w:sz w:val="17"/>
                <w:szCs w:val="17"/>
                <w:color w:val="auto"/>
              </w:rPr>
            </w:pPr>
          </w:p>
        </w:tc>
      </w:t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c>
          <w:tcPr>
            <w:tcW w:w="1140" w:type="dxa"/>
            <w:vAlign w:val="bottom"/>
          </w:tcPr>
          <w:p>
            <w:pPr>
              <w:spacing w:after="0"/>
              <w:rPr>
                <w:sz w:val="20"/>
                <w:szCs w:val="20"/>
                <w:color w:val="auto"/>
              </w:rPr>
            </w:pPr>
          </w:p>
        </w:tc>
      </w:tr>
      <w:tr>
        <w:trPr>
          <w:trHeight w:val="432"/>
        </w:trPr>
        <w:tc>
          <w:tcPr>
            <w:tcW w:w="10280" w:type="dxa"/>
            <w:vAlign w:val="bottom"/>
            <w:gridSpan w:val="2"/>
          </w:tcPr>
          <w:p>
            <w:pPr>
              <w:ind w:left="5720"/>
              <w:spacing w:after="0"/>
              <w:rPr>
                <w:sz w:val="20"/>
                <w:szCs w:val="20"/>
                <w:color w:val="auto"/>
              </w:rPr>
            </w:pPr>
            <w:r>
              <w:rPr>
                <w:rFonts w:ascii="Arial" w:cs="Arial" w:eastAsia="Arial" w:hAnsi="Arial"/>
                <w:sz w:val="18"/>
                <w:szCs w:val="18"/>
                <w:b w:val="1"/>
                <w:bCs w:val="1"/>
                <w:color w:val="auto"/>
              </w:rPr>
              <w:t>Tower 6 S. à r.l.</w:t>
            </w:r>
          </w:p>
        </w:tc>
        <w:tc>
          <w:tcPr>
            <w:tcW w:w="1140" w:type="dxa"/>
            <w:vAlign w:val="bottom"/>
          </w:tcPr>
          <w:p>
            <w:pPr>
              <w:spacing w:after="0"/>
              <w:rPr>
                <w:sz w:val="24"/>
                <w:szCs w:val="24"/>
                <w:color w:val="auto"/>
              </w:rPr>
            </w:pPr>
          </w:p>
        </w:tc>
      </w:tr>
      <w:tr>
        <w:trPr>
          <w:trHeight w:val="439"/>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Vania Baravini</w:t>
            </w:r>
          </w:p>
        </w:tc>
        <w:tc>
          <w:tcPr>
            <w:tcW w:w="1140" w:type="dxa"/>
            <w:vAlign w:val="bottom"/>
          </w:tcPr>
          <w:p>
            <w:pPr>
              <w:spacing w:after="0"/>
              <w:rPr>
                <w:sz w:val="24"/>
                <w:szCs w:val="24"/>
                <w:color w:val="auto"/>
              </w:rPr>
            </w:pPr>
          </w:p>
        </w:tc>
      </w:tr>
      <w:tr>
        <w:trPr>
          <w:trHeight w:val="202"/>
        </w:trPr>
        <w:tc>
          <w:tcPr>
            <w:tcW w:w="630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Vania Baravini</w:t>
            </w:r>
          </w:p>
        </w:tc>
        <w:tc>
          <w:tcPr>
            <w:tcW w:w="1140" w:type="dxa"/>
            <w:vAlign w:val="bottom"/>
          </w:tcPr>
          <w:p>
            <w:pPr>
              <w:spacing w:after="0"/>
              <w:rPr>
                <w:sz w:val="17"/>
                <w:szCs w:val="17"/>
                <w:color w:val="auto"/>
              </w:rPr>
            </w:pPr>
          </w:p>
        </w:tc>
      </w:t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c>
          <w:tcPr>
            <w:tcW w:w="1140" w:type="dxa"/>
            <w:vAlign w:val="bottom"/>
          </w:tcPr>
          <w:p>
            <w:pPr>
              <w:spacing w:after="0"/>
              <w:rPr>
                <w:sz w:val="20"/>
                <w:szCs w:val="20"/>
                <w:color w:val="auto"/>
              </w:rPr>
            </w:pPr>
          </w:p>
        </w:tc>
      </w:tr>
      <w:tr>
        <w:trPr>
          <w:trHeight w:val="439"/>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Massimiliano Seliziato</w:t>
            </w:r>
          </w:p>
        </w:tc>
        <w:tc>
          <w:tcPr>
            <w:tcW w:w="1140" w:type="dxa"/>
            <w:vAlign w:val="bottom"/>
          </w:tcPr>
          <w:p>
            <w:pPr>
              <w:spacing w:after="0"/>
              <w:rPr>
                <w:sz w:val="24"/>
                <w:szCs w:val="24"/>
                <w:color w:val="auto"/>
              </w:rPr>
            </w:pPr>
          </w:p>
        </w:tc>
      </w:tr>
      <w:tr>
        <w:trPr>
          <w:trHeight w:val="202"/>
        </w:trPr>
        <w:tc>
          <w:tcPr>
            <w:tcW w:w="630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Massimiliano Seliziato</w:t>
            </w:r>
          </w:p>
        </w:tc>
        <w:tc>
          <w:tcPr>
            <w:tcW w:w="1140" w:type="dxa"/>
            <w:vAlign w:val="bottom"/>
          </w:tcPr>
          <w:p>
            <w:pPr>
              <w:spacing w:after="0"/>
              <w:rPr>
                <w:sz w:val="17"/>
                <w:szCs w:val="17"/>
                <w:color w:val="auto"/>
              </w:rPr>
            </w:pPr>
          </w:p>
        </w:tc>
      </w:t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c>
          <w:tcPr>
            <w:tcW w:w="1140" w:type="dxa"/>
            <w:vAlign w:val="bottom"/>
          </w:tcPr>
          <w:p>
            <w:pPr>
              <w:spacing w:after="0"/>
              <w:rPr>
                <w:sz w:val="20"/>
                <w:szCs w:val="20"/>
                <w:color w:val="auto"/>
              </w:rPr>
            </w:pPr>
          </w:p>
        </w:tc>
      </w:tr>
      <w:tr>
        <w:trPr>
          <w:trHeight w:val="432"/>
        </w:trPr>
        <w:tc>
          <w:tcPr>
            <w:tcW w:w="10280" w:type="dxa"/>
            <w:vAlign w:val="bottom"/>
            <w:gridSpan w:val="2"/>
          </w:tcPr>
          <w:p>
            <w:pPr>
              <w:ind w:left="5720"/>
              <w:spacing w:after="0"/>
              <w:rPr>
                <w:sz w:val="20"/>
                <w:szCs w:val="20"/>
                <w:color w:val="auto"/>
              </w:rPr>
            </w:pPr>
            <w:r>
              <w:rPr>
                <w:rFonts w:ascii="Arial" w:cs="Arial" w:eastAsia="Arial" w:hAnsi="Arial"/>
                <w:sz w:val="18"/>
                <w:szCs w:val="18"/>
                <w:b w:val="1"/>
                <w:bCs w:val="1"/>
                <w:color w:val="auto"/>
              </w:rPr>
              <w:t>Tower 6 Bis S. à r.l.</w:t>
            </w:r>
          </w:p>
        </w:tc>
        <w:tc>
          <w:tcPr>
            <w:tcW w:w="1140" w:type="dxa"/>
            <w:vAlign w:val="bottom"/>
          </w:tcPr>
          <w:p>
            <w:pPr>
              <w:spacing w:after="0"/>
              <w:rPr>
                <w:sz w:val="24"/>
                <w:szCs w:val="24"/>
                <w:color w:val="auto"/>
              </w:rPr>
            </w:pPr>
          </w:p>
        </w:tc>
      </w:tr>
      <w:tr>
        <w:trPr>
          <w:trHeight w:val="439"/>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Vania Baravini</w:t>
            </w:r>
          </w:p>
        </w:tc>
        <w:tc>
          <w:tcPr>
            <w:tcW w:w="1140" w:type="dxa"/>
            <w:vAlign w:val="bottom"/>
          </w:tcPr>
          <w:p>
            <w:pPr>
              <w:spacing w:after="0"/>
              <w:rPr>
                <w:sz w:val="24"/>
                <w:szCs w:val="24"/>
                <w:color w:val="auto"/>
              </w:rPr>
            </w:pPr>
          </w:p>
        </w:tc>
      </w:tr>
      <w:tr>
        <w:trPr>
          <w:trHeight w:val="202"/>
        </w:trPr>
        <w:tc>
          <w:tcPr>
            <w:tcW w:w="630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Vania Baravini</w:t>
            </w:r>
          </w:p>
        </w:tc>
        <w:tc>
          <w:tcPr>
            <w:tcW w:w="1140" w:type="dxa"/>
            <w:vAlign w:val="bottom"/>
          </w:tcPr>
          <w:p>
            <w:pPr>
              <w:spacing w:after="0"/>
              <w:rPr>
                <w:sz w:val="17"/>
                <w:szCs w:val="17"/>
                <w:color w:val="auto"/>
              </w:rPr>
            </w:pPr>
          </w:p>
        </w:tc>
      </w:t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c>
          <w:tcPr>
            <w:tcW w:w="1140" w:type="dxa"/>
            <w:vAlign w:val="bottom"/>
          </w:tcPr>
          <w:p>
            <w:pPr>
              <w:spacing w:after="0"/>
              <w:rPr>
                <w:sz w:val="20"/>
                <w:szCs w:val="20"/>
                <w:color w:val="auto"/>
              </w:rPr>
            </w:pPr>
          </w:p>
        </w:tc>
      </w:tr>
      <w:tr>
        <w:trPr>
          <w:trHeight w:val="439"/>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Massimiliano Seliziato</w:t>
            </w:r>
          </w:p>
        </w:tc>
        <w:tc>
          <w:tcPr>
            <w:tcW w:w="1140" w:type="dxa"/>
            <w:vAlign w:val="bottom"/>
          </w:tcPr>
          <w:p>
            <w:pPr>
              <w:spacing w:after="0"/>
              <w:rPr>
                <w:sz w:val="24"/>
                <w:szCs w:val="24"/>
                <w:color w:val="auto"/>
              </w:rPr>
            </w:pPr>
          </w:p>
        </w:tc>
      </w:tr>
      <w:tr>
        <w:trPr>
          <w:trHeight w:val="202"/>
        </w:trPr>
        <w:tc>
          <w:tcPr>
            <w:tcW w:w="630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Massimiliano Seliziato</w:t>
            </w:r>
          </w:p>
        </w:tc>
        <w:tc>
          <w:tcPr>
            <w:tcW w:w="1140" w:type="dxa"/>
            <w:vAlign w:val="bottom"/>
          </w:tcPr>
          <w:p>
            <w:pPr>
              <w:spacing w:after="0"/>
              <w:rPr>
                <w:sz w:val="17"/>
                <w:szCs w:val="17"/>
                <w:color w:val="auto"/>
              </w:rPr>
            </w:pPr>
          </w:p>
        </w:tc>
      </w:t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c>
          <w:tcPr>
            <w:tcW w:w="1140" w:type="dxa"/>
            <w:vAlign w:val="bottom"/>
          </w:tcPr>
          <w:p>
            <w:pPr>
              <w:spacing w:after="0"/>
              <w:rPr>
                <w:sz w:val="20"/>
                <w:szCs w:val="20"/>
                <w:color w:val="auto"/>
              </w:rPr>
            </w:pPr>
          </w:p>
        </w:tc>
      </w:tr>
      <w:tr>
        <w:trPr>
          <w:trHeight w:val="432"/>
        </w:trPr>
        <w:tc>
          <w:tcPr>
            <w:tcW w:w="10280" w:type="dxa"/>
            <w:vAlign w:val="bottom"/>
            <w:gridSpan w:val="2"/>
          </w:tcPr>
          <w:p>
            <w:pPr>
              <w:ind w:left="5720"/>
              <w:spacing w:after="0"/>
              <w:rPr>
                <w:sz w:val="20"/>
                <w:szCs w:val="20"/>
                <w:color w:val="auto"/>
              </w:rPr>
            </w:pPr>
            <w:r>
              <w:rPr>
                <w:rFonts w:ascii="Arial" w:cs="Arial" w:eastAsia="Arial" w:hAnsi="Arial"/>
                <w:sz w:val="18"/>
                <w:szCs w:val="18"/>
                <w:b w:val="1"/>
                <w:bCs w:val="1"/>
                <w:color w:val="auto"/>
              </w:rPr>
              <w:t>Bios S.p.A.</w:t>
            </w:r>
          </w:p>
        </w:tc>
        <w:tc>
          <w:tcPr>
            <w:tcW w:w="1140" w:type="dxa"/>
            <w:vAlign w:val="bottom"/>
          </w:tcPr>
          <w:p>
            <w:pPr>
              <w:spacing w:after="0"/>
              <w:rPr>
                <w:sz w:val="24"/>
                <w:szCs w:val="24"/>
                <w:color w:val="auto"/>
              </w:rPr>
            </w:pPr>
          </w:p>
        </w:tc>
      </w:tr>
      <w:tr>
        <w:trPr>
          <w:trHeight w:val="439"/>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Pietro Santicoli</w:t>
            </w:r>
          </w:p>
        </w:tc>
        <w:tc>
          <w:tcPr>
            <w:tcW w:w="1140" w:type="dxa"/>
            <w:vAlign w:val="bottom"/>
          </w:tcPr>
          <w:p>
            <w:pPr>
              <w:spacing w:after="0"/>
              <w:rPr>
                <w:sz w:val="24"/>
                <w:szCs w:val="24"/>
                <w:color w:val="auto"/>
              </w:rPr>
            </w:pPr>
          </w:p>
        </w:tc>
      </w:tr>
      <w:tr>
        <w:trPr>
          <w:trHeight w:val="202"/>
        </w:trPr>
        <w:tc>
          <w:tcPr>
            <w:tcW w:w="630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Pietro Santicoli</w:t>
            </w:r>
          </w:p>
        </w:tc>
        <w:tc>
          <w:tcPr>
            <w:tcW w:w="1140" w:type="dxa"/>
            <w:vAlign w:val="bottom"/>
          </w:tcPr>
          <w:p>
            <w:pPr>
              <w:spacing w:after="0"/>
              <w:rPr>
                <w:sz w:val="17"/>
                <w:szCs w:val="17"/>
                <w:color w:val="auto"/>
              </w:rPr>
            </w:pPr>
          </w:p>
        </w:tc>
      </w:t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Deputy Chairman</w:t>
            </w:r>
          </w:p>
        </w:tc>
        <w:tc>
          <w:tcPr>
            <w:tcW w:w="1140" w:type="dxa"/>
            <w:vAlign w:val="bottom"/>
          </w:tcPr>
          <w:p>
            <w:pPr>
              <w:spacing w:after="0"/>
              <w:rPr>
                <w:sz w:val="20"/>
                <w:szCs w:val="20"/>
                <w:color w:val="auto"/>
              </w:rPr>
            </w:pPr>
          </w:p>
        </w:tc>
      </w:tr>
      <w:tr>
        <w:trPr>
          <w:trHeight w:val="1087"/>
        </w:trPr>
        <w:tc>
          <w:tcPr>
            <w:tcW w:w="63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07"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Rule 13d-1(k)(1) promulgated under the Securities Exchange Act of 1934, as amended, each of the undersigned hereby agrees to the joint filing with each other on behalf of each of them of such a statement on Schedule 13G, and any amendments thereto, with respect to the common stock beneficially owned by each of them of LivaNova PLC. This Joint Filing Agreement shall be included as an Exhibit to such Schedule 13G.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2017</w:t>
      </w:r>
    </w:p>
    <w:p>
      <w:pPr>
        <w:spacing w:after="0" w:line="200" w:lineRule="exact"/>
        <w:rPr>
          <w:sz w:val="20"/>
          <w:szCs w:val="20"/>
          <w:color w:val="auto"/>
        </w:rPr>
      </w:pP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Mittel S.p.A.</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Rosario Bifulco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Rosario Bifulco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Equinox Two S.c.a.</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Giorgio Mancuso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Giorgio Mancuso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Federico Franzina</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Federico Franzina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Tower 6 S. à r.l.</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Vania Baravini</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Vania Baravini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Massimiliano Seliziato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Massimiliano Seliziato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Tower 6 Bis S. à r.l.</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Vania Baravini</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Vania Baravini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Massimiliano Seliziato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Massimiliano Seliziato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Bios S.p.A.</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Pietro Santicoli</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Pietro Santicoli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Deputy Chairman</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lvl w:ilvl="1">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3"/>
    </w:lvl>
    <w:lvl w:ilvl="1">
      <w:lvlJc w:val="left"/>
      <w:lvlText w:val="(%2)"/>
      <w:numFmt w:val="decimal"/>
      <w:start w:val="5"/>
    </w:lvl>
  </w:abstractNum>
  <w:abstractNum w:abstractNumId="4">
    <w:nsid w:val="7C83E458"/>
    <w:multiLevelType w:val="hybridMultilevel"/>
    <w:lvl w:ilvl="0">
      <w:lvlJc w:val="left"/>
      <w:lvlText w:val="%1"/>
      <w:numFmt w:val="decimal"/>
      <w:start w:val="1"/>
    </w:lvl>
    <w:lvl w:ilvl="1">
      <w:lvlJc w:val="left"/>
      <w:lvlText w:val="(%2)"/>
      <w:numFmt w:val="decimal"/>
      <w:start w:val="8"/>
    </w:lvl>
  </w:abstractNum>
  <w:abstractNum w:abstractNumId="5">
    <w:nsid w:val="257130A3"/>
    <w:multiLevelType w:val="hybridMultilevel"/>
    <w:lvl w:ilvl="0">
      <w:lvlJc w:val="left"/>
      <w:lvlText w:val="(%1)"/>
      <w:numFmt w:val="decimal"/>
      <w:start w:val="9"/>
    </w:lvl>
    <w:lvl w:ilvl="1">
      <w:lvlJc w:val="left"/>
      <w:lvlText w:val="%2"/>
      <w:numFmt w:val="decimal"/>
      <w:start w:val="1"/>
    </w:lvl>
  </w:abstractNum>
  <w:abstractNum w:abstractNumId="6">
    <w:nsid w:val="62BBD95A"/>
    <w:multiLevelType w:val="hybridMultilevel"/>
    <w:lvl w:ilvl="0">
      <w:lvlJc w:val="left"/>
      <w:lvlText w:val="(%1)"/>
      <w:numFmt w:val="decimal"/>
      <w:start w:val="10"/>
    </w:lvl>
  </w:abstractNum>
  <w:abstractNum w:abstractNumId="7">
    <w:nsid w:val="436C6125"/>
    <w:multiLevelType w:val="hybridMultilevel"/>
    <w:lvl w:ilvl="0">
      <w:lvlJc w:val="left"/>
      <w:lvlText w:val="1"/>
      <w:numFmt w:val="bullet"/>
      <w:start w:val="1"/>
    </w:lvl>
  </w:abstractNum>
  <w:abstractNum w:abstractNumId="8">
    <w:nsid w:val="628C895D"/>
    <w:multiLevelType w:val="hybridMultilevel"/>
    <w:lvl w:ilvl="0">
      <w:lvlJc w:val="left"/>
      <w:lvlText w:val="(%1)"/>
      <w:numFmt w:val="decimal"/>
      <w:start w:val="1"/>
    </w:lvl>
    <w:lvl w:ilvl="1">
      <w:lvlJc w:val="left"/>
      <w:lvlText w:val="(%2)"/>
      <w:numFmt w:val="decimal"/>
      <w:start w:val="2"/>
    </w:lvl>
  </w:abstractNum>
  <w:abstractNum w:abstractNumId="9">
    <w:nsid w:val="333AB105"/>
    <w:multiLevelType w:val="hybridMultilevel"/>
    <w:lvl w:ilvl="0">
      <w:lvlJc w:val="left"/>
      <w:lvlText w:val="(%1)"/>
      <w:numFmt w:val="decimal"/>
      <w:start w:val="3"/>
    </w:lvl>
    <w:lvl w:ilvl="1">
      <w:lvlJc w:val="left"/>
      <w:lvlText w:val="(%2)"/>
      <w:numFmt w:val="decimal"/>
      <w:start w:val="5"/>
    </w:lvl>
  </w:abstractNum>
  <w:abstractNum w:abstractNumId="10">
    <w:nsid w:val="721DA317"/>
    <w:multiLevelType w:val="hybridMultilevel"/>
    <w:lvl w:ilvl="0">
      <w:lvlJc w:val="left"/>
      <w:lvlText w:val="%1"/>
      <w:numFmt w:val="decimal"/>
      <w:start w:val="1"/>
    </w:lvl>
    <w:lvl w:ilvl="1">
      <w:lvlJc w:val="left"/>
      <w:lvlText w:val="(%2)"/>
      <w:numFmt w:val="decimal"/>
      <w:start w:val="8"/>
    </w:lvl>
  </w:abstractNum>
  <w:abstractNum w:abstractNumId="11">
    <w:nsid w:val="2443A858"/>
    <w:multiLevelType w:val="hybridMultilevel"/>
    <w:lvl w:ilvl="0">
      <w:lvlJc w:val="left"/>
      <w:lvlText w:val="(%1)"/>
      <w:numFmt w:val="decimal"/>
      <w:start w:val="9"/>
    </w:lvl>
    <w:lvl w:ilvl="1">
      <w:lvlJc w:val="left"/>
      <w:lvlText w:val="%2"/>
      <w:numFmt w:val="decimal"/>
      <w:start w:val="1"/>
    </w:lvl>
  </w:abstractNum>
  <w:abstractNum w:abstractNumId="12">
    <w:nsid w:val="2D1D5AE9"/>
    <w:multiLevelType w:val="hybridMultilevel"/>
    <w:lvl w:ilvl="0">
      <w:lvlJc w:val="left"/>
      <w:lvlText w:val="(%1)"/>
      <w:numFmt w:val="decimal"/>
      <w:start w:val="10"/>
    </w:lvl>
  </w:abstractNum>
  <w:abstractNum w:abstractNumId="13">
    <w:nsid w:val="6763845E"/>
    <w:multiLevelType w:val="hybridMultilevel"/>
    <w:lvl w:ilvl="0">
      <w:lvlJc w:val="left"/>
      <w:lvlText w:val="2"/>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3"/>
    </w:lvl>
    <w:lvl w:ilvl="1">
      <w:lvlJc w:val="left"/>
      <w:lvlText w:val="(%2)"/>
      <w:numFmt w:val="decimal"/>
      <w:start w:val="5"/>
    </w:lvl>
  </w:abstractNum>
  <w:abstractNum w:abstractNumId="16">
    <w:nsid w:val="79838CB2"/>
    <w:multiLevelType w:val="hybridMultilevel"/>
    <w:lvl w:ilvl="0">
      <w:lvlJc w:val="left"/>
      <w:lvlText w:val="%1"/>
      <w:numFmt w:val="decimal"/>
      <w:start w:val="1"/>
    </w:lvl>
    <w:lvl w:ilvl="1">
      <w:lvlJc w:val="left"/>
      <w:lvlText w:val="(%2)"/>
      <w:numFmt w:val="decimal"/>
      <w:start w:val="8"/>
    </w:lvl>
  </w:abstractNum>
  <w:abstractNum w:abstractNumId="17">
    <w:nsid w:val="4353D0CD"/>
    <w:multiLevelType w:val="hybridMultilevel"/>
    <w:lvl w:ilvl="0">
      <w:lvlJc w:val="left"/>
      <w:lvlText w:val="(%1)"/>
      <w:numFmt w:val="decimal"/>
      <w:start w:val="9"/>
    </w:lvl>
    <w:lvl w:ilvl="1">
      <w:lvlJc w:val="left"/>
      <w:lvlText w:val="%2"/>
      <w:numFmt w:val="decimal"/>
      <w:start w:val="1"/>
    </w:lvl>
  </w:abstractNum>
  <w:abstractNum w:abstractNumId="18">
    <w:nsid w:val="B03E0C6"/>
    <w:multiLevelType w:val="hybridMultilevel"/>
    <w:lvl w:ilvl="0">
      <w:lvlJc w:val="left"/>
      <w:lvlText w:val="(%1)"/>
      <w:numFmt w:val="decimal"/>
      <w:start w:val="10"/>
    </w:lvl>
  </w:abstractNum>
  <w:abstractNum w:abstractNumId="19">
    <w:nsid w:val="189A769B"/>
    <w:multiLevelType w:val="hybridMultilevel"/>
    <w:lvl w:ilvl="0">
      <w:lvlJc w:val="left"/>
      <w:lvlText w:val="3"/>
      <w:numFmt w:val="bullet"/>
      <w:start w:val="1"/>
    </w:lvl>
  </w:abstractNum>
  <w:abstractNum w:abstractNumId="20">
    <w:nsid w:val="54E49EB4"/>
    <w:multiLevelType w:val="hybridMultilevel"/>
    <w:lvl w:ilvl="0">
      <w:lvlJc w:val="left"/>
      <w:lvlText w:val="(%1)"/>
      <w:numFmt w:val="decimal"/>
      <w:start w:val="1"/>
    </w:lvl>
    <w:lvl w:ilvl="1">
      <w:lvlJc w:val="left"/>
      <w:lvlText w:val="(%2)"/>
      <w:numFmt w:val="decimal"/>
      <w:start w:val="2"/>
    </w:lvl>
  </w:abstractNum>
  <w:abstractNum w:abstractNumId="21">
    <w:nsid w:val="71F32454"/>
    <w:multiLevelType w:val="hybridMultilevel"/>
    <w:lvl w:ilvl="0">
      <w:lvlJc w:val="left"/>
      <w:lvlText w:val="(%1)"/>
      <w:numFmt w:val="decimal"/>
      <w:start w:val="3"/>
    </w:lvl>
    <w:lvl w:ilvl="1">
      <w:lvlJc w:val="left"/>
      <w:lvlText w:val="(%2)"/>
      <w:numFmt w:val="decimal"/>
      <w:start w:val="5"/>
    </w:lvl>
  </w:abstractNum>
  <w:abstractNum w:abstractNumId="22">
    <w:nsid w:val="2CA88611"/>
    <w:multiLevelType w:val="hybridMultilevel"/>
    <w:lvl w:ilvl="0">
      <w:lvlJc w:val="left"/>
      <w:lvlText w:val="%1"/>
      <w:numFmt w:val="decimal"/>
      <w:start w:val="1"/>
    </w:lvl>
    <w:lvl w:ilvl="1">
      <w:lvlJc w:val="left"/>
      <w:lvlText w:val="(%2)"/>
      <w:numFmt w:val="decimal"/>
      <w:start w:val="8"/>
    </w:lvl>
  </w:abstractNum>
  <w:abstractNum w:abstractNumId="23">
    <w:nsid w:val="836C40E"/>
    <w:multiLevelType w:val="hybridMultilevel"/>
    <w:lvl w:ilvl="0">
      <w:lvlJc w:val="left"/>
      <w:lvlText w:val="(%1)"/>
      <w:numFmt w:val="decimal"/>
      <w:start w:val="9"/>
    </w:lvl>
    <w:lvl w:ilvl="1">
      <w:lvlJc w:val="left"/>
      <w:lvlText w:val="%2"/>
      <w:numFmt w:val="decimal"/>
      <w:start w:val="1"/>
    </w:lvl>
  </w:abstractNum>
  <w:abstractNum w:abstractNumId="24">
    <w:nsid w:val="2901D82"/>
    <w:multiLevelType w:val="hybridMultilevel"/>
    <w:lvl w:ilvl="0">
      <w:lvlJc w:val="left"/>
      <w:lvlText w:val="(%1)"/>
      <w:numFmt w:val="decimal"/>
      <w:start w:val="10"/>
    </w:lvl>
  </w:abstractNum>
  <w:abstractNum w:abstractNumId="25">
    <w:nsid w:val="3A95F874"/>
    <w:multiLevelType w:val="hybridMultilevel"/>
    <w:lvl w:ilvl="0">
      <w:lvlJc w:val="left"/>
      <w:lvlText w:val="4"/>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3"/>
    </w:lvl>
    <w:lvl w:ilvl="1">
      <w:lvlJc w:val="left"/>
      <w:lvlText w:val="(%2)"/>
      <w:numFmt w:val="decimal"/>
      <w:start w:val="5"/>
    </w:lvl>
  </w:abstractNum>
  <w:abstractNum w:abstractNumId="28">
    <w:nsid w:val="7C3DBD3D"/>
    <w:multiLevelType w:val="hybridMultilevel"/>
    <w:lvl w:ilvl="0">
      <w:lvlJc w:val="left"/>
      <w:lvlText w:val="%1"/>
      <w:numFmt w:val="decimal"/>
      <w:start w:val="1"/>
    </w:lvl>
    <w:lvl w:ilvl="1">
      <w:lvlJc w:val="left"/>
      <w:lvlText w:val="(%2)"/>
      <w:numFmt w:val="decimal"/>
      <w:start w:val="8"/>
    </w:lvl>
  </w:abstractNum>
  <w:abstractNum w:abstractNumId="29">
    <w:nsid w:val="737B8DDC"/>
    <w:multiLevelType w:val="hybridMultilevel"/>
    <w:lvl w:ilvl="0">
      <w:lvlJc w:val="left"/>
      <w:lvlText w:val="(%1)"/>
      <w:numFmt w:val="decimal"/>
      <w:start w:val="9"/>
    </w:lvl>
    <w:lvl w:ilvl="1">
      <w:lvlJc w:val="left"/>
      <w:lvlText w:val="%2"/>
      <w:numFmt w:val="decimal"/>
      <w:start w:val="1"/>
    </w:lvl>
  </w:abstractNum>
  <w:abstractNum w:abstractNumId="30">
    <w:nsid w:val="6CEAF087"/>
    <w:multiLevelType w:val="hybridMultilevel"/>
    <w:lvl w:ilvl="0">
      <w:lvlJc w:val="left"/>
      <w:lvlText w:val="(%1)"/>
      <w:numFmt w:val="decimal"/>
      <w:start w:val="10"/>
    </w:lvl>
  </w:abstractNum>
  <w:abstractNum w:abstractNumId="31">
    <w:nsid w:val="22221A70"/>
    <w:multiLevelType w:val="hybridMultilevel"/>
    <w:lvl w:ilvl="0">
      <w:lvlJc w:val="left"/>
      <w:lvlText w:val="5"/>
      <w:numFmt w:val="bullet"/>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2019-12-08T02:34:10Z</dcterms:created>
  <dcterms:modified xsi:type="dcterms:W3CDTF">2019-12-08T02:34:10Z</dcterms:modified>
</cp:coreProperties>
</file>