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50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502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38"/>
        <w:spacing w:after="0"/>
        <w:rPr>
          <w:sz w:val="20"/>
          <w:szCs w:val="20"/>
          <w:color w:val="auto"/>
        </w:rPr>
      </w:pPr>
      <w:r>
        <w:rPr>
          <w:rFonts w:ascii="Arial" w:cs="Arial" w:eastAsia="Arial" w:hAnsi="Arial"/>
          <w:sz w:val="17"/>
          <w:szCs w:val="17"/>
          <w:color w:val="0000FF"/>
        </w:rPr>
        <w:t>General Counsel</w:t>
      </w:r>
    </w:p>
    <w:p>
      <w:pPr>
        <w:spacing w:after="0" w:line="306"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03/01/2022</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774</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7"/>
                <w:szCs w:val="17"/>
                <w:color w:val="0000FF"/>
              </w:rPr>
              <w:t>6,506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03/01/2022</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7"/>
              </w:rPr>
              <w:t>364</w:t>
            </w:r>
            <w:r>
              <w:rPr>
                <w:rFonts w:ascii="Arial" w:cs="Arial" w:eastAsia="Arial" w:hAnsi="Arial"/>
                <w:sz w:val="21"/>
                <w:szCs w:val="21"/>
                <w:color w:val="008000"/>
                <w:w w:val="87"/>
                <w:vertAlign w:val="superscript"/>
              </w:rPr>
              <w:t>(2)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77.38</w:t>
            </w: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7"/>
                <w:szCs w:val="17"/>
                <w:color w:val="0000FF"/>
              </w:rPr>
              <w:t>6,142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3"/>
                <w:szCs w:val="13"/>
                <w:color w:val="0000FF"/>
              </w:rPr>
              <w:t>774</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3"/>
              <w:spacing w:after="0"/>
              <w:rPr>
                <w:sz w:val="20"/>
                <w:szCs w:val="20"/>
                <w:color w:val="auto"/>
              </w:rPr>
            </w:pPr>
            <w:r>
              <w:rPr>
                <w:rFonts w:ascii="Arial" w:cs="Arial" w:eastAsia="Arial" w:hAnsi="Arial"/>
                <w:sz w:val="17"/>
                <w:szCs w:val="17"/>
                <w:color w:val="0000FF"/>
              </w:rPr>
              <w:t>774</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0000FF"/>
                <w:w w:val="87"/>
                <w:vertAlign w:val="subscript"/>
              </w:rPr>
              <w:t>0</w:t>
            </w:r>
            <w:r>
              <w:rPr>
                <w:rFonts w:ascii="Arial" w:cs="Arial" w:eastAsia="Arial" w:hAnsi="Arial"/>
                <w:sz w:val="11"/>
                <w:szCs w:val="11"/>
                <w:color w:val="008000"/>
                <w:w w:val="87"/>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00" w:type="dxa"/>
            <w:vAlign w:val="bottom"/>
            <w:vMerge w:val="restart"/>
          </w:tcPr>
          <w:p>
            <w:pPr>
              <w:jc w:val="right"/>
              <w:ind w:right="61"/>
              <w:spacing w:after="0"/>
              <w:rPr>
                <w:sz w:val="20"/>
                <w:szCs w:val="20"/>
                <w:color w:val="auto"/>
              </w:rPr>
            </w:pPr>
            <w:r>
              <w:rPr>
                <w:rFonts w:ascii="Arial" w:cs="Arial" w:eastAsia="Arial" w:hAnsi="Arial"/>
                <w:sz w:val="13"/>
                <w:szCs w:val="13"/>
                <w:color w:val="0000FF"/>
              </w:rPr>
              <w:t>1,706</w:t>
            </w:r>
          </w:p>
        </w:tc>
        <w:tc>
          <w:tcPr>
            <w:tcW w:w="3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(6)</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1,706</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0"/>
              </w:rPr>
              <w:t>3,412</w:t>
            </w:r>
            <w:r>
              <w:rPr>
                <w:rFonts w:ascii="Arial" w:cs="Arial" w:eastAsia="Arial" w:hAnsi="Arial"/>
                <w:sz w:val="21"/>
                <w:szCs w:val="21"/>
                <w:color w:val="008000"/>
                <w:w w:val="80"/>
                <w:vertAlign w:val="superscript"/>
              </w:rPr>
              <w:t>(5)</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00" w:type="dxa"/>
            <w:vAlign w:val="bottom"/>
            <w:vMerge w:val="restart"/>
          </w:tcPr>
          <w:p>
            <w:pPr>
              <w:jc w:val="right"/>
              <w:ind w:right="121"/>
              <w:spacing w:after="0"/>
              <w:rPr>
                <w:sz w:val="20"/>
                <w:szCs w:val="20"/>
                <w:color w:val="auto"/>
              </w:rPr>
            </w:pPr>
            <w:r>
              <w:rPr>
                <w:rFonts w:ascii="Arial" w:cs="Arial" w:eastAsia="Arial" w:hAnsi="Arial"/>
                <w:sz w:val="13"/>
                <w:szCs w:val="13"/>
                <w:color w:val="0000FF"/>
              </w:rPr>
              <w:t>875</w:t>
            </w:r>
          </w:p>
        </w:tc>
        <w:tc>
          <w:tcPr>
            <w:tcW w:w="3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3"/>
              <w:spacing w:after="0"/>
              <w:rPr>
                <w:sz w:val="20"/>
                <w:szCs w:val="20"/>
                <w:color w:val="auto"/>
              </w:rPr>
            </w:pPr>
            <w:r>
              <w:rPr>
                <w:rFonts w:ascii="Arial" w:cs="Arial" w:eastAsia="Arial" w:hAnsi="Arial"/>
                <w:sz w:val="17"/>
                <w:szCs w:val="17"/>
                <w:color w:val="0000FF"/>
              </w:rPr>
              <w:t>875</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0"/>
              </w:rPr>
              <w:t>2,581</w:t>
            </w:r>
            <w:r>
              <w:rPr>
                <w:rFonts w:ascii="Arial" w:cs="Arial" w:eastAsia="Arial" w:hAnsi="Arial"/>
                <w:sz w:val="21"/>
                <w:szCs w:val="21"/>
                <w:color w:val="008000"/>
                <w:w w:val="80"/>
                <w:vertAlign w:val="superscript"/>
              </w:rPr>
              <w:t>(5)</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-2520315</wp:posOffset>
            </wp:positionV>
            <wp:extent cx="29210" cy="252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25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PSU represents a contingent right to receive one ordinary share of the Company in accordance with the terms of the LivaNova PLC 2015 Plan (the Plan) and the award agreement.</w:t>
      </w:r>
    </w:p>
    <w:p>
      <w:pPr>
        <w:spacing w:after="0" w:line="43" w:lineRule="exact"/>
        <w:rPr>
          <w:rFonts w:ascii="Arial" w:cs="Arial" w:eastAsia="Arial" w:hAnsi="Arial"/>
          <w:sz w:val="13"/>
          <w:szCs w:val="13"/>
          <w:color w:val="008000"/>
        </w:rPr>
      </w:pPr>
    </w:p>
    <w:p>
      <w:pPr>
        <w:ind w:left="40" w:right="1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PSUs to vest or lapse on the filing of the Company's Annual Report on Form 10-K for the fiscal year ending December 31, 2021 based on how the Company's cumulative adjusted free cash flow for fiscal years 2019, 2020 and 2021 compares to a target determined by the Plan Administrator.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3" w:lineRule="exact"/>
        <w:rPr>
          <w:rFonts w:ascii="Arial" w:cs="Arial" w:eastAsia="Arial" w:hAnsi="Arial"/>
          <w:sz w:val="13"/>
          <w:szCs w:val="13"/>
          <w:color w:val="008000"/>
        </w:rPr>
      </w:pPr>
    </w:p>
    <w:p>
      <w:pPr>
        <w:ind w:left="40" w:right="4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1,706 PSUs to vest or lapse on March 30, 2024 based on how the Company's cumulative adjusted free cash flow for fiscal year 2021 compares to a target determined by the Plan Administrator. The Company has determined that 200% of the underlying PSUs shall vest on March 30, 2024, subject to continued service during the vesting period and the award agreement.</w:t>
      </w:r>
    </w:p>
    <w:p>
      <w:pPr>
        <w:spacing w:after="0" w:line="31"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1,706 PSUs to vest or lapse on March 30, 2024 based on how the Company's Return on Investment Capital (ROIC) for fiscal year 2021 compares to a target determined by the Plan Administrator. The Company has determined that 151.3% of the underlying PSUs shall vest on March 30, 2024 subject to continued service during the vesting period and the award agreement.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8"/>
              </w:rPr>
              <w:t>/s/ Sarah K. Mohr, POA</w:t>
            </w:r>
          </w:p>
        </w:tc>
        <w:tc>
          <w:tcPr>
            <w:tcW w:w="58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6"/>
              </w:rPr>
              <w:t>03/04/2022</w:t>
            </w: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2" w:lineRule="exact"/>
        <w:rPr>
          <w:sz w:val="20"/>
          <w:szCs w:val="20"/>
          <w:color w:val="auto"/>
        </w:rPr>
      </w:pPr>
    </w:p>
    <w:p>
      <w:pPr>
        <w:ind w:right="140" w:firstLine="617"/>
        <w:spacing w:after="0" w:line="329"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4" w:lineRule="exact"/>
        <w:rPr>
          <w:sz w:val="20"/>
          <w:szCs w:val="20"/>
          <w:color w:val="auto"/>
        </w:rPr>
      </w:pPr>
    </w:p>
    <w:p>
      <w:pPr>
        <w:ind w:left="1240" w:right="80" w:hanging="620"/>
        <w:spacing w:after="0" w:line="31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8" w:lineRule="exact"/>
        <w:rPr>
          <w:rFonts w:ascii="Arial" w:cs="Arial" w:eastAsia="Arial" w:hAnsi="Arial"/>
          <w:sz w:val="18"/>
          <w:szCs w:val="18"/>
          <w:color w:val="auto"/>
        </w:rPr>
      </w:pPr>
    </w:p>
    <w:p>
      <w:pPr>
        <w:ind w:left="1240" w:right="100" w:hanging="620"/>
        <w:spacing w:after="0" w:line="343"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hanging="620"/>
        <w:spacing w:after="0" w:line="334"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340" w:firstLine="617"/>
        <w:spacing w:after="0" w:line="304"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right="80" w:firstLine="617"/>
        <w:spacing w:after="0" w:line="286"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6" w:lineRule="exact"/>
        <w:rPr>
          <w:sz w:val="20"/>
          <w:szCs w:val="20"/>
          <w:color w:val="auto"/>
        </w:rPr>
      </w:pPr>
    </w:p>
    <w:p>
      <w:pPr>
        <w:ind w:right="60" w:firstLine="617"/>
        <w:spacing w:after="0" w:line="336"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2" w:lineRule="exact"/>
        <w:rPr>
          <w:sz w:val="20"/>
          <w:szCs w:val="20"/>
          <w:color w:val="auto"/>
        </w:rPr>
      </w:pPr>
    </w:p>
    <w:p>
      <w:pPr>
        <w:ind w:right="140" w:firstLine="617"/>
        <w:spacing w:after="0" w:line="29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-13335</wp:posOffset>
            </wp:positionV>
            <wp:extent cx="1407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2022-03-03T19:07:04Z</dcterms:created>
  <dcterms:modified xsi:type="dcterms:W3CDTF">2022-03-03T19:07:04Z</dcterms:modified>
</cp:coreProperties>
</file>