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37"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On February 17, 2023, LivaNova PLC (the “Company”) learned that the independent Statistical Analysis Committee advised that trial enrollment in the Company’s RECOVER difficult-to-treat depression trial should continue on from 450 to 475 unipolar patients, in line with the protocol. As has been previously discussed, the study was designed with frequent interim analyses, which occur every 25 patients. The interim analysis assesses if predictive probability of success has been reached for the unipolar cohort of the study, at which point the randomized controlled trial enrollment will cease and future patients will be enrolled into the prospective open label longitudinal study for that cohort. After the last patient enrolled into the RCT has completed 12 months of follow-up, a final analysis will be conducted on the complete dataset for that respective cohort. The trial, if successful, will be used to support a peer-reviewed article and reconsideration of reimbursement for VNS Therapy™ by the U.S. Centers for Medicare &amp; Medicaid Services for the treatment of depression that is difficult to treat.</w:t>
      </w:r>
    </w:p>
    <w:p>
      <w:pPr>
        <w:spacing w:after="0" w:line="228" w:lineRule="exact"/>
        <w:rPr>
          <w:sz w:val="20"/>
          <w:szCs w:val="20"/>
          <w:color w:val="auto"/>
        </w:rPr>
      </w:pPr>
    </w:p>
    <w:p>
      <w:pPr>
        <w:ind w:right="2860" w:firstLine="648"/>
        <w:spacing w:after="0" w:line="253" w:lineRule="auto"/>
        <w:rPr>
          <w:sz w:val="20"/>
          <w:szCs w:val="20"/>
          <w:color w:val="auto"/>
        </w:rPr>
      </w:pPr>
      <w:r>
        <w:rPr>
          <w:rFonts w:ascii="Times New Roman" w:cs="Times New Roman" w:eastAsia="Times New Roman" w:hAnsi="Times New Roman"/>
          <w:sz w:val="18"/>
          <w:szCs w:val="18"/>
          <w:color w:val="auto"/>
        </w:rPr>
        <w:t>The information furnished pursuant to this Current Report on Form 8-K shall not be considered “filed” for purposes of Section 18 of the Securities Exchange Act of 1934, as amended, or otherwise subject to the liabilities of that section, nor shall it be incorporated by reference into any filing by the Company under the Securities Act of 1933, as amended, or under the Securities Exchange Act of 1934, as amended, unless the Company expressly sets forth by specific reference in such filing that such information is to be considered “filed” or incorporated by reference therein.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280"/>
        <w:spacing w:after="0"/>
        <w:tabs>
          <w:tab w:leader="none" w:pos="5260" w:val="left"/>
        </w:tabs>
        <w:rPr>
          <w:sz w:val="20"/>
          <w:szCs w:val="20"/>
          <w:color w:val="auto"/>
        </w:rPr>
      </w:pPr>
      <w:r>
        <w:rPr>
          <w:rFonts w:ascii="Times New Roman" w:cs="Times New Roman" w:eastAsia="Times New Roman" w:hAnsi="Times New Roman"/>
          <w:sz w:val="18"/>
          <w:szCs w:val="18"/>
          <w:color w:val="auto"/>
        </w:rPr>
        <w:t>Date: February 17, 2023</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Hutchinson</w:t>
      </w:r>
    </w:p>
    <w:p>
      <w:pPr>
        <w:spacing w:after="0" w:line="63" w:lineRule="exact"/>
        <w:rPr>
          <w:sz w:val="20"/>
          <w:szCs w:val="20"/>
          <w:color w:val="auto"/>
        </w:rPr>
      </w:pPr>
    </w:p>
    <w:p>
      <w:pPr>
        <w:jc w:val="right"/>
        <w:ind w:right="328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Senior Vice President &amp; Chief Legal Officer</w:t>
      </w:r>
    </w:p>
    <w:sectPr>
      <w:pgSz w:w="11900" w:h="16838" w:orient="portrait"/>
      <w:cols w:equalWidth="0" w:num="1">
        <w:col w:w="10940"/>
      </w:cols>
      <w:pgMar w:left="320" w:top="100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2023-02-17T18:56:34Z</dcterms:created>
  <dcterms:modified xsi:type="dcterms:W3CDTF">2023-02-17T18:56:34Z</dcterms:modified>
</cp:coreProperties>
</file>