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Moore Daniel Jeffrey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09/15/2017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09/15/2017</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1,000</w:t>
            </w:r>
          </w:p>
        </w:tc>
        <w:tc>
          <w:tcPr>
            <w:tcW w:w="5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68.552</w:t>
            </w:r>
            <w:r>
              <w:rPr>
                <w:rFonts w:ascii="Arial" w:cs="Arial" w:eastAsia="Arial" w:hAnsi="Arial"/>
                <w:sz w:val="22"/>
                <w:szCs w:val="22"/>
                <w:color w:val="008000"/>
                <w:w w:val="91"/>
                <w:vertAlign w:val="superscript"/>
              </w:rPr>
              <w:t>(2)</w:t>
            </w:r>
          </w:p>
        </w:tc>
        <w:tc>
          <w:tcPr>
            <w:tcW w:w="1200" w:type="dxa"/>
            <w:vAlign w:val="bottom"/>
            <w:tcBorders>
              <w:bottom w:val="single" w:sz="8" w:color="2C2C2C"/>
            </w:tcBorders>
            <w:gridSpan w:val="2"/>
          </w:tcPr>
          <w:p>
            <w:pPr>
              <w:jc w:val="right"/>
              <w:ind w:right="319"/>
              <w:spacing w:after="0"/>
              <w:rPr>
                <w:sz w:val="20"/>
                <w:szCs w:val="20"/>
                <w:color w:val="auto"/>
              </w:rPr>
            </w:pPr>
            <w:r>
              <w:rPr>
                <w:rFonts w:ascii="Arial" w:cs="Arial" w:eastAsia="Arial" w:hAnsi="Arial"/>
                <w:sz w:val="18"/>
                <w:szCs w:val="18"/>
                <w:color w:val="0000FF"/>
              </w:rPr>
              <w:t>57,296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DJM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359"/>
              <w:spacing w:after="0"/>
              <w:rPr>
                <w:sz w:val="20"/>
                <w:szCs w:val="20"/>
                <w:color w:val="auto"/>
              </w:rPr>
            </w:pPr>
            <w:r>
              <w:rPr>
                <w:rFonts w:ascii="Arial" w:cs="Arial" w:eastAsia="Arial" w:hAnsi="Arial"/>
                <w:sz w:val="18"/>
                <w:szCs w:val="18"/>
                <w:color w:val="0000FF"/>
              </w:rPr>
              <w:t>2,586</w:t>
            </w:r>
          </w:p>
        </w:tc>
        <w:tc>
          <w:tcPr>
            <w:tcW w:w="300" w:type="dxa"/>
            <w:vAlign w:val="bottom"/>
          </w:tcPr>
          <w:p>
            <w:pPr>
              <w:spacing w:after="0"/>
              <w:rPr>
                <w:sz w:val="18"/>
                <w:szCs w:val="18"/>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w w:val="95"/>
              </w:rPr>
              <w:t>Partnership</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Ltd.</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8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sold pursuant to a Rule 10b5-1 Plan adopted by reporting person on August 16, 2016.</w:t>
      </w:r>
    </w:p>
    <w:p>
      <w:pPr>
        <w:spacing w:after="0" w:line="41" w:lineRule="exact"/>
        <w:rPr>
          <w:rFonts w:ascii="Arial" w:cs="Arial" w:eastAsia="Arial" w:hAnsi="Arial"/>
          <w:sz w:val="14"/>
          <w:szCs w:val="14"/>
          <w:color w:val="008000"/>
        </w:rPr>
      </w:pPr>
    </w:p>
    <w:p>
      <w:pPr>
        <w:ind w:left="40" w:right="1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approximately 6 separate sales on the transaction date at prices ranging from $68.55 to $68.56. The reporting person hereby undertakes to provide upon request to the SEC, the issuer or any stockholder of the issuer, the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09/19/2017</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2019-12-24T09:06:38Z</dcterms:created>
  <dcterms:modified xsi:type="dcterms:W3CDTF">2019-12-24T09:06:38Z</dcterms:modified>
</cp:coreProperties>
</file>