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Date of Report (Date of earliest event reported): July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7510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72"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2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England and Wales</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001-37599</w:t>
            </w:r>
          </w:p>
        </w:tc>
        <w:tc>
          <w:tcPr>
            <w:tcW w:w="17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222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0"/>
              </w:rPr>
              <w:t>(State or Other Jurisdiction</w:t>
            </w:r>
          </w:p>
        </w:tc>
        <w:tc>
          <w:tcPr>
            <w:tcW w:w="54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(Commission</w:t>
            </w:r>
          </w:p>
        </w:tc>
        <w:tc>
          <w:tcPr>
            <w:tcW w:w="174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630"/>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74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5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4"/>
              </w:rPr>
              <w:t>North Wharf Road</w:t>
            </w:r>
          </w:p>
        </w:tc>
        <w:tc>
          <w:tcPr>
            <w:tcW w:w="17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5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3"/>
              </w:rPr>
              <w:t>London, W2 1AY</w:t>
            </w:r>
          </w:p>
        </w:tc>
        <w:tc>
          <w:tcPr>
            <w:tcW w:w="1740" w:type="dxa"/>
            <w:vAlign w:val="bottom"/>
          </w:tcPr>
          <w:p>
            <w:pPr>
              <w:spacing w:after="0"/>
              <w:rPr>
                <w:sz w:val="17"/>
                <w:szCs w:val="17"/>
                <w:color w:val="auto"/>
              </w:rPr>
            </w:pPr>
          </w:p>
        </w:tc>
      </w:tr>
      <w:tr>
        <w:trPr>
          <w:trHeight w:val="207"/>
        </w:trPr>
        <w:tc>
          <w:tcPr>
            <w:tcW w:w="2220" w:type="dxa"/>
            <w:vAlign w:val="bottom"/>
          </w:tcPr>
          <w:p>
            <w:pPr>
              <w:spacing w:after="0"/>
              <w:rPr>
                <w:sz w:val="17"/>
                <w:szCs w:val="17"/>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4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spacing w:after="0"/>
              <w:rPr>
                <w:sz w:val="20"/>
                <w:szCs w:val="20"/>
                <w:color w:val="auto"/>
              </w:rPr>
            </w:pPr>
          </w:p>
        </w:tc>
      </w:tr>
      <w:tr>
        <w:trPr>
          <w:trHeight w:val="377"/>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203 786 5275</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74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bl>
    <w:p>
      <w:pPr>
        <w:spacing w:after="0" w:line="377"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372"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206" w:right="899" w:bottom="1440" w:gutter="0" w:footer="0" w:header="0"/>
        </w:sectPr>
      </w:pPr>
    </w:p>
    <w:bookmarkStart w:id="1" w:name="page2"/>
    <w:bookmarkEnd w:id="1"/>
    <w:p>
      <w:pPr>
        <w:ind w:right="580"/>
        <w:spacing w:after="0" w:line="329"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8"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On July 6, 2016, LivaNova PLC ("LivaNova") issued a press release announcing a refined business implementation model and related organizational structure designed to strengthen execution and accountability of its business units, to promote collaboration across the global organization and support long-term profitable growth (the "Realignment").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Gutedel 2016 Amendment Agreement</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In conjunction with the announced Realignment, Mr Jacques Gutedel, LivaNova's current President, Intercontinental, and one of its "named executive officers," on 6 July 2016 entered into an agreement with LivaNova Switzerland S.A, a subsidiary of LivaNova (the "2016 Amendment Agreement") to amend Mr Gutedel's existing employment agreement dated 1 March 2009. The 2016 Amendment Agreement provides for Mr. Gutedel to receive an annual base salary of CHF 500,000 and an opportunity to earn an annual discretionary bonus with a target of 75% of Mr. Gutedel's annual base salary, subject to the achievement of certain prescribed performance objectives of the Company pursuant to LivaNova's Annual Executive Bonus Plan.</w:t>
      </w:r>
    </w:p>
    <w:p>
      <w:pPr>
        <w:spacing w:after="0" w:line="1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Mr. Gutedel will continue to receive a car allowance of €2,100 per month and pension contributions equal to 18.5% of his base salary. As an inducement for his continued service to LivaNova, the 2016 Amendment Agreement provides for a payment (the "Payment") in a total amount equal to CHF 1,500,400, payable in three installments between July 1, 2018 and July 1, 2020, subject to his continued employment with LivaNova. In the event that Mr. Gutedel is terminated without good cause, or if his responsibilities are materially diminished within two years following a change of control, the balance of the Payment will become due. All other material terms of Mr Gutedel's employment terms remain unchanged.</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Retirement of a Named Executive Officer</w:t>
      </w:r>
    </w:p>
    <w:p>
      <w:pPr>
        <w:spacing w:after="0" w:line="198" w:lineRule="exact"/>
        <w:rPr>
          <w:sz w:val="20"/>
          <w:szCs w:val="20"/>
          <w:color w:val="auto"/>
        </w:rPr>
      </w:pPr>
    </w:p>
    <w:p>
      <w:pPr>
        <w:ind w:right="240" w:firstLine="648"/>
        <w:spacing w:after="0" w:line="248" w:lineRule="auto"/>
        <w:rPr>
          <w:sz w:val="20"/>
          <w:szCs w:val="20"/>
          <w:color w:val="auto"/>
        </w:rPr>
      </w:pPr>
      <w:r>
        <w:rPr>
          <w:rFonts w:ascii="Arial" w:cs="Arial" w:eastAsia="Arial" w:hAnsi="Arial"/>
          <w:sz w:val="18"/>
          <w:szCs w:val="18"/>
          <w:color w:val="auto"/>
        </w:rPr>
        <w:t>As disclosed in the press release of the date hereof, Mr. Michel Darnaud, presently LivaNova's President, Cardiac Surgery, has indicated to LivaNova his intention to retire following the successful implementation of the Realignment. Mr. Darnaud's retirement is expected to take effect in the first quarter of 2017.</w:t>
      </w:r>
    </w:p>
    <w:p>
      <w:pPr>
        <w:spacing w:after="0" w:line="367"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Further information regarding the Realignment is set forth in the press release filed herewith as Exhibit 99.1, which is incorporated into this Item 8.01 by reference.</w:t>
      </w:r>
    </w:p>
    <w:p>
      <w:pPr>
        <w:spacing w:after="0" w:line="354"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herewith:</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on July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560"/>
              <w:spacing w:after="0"/>
              <w:rPr>
                <w:sz w:val="20"/>
                <w:szCs w:val="20"/>
                <w:color w:val="auto"/>
              </w:rPr>
            </w:pPr>
            <w:r>
              <w:rPr>
                <w:rFonts w:ascii="Arial" w:cs="Arial" w:eastAsia="Arial" w:hAnsi="Arial"/>
                <w:sz w:val="18"/>
                <w:szCs w:val="18"/>
                <w:color w:val="auto"/>
              </w:rPr>
              <w:t>LivaNova PLC</w:t>
            </w:r>
          </w:p>
        </w:tc>
      </w:tr>
      <w:tr>
        <w:trPr>
          <w:trHeight w:val="628"/>
        </w:trPr>
        <w:tc>
          <w:tcPr>
            <w:tcW w:w="3680" w:type="dxa"/>
            <w:vAlign w:val="bottom"/>
          </w:tcPr>
          <w:p>
            <w:pPr>
              <w:spacing w:after="0"/>
              <w:rPr>
                <w:sz w:val="20"/>
                <w:szCs w:val="20"/>
                <w:color w:val="auto"/>
              </w:rPr>
            </w:pPr>
            <w:r>
              <w:rPr>
                <w:rFonts w:ascii="Arial" w:cs="Arial" w:eastAsia="Arial" w:hAnsi="Arial"/>
                <w:sz w:val="18"/>
                <w:szCs w:val="18"/>
                <w:color w:val="auto"/>
              </w:rPr>
              <w:t>Date: July 6, 2016</w:t>
            </w:r>
          </w:p>
        </w:tc>
        <w:tc>
          <w:tcPr>
            <w:tcW w:w="3340" w:type="dxa"/>
            <w:vAlign w:val="bottom"/>
          </w:tcPr>
          <w:p>
            <w:pPr>
              <w:ind w:left="23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Moroz</w:t>
            </w:r>
          </w:p>
        </w:tc>
      </w:tr>
      <w:tr>
        <w:trPr>
          <w:trHeight w:val="188"/>
        </w:trPr>
        <w:tc>
          <w:tcPr>
            <w:tcW w:w="3680" w:type="dxa"/>
            <w:vAlign w:val="bottom"/>
          </w:tcPr>
          <w:p>
            <w:pPr>
              <w:spacing w:after="0"/>
              <w:rPr>
                <w:sz w:val="16"/>
                <w:szCs w:val="16"/>
                <w:color w:val="auto"/>
              </w:rPr>
            </w:pPr>
          </w:p>
        </w:tc>
        <w:tc>
          <w:tcPr>
            <w:tcW w:w="3340" w:type="dxa"/>
            <w:vAlign w:val="bottom"/>
          </w:tcPr>
          <w:p>
            <w:pPr>
              <w:ind w:left="2320"/>
              <w:spacing w:after="0" w:line="189" w:lineRule="exact"/>
              <w:rPr>
                <w:sz w:val="20"/>
                <w:szCs w:val="20"/>
                <w:color w:val="auto"/>
              </w:rPr>
            </w:pPr>
            <w:r>
              <w:rPr>
                <w:rFonts w:ascii="Arial" w:cs="Arial" w:eastAsia="Arial" w:hAnsi="Arial"/>
                <w:sz w:val="18"/>
                <w:szCs w:val="18"/>
                <w:color w:val="auto"/>
              </w:rPr>
              <w:t>Name:</w:t>
            </w:r>
          </w:p>
        </w:tc>
        <w:tc>
          <w:tcPr>
            <w:tcW w:w="4400" w:type="dxa"/>
            <w:vAlign w:val="bottom"/>
          </w:tcPr>
          <w:p>
            <w:pPr>
              <w:spacing w:after="0" w:line="189" w:lineRule="exact"/>
              <w:rPr>
                <w:sz w:val="20"/>
                <w:szCs w:val="20"/>
                <w:color w:val="auto"/>
              </w:rPr>
            </w:pPr>
            <w:r>
              <w:rPr>
                <w:rFonts w:ascii="Arial" w:cs="Arial" w:eastAsia="Arial" w:hAnsi="Arial"/>
                <w:sz w:val="18"/>
                <w:szCs w:val="18"/>
                <w:color w:val="auto"/>
              </w:rPr>
              <w:t>Catherine Moroz</w:t>
            </w:r>
          </w:p>
        </w:tc>
      </w:tr>
      <w:tr>
        <w:trPr>
          <w:trHeight w:val="230"/>
        </w:trPr>
        <w:tc>
          <w:tcPr>
            <w:tcW w:w="3680" w:type="dxa"/>
            <w:vAlign w:val="bottom"/>
          </w:tcPr>
          <w:p>
            <w:pPr>
              <w:spacing w:after="0"/>
              <w:rPr>
                <w:sz w:val="20"/>
                <w:szCs w:val="20"/>
                <w:color w:val="auto"/>
              </w:rPr>
            </w:pPr>
          </w:p>
        </w:tc>
        <w:tc>
          <w:tcPr>
            <w:tcW w:w="3340" w:type="dxa"/>
            <w:vAlign w:val="bottom"/>
          </w:tcPr>
          <w:p>
            <w:pPr>
              <w:ind w:left="232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Deputy Company Secretary</w:t>
            </w:r>
          </w:p>
        </w:tc>
      </w:tr>
      <w:tr>
        <w:trPr>
          <w:trHeight w:val="372"/>
        </w:trPr>
        <w:tc>
          <w:tcPr>
            <w:tcW w:w="3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6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39"/>
        </w:trPr>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5100" w:type="dxa"/>
            <w:vAlign w:val="bottom"/>
            <w:gridSpan w:val="3"/>
          </w:tcPr>
          <w:p>
            <w:pPr>
              <w:ind w:left="260"/>
              <w:spacing w:after="0"/>
              <w:rPr>
                <w:sz w:val="20"/>
                <w:szCs w:val="20"/>
                <w:color w:val="auto"/>
              </w:rPr>
            </w:pPr>
            <w:r>
              <w:rPr>
                <w:rFonts w:ascii="Arial" w:cs="Arial" w:eastAsia="Arial" w:hAnsi="Arial"/>
                <w:sz w:val="18"/>
                <w:szCs w:val="18"/>
                <w:color w:val="auto"/>
              </w:rPr>
              <w:t>Press Release issued by LivaNova PLC dated July 6, 2016</w:t>
            </w:r>
          </w:p>
        </w:tc>
      </w:tr>
    </w:tbl>
    <w:p>
      <w:pPr>
        <w:sectPr>
          <w:pgSz w:w="11900" w:h="16838" w:orient="portrait"/>
          <w:cols w:equalWidth="0" w:num="1">
            <w:col w:w="10039"/>
          </w:cols>
          <w:pgMar w:left="4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4404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NEWS RELEASE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E92900"/>
        </w:rPr>
        <w:t>LivaNova PLC Sets Operating Model and Supporting Organization</w:t>
      </w:r>
    </w:p>
    <w:p>
      <w:pPr>
        <w:spacing w:after="0" w:line="200" w:lineRule="exact"/>
        <w:rPr>
          <w:sz w:val="20"/>
          <w:szCs w:val="20"/>
          <w:color w:val="auto"/>
        </w:rPr>
      </w:pPr>
    </w:p>
    <w:p>
      <w:pPr>
        <w:spacing w:after="0" w:line="345" w:lineRule="exact"/>
        <w:rPr>
          <w:sz w:val="20"/>
          <w:szCs w:val="20"/>
          <w:color w:val="auto"/>
        </w:rPr>
      </w:pPr>
    </w:p>
    <w:p>
      <w:pPr>
        <w:jc w:val="both"/>
        <w:spacing w:after="0" w:line="436" w:lineRule="auto"/>
        <w:rPr>
          <w:sz w:val="20"/>
          <w:szCs w:val="20"/>
          <w:color w:val="auto"/>
        </w:rPr>
      </w:pPr>
      <w:r>
        <w:rPr>
          <w:rFonts w:ascii="Arial" w:cs="Arial" w:eastAsia="Arial" w:hAnsi="Arial"/>
          <w:sz w:val="18"/>
          <w:szCs w:val="18"/>
          <w:color w:val="auto"/>
        </w:rPr>
        <w:t>London, July 6, 2016 – LivaNova PLC (NASDAQ:LIVN; LSE: LIVN) ("LivaNova" or the "Company"), a market-leading medical technology company, today announced a new organizational structure designed to strengthen execution and accountability of its business franchises, promote collaboration across the global organization and support long-term profitable growth.</w:t>
      </w:r>
    </w:p>
    <w:p>
      <w:pPr>
        <w:spacing w:after="0" w:line="182" w:lineRule="exact"/>
        <w:rPr>
          <w:sz w:val="20"/>
          <w:szCs w:val="20"/>
          <w:color w:val="auto"/>
        </w:rPr>
      </w:pPr>
    </w:p>
    <w:p>
      <w:pPr>
        <w:jc w:val="both"/>
        <w:spacing w:after="0" w:line="431" w:lineRule="auto"/>
        <w:rPr>
          <w:sz w:val="20"/>
          <w:szCs w:val="20"/>
          <w:color w:val="auto"/>
        </w:rPr>
      </w:pPr>
      <w:r>
        <w:rPr>
          <w:rFonts w:ascii="Arial" w:cs="Arial" w:eastAsia="Arial" w:hAnsi="Arial"/>
          <w:sz w:val="18"/>
          <w:szCs w:val="18"/>
          <w:color w:val="auto"/>
        </w:rPr>
        <w:t>"When LivaNova was formed in late 2015, we communicated our commitment to grow our medical device portfolio through innovative product development and global commercial presence," said André-Michel Ballester, Chief Executive Officer. "We have now identified opportunities to optimize our structure, prioritize our highest value investments and deliver long-term growth and increased shareholder value. We are now poised to place into action an organizational model to ensure that we have the right resources and structure to execute our strategic priorities."</w:t>
      </w:r>
    </w:p>
    <w:p>
      <w:pPr>
        <w:spacing w:after="0" w:line="188" w:lineRule="exact"/>
        <w:rPr>
          <w:sz w:val="20"/>
          <w:szCs w:val="20"/>
          <w:color w:val="auto"/>
        </w:rPr>
      </w:pPr>
    </w:p>
    <w:p>
      <w:pPr>
        <w:jc w:val="both"/>
        <w:spacing w:after="0" w:line="428" w:lineRule="auto"/>
        <w:rPr>
          <w:sz w:val="20"/>
          <w:szCs w:val="20"/>
          <w:color w:val="auto"/>
        </w:rPr>
      </w:pPr>
      <w:r>
        <w:rPr>
          <w:rFonts w:ascii="Arial" w:cs="Arial" w:eastAsia="Arial" w:hAnsi="Arial"/>
          <w:sz w:val="18"/>
          <w:szCs w:val="18"/>
          <w:color w:val="auto"/>
        </w:rPr>
        <w:t>"We are implementing an organizational re-design that, in addition to our existing corporate support functions, will include a Chief Operating Officer (COO). The addition of a COO will allow me the opportunity to focus on LivaNova's strategic business imperatives and critical stakeholders while developing and ensuring strong management fundamentals and alignment for future growth", said Mr. Ballester. "LivaNova's new COO will be responsible for driving innovative product development, commercialization and geographic expansion across the global organization with a focus on margin expansion and profitable growth. In executing this organizational model, we are creating new leadership positions with defined geographic accountability to help propel and support LivaNova's market-focused franchises."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 w:name="page6"/>
    <w:bookmarkEnd w:id="5"/>
    <w:p>
      <w:pPr>
        <w:jc w:val="both"/>
        <w:spacing w:after="0" w:line="431" w:lineRule="auto"/>
        <w:rPr>
          <w:sz w:val="20"/>
          <w:szCs w:val="20"/>
          <w:color w:val="auto"/>
        </w:rPr>
      </w:pPr>
      <w:r>
        <w:rPr>
          <w:rFonts w:ascii="Arial" w:cs="Arial" w:eastAsia="Arial" w:hAnsi="Arial"/>
          <w:sz w:val="18"/>
          <w:szCs w:val="18"/>
          <w:color w:val="auto"/>
        </w:rPr>
        <w:t>Stefano Di Lullo, President of Cardiac Rhythm Management, has announced his intention to retire effective immediately. Additionally, Michel Darnaud, President of Cardiac Surgery, will assist in transition and will be retiring in the first quarter of next year. "I wish to personally thank both of these executives for their considerable contributions and leadership over the years in helping to build and establish two of LivaNova's critical business units," said Mr. Ballester.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E92900"/>
        </w:rPr>
        <w:t>About LivaNova</w:t>
      </w:r>
    </w:p>
    <w:p>
      <w:pPr>
        <w:spacing w:after="0" w:line="158" w:lineRule="exact"/>
        <w:rPr>
          <w:sz w:val="20"/>
          <w:szCs w:val="20"/>
          <w:color w:val="auto"/>
        </w:rPr>
      </w:pPr>
    </w:p>
    <w:p>
      <w:pPr>
        <w:jc w:val="both"/>
        <w:spacing w:after="0" w:line="458" w:lineRule="auto"/>
        <w:rPr>
          <w:sz w:val="20"/>
          <w:szCs w:val="20"/>
          <w:color w:val="auto"/>
        </w:rPr>
      </w:pPr>
      <w:r>
        <w:rPr>
          <w:rFonts w:ascii="Arial" w:cs="Arial" w:eastAsia="Arial" w:hAnsi="Arial"/>
          <w:sz w:val="17"/>
          <w:szCs w:val="17"/>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4,600 employees worldwide and is headquartered in London, U.K. With a presence in more than 100 countries, LivaNova operates as three business units: Cardiac Surgery, Cardiac Rhythm Management, and Neuromodulation, with operating headquarters in Clamart (France), Mirandola (Italy) and Houston (U.S.), respectively.</w:t>
      </w:r>
    </w:p>
    <w:p>
      <w:pPr>
        <w:spacing w:after="0" w:line="174" w:lineRule="exact"/>
        <w:rPr>
          <w:sz w:val="20"/>
          <w:szCs w:val="20"/>
          <w:color w:val="auto"/>
        </w:rPr>
      </w:pPr>
    </w:p>
    <w:p>
      <w:pPr>
        <w:jc w:val="both"/>
        <w:spacing w:after="0" w:line="449" w:lineRule="auto"/>
        <w:rPr>
          <w:sz w:val="20"/>
          <w:szCs w:val="20"/>
          <w:color w:val="auto"/>
        </w:rPr>
      </w:pPr>
      <w:r>
        <w:rPr>
          <w:rFonts w:ascii="Arial" w:cs="Arial" w:eastAsia="Arial" w:hAnsi="Arial"/>
          <w:sz w:val="18"/>
          <w:szCs w:val="18"/>
          <w:color w:val="auto"/>
        </w:rPr>
        <w:t>LivaNova is listed on NASDAQ and is admitted to the standard listing segment of the Official List of the UK's Financial Conduct Authority and to trading on the London Stock Exchange (LSE) under the ticker symbol "LIVN".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E92900"/>
        </w:rPr>
        <w:t>Safe Harbor Statement</w:t>
      </w:r>
    </w:p>
    <w:p>
      <w:pPr>
        <w:spacing w:after="0" w:line="158" w:lineRule="exact"/>
        <w:rPr>
          <w:sz w:val="20"/>
          <w:szCs w:val="20"/>
          <w:color w:val="auto"/>
        </w:rPr>
      </w:pPr>
    </w:p>
    <w:p>
      <w:pPr>
        <w:jc w:val="both"/>
        <w:spacing w:after="0" w:line="451" w:lineRule="auto"/>
        <w:rPr>
          <w:sz w:val="20"/>
          <w:szCs w:val="20"/>
          <w:color w:val="auto"/>
        </w:rPr>
      </w:pPr>
      <w:r>
        <w:rPr>
          <w:rFonts w:ascii="Arial" w:cs="Arial" w:eastAsia="Arial" w:hAnsi="Arial"/>
          <w:sz w:val="17"/>
          <w:szCs w:val="17"/>
          <w:color w:val="auto"/>
        </w:rPr>
        <w:t>This press release contains forward-looking statements within the meaning of Section 21E of the United States Securities Exchange Act of 1934, as amended. Forward-looking statements are not historical facts but are based on certain assumptions of management and describe our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LivaNova believes to be reasonable, but are inherently uncertain. As a result, our actual results, performance or achievements may differ materially from those expressed or implied by these forward-looking statements. Investors are cautioned that all such statements involve risks and uncertainties, including without limitation, the factors described in the "Risk Factors" section of LivaNova's Annual Reports on Form 10-K, Quarterly Reports on Form 10-Q, Current Reports on Form 8-K, and other documents filed from time to time with, and/or announced or published pursuant to the rules of, the United States Securities and Exchange Commission and/or the United Kingdom Financial Conduct Authority by LivaNova, together with the risk that our internal leadership and organizational realignment will not lead to intended improvements, efficiency or results. This list of factors is notexhaustive. LivaNova does not give any assurance (1) that LivaNova will achieve its expectations, or (2) concerning any result or the timing thereof.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6" w:name="page7"/>
    <w:bookmarkEnd w:id="6"/>
    <w:p>
      <w:pPr>
        <w:jc w:val="both"/>
        <w:spacing w:after="0" w:line="458" w:lineRule="auto"/>
        <w:rPr>
          <w:sz w:val="20"/>
          <w:szCs w:val="20"/>
          <w:color w:val="auto"/>
        </w:rPr>
      </w:pPr>
      <w:r>
        <w:rPr>
          <w:rFonts w:ascii="Arial" w:cs="Arial" w:eastAsia="Arial" w:hAnsi="Arial"/>
          <w:sz w:val="17"/>
          <w:szCs w:val="17"/>
          <w:color w:val="auto"/>
        </w:rPr>
        <w:t>All information in this press release is as of the date of its release. LivaNova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visit www.livanova.com</w:t>
      </w:r>
      <w:r>
        <w:rPr>
          <w:rFonts w:ascii="Arial" w:cs="Arial" w:eastAsia="Arial" w:hAnsi="Arial"/>
          <w:sz w:val="18"/>
          <w:szCs w:val="18"/>
          <w:color w:val="auto"/>
        </w:rPr>
        <w:t>,</w:t>
      </w:r>
      <w:r>
        <w:rPr>
          <w:rFonts w:ascii="Arial" w:cs="Arial" w:eastAsia="Arial" w:hAnsi="Arial"/>
          <w:sz w:val="18"/>
          <w:szCs w:val="18"/>
          <w:b w:val="1"/>
          <w:bCs w:val="1"/>
          <w:color w:val="auto"/>
        </w:rPr>
        <w:t xml:space="preserve"> or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Karen King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Phone: +1 (281) 228-7262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Fax: +1 (281) 218-9332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e-mail: corporate.communications@livanova.com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2019-12-09T02:27:19Z</dcterms:created>
  <dcterms:modified xsi:type="dcterms:W3CDTF">2019-12-09T02:27:19Z</dcterms:modified>
</cp:coreProperties>
</file>